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k0001540171-20260630.htm"/>
      <w:bookmarkStart w:id="1" w:name="ksck0001540171202606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transition period from ______________________ to ______________________</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001-43251</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Avalyn Pharma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45-2463191</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105 W First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02127</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(206) 707-0340</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170" w:type="dxa"/>
        <w:jc w:val="left"/>
        <w:tblInd w:w="0" w:type="dxa"/>
        <w:tblLayout w:type="fixed"/>
        <w:tblCellMar>
          <w:top w:w="28" w:type="dxa"/>
          <w:left w:w="28" w:type="dxa"/>
          <w:bottom w:w="28" w:type="dxa"/>
          <w:right w:w="28" w:type="dxa"/>
        </w:tblCellMar>
      </w:tblPr>
      <w:tblGrid>
        <w:gridCol w:w="3736"/>
        <w:gridCol w:w="146"/>
        <w:gridCol w:w="826"/>
        <w:gridCol w:w="146"/>
        <w:gridCol w:w="3316"/>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Voting 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AVLN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spacing w:before="120" w:after="283"/>
        <w:jc w:val="both"/>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8"/>
        </w:rPr>
        <w:t>No</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8"/>
        </w:rPr>
        <w:t>As of August 10, 2026, the registrant had 44,333,095</w:t>
      </w:r>
      <w:r>
        <w:rPr>
          <w:rFonts w:ascii="Times New Roman" w:hAnsi="Times New Roman"/>
          <w:color w:val="000000"/>
          <w:sz w:val="20"/>
        </w:rPr>
        <w:t xml:space="preserve"> </w:t>
      </w:r>
      <w:r>
        <w:rPr>
          <w:rFonts w:ascii="Times New Roman" w:hAnsi="Times New Roman"/>
          <w:color w:val="000000"/>
          <w:sz w:val="18"/>
        </w:rPr>
        <w:t>shares of voting common stock, $0.001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89"/>
        <w:gridCol w:w="8509"/>
        <w:gridCol w:w="607"/>
      </w:tblGrid>
      <w:tr>
        <w:trPr/>
        <w:tc>
          <w:tcPr>
            <w:tcW w:w="1089" w:type="dxa"/>
            <w:tcBorders/>
            <w:vAlign w:val="center"/>
          </w:tcPr>
          <w:p>
            <w:pPr>
              <w:pStyle w:val="TableContents"/>
              <w:bidi w:val="0"/>
              <w:spacing w:before="0" w:after="283"/>
              <w:jc w:val="left"/>
              <w:rPr>
                <w:sz w:val="4"/>
                <w:szCs w:val="4"/>
              </w:rPr>
            </w:pPr>
            <w:r>
              <w:rPr>
                <w:sz w:val="4"/>
                <w:szCs w:val="4"/>
              </w:rPr>
            </w:r>
          </w:p>
        </w:tc>
        <w:tc>
          <w:tcPr>
            <w:tcW w:w="85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b/>
                <w:color w:val="000000"/>
                <w:sz w:val="20"/>
              </w:rPr>
            </w:pPr>
            <w:r>
              <w:rPr>
                <w:rFonts w:ascii="Times New Roman" w:hAnsi="Times New Roman"/>
                <w:b/>
                <w:color w:val="000000"/>
                <w:sz w:val="20"/>
              </w:rPr>
              <w:t>PART I.</w:t>
            </w:r>
          </w:p>
        </w:tc>
        <w:tc>
          <w:tcPr>
            <w:tcW w:w="85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part_i_financial_information">
              <w:r>
                <w:rPr>
                  <w:rStyle w:val="InternetLink"/>
                  <w:rFonts w:ascii="Times New Roman" w:hAnsi="Times New Roman"/>
                  <w:color w:val="0000FF"/>
                  <w:sz w:val="20"/>
                  <w:u w:val="single"/>
                </w:rPr>
                <w:t>FINANCIAL INFORMATION</w:t>
              </w:r>
            </w:hyperlink>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1.</w:t>
            </w:r>
          </w:p>
        </w:tc>
        <w:tc>
          <w:tcPr>
            <w:tcW w:w="85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item_1_financial_statements">
              <w:r>
                <w:rPr>
                  <w:rStyle w:val="InternetLink"/>
                  <w:rFonts w:ascii="Times New Roman" w:hAnsi="Times New Roman"/>
                  <w:color w:val="0000FF"/>
                  <w:sz w:val="20"/>
                  <w:u w:val="single"/>
                </w:rPr>
                <w:t>Financial Statements (Unaudited)</w:t>
              </w:r>
            </w:hyperlink>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consolidated_balance_sheets">
              <w:r>
                <w:rPr>
                  <w:rStyle w:val="InternetLink"/>
                  <w:rFonts w:ascii="Times New Roman" w:hAnsi="Times New Roman"/>
                  <w:color w:val="0000FF"/>
                  <w:sz w:val="20"/>
                  <w:u w:val="single"/>
                </w:rPr>
                <w:t>Condensed Consolidated Balance Sheets</w:t>
              </w:r>
            </w:hyperlink>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consolidated_stmts_of_comp_loss">
              <w:r>
                <w:rPr>
                  <w:rStyle w:val="InternetLink"/>
                  <w:rFonts w:ascii="Times New Roman" w:hAnsi="Times New Roman"/>
                  <w:color w:val="0000FF"/>
                  <w:sz w:val="20"/>
                  <w:u w:val="single"/>
                </w:rPr>
                <w:t>Condensed Consolidated Statements of Comprehensive Income (Loss)</w:t>
              </w:r>
            </w:hyperlink>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consolidated_stmt_of_stockholder_deficit">
              <w:r>
                <w:rPr>
                  <w:rStyle w:val="InternetLink"/>
                  <w:rFonts w:ascii="Times New Roman" w:hAnsi="Times New Roman"/>
                  <w:color w:val="0000FF"/>
                  <w:sz w:val="20"/>
                  <w:u w:val="single"/>
                </w:rPr>
                <w:t>Condensed Consolidated Statements of Changes in Redeemable Convertible Preferred Stock and Stockholders' Deficit</w:t>
              </w:r>
            </w:hyperlink>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consolidated_stmts_of_cash_flows">
              <w:r>
                <w:rPr>
                  <w:rStyle w:val="InternetLink"/>
                  <w:rFonts w:ascii="Times New Roman" w:hAnsi="Times New Roman"/>
                  <w:color w:val="0000FF"/>
                  <w:sz w:val="20"/>
                  <w:u w:val="single"/>
                </w:rPr>
                <w:t>Condensed Consolidated Statements of Cash Flows</w:t>
              </w:r>
            </w:hyperlink>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notes_to_the_consolidated_fin_stmts">
              <w:r>
                <w:rPr>
                  <w:rStyle w:val="InternetLink"/>
                  <w:rFonts w:ascii="Times New Roman" w:hAnsi="Times New Roman"/>
                  <w:color w:val="0000FF"/>
                  <w:sz w:val="20"/>
                  <w:u w:val="single"/>
                </w:rPr>
                <w:t>Notes to Unaudited Condensed Consolidated Financial Statements</w:t>
              </w:r>
            </w:hyperlink>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2.</w:t>
            </w:r>
          </w:p>
        </w:tc>
        <w:tc>
          <w:tcPr>
            <w:tcW w:w="85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item_2_managements_discussion_and_analys">
              <w:r>
                <w:rPr>
                  <w:rStyle w:val="InternetLink"/>
                  <w:rFonts w:ascii="Times New Roman" w:hAnsi="Times New Roman"/>
                  <w:color w:val="0000FF"/>
                  <w:sz w:val="20"/>
                  <w:u w:val="single"/>
                </w:rPr>
                <w:t>Management’s Discussion and Analysis of Financial Condition and Results of Operations</w:t>
              </w:r>
            </w:hyperlink>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3.</w:t>
            </w:r>
          </w:p>
        </w:tc>
        <w:tc>
          <w:tcPr>
            <w:tcW w:w="85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item_3_quantitative_and_qualitative_dis">
              <w:r>
                <w:rPr>
                  <w:rStyle w:val="InternetLink"/>
                  <w:rFonts w:ascii="Times New Roman" w:hAnsi="Times New Roman"/>
                  <w:color w:val="0000FF"/>
                  <w:sz w:val="20"/>
                  <w:u w:val="single"/>
                </w:rPr>
                <w:t>Quantitative and Qualitative Disclosures About Market Risk</w:t>
              </w:r>
            </w:hyperlink>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4.</w:t>
            </w:r>
          </w:p>
        </w:tc>
        <w:tc>
          <w:tcPr>
            <w:tcW w:w="85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item_4_controls_and_procedures">
              <w:r>
                <w:rPr>
                  <w:rStyle w:val="InternetLink"/>
                  <w:rFonts w:ascii="Times New Roman" w:hAnsi="Times New Roman"/>
                  <w:color w:val="0000FF"/>
                  <w:sz w:val="20"/>
                  <w:u w:val="single"/>
                </w:rPr>
                <w:t>Controls and Procedures</w:t>
              </w:r>
            </w:hyperlink>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b/>
                <w:color w:val="000000"/>
                <w:sz w:val="20"/>
              </w:rPr>
            </w:pPr>
            <w:r>
              <w:rPr>
                <w:rFonts w:ascii="Times New Roman" w:hAnsi="Times New Roman"/>
                <w:b/>
                <w:color w:val="000000"/>
                <w:sz w:val="20"/>
              </w:rPr>
              <w:t>PART II.</w:t>
            </w:r>
          </w:p>
        </w:tc>
        <w:tc>
          <w:tcPr>
            <w:tcW w:w="85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part_ii_other_information">
              <w:r>
                <w:rPr>
                  <w:rStyle w:val="InternetLink"/>
                  <w:rFonts w:ascii="Times New Roman" w:hAnsi="Times New Roman"/>
                  <w:color w:val="0000FF"/>
                  <w:sz w:val="20"/>
                  <w:u w:val="single"/>
                </w:rPr>
                <w:t>OTHER INFORMATION</w:t>
              </w:r>
            </w:hyperlink>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1.</w:t>
            </w:r>
          </w:p>
        </w:tc>
        <w:tc>
          <w:tcPr>
            <w:tcW w:w="85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item_1_legal_proceedings">
              <w:r>
                <w:rPr>
                  <w:rStyle w:val="InternetLink"/>
                  <w:rFonts w:ascii="Times New Roman" w:hAnsi="Times New Roman"/>
                  <w:color w:val="0000FF"/>
                  <w:sz w:val="20"/>
                  <w:u w:val="single"/>
                </w:rPr>
                <w:t>Legal Proceedings</w:t>
              </w:r>
            </w:hyperlink>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1A.</w:t>
            </w:r>
          </w:p>
        </w:tc>
        <w:tc>
          <w:tcPr>
            <w:tcW w:w="85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item_1a_risk_factors">
              <w:r>
                <w:rPr>
                  <w:rStyle w:val="InternetLink"/>
                  <w:rFonts w:ascii="Times New Roman" w:hAnsi="Times New Roman"/>
                  <w:color w:val="0000FF"/>
                  <w:sz w:val="20"/>
                  <w:u w:val="single"/>
                </w:rPr>
                <w:t>Risk Factors</w:t>
              </w:r>
            </w:hyperlink>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2.</w:t>
            </w:r>
          </w:p>
        </w:tc>
        <w:tc>
          <w:tcPr>
            <w:tcW w:w="85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item_2_unregistered_sales_of_equity_sec">
              <w:r>
                <w:rPr>
                  <w:rStyle w:val="InternetLink"/>
                  <w:rFonts w:ascii="Times New Roman" w:hAnsi="Times New Roman"/>
                  <w:color w:val="0000FF"/>
                  <w:sz w:val="20"/>
                  <w:u w:val="single"/>
                </w:rPr>
                <w:t>Unregistered Sales of Equity Securities and Use of Proceeds</w:t>
              </w:r>
            </w:hyperlink>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3.</w:t>
            </w:r>
          </w:p>
        </w:tc>
        <w:tc>
          <w:tcPr>
            <w:tcW w:w="85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item_3_defaults_upon_senior_securities">
              <w:r>
                <w:rPr>
                  <w:rStyle w:val="InternetLink"/>
                  <w:rFonts w:ascii="Times New Roman" w:hAnsi="Times New Roman"/>
                  <w:color w:val="0000FF"/>
                  <w:sz w:val="20"/>
                  <w:u w:val="single"/>
                </w:rPr>
                <w:t>Defaults Upon Senior Securities</w:t>
              </w:r>
            </w:hyperlink>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4.</w:t>
            </w:r>
          </w:p>
        </w:tc>
        <w:tc>
          <w:tcPr>
            <w:tcW w:w="85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item4_mine_safety_disclosures">
              <w:r>
                <w:rPr>
                  <w:rStyle w:val="InternetLink"/>
                  <w:rFonts w:ascii="Times New Roman" w:hAnsi="Times New Roman"/>
                  <w:color w:val="0000FF"/>
                  <w:sz w:val="20"/>
                  <w:u w:val="single"/>
                </w:rPr>
                <w:t>Mine Safety Disclosures</w:t>
              </w:r>
            </w:hyperlink>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5.</w:t>
            </w:r>
          </w:p>
        </w:tc>
        <w:tc>
          <w:tcPr>
            <w:tcW w:w="85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item5_other_information">
              <w:r>
                <w:rPr>
                  <w:rStyle w:val="InternetLink"/>
                  <w:rFonts w:ascii="Times New Roman" w:hAnsi="Times New Roman"/>
                  <w:color w:val="0000FF"/>
                  <w:sz w:val="20"/>
                  <w:u w:val="single"/>
                </w:rPr>
                <w:t>Other Information</w:t>
              </w:r>
            </w:hyperlink>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108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6.</w:t>
            </w:r>
          </w:p>
        </w:tc>
        <w:tc>
          <w:tcPr>
            <w:tcW w:w="85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item_6_exhibits">
              <w:r>
                <w:rPr>
                  <w:rStyle w:val="InternetLink"/>
                  <w:rFonts w:ascii="Times New Roman" w:hAnsi="Times New Roman"/>
                  <w:color w:val="0000FF"/>
                  <w:sz w:val="20"/>
                  <w:u w:val="single"/>
                </w:rPr>
                <w:t>Exhibits</w:t>
              </w:r>
            </w:hyperlink>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91</w:t>
            </w:r>
          </w:p>
        </w:tc>
      </w:tr>
      <w:tr>
        <w:trPr/>
        <w:tc>
          <w:tcPr>
            <w:tcW w:w="9598"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45"/>
              <w:jc w:val="both"/>
              <w:rPr/>
            </w:pPr>
            <w:hyperlink w:anchor="signatures">
              <w:r>
                <w:rPr>
                  <w:rStyle w:val="InternetLink"/>
                  <w:rFonts w:ascii="Times New Roman" w:hAnsi="Times New Roman"/>
                  <w:color w:val="0000FF"/>
                  <w:sz w:val="20"/>
                  <w:u w:val="single"/>
                </w:rPr>
                <w:t>Signatures</w:t>
              </w:r>
            </w:hyperlink>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left"/>
        <w:rPr/>
      </w:pPr>
      <w:bookmarkStart w:id="2" w:name="special_note_regarding_frwdlooking_stat"/>
      <w:bookmarkEnd w:id="2"/>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This Quarterly Report on Form 10-Q, or this Quarterly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product candidates, planned preclinical studies and clinical trials, results of preclinical studies, clinical trials, research and development costs, regulatory approvals, commercial strategy,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w:t>
      </w:r>
    </w:p>
    <w:p>
      <w:pPr>
        <w:pStyle w:val="TextBody"/>
        <w:bidi w:val="0"/>
        <w:jc w:val="both"/>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initiation, timing, progress and results of our current and future research and development programs, preclinical studies and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successfully complete our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advance any product candidates that we may identify and successfully complete any clinical studies, including the manufacture of any such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quickly leverage programs within our target indications and to progress additional programs to further develop our pipeline;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prevalence of certain diseases and conditions we intend to treat and the size of the market opportunity for our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estimates of the number of patients with certain diseases and conditions we intend to treat and the number of patients that we will enroll in our clinical trials;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likelihood of our clinical trials demonstrating safety and efficacy of our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timing of our investigational new drug application, or IND, submissions;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implementation of our strategic plans for our business, programs and technology;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developments related to our competitors and our industry;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success of competing therapies that are or may become available;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leverage the clinical, regulatory, and manufacturing advancements to accelerate our clinical trials and approval of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meet future regulatory standards with respect to our product candidates, if approved;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ability to identify and enter into future license agreements and collaborations;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reliance on third parties to conduct clinical trials of our product candidates;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reliance on third parties for the manufacture of our product candidates and our device related thereto;</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regulatory developments in the United States and foreign countries;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commercialization, marketing and manufacturing capabilities;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expectations regarding the period during which we will qualify as an emerging growth company under the JOBS Act or a smaller reporting company;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attract and retain key scientific and management personnel;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anticipated cash runway, our financial performance, estimates of our expenses, capital requirements, and needs for additional financing.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“Risk Factors” and elsewhere in this Quarterly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Quarterly Report, whether as a result of any new information, future events or otherwise. Our forward-looking statements do not reflect the potential impact of any future acquisitions, mergers, dispositions, collaborations, joint ventures or investments that we may make or enter into.</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You should read this Quarterly Report and the documents that we reference in this Quarterly Report and have filed with the U.S. Securities and Exchange Commission, or the SEC, is a part with the understanding that our actual future results, levels of activity, performance and events and circumstances may be materially different from what we expect.</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SUMMARY OF THE MATERIAL RISKS ASSOCIATED WITH OUR BUSINESS</w:t>
      </w:r>
    </w:p>
    <w:p>
      <w:pPr>
        <w:pStyle w:val="TextBody"/>
        <w:bidi w:val="0"/>
        <w:spacing w:before="240" w:after="283"/>
        <w:jc w:val="left"/>
        <w:rPr>
          <w:rFonts w:ascii="Times New Roman" w:hAnsi="Times New Roman"/>
          <w:sz w:val="20"/>
        </w:rPr>
      </w:pPr>
      <w:r>
        <w:rPr>
          <w:rFonts w:ascii="Times New Roman" w:hAnsi="Times New Roman"/>
          <w:color w:val="000000"/>
          <w:sz w:val="20"/>
        </w:rPr>
        <w:t>Investment in our securities involves risk. You should carefully consider the following summary of what we believe to be the principal risks facing our business, in addition to the risks described more fully in Part II. Item 1A, “</w:t>
      </w:r>
      <w:r>
        <w:rPr>
          <w:rFonts w:ascii="Times New Roman" w:hAnsi="Times New Roman"/>
          <w:i/>
          <w:color w:val="000000"/>
          <w:sz w:val="20"/>
        </w:rPr>
        <w:t>Risk Factors</w:t>
      </w:r>
      <w:r>
        <w:rPr>
          <w:rFonts w:ascii="Times New Roman" w:hAnsi="Times New Roman"/>
          <w:color w:val="000000"/>
          <w:sz w:val="20"/>
        </w:rPr>
        <w:t>” in this Quarterly Report and other information included in this Quarterly Report. The risks and uncertainties described below are not the only risks and uncertainties we face. Additional risks and uncertainties not presently known to us or that we presently deem less significant may also impair our business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any of the following risks occurs, our business, financial condition and results of operations and future growth prospects could be materially and adversely affected, and the actual outcomes of matters as to which forward-looking statements are made in this report could be materially different from those anticipated in such forward-looking statements.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and have incurred significant operating losses since inception and anticipate that we will continue to incur significant operating losses for the foreseeable future. We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substantial additional funding. We may be unable to raise capital on acceptable terms, if at all, and, as a result, we may be required to delay, reduce, or eliminate our product development programs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substantially dependent on the success of our lead candidates, AP01 and AP02. If we are unable to advance such product candidates into later-stage clinical development or unable to obtain regulatory approval and commercialize a therapy for the treatment of pulmonary fibrosis, or PF,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early in our development efforts. If we are unable to successfully develop, receive regulatory approval for and commercialize any product candidate or successfully develop any other product candidate or experience significant delays in doing so, our business will be substantially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Targeting PF with inhaled formulations of antifibrotic therapies is novel, and we do not know whether we will be able to successfully develop any inhaled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yet completed all testing of any product candidate in clinical trials. Preclinical, interim, topline and preliminary results from our preclinical studies or clinical trials are not necessarily predictive of the results or analyses of such results of later clinical trials. If we cannot replicate the positive results from any preclinical studies or clinical trials of our current or potential future product candidates that have positive results, or if we suffer any other significant setbacks in our later clinical trials, we may be unable to successfully develop, obtain regulatory approval for and commercialize our current or potential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experience delays or difficulties in the enrollment and/or retention of patients in clinical trials, our clinical development activities could be delayed or otherwise adversely affected, and our receipt of necessary regulatory approvals could be delayed or prevented.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substantial competition and we may not be able to compete successfully in this environment.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for our product candidates may be smaller than we estimate.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clinical trials conducted at clinical trial sites outside the U.S. might not be accepted by the FDA, and data developed outside of a foreign jurisdiction similarly might not be accepted by such foreign regulatory authority.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on licensed intellectual property rights pursuant to the PARI License Agreement relating to the PARI eFlow® Technology and eRapid® Nebulizer System, and we may in the future enter into additional intellectual property licensing agreements on which we could similarly become dependent.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deliver AP01 and AP02 and our other product candidates via a drug delivery device that will have its own regulatory, development, supply and other risks. Where approval of the drug product and device is sought under a single application, the increased complexity of the review process may delay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patent protection for any products we develop and for our technology, or if the scope of the patent protection obtained is not sufficiently broad, our competitors or other third parties could develop and commercialize products and technology similar or identical to ours, and our ability to commercialize any product candidates we may develop, and our technology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any of our product candidates receive marketing approval, it may fail to achieve the degree of market acceptance by physicians, patients, third-party payors and others in the medical community necessary for commercial success.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encounter difficulties in managing our growth, which could disrupt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assist in conducting our clinical trials and preclinical studies, manufacture our product candidates and seek to establish collaborations on product development and commercialization plans.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AVALYN PHARMA INC.</w:t>
      </w:r>
    </w:p>
    <w:p>
      <w:pPr>
        <w:pStyle w:val="TextBody"/>
        <w:bidi w:val="0"/>
        <w:jc w:val="left"/>
        <w:rPr>
          <w:rFonts w:ascii="Times New Roman" w:hAnsi="Times New Roman"/>
          <w:b/>
          <w:color w:val="000000"/>
          <w:sz w:val="20"/>
        </w:rPr>
      </w:pPr>
      <w:bookmarkStart w:id="5" w:name="consolidated_balance_sheets"/>
      <w:bookmarkEnd w:id="5"/>
      <w:r>
        <w:rPr>
          <w:rFonts w:ascii="Times New Roman" w:hAnsi="Times New Roman"/>
          <w:b/>
          <w:color w:val="000000"/>
          <w:sz w:val="20"/>
        </w:rPr>
        <w:t>CONDENSED CONSOLIDATED BALANCE SHEETS</w:t>
      </w:r>
    </w:p>
    <w:p>
      <w:pPr>
        <w:pStyle w:val="TextBody"/>
        <w:bidi w:val="0"/>
        <w:jc w:val="left"/>
        <w:rPr>
          <w:rFonts w:ascii="Times New Roman" w:hAnsi="Times New Roman"/>
          <w:b/>
          <w:color w:val="000000"/>
          <w:sz w:val="20"/>
        </w:rPr>
      </w:pPr>
      <w:r>
        <w:rPr>
          <w:rFonts w:ascii="Times New Roman" w:hAnsi="Times New Roman"/>
          <w:b/>
          <w:color w:val="000000"/>
          <w:sz w:val="20"/>
        </w:rPr>
        <w:t>(In thousands, except share and per share amounts) (Unaudited)</w:t>
      </w:r>
    </w:p>
    <w:tbl>
      <w:tblPr>
        <w:tblW w:w="10205" w:type="dxa"/>
        <w:jc w:val="left"/>
        <w:tblInd w:w="0" w:type="dxa"/>
        <w:tblLayout w:type="fixed"/>
        <w:tblCellMar>
          <w:top w:w="28" w:type="dxa"/>
          <w:left w:w="28" w:type="dxa"/>
          <w:bottom w:w="28" w:type="dxa"/>
          <w:right w:w="28" w:type="dxa"/>
        </w:tblCellMar>
      </w:tblPr>
      <w:tblGrid>
        <w:gridCol w:w="7286"/>
        <w:gridCol w:w="146"/>
        <w:gridCol w:w="181"/>
        <w:gridCol w:w="646"/>
        <w:gridCol w:w="151"/>
        <w:gridCol w:w="146"/>
        <w:gridCol w:w="187"/>
        <w:gridCol w:w="670"/>
        <w:gridCol w:w="792"/>
      </w:tblGrid>
      <w:tr>
        <w:trPr/>
        <w:tc>
          <w:tcPr>
            <w:tcW w:w="7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June 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264,197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52,315</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Marketable securities,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88,228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86,044</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5,563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5,201</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357,988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143,560</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792</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1,530</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Marketable securities,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61,103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3,011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2,999</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67,460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5,321</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425,448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148,881</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LIABILITIES, REDEEMABLE CONVERTIBLE PREFERRED STOCK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3,758</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9,889</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444</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10,809</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7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14,091</w:t>
            </w:r>
          </w:p>
        </w:tc>
        <w:tc>
          <w:tcPr>
            <w:tcW w:w="79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14,801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Operating lease liability,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1,225</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27,102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15,316</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COMMITMENTS AND CONTINGENCIES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5"/>
              </w:rPr>
              <w:t>Series A redeemable convertible preferred stock, $0.001</w:t>
            </w:r>
            <w:r>
              <w:rPr>
                <w:rFonts w:ascii="Times New Roman" w:hAnsi="Times New Roman"/>
                <w:color w:val="000000"/>
                <w:sz w:val="20"/>
              </w:rPr>
              <w:t> </w:t>
            </w:r>
            <w:r>
              <w:rPr>
                <w:rFonts w:ascii="Times New Roman" w:hAnsi="Times New Roman"/>
                <w:color w:val="000000"/>
                <w:sz w:val="15"/>
              </w:rPr>
              <w:t>par value; no</w:t>
            </w:r>
            <w:r>
              <w:rPr>
                <w:rFonts w:ascii="Times New Roman" w:hAnsi="Times New Roman"/>
                <w:color w:val="000000"/>
                <w:sz w:val="20"/>
              </w:rPr>
              <w:t> </w:t>
            </w:r>
            <w:r>
              <w:rPr>
                <w:rFonts w:ascii="Times New Roman" w:hAnsi="Times New Roman"/>
                <w:color w:val="000000"/>
                <w:sz w:val="15"/>
              </w:rPr>
              <w:t>shares and 51,213,004</w:t>
            </w:r>
            <w:r>
              <w:rPr>
                <w:rFonts w:ascii="Times New Roman" w:hAnsi="Times New Roman"/>
                <w:color w:val="000000"/>
                <w:sz w:val="20"/>
              </w:rPr>
              <w:t> </w:t>
            </w:r>
            <w:r>
              <w:rPr>
                <w:rFonts w:ascii="Times New Roman" w:hAnsi="Times New Roman"/>
                <w:color w:val="000000"/>
                <w:sz w:val="15"/>
              </w:rPr>
              <w:t>shares authorized as of June 30, 2026 and December 31, 2025, respectively; no</w:t>
            </w:r>
            <w:r>
              <w:rPr>
                <w:rFonts w:ascii="Times New Roman" w:hAnsi="Times New Roman"/>
                <w:color w:val="000000"/>
                <w:sz w:val="20"/>
              </w:rPr>
              <w:t> </w:t>
            </w:r>
            <w:r>
              <w:rPr>
                <w:rFonts w:ascii="Times New Roman" w:hAnsi="Times New Roman"/>
                <w:color w:val="000000"/>
                <w:sz w:val="15"/>
              </w:rPr>
              <w:t>shares and 49,651,129</w:t>
            </w:r>
            <w:r>
              <w:rPr>
                <w:rFonts w:ascii="Times New Roman" w:hAnsi="Times New Roman"/>
                <w:color w:val="000000"/>
                <w:sz w:val="20"/>
              </w:rPr>
              <w:t> </w:t>
            </w:r>
            <w:r>
              <w:rPr>
                <w:rFonts w:ascii="Times New Roman" w:hAnsi="Times New Roman"/>
                <w:color w:val="000000"/>
                <w:sz w:val="15"/>
              </w:rPr>
              <w:t>shares issued and outstanding as of June 30, 2026 and December 31, 2025, respectively; liquidation preference of $0</w:t>
            </w:r>
            <w:r>
              <w:rPr>
                <w:rFonts w:ascii="Times New Roman" w:hAnsi="Times New Roman"/>
                <w:color w:val="000000"/>
                <w:sz w:val="20"/>
              </w:rPr>
              <w:t> </w:t>
            </w:r>
            <w:r>
              <w:rPr>
                <w:rFonts w:ascii="Times New Roman" w:hAnsi="Times New Roman"/>
                <w:color w:val="000000"/>
                <w:sz w:val="15"/>
              </w:rPr>
              <w:t>and $49,651</w:t>
            </w:r>
            <w:r>
              <w:rPr>
                <w:rFonts w:ascii="Times New Roman" w:hAnsi="Times New Roman"/>
                <w:color w:val="000000"/>
                <w:sz w:val="20"/>
              </w:rPr>
              <w:t> </w:t>
            </w:r>
            <w:r>
              <w:rPr>
                <w:rFonts w:ascii="Times New Roman" w:hAnsi="Times New Roman"/>
                <w:color w:val="000000"/>
                <w:sz w:val="15"/>
              </w:rPr>
              <w:t>as of June 30, 2026 and December 31, 2025, net of issuance costs of $475,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49,176</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5"/>
              </w:rPr>
              <w:t>Series B redeemable convertible preferred stock, $0.001</w:t>
            </w:r>
            <w:r>
              <w:rPr>
                <w:rFonts w:ascii="Times New Roman" w:hAnsi="Times New Roman"/>
                <w:color w:val="000000"/>
                <w:sz w:val="20"/>
              </w:rPr>
              <w:t> </w:t>
            </w:r>
            <w:r>
              <w:rPr>
                <w:rFonts w:ascii="Times New Roman" w:hAnsi="Times New Roman"/>
                <w:color w:val="000000"/>
                <w:sz w:val="15"/>
              </w:rPr>
              <w:t>par value; no</w:t>
            </w:r>
            <w:r>
              <w:rPr>
                <w:rFonts w:ascii="Times New Roman" w:hAnsi="Times New Roman"/>
                <w:color w:val="000000"/>
                <w:sz w:val="20"/>
              </w:rPr>
              <w:t> </w:t>
            </w:r>
            <w:r>
              <w:rPr>
                <w:rFonts w:ascii="Times New Roman" w:hAnsi="Times New Roman"/>
                <w:color w:val="000000"/>
                <w:sz w:val="15"/>
              </w:rPr>
              <w:t>shares and 25,210,789</w:t>
            </w:r>
            <w:r>
              <w:rPr>
                <w:rFonts w:ascii="Times New Roman" w:hAnsi="Times New Roman"/>
                <w:color w:val="000000"/>
                <w:sz w:val="20"/>
              </w:rPr>
              <w:t> </w:t>
            </w:r>
            <w:r>
              <w:rPr>
                <w:rFonts w:ascii="Times New Roman" w:hAnsi="Times New Roman"/>
                <w:color w:val="000000"/>
                <w:sz w:val="15"/>
              </w:rPr>
              <w:t>shares authorized as of June 30, 2026 and December 31, 2025, respectively; no</w:t>
            </w:r>
            <w:r>
              <w:rPr>
                <w:rFonts w:ascii="Times New Roman" w:hAnsi="Times New Roman"/>
                <w:color w:val="000000"/>
                <w:sz w:val="20"/>
              </w:rPr>
              <w:t> </w:t>
            </w:r>
            <w:r>
              <w:rPr>
                <w:rFonts w:ascii="Times New Roman" w:hAnsi="Times New Roman"/>
                <w:color w:val="000000"/>
                <w:sz w:val="15"/>
              </w:rPr>
              <w:t>shares and 25,208,502</w:t>
            </w:r>
            <w:r>
              <w:rPr>
                <w:rFonts w:ascii="Times New Roman" w:hAnsi="Times New Roman"/>
                <w:color w:val="000000"/>
                <w:sz w:val="20"/>
              </w:rPr>
              <w:t> </w:t>
            </w:r>
            <w:r>
              <w:rPr>
                <w:rFonts w:ascii="Times New Roman" w:hAnsi="Times New Roman"/>
                <w:color w:val="000000"/>
                <w:sz w:val="15"/>
              </w:rPr>
              <w:t>shares issued and outstanding as of June 30, 2026 and December 31, 2025, respectively; liquidation preference of $0</w:t>
            </w:r>
            <w:r>
              <w:rPr>
                <w:rFonts w:ascii="Times New Roman" w:hAnsi="Times New Roman"/>
                <w:color w:val="000000"/>
                <w:sz w:val="20"/>
              </w:rPr>
              <w:t> </w:t>
            </w:r>
            <w:r>
              <w:rPr>
                <w:rFonts w:ascii="Times New Roman" w:hAnsi="Times New Roman"/>
                <w:color w:val="000000"/>
                <w:sz w:val="15"/>
              </w:rPr>
              <w:t>and $35,693</w:t>
            </w:r>
            <w:r>
              <w:rPr>
                <w:rFonts w:ascii="Times New Roman" w:hAnsi="Times New Roman"/>
                <w:color w:val="000000"/>
                <w:sz w:val="20"/>
              </w:rPr>
              <w:t> </w:t>
            </w:r>
            <w:r>
              <w:rPr>
                <w:rFonts w:ascii="Times New Roman" w:hAnsi="Times New Roman"/>
                <w:color w:val="000000"/>
                <w:sz w:val="15"/>
              </w:rPr>
              <w:t>as of June 30, 2026 and December 31, 2025, net of issuance costs of $317,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35,376</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5"/>
              </w:rPr>
              <w:t>Series C-1 redeemable convertible preferred stock, $0.001</w:t>
            </w:r>
            <w:r>
              <w:rPr>
                <w:rFonts w:ascii="Times New Roman" w:hAnsi="Times New Roman"/>
                <w:color w:val="000000"/>
                <w:sz w:val="20"/>
              </w:rPr>
              <w:t> </w:t>
            </w:r>
            <w:r>
              <w:rPr>
                <w:rFonts w:ascii="Times New Roman" w:hAnsi="Times New Roman"/>
                <w:color w:val="000000"/>
                <w:sz w:val="15"/>
              </w:rPr>
              <w:t>par value; no</w:t>
            </w:r>
            <w:r>
              <w:rPr>
                <w:rFonts w:ascii="Times New Roman" w:hAnsi="Times New Roman"/>
                <w:color w:val="000000"/>
                <w:sz w:val="20"/>
              </w:rPr>
              <w:t> </w:t>
            </w:r>
            <w:r>
              <w:rPr>
                <w:rFonts w:ascii="Times New Roman" w:hAnsi="Times New Roman"/>
                <w:color w:val="000000"/>
                <w:sz w:val="15"/>
              </w:rPr>
              <w:t>shares and 239,092,424</w:t>
            </w:r>
            <w:r>
              <w:rPr>
                <w:rFonts w:ascii="Times New Roman" w:hAnsi="Times New Roman"/>
                <w:color w:val="000000"/>
                <w:sz w:val="20"/>
              </w:rPr>
              <w:t> </w:t>
            </w:r>
            <w:r>
              <w:rPr>
                <w:rFonts w:ascii="Times New Roman" w:hAnsi="Times New Roman"/>
                <w:color w:val="000000"/>
                <w:sz w:val="15"/>
              </w:rPr>
              <w:t>shares authorized as of June 30, 2026 and December 31, 2025, respectively; no</w:t>
            </w:r>
            <w:r>
              <w:rPr>
                <w:rFonts w:ascii="Times New Roman" w:hAnsi="Times New Roman"/>
                <w:color w:val="000000"/>
                <w:sz w:val="20"/>
              </w:rPr>
              <w:t> </w:t>
            </w:r>
            <w:r>
              <w:rPr>
                <w:rFonts w:ascii="Times New Roman" w:hAnsi="Times New Roman"/>
                <w:color w:val="000000"/>
                <w:sz w:val="15"/>
              </w:rPr>
              <w:t>shares and 239,016,017</w:t>
            </w:r>
            <w:r>
              <w:rPr>
                <w:rFonts w:ascii="Times New Roman" w:hAnsi="Times New Roman"/>
                <w:color w:val="000000"/>
                <w:sz w:val="20"/>
              </w:rPr>
              <w:t> </w:t>
            </w:r>
            <w:r>
              <w:rPr>
                <w:rFonts w:ascii="Times New Roman" w:hAnsi="Times New Roman"/>
                <w:color w:val="000000"/>
                <w:sz w:val="15"/>
              </w:rPr>
              <w:t>shares issued and outstanding as of June 30, 2026 and December 31, 2025, respectively; liquidation preference of $0</w:t>
            </w:r>
            <w:r>
              <w:rPr>
                <w:rFonts w:ascii="Times New Roman" w:hAnsi="Times New Roman"/>
                <w:color w:val="000000"/>
                <w:sz w:val="20"/>
              </w:rPr>
              <w:t> </w:t>
            </w:r>
            <w:r>
              <w:rPr>
                <w:rFonts w:ascii="Times New Roman" w:hAnsi="Times New Roman"/>
                <w:color w:val="000000"/>
                <w:sz w:val="15"/>
              </w:rPr>
              <w:t>and $175,041</w:t>
            </w:r>
            <w:r>
              <w:rPr>
                <w:rFonts w:ascii="Times New Roman" w:hAnsi="Times New Roman"/>
                <w:color w:val="000000"/>
                <w:sz w:val="20"/>
              </w:rPr>
              <w:t> </w:t>
            </w:r>
            <w:r>
              <w:rPr>
                <w:rFonts w:ascii="Times New Roman" w:hAnsi="Times New Roman"/>
                <w:color w:val="000000"/>
                <w:sz w:val="15"/>
              </w:rPr>
              <w:t>as of June 30, 2026 and December 31, 2025, net of issuance costs of $547,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174,494</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5"/>
              </w:rPr>
              <w:t>Series C-2 redeemable convertible preferred stock, $0.001</w:t>
            </w:r>
            <w:r>
              <w:rPr>
                <w:rFonts w:ascii="Times New Roman" w:hAnsi="Times New Roman"/>
                <w:color w:val="000000"/>
                <w:sz w:val="20"/>
              </w:rPr>
              <w:t> </w:t>
            </w:r>
            <w:r>
              <w:rPr>
                <w:rFonts w:ascii="Times New Roman" w:hAnsi="Times New Roman"/>
                <w:color w:val="000000"/>
                <w:sz w:val="15"/>
              </w:rPr>
              <w:t>par value; no</w:t>
            </w:r>
            <w:r>
              <w:rPr>
                <w:rFonts w:ascii="Times New Roman" w:hAnsi="Times New Roman"/>
                <w:color w:val="000000"/>
                <w:sz w:val="20"/>
              </w:rPr>
              <w:t> </w:t>
            </w:r>
            <w:r>
              <w:rPr>
                <w:rFonts w:ascii="Times New Roman" w:hAnsi="Times New Roman"/>
                <w:color w:val="000000"/>
                <w:sz w:val="15"/>
              </w:rPr>
              <w:t>shares and 20,316,359</w:t>
            </w:r>
            <w:r>
              <w:rPr>
                <w:rFonts w:ascii="Times New Roman" w:hAnsi="Times New Roman"/>
                <w:color w:val="000000"/>
                <w:sz w:val="20"/>
              </w:rPr>
              <w:t> </w:t>
            </w:r>
            <w:r>
              <w:rPr>
                <w:rFonts w:ascii="Times New Roman" w:hAnsi="Times New Roman"/>
                <w:color w:val="000000"/>
                <w:sz w:val="15"/>
              </w:rPr>
              <w:t>shares authorized as of June 30, 2026 and December 31, 2025, respectively; no</w:t>
            </w:r>
            <w:r>
              <w:rPr>
                <w:rFonts w:ascii="Times New Roman" w:hAnsi="Times New Roman"/>
                <w:color w:val="000000"/>
                <w:sz w:val="20"/>
              </w:rPr>
              <w:t> </w:t>
            </w:r>
            <w:r>
              <w:rPr>
                <w:rFonts w:ascii="Times New Roman" w:hAnsi="Times New Roman"/>
                <w:color w:val="000000"/>
                <w:sz w:val="15"/>
              </w:rPr>
              <w:t>shares and 20,316,359</w:t>
            </w:r>
            <w:r>
              <w:rPr>
                <w:rFonts w:ascii="Times New Roman" w:hAnsi="Times New Roman"/>
                <w:color w:val="000000"/>
                <w:sz w:val="20"/>
              </w:rPr>
              <w:t> </w:t>
            </w:r>
            <w:r>
              <w:rPr>
                <w:rFonts w:ascii="Times New Roman" w:hAnsi="Times New Roman"/>
                <w:color w:val="000000"/>
                <w:sz w:val="15"/>
              </w:rPr>
              <w:t>shares issued and outstanding as of June 30, 2026 and December 31, 2025, respectively; liquidation preference of $0</w:t>
            </w:r>
            <w:r>
              <w:rPr>
                <w:rFonts w:ascii="Times New Roman" w:hAnsi="Times New Roman"/>
                <w:color w:val="000000"/>
                <w:sz w:val="20"/>
              </w:rPr>
              <w:t> </w:t>
            </w:r>
            <w:r>
              <w:rPr>
                <w:rFonts w:ascii="Times New Roman" w:hAnsi="Times New Roman"/>
                <w:color w:val="000000"/>
                <w:sz w:val="15"/>
              </w:rPr>
              <w:t>and $11,903</w:t>
            </w:r>
            <w:r>
              <w:rPr>
                <w:rFonts w:ascii="Times New Roman" w:hAnsi="Times New Roman"/>
                <w:color w:val="000000"/>
                <w:sz w:val="20"/>
              </w:rPr>
              <w:t> </w:t>
            </w:r>
            <w:r>
              <w:rPr>
                <w:rFonts w:ascii="Times New Roman" w:hAnsi="Times New Roman"/>
                <w:color w:val="000000"/>
                <w:sz w:val="15"/>
              </w:rPr>
              <w:t>as of June 30, 2026 and December 31, 2025, net of issuance costs of $49,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13,406</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5"/>
              </w:rPr>
              <w:t>Series D redeemable convertible preferred stock, $0.001</w:t>
            </w:r>
            <w:r>
              <w:rPr>
                <w:rFonts w:ascii="Times New Roman" w:hAnsi="Times New Roman"/>
                <w:color w:val="000000"/>
                <w:sz w:val="20"/>
              </w:rPr>
              <w:t> </w:t>
            </w:r>
            <w:r>
              <w:rPr>
                <w:rFonts w:ascii="Times New Roman" w:hAnsi="Times New Roman"/>
                <w:color w:val="000000"/>
                <w:sz w:val="15"/>
              </w:rPr>
              <w:t>par value; no</w:t>
            </w:r>
            <w:r>
              <w:rPr>
                <w:rFonts w:ascii="Times New Roman" w:hAnsi="Times New Roman"/>
                <w:color w:val="000000"/>
                <w:sz w:val="20"/>
              </w:rPr>
              <w:t> </w:t>
            </w:r>
            <w:r>
              <w:rPr>
                <w:rFonts w:ascii="Times New Roman" w:hAnsi="Times New Roman"/>
                <w:color w:val="000000"/>
                <w:sz w:val="15"/>
              </w:rPr>
              <w:t>shares and 126,346,412</w:t>
            </w:r>
            <w:r>
              <w:rPr>
                <w:rFonts w:ascii="Times New Roman" w:hAnsi="Times New Roman"/>
                <w:color w:val="000000"/>
                <w:sz w:val="20"/>
              </w:rPr>
              <w:t> </w:t>
            </w:r>
            <w:r>
              <w:rPr>
                <w:rFonts w:ascii="Times New Roman" w:hAnsi="Times New Roman"/>
                <w:color w:val="000000"/>
                <w:sz w:val="15"/>
              </w:rPr>
              <w:t>authorized as of June 30, 2026 and December 31, 2025, respectively; no</w:t>
            </w:r>
            <w:r>
              <w:rPr>
                <w:rFonts w:ascii="Times New Roman" w:hAnsi="Times New Roman"/>
                <w:color w:val="000000"/>
                <w:sz w:val="20"/>
              </w:rPr>
              <w:t> </w:t>
            </w:r>
            <w:r>
              <w:rPr>
                <w:rFonts w:ascii="Times New Roman" w:hAnsi="Times New Roman"/>
                <w:color w:val="000000"/>
                <w:sz w:val="15"/>
              </w:rPr>
              <w:t>shares and 126,036,334</w:t>
            </w:r>
            <w:r>
              <w:rPr>
                <w:rFonts w:ascii="Times New Roman" w:hAnsi="Times New Roman"/>
                <w:color w:val="000000"/>
                <w:sz w:val="20"/>
              </w:rPr>
              <w:t> </w:t>
            </w:r>
            <w:r>
              <w:rPr>
                <w:rFonts w:ascii="Times New Roman" w:hAnsi="Times New Roman"/>
                <w:color w:val="000000"/>
                <w:sz w:val="15"/>
              </w:rPr>
              <w:t>shares issued and outstanding as of June 30, 2026 and December 31, 2025, respectively; liquidation preference of $0</w:t>
            </w:r>
            <w:r>
              <w:rPr>
                <w:rFonts w:ascii="Times New Roman" w:hAnsi="Times New Roman"/>
                <w:color w:val="000000"/>
                <w:sz w:val="20"/>
              </w:rPr>
              <w:t> </w:t>
            </w:r>
            <w:r>
              <w:rPr>
                <w:rFonts w:ascii="Times New Roman" w:hAnsi="Times New Roman"/>
                <w:color w:val="000000"/>
                <w:sz w:val="15"/>
              </w:rPr>
              <w:t>and $100,363</w:t>
            </w:r>
            <w:r>
              <w:rPr>
                <w:rFonts w:ascii="Times New Roman" w:hAnsi="Times New Roman"/>
                <w:color w:val="000000"/>
                <w:sz w:val="20"/>
              </w:rPr>
              <w:t> </w:t>
            </w:r>
            <w:r>
              <w:rPr>
                <w:rFonts w:ascii="Times New Roman" w:hAnsi="Times New Roman"/>
                <w:color w:val="000000"/>
                <w:sz w:val="15"/>
              </w:rPr>
              <w:t>as of June 30, 2026 and December 31, 2025, net of issuance costs of $594,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99,769</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5"/>
              </w:rPr>
              <w:t>Preferred stock, $0.001</w:t>
            </w:r>
            <w:r>
              <w:rPr>
                <w:rFonts w:ascii="Times New Roman" w:hAnsi="Times New Roman"/>
                <w:color w:val="000000"/>
                <w:sz w:val="20"/>
              </w:rPr>
              <w:t> </w:t>
            </w:r>
            <w:r>
              <w:rPr>
                <w:rFonts w:ascii="Times New Roman" w:hAnsi="Times New Roman"/>
                <w:color w:val="000000"/>
                <w:sz w:val="15"/>
              </w:rPr>
              <w:t>par value; 10,000,000</w:t>
            </w:r>
            <w:r>
              <w:rPr>
                <w:rFonts w:ascii="Times New Roman" w:hAnsi="Times New Roman"/>
                <w:color w:val="000000"/>
                <w:sz w:val="20"/>
              </w:rPr>
              <w:t> </w:t>
            </w:r>
            <w:r>
              <w:rPr>
                <w:rFonts w:ascii="Times New Roman" w:hAnsi="Times New Roman"/>
                <w:color w:val="000000"/>
                <w:sz w:val="15"/>
              </w:rPr>
              <w:t>shares and no</w:t>
            </w:r>
            <w:r>
              <w:rPr>
                <w:rFonts w:ascii="Times New Roman" w:hAnsi="Times New Roman"/>
                <w:color w:val="000000"/>
                <w:sz w:val="20"/>
              </w:rPr>
              <w:t> </w:t>
            </w:r>
            <w:r>
              <w:rPr>
                <w:rFonts w:ascii="Times New Roman" w:hAnsi="Times New Roman"/>
                <w:color w:val="000000"/>
                <w:sz w:val="15"/>
              </w:rPr>
              <w:t>shares authorized as of June 30, 2026 and December 31, 2025, respectively; no</w:t>
            </w:r>
            <w:r>
              <w:rPr>
                <w:rFonts w:ascii="Times New Roman" w:hAnsi="Times New Roman"/>
                <w:color w:val="000000"/>
                <w:sz w:val="20"/>
              </w:rPr>
              <w:t> </w:t>
            </w:r>
            <w:r>
              <w:rPr>
                <w:rFonts w:ascii="Times New Roman" w:hAnsi="Times New Roman"/>
                <w:color w:val="000000"/>
                <w:sz w:val="15"/>
              </w:rPr>
              <w:t>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5"/>
              </w:rPr>
              <w:t>Common stock, $0.001</w:t>
            </w:r>
            <w:r>
              <w:rPr>
                <w:rFonts w:ascii="Times New Roman" w:hAnsi="Times New Roman"/>
                <w:color w:val="000000"/>
                <w:sz w:val="20"/>
              </w:rPr>
              <w:t> </w:t>
            </w:r>
            <w:r>
              <w:rPr>
                <w:rFonts w:ascii="Times New Roman" w:hAnsi="Times New Roman"/>
                <w:color w:val="000000"/>
                <w:sz w:val="15"/>
              </w:rPr>
              <w:t>par value; 700,000,000</w:t>
            </w:r>
            <w:r>
              <w:rPr>
                <w:rFonts w:ascii="Times New Roman" w:hAnsi="Times New Roman"/>
                <w:color w:val="000000"/>
                <w:sz w:val="20"/>
              </w:rPr>
              <w:t> </w:t>
            </w:r>
            <w:r>
              <w:rPr>
                <w:rFonts w:ascii="Times New Roman" w:hAnsi="Times New Roman"/>
                <w:color w:val="000000"/>
                <w:sz w:val="15"/>
              </w:rPr>
              <w:t>and 575,000,000</w:t>
            </w:r>
            <w:r>
              <w:rPr>
                <w:rFonts w:ascii="Times New Roman" w:hAnsi="Times New Roman"/>
                <w:color w:val="000000"/>
                <w:sz w:val="20"/>
              </w:rPr>
              <w:t> </w:t>
            </w:r>
            <w:r>
              <w:rPr>
                <w:rFonts w:ascii="Times New Roman" w:hAnsi="Times New Roman"/>
                <w:color w:val="000000"/>
                <w:sz w:val="15"/>
              </w:rPr>
              <w:t>shares authorized as of June 30, 2026 and December 31, 2025, respectively; 44,333,094</w:t>
            </w:r>
            <w:r>
              <w:rPr>
                <w:rFonts w:ascii="Times New Roman" w:hAnsi="Times New Roman"/>
                <w:color w:val="000000"/>
                <w:sz w:val="20"/>
              </w:rPr>
              <w:t> </w:t>
            </w:r>
            <w:r>
              <w:rPr>
                <w:rFonts w:ascii="Times New Roman" w:hAnsi="Times New Roman"/>
                <w:color w:val="000000"/>
                <w:sz w:val="15"/>
              </w:rPr>
              <w:t>and 1,227,186</w:t>
            </w:r>
            <w:r>
              <w:rPr>
                <w:rFonts w:ascii="Times New Roman" w:hAnsi="Times New Roman"/>
                <w:color w:val="000000"/>
                <w:sz w:val="20"/>
              </w:rPr>
              <w:t> </w:t>
            </w:r>
            <w:r>
              <w:rPr>
                <w:rFonts w:ascii="Times New Roman" w:hAnsi="Times New Roman"/>
                <w:color w:val="000000"/>
                <w:sz w:val="15"/>
              </w:rPr>
              <w:t>shares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719,541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26,548</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(321,167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(265,362</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72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Total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398,346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(238,656</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7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 LIABILITIES, REDEEMABLE CONVERTIBLE PREFERRED STOCK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425,448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148,881</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AVALYN PHARMA INC.</w:t>
      </w:r>
    </w:p>
    <w:p>
      <w:pPr>
        <w:pStyle w:val="TextBody"/>
        <w:bidi w:val="0"/>
        <w:jc w:val="left"/>
        <w:rPr>
          <w:rFonts w:ascii="Times New Roman" w:hAnsi="Times New Roman"/>
          <w:sz w:val="20"/>
        </w:rPr>
      </w:pPr>
      <w:bookmarkStart w:id="6" w:name="consolidated_stmts_of_comp_loss"/>
      <w:bookmarkEnd w:id="6"/>
      <w:r>
        <w:rPr>
          <w:rFonts w:ascii="Times New Roman" w:hAnsi="Times New Roman"/>
          <w:b/>
          <w:color w:val="000000"/>
          <w:sz w:val="20"/>
        </w:rPr>
        <w:t>CONDENSED CONSOLIDATED STATEMENTS OF COMPREHENSIVE LOSS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(In thousands, except share and per share amounts)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84"/>
        <w:gridCol w:w="146"/>
        <w:gridCol w:w="211"/>
        <w:gridCol w:w="1036"/>
        <w:gridCol w:w="566"/>
        <w:gridCol w:w="546"/>
        <w:gridCol w:w="211"/>
        <w:gridCol w:w="931"/>
        <w:gridCol w:w="166"/>
        <w:gridCol w:w="146"/>
        <w:gridCol w:w="211"/>
        <w:gridCol w:w="1036"/>
        <w:gridCol w:w="566"/>
        <w:gridCol w:w="546"/>
        <w:gridCol w:w="211"/>
        <w:gridCol w:w="781"/>
        <w:gridCol w:w="611"/>
      </w:tblGrid>
      <w:tr>
        <w:trPr/>
        <w:tc>
          <w:tcPr>
            <w:tcW w:w="2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24,729</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47,618</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6,561</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11,581</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31,290</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59,199</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(31,290</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(59,199</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3,821</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(28,935</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(55,804</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(28,935</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(55,804</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gains (losses)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(29,042</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(56,033</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2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number of common stock used in net</w:t>
              <w:br/>
              <w: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29,650,660</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1,145,309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15,519,187</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713,450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AVALYN PHARMA INC.</w:t>
      </w:r>
    </w:p>
    <w:p>
      <w:pPr>
        <w:pStyle w:val="TextBody"/>
        <w:bidi w:val="0"/>
        <w:jc w:val="left"/>
        <w:rPr>
          <w:rFonts w:ascii="Times New Roman" w:hAnsi="Times New Roman"/>
          <w:b/>
          <w:color w:val="000000"/>
          <w:sz w:val="20"/>
        </w:rPr>
      </w:pPr>
      <w:bookmarkStart w:id="7" w:name="consolidated_stmt_of_stockholder_deficit"/>
      <w:bookmarkEnd w:id="7"/>
      <w:r>
        <w:rPr>
          <w:rFonts w:ascii="Times New Roman" w:hAnsi="Times New Roman"/>
          <w:b/>
          <w:color w:val="000000"/>
          <w:sz w:val="20"/>
        </w:rPr>
        <w:t>CONDENSED CONSOLIDATED STATEMENTS OF CHANGES IN REDEEMABLE CONVERTIBLE PREFERRED STOCK AND STOCKHOLDERS' EQUITY (DEFICIT)</w:t>
      </w:r>
    </w:p>
    <w:p>
      <w:pPr>
        <w:pStyle w:val="TextBody"/>
        <w:bidi w:val="0"/>
        <w:jc w:val="left"/>
        <w:rPr>
          <w:rFonts w:ascii="Times New Roman" w:hAnsi="Times New Roman"/>
          <w:b/>
          <w:color w:val="000000"/>
          <w:sz w:val="20"/>
        </w:rPr>
      </w:pPr>
      <w:r>
        <w:rPr>
          <w:rFonts w:ascii="Times New Roman" w:hAnsi="Times New Roman"/>
          <w:b/>
          <w:color w:val="000000"/>
          <w:sz w:val="20"/>
        </w:rPr>
        <w:t>(In thousands, except share amounts) (Unaudited)</w:t>
      </w:r>
    </w:p>
    <w:p>
      <w:pPr>
        <w:pStyle w:val="TextBody"/>
        <w:bidi w:val="0"/>
        <w:jc w:val="left"/>
        <w:rPr/>
      </w:pPr>
      <w:r>
        <w:rPr/>
        <w:t> </w:t>
      </w:r>
    </w:p>
    <w:tbl>
      <w:tblPr>
        <w:tblW w:w="15667" w:type="dxa"/>
        <w:jc w:val="left"/>
        <w:tblInd w:w="0" w:type="dxa"/>
        <w:tblLayout w:type="fixed"/>
        <w:tblCellMar>
          <w:top w:w="28" w:type="dxa"/>
          <w:left w:w="28" w:type="dxa"/>
          <w:bottom w:w="28" w:type="dxa"/>
          <w:right w:w="28" w:type="dxa"/>
        </w:tblCellMar>
      </w:tblPr>
      <w:tblGrid>
        <w:gridCol w:w="871"/>
        <w:gridCol w:w="146"/>
        <w:gridCol w:w="146"/>
        <w:gridCol w:w="691"/>
        <w:gridCol w:w="151"/>
        <w:gridCol w:w="166"/>
        <w:gridCol w:w="481"/>
        <w:gridCol w:w="151"/>
        <w:gridCol w:w="146"/>
        <w:gridCol w:w="691"/>
        <w:gridCol w:w="151"/>
        <w:gridCol w:w="166"/>
        <w:gridCol w:w="481"/>
        <w:gridCol w:w="151"/>
        <w:gridCol w:w="146"/>
        <w:gridCol w:w="751"/>
        <w:gridCol w:w="151"/>
        <w:gridCol w:w="166"/>
        <w:gridCol w:w="541"/>
        <w:gridCol w:w="151"/>
        <w:gridCol w:w="146"/>
        <w:gridCol w:w="691"/>
        <w:gridCol w:w="151"/>
        <w:gridCol w:w="166"/>
        <w:gridCol w:w="481"/>
        <w:gridCol w:w="151"/>
        <w:gridCol w:w="146"/>
        <w:gridCol w:w="751"/>
        <w:gridCol w:w="151"/>
        <w:gridCol w:w="166"/>
        <w:gridCol w:w="481"/>
        <w:gridCol w:w="151"/>
        <w:gridCol w:w="146"/>
        <w:gridCol w:w="646"/>
        <w:gridCol w:w="146"/>
        <w:gridCol w:w="146"/>
        <w:gridCol w:w="170"/>
        <w:gridCol w:w="356"/>
        <w:gridCol w:w="146"/>
        <w:gridCol w:w="166"/>
        <w:gridCol w:w="496"/>
        <w:gridCol w:w="146"/>
        <w:gridCol w:w="296"/>
        <w:gridCol w:w="620"/>
        <w:gridCol w:w="151"/>
        <w:gridCol w:w="186"/>
        <w:gridCol w:w="610"/>
        <w:gridCol w:w="151"/>
        <w:gridCol w:w="179"/>
        <w:gridCol w:w="587"/>
        <w:gridCol w:w="196"/>
      </w:tblGrid>
      <w:tr>
        <w:trPr/>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A</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B</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C-1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C-2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D</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BALANCES -</w:t>
              <w:br/>
              <w: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49,651,129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49,176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25,208,502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35,376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239,016,017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174,494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20,316,359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126,036,334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99,769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1,227,186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(265,362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(238,656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warrants in connection with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(26,869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(26,869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BALANCES -</w:t>
              <w:br/>
              <w: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49,651,129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49,176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25,208,502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35,376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239,016,017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174,494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20,316,359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13,406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126,036,334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99,769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1,232,442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27,950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(292,231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(264,245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Conversion of preferred stock into common stock upon initial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(49,651,129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(49,176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(25,208,502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(35,376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(239,016,017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(174,494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(20,316,359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(126,036,334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(99,769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23,918,194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372,198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372,222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from initial public offering, net of issuance costs of $4,232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19,166,667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316,599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316,618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shares upon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2,790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(28,935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(28,935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BALANCES -</w:t>
              <w:br/>
              <w: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44,333,095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719,541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(321,167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398,346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5186" w:type="dxa"/>
        <w:jc w:val="left"/>
        <w:tblInd w:w="0" w:type="dxa"/>
        <w:tblLayout w:type="fixed"/>
        <w:tblCellMar>
          <w:top w:w="28" w:type="dxa"/>
          <w:left w:w="28" w:type="dxa"/>
          <w:bottom w:w="28" w:type="dxa"/>
          <w:right w:w="28" w:type="dxa"/>
        </w:tblCellMar>
      </w:tblPr>
      <w:tblGrid>
        <w:gridCol w:w="871"/>
        <w:gridCol w:w="146"/>
        <w:gridCol w:w="146"/>
        <w:gridCol w:w="691"/>
        <w:gridCol w:w="151"/>
        <w:gridCol w:w="166"/>
        <w:gridCol w:w="481"/>
        <w:gridCol w:w="151"/>
        <w:gridCol w:w="146"/>
        <w:gridCol w:w="646"/>
        <w:gridCol w:w="146"/>
        <w:gridCol w:w="166"/>
        <w:gridCol w:w="436"/>
        <w:gridCol w:w="146"/>
        <w:gridCol w:w="146"/>
        <w:gridCol w:w="706"/>
        <w:gridCol w:w="146"/>
        <w:gridCol w:w="166"/>
        <w:gridCol w:w="496"/>
        <w:gridCol w:w="146"/>
        <w:gridCol w:w="146"/>
        <w:gridCol w:w="646"/>
        <w:gridCol w:w="151"/>
        <w:gridCol w:w="166"/>
        <w:gridCol w:w="436"/>
        <w:gridCol w:w="151"/>
        <w:gridCol w:w="146"/>
        <w:gridCol w:w="706"/>
        <w:gridCol w:w="146"/>
        <w:gridCol w:w="166"/>
        <w:gridCol w:w="436"/>
        <w:gridCol w:w="146"/>
        <w:gridCol w:w="146"/>
        <w:gridCol w:w="586"/>
        <w:gridCol w:w="146"/>
        <w:gridCol w:w="146"/>
        <w:gridCol w:w="170"/>
        <w:gridCol w:w="356"/>
        <w:gridCol w:w="146"/>
        <w:gridCol w:w="173"/>
        <w:gridCol w:w="458"/>
        <w:gridCol w:w="146"/>
        <w:gridCol w:w="296"/>
        <w:gridCol w:w="620"/>
        <w:gridCol w:w="151"/>
        <w:gridCol w:w="186"/>
        <w:gridCol w:w="610"/>
        <w:gridCol w:w="151"/>
        <w:gridCol w:w="179"/>
        <w:gridCol w:w="587"/>
        <w:gridCol w:w="196"/>
      </w:tblGrid>
      <w:tr>
        <w:trPr/>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A</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C-1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C-2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BALANCES -</w:t>
              <w:br/>
              <w: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65,213,004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64,738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25,210,789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239,016,017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24,207,788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276,792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(180,158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(174,522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(17,503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BALANCES -</w:t>
              <w:br/>
              <w: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65,213,004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64,738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25,210,789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35,379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239,016,017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174,494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24,207,788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15,686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276,792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(197,661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(191,570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Series D preferred stock for cash, net issuance costs of $471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113,468,242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conversions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(14,000,000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(3,891,429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929,824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16,280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(20,191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(20,191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BALANCES -</w:t>
              <w:br/>
              <w: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51,213,004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50,738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25,210,789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35,379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239,016,017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174,494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20,316,359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13,406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113,468,242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89,884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1,206,616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(217,852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(194,387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AVALYN PHARMA INC.</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bookmarkStart w:id="8" w:name="consolidated_stmts_of_cash_flows"/>
      <w:bookmarkEnd w:id="8"/>
      <w:r>
        <w:rPr>
          <w:rFonts w:ascii="Times New Roman" w:hAnsi="Times New Roman"/>
          <w:b/>
          <w:color w:val="000000"/>
          <w:sz w:val="20"/>
        </w:rPr>
        <w:t>CONDENSED CONSOLIDATED STATEMENTS OF CASH FLOWS</w:t>
      </w:r>
    </w:p>
    <w:p>
      <w:pPr>
        <w:pStyle w:val="TextBody"/>
        <w:bidi w:val="0"/>
        <w:jc w:val="left"/>
        <w:rPr>
          <w:rFonts w:ascii="Times New Roman" w:hAnsi="Times New Roman"/>
          <w:b/>
          <w:color w:val="000000"/>
          <w:sz w:val="20"/>
        </w:rPr>
      </w:pPr>
      <w:r>
        <w:rPr>
          <w:rFonts w:ascii="Times New Roman" w:hAnsi="Times New Roman"/>
          <w:b/>
          <w:color w:val="000000"/>
          <w:sz w:val="20"/>
        </w:rPr>
        <w:t>(In thousands)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57"/>
        <w:gridCol w:w="146"/>
        <w:gridCol w:w="211"/>
        <w:gridCol w:w="841"/>
        <w:gridCol w:w="166"/>
        <w:gridCol w:w="146"/>
        <w:gridCol w:w="211"/>
        <w:gridCol w:w="736"/>
        <w:gridCol w:w="991"/>
      </w:tblGrid>
      <w:tr>
        <w:trPr/>
        <w:tc>
          <w:tcPr>
            <w:tcW w:w="6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(37,694</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and accretion of premiums/discounts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discount and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(39,972</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(67,058</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(12,566</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initial public offering, net of underwriter discounts and commissions paid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issuance costs associated with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Series D convertible preferred stock,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89,884</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89,884</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37,346</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23,955</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61,301</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Conversion of preferred stock into common stock upon IPO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offering costs transferred to additional paid 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obtained in exchange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value issued as part of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costs related to a public offering included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AVALYN PHARMA INC.</w:t>
      </w:r>
    </w:p>
    <w:p>
      <w:pPr>
        <w:pStyle w:val="TextBody"/>
        <w:bidi w:val="0"/>
        <w:jc w:val="left"/>
        <w:rPr>
          <w:rFonts w:ascii="Times New Roman" w:hAnsi="Times New Roman"/>
          <w:b/>
          <w:color w:val="000000"/>
          <w:sz w:val="20"/>
        </w:rPr>
      </w:pPr>
      <w:bookmarkStart w:id="9" w:name="notes_to_the_consolidated_fin_stmts"/>
      <w:bookmarkEnd w:id="9"/>
      <w:r>
        <w:rPr>
          <w:rFonts w:ascii="Times New Roman" w:hAnsi="Times New Roman"/>
          <w:b/>
          <w:color w:val="000000"/>
          <w:sz w:val="20"/>
        </w:rPr>
        <w:t>NOTES TO THE CONSOLIDATED FINANCIAL STATEMENTS</w:t>
      </w:r>
    </w:p>
    <w:p>
      <w:pPr>
        <w:pStyle w:val="TextBody"/>
        <w:bidi w:val="0"/>
        <w:jc w:val="left"/>
        <w:rPr>
          <w:rFonts w:ascii="Times New Roman" w:hAnsi="Times New Roman"/>
          <w:sz w:val="20"/>
        </w:rPr>
      </w:pPr>
      <w:r>
        <w:rPr>
          <w:rFonts w:ascii="Times New Roman" w:hAnsi="Times New Roman"/>
          <w:b/>
          <w:color w:val="000000"/>
          <w:sz w:val="20"/>
        </w:rPr>
        <w:t xml:space="preserve">AS OF AND FOR THE SIX MONTHS ENDED </w:t>
      </w:r>
      <w:r>
        <w:rPr>
          <w:rFonts w:ascii="Times New Roman" w:hAnsi="Times New Roman"/>
          <w:b/>
          <w:caps/>
          <w:color w:val="000000"/>
          <w:sz w:val="20"/>
        </w:rPr>
        <w:t>June 30, 2026 AND 2025 (UNAUDITED)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Description of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Avalyn Pharma Inc., or the Company or Avalyn, is a clinical-stage biopharmaceutical company developing inhaled medicines to treat rare respiratory diseases, including progressive pulmonary fibrosis, idiopathic pulmonary fibrosis, and other interstitial lung diseases. The Company was incorporated in the state of Delaware on May 27, 2011, and has its headquarters in Boston, Massachusetts.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used in these consolidated financial statements, unless the context otherwise requires, references to the “Company” or “Avalyn,” refer to Avalyn Pharma Inc. and its wholly owned subsidiary, Avalyn Pharma Pty. Ltd.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subject to the risks and challenges associated with other biopharmaceutical companies at a similar stage of development, including dependence on key individuals, successful development of its products and services, dependence on key vendors, compliance with government regulations, protection of proprietary technology, competition from substitute products and services and larger companies which have greater financial resources, technical management, and the ability to secure adequate financing to support future growth. There can be no assurance that any future products or services can be developed or manufactured at an acceptable cost and with appropriate performance characteristics, or that such products or services will be successfully marketed, if at all. These factors could have a material adverse effect on the Company’s future operating results, financial position and cash flow.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Existing or future products developed by the Company will require approvals or clearances from the U.S. Food and Drug Administration or the FDA, or other similar international regulatory agencies prior to commercial sales. If the Company were denied or delayed in receiving such approvals or clearances, it would have a material adverse effect on the Company.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Board approved a 1-for-19.2417 reverse stock split of its issued and outstanding common stock, which also resulted in a proportional adjustment to the conversion price for each series of its preferred stock, and to the exercise prices and number of outstanding stock options, and warrants, which became effective on April 22, 2026. Accordingly, all shares of common stock, stock options, warrants, and per share information presented in the accompanying financial statements and notes thereto have been retroactively adjusted, where applicable, to reflect the reverse stock split. The per share par value and authorized number of both common and preferred shares were not adjusted as a result of the split.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Initial Public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1, 2026, the Company completed its initial public offering, or IPO, in which the Company sold an aggregate of 19,166,667 shares of its common stock at a public offering price of $18.00 per share, which included 2,500,000 shares of its common stock sold to the underwriters pursuant to the full exercise of their option to purchase additional shares, resulting in aggregate net proceeds of approximately $316.6 million, after deducting underwriter discounts, commissions and other offering expenses. Immediately prior to the closing of the IPO, the Company's outstanding redeemable convertible preferred stock automatically converted into 23,918,194 shares of common stock. Following the closing of the IPO, no shares of redeemable convertible preferred stock were outstanding. In connection with the closing of the IPO, the Company's certificate of incorporation was amended and restated to authorize 700,000,000 shares of common stock, par value $0.001 per share, including 500,000,000 shares of voting common stock and 200,000,000 shares of non-voting common stock, of which there were zero shares issued or outstanding as of June 30, 2026; to eliminate all references to the previously-existing series of preferred stock, and authorize 10,000,000 shares of preferred stock, par value $0.001 per share.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evaluated whether there are conditions and events, considered in the aggregate, that raise substantial doubt about the Company’s ability to continue as a going concern within one year after the date that the consolidated financial statements are issued.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Since its inception, the Company has funded its operations with proceeds from convertible notes, its IPO, and with proceeds from the issuance of Series A, Series B, Series C-1, Series C-2 and Series D preferred stock. The Company has incurred net losses, and utilized cash, cash equivalents, and marketable securities in operations since inception, has an accumulated deficit as of June 30, 2026 of $321.2 million, and expects to incur future additional losses. As of June 30, 2026, the Company had cash, cash equivalents,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marketable securities of $413.5 million. The Company has determined that its existing cash, cash equivalents, and marketable securities will be sufficient to fund the Company’s operating expenses and capital expenditures requirements for at least 12 months from the issuance date of these consolidated financial statements.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Unaudited Interim Financial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condensed consolidated balance sheet as of June 30, 2026, and the condensed consolidated statements of comprehensive loss for the three and six months ended June 30, 2026 and 2025, consolidated statements of changes in redeemable convertible preferred stock and stockholders' equity (deficit), and consolidated statements of cash flows for the six months ended June 30, 2026 and 2025, are unaudited. The condensed consolidated interim financial statements have been prepared on the same basis as the audited annual financial statements and, in the opinion of management, reflect all adjustments, which include only normal recurring adjustments necessary for the fair presentation of the Company’s financial position as of June 30, 2026, the results of its operations for the three and six months ended June 30, 2026 and 2025, and its cash flows for the six months ended June 30, 2026 and 2025. The financial data and other information disclosed in these notes related to the three and six months ended June 30, 2026 and 2025, are also unaudited. The results for the three and six months ended June 30, 2026 and 2025 are not necessarily indicative of results to be expected for the year ending December 31, 2026, or for any other subsequent period.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There have been no significant changes from the significant accounting policies and estimates disclosed in Note 2 of the “Notes to Consolidated Financial Statements” in the audited consolidated financial statements for the year ended December 31, 2025 and notes thereto, included in the Company’s registration statement on Form S-1.</w:t>
      </w:r>
    </w:p>
    <w:p>
      <w:pPr>
        <w:pStyle w:val="TextBody"/>
        <w:bidi w:val="0"/>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accounting principles generally accepted in the United States of America, or U.S. GAAP, and applicable rules and regulations of the U.S. Securities and Exchange Commission, or the SEC, regarding interim financial reporting. Accordingly, they do not include all disclosures normally required in annual consolidated financial statements prepared in accordance with U.S. GAAP. Any reference in these notes to applicable guidance is meant to refer to the authoritative GAAP as found in the Accounting Standards Codification, or ASC, and ASUs of the Financial Accounting Standards Board, or FASB.</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consolidated financial statements include the accounts of Avalyn Pharma Inc. and its wholly owned subsidiary, Avalyn Pharma Pty. Ltd. All intercompany accounts and transactions have been eliminated in consolidation. The consolidated financial statements have been prepared in conformity with U.S. GAAP.</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consolidated financial statements in accordance with U.S. GAAP requires management to make estimates and assumptions that affect the reported amounts of assets and liabilities and disclosure of contingent assets and liabilities at the date of the financial statements and the reported amounts of income and expense during the reporting period. The Company bases its estimates on historical experience and various other assumptions that management believes to be reasonable under the circumstances. Management evaluates its estimates and assumptions on an ongoing basis. Changes in estimates are recorded in the period in which they become known. Significant estimates and assumptions relied upon in preparing these financial statements include, but are not limited to, research and development expenses and related prepaid or accrued costs, and the valuation of common stock and related stock-based compensation expense. The Company’s actual results may differ from these estimates under different assumptions or conditions.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Deferred Offering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capitalizes certain legal, professional accounting, and other third-party fees that are incremental costs and directly associated with in-process equity and debt financings as deferred offering costs within non-current assets on the consolidated balance sheets until such time the equity and debt financings are consummated. After consummation of an equity financing, these costs are recorded as a reduction of the proceeds from the offering, either as a reduction to the carrying value of the preferred stock or, for the issuances of common stock, in stockholders’ deficit as a reduction of additional paid-in capital generated as a result of the offering. Should the in-process equity financing be abandoned, the deferred offering costs will be expensed immediately as a charge to operating expenses in the consolidated statements of comprehensive loss. As of June 30, 2026 and December 31, 2025, there were deferred offering costs of $0.2 million and $0.3 million, respectively.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November 2024, the FASB issued ASU 2024-03, Income Statement - Reporting Comprehensive Income - Expense Disaggregation Disclosures (Subtopic 220-40): Disaggregation of Income Statement Expenses, or ASU 2024-03, which requires disclosures about specific types of expenses included in the expense captions presented on the face of the income statement as well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disclosures about selling expenses. The requirements of ASU 2024-03 are effective for annual periods beginning after December 15, 2026, and for interim periods beginning after December 15, 2027, with early adoption permitted. The requirements will be applied prospectively with the option for retrospective application. The Company is currently in the process of evaluating the effects of this pronouncement on its related disclosures.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Marketable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summarize the amortized cost and estimated fair value of the Company’s marketable securities, which are considered to be available-for-sale investments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16"/>
        <w:gridCol w:w="446"/>
        <w:gridCol w:w="211"/>
        <w:gridCol w:w="781"/>
        <w:gridCol w:w="346"/>
        <w:gridCol w:w="346"/>
        <w:gridCol w:w="318"/>
        <w:gridCol w:w="568"/>
        <w:gridCol w:w="366"/>
        <w:gridCol w:w="346"/>
        <w:gridCol w:w="335"/>
        <w:gridCol w:w="551"/>
        <w:gridCol w:w="346"/>
        <w:gridCol w:w="346"/>
        <w:gridCol w:w="211"/>
        <w:gridCol w:w="781"/>
        <w:gridCol w:w="391"/>
      </w:tblGrid>
      <w:tr>
        <w:trPr/>
        <w:tc>
          <w:tcPr>
            <w:tcW w:w="351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current: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U.S. Treasury securities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28,379</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Commercial paper</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38,623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Corporate debt securities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17,749</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debt securities</w:t>
            </w:r>
          </w:p>
        </w:tc>
        <w:tc>
          <w:tcPr>
            <w:tcW w:w="4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Marketable securities, long-term:</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4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46,485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46,456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marketable securities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149,426</w:t>
            </w:r>
          </w:p>
        </w:tc>
        <w:tc>
          <w:tcPr>
            <w:tcW w:w="3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6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470" w:type="dxa"/>
        <w:jc w:val="left"/>
        <w:tblInd w:w="0" w:type="dxa"/>
        <w:tblLayout w:type="fixed"/>
        <w:tblCellMar>
          <w:top w:w="28" w:type="dxa"/>
          <w:left w:w="28" w:type="dxa"/>
          <w:bottom w:w="28" w:type="dxa"/>
          <w:right w:w="28" w:type="dxa"/>
        </w:tblCellMar>
      </w:tblPr>
      <w:tblGrid>
        <w:gridCol w:w="2711"/>
        <w:gridCol w:w="546"/>
        <w:gridCol w:w="211"/>
        <w:gridCol w:w="676"/>
        <w:gridCol w:w="346"/>
        <w:gridCol w:w="346"/>
        <w:gridCol w:w="295"/>
        <w:gridCol w:w="591"/>
        <w:gridCol w:w="346"/>
        <w:gridCol w:w="346"/>
        <w:gridCol w:w="335"/>
        <w:gridCol w:w="551"/>
        <w:gridCol w:w="346"/>
        <w:gridCol w:w="346"/>
        <w:gridCol w:w="211"/>
        <w:gridCol w:w="676"/>
        <w:gridCol w:w="591"/>
      </w:tblGrid>
      <w:tr>
        <w:trPr/>
        <w:tc>
          <w:tcPr>
            <w:tcW w:w="271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current:</w:t>
            </w:r>
          </w:p>
        </w:tc>
        <w:tc>
          <w:tcPr>
            <w:tcW w:w="5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AEEFB"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U.S. Treasury securities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30,049</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11" w:type="dxa"/>
            <w:tcBorders/>
            <w:shd w:fill="CAEEFB"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Commercial paper</w:t>
            </w:r>
          </w:p>
        </w:tc>
        <w:tc>
          <w:tcPr>
            <w:tcW w:w="546" w:type="dxa"/>
            <w:tcBorders/>
            <w:shd w:fill="CAEEFB"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30,699</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30,725</w:t>
            </w:r>
          </w:p>
        </w:tc>
        <w:tc>
          <w:tcPr>
            <w:tcW w:w="591" w:type="dxa"/>
            <w:tcBorders/>
            <w:shd w:fill="CAEEFB"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Corporate debt securities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11" w:type="dxa"/>
            <w:tcBorders/>
            <w:shd w:fill="CAEEFB"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marketable securities</w:t>
            </w:r>
          </w:p>
        </w:tc>
        <w:tc>
          <w:tcPr>
            <w:tcW w:w="546" w:type="dxa"/>
            <w:tcBorders/>
            <w:shd w:fill="CAEEFB"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85,910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86,044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all marketable securities held by the Company had remaining contractual maturities of one year or less, except for U.S. treasuries and corporate debt securities with a fair value of $46.5 million and $14.6 million, respectively, with maturities of one to two years. As of December 31, 2025, all marketable securities held by the Company had remaining contractual maturities of one year or less.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determined that there were no material changes in the credit risk, therefore, no impairment was recognized on its debt securities.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present information about the Company’s financial instruments that are measured at fair value on a recurring basis and indicates the fair value hierarchy of the inputs the Company utilized to determine such fair value (in thousands):</w:t>
      </w:r>
    </w:p>
    <w:p>
      <w:pPr>
        <w:pStyle w:val="TextBody"/>
        <w:bidi w:val="0"/>
        <w:jc w:val="left"/>
        <w:rPr/>
      </w:pPr>
      <w:r>
        <w:rPr/>
        <w:t> </w:t>
      </w:r>
    </w:p>
    <w:tbl>
      <w:tblPr>
        <w:tblW w:w="9235" w:type="dxa"/>
        <w:jc w:val="left"/>
        <w:tblInd w:w="0" w:type="dxa"/>
        <w:tblLayout w:type="fixed"/>
        <w:tblCellMar>
          <w:top w:w="28" w:type="dxa"/>
          <w:left w:w="28" w:type="dxa"/>
          <w:bottom w:w="28" w:type="dxa"/>
          <w:right w:w="28" w:type="dxa"/>
        </w:tblCellMar>
      </w:tblPr>
      <w:tblGrid>
        <w:gridCol w:w="3716"/>
        <w:gridCol w:w="246"/>
        <w:gridCol w:w="211"/>
        <w:gridCol w:w="781"/>
        <w:gridCol w:w="146"/>
        <w:gridCol w:w="146"/>
        <w:gridCol w:w="211"/>
        <w:gridCol w:w="781"/>
        <w:gridCol w:w="146"/>
        <w:gridCol w:w="146"/>
        <w:gridCol w:w="239"/>
        <w:gridCol w:w="391"/>
        <w:gridCol w:w="146"/>
        <w:gridCol w:w="146"/>
        <w:gridCol w:w="211"/>
        <w:gridCol w:w="781"/>
        <w:gridCol w:w="791"/>
      </w:tblGrid>
      <w:tr>
        <w:trPr/>
        <w:tc>
          <w:tcPr>
            <w:tcW w:w="37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2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AEEFB"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716" w:type="dxa"/>
            <w:tcBorders/>
            <w:shd w:fill="CAEEFB"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accounts</w:t>
            </w:r>
          </w:p>
        </w:tc>
        <w:tc>
          <w:tcPr>
            <w:tcW w:w="2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126,205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126,205</w:t>
            </w:r>
          </w:p>
        </w:tc>
        <w:tc>
          <w:tcPr>
            <w:tcW w:w="791" w:type="dxa"/>
            <w:tcBorders/>
            <w:shd w:fill="CAEEFB"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716" w:type="dxa"/>
            <w:tcBorders/>
            <w:shd w:fill="CAEEFB"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2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74,821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74,821</w:t>
            </w:r>
          </w:p>
        </w:tc>
        <w:tc>
          <w:tcPr>
            <w:tcW w:w="791" w:type="dxa"/>
            <w:tcBorders/>
            <w:shd w:fill="CAEEFB"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38,623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16" w:type="dxa"/>
            <w:tcBorders/>
            <w:shd w:fill="CAEEFB"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2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32,386</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32,386</w:t>
            </w:r>
          </w:p>
        </w:tc>
        <w:tc>
          <w:tcPr>
            <w:tcW w:w="791" w:type="dxa"/>
            <w:tcBorders/>
            <w:shd w:fill="CAEEFB"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agency debt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716" w:type="dxa"/>
            <w:tcBorders/>
            <w:shd w:fill="CAEDFB"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2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ED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AED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126,205</w:t>
            </w:r>
          </w:p>
        </w:tc>
        <w:tc>
          <w:tcPr>
            <w:tcW w:w="146" w:type="dxa"/>
            <w:tcBorders>
              <w:bottom w:val="double" w:sz="6" w:space="0" w:color="000000"/>
            </w:tcBorders>
            <w:shd w:fill="CAED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ED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AED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149,331</w:t>
            </w:r>
          </w:p>
        </w:tc>
        <w:tc>
          <w:tcPr>
            <w:tcW w:w="146" w:type="dxa"/>
            <w:tcBorders>
              <w:bottom w:val="double" w:sz="6" w:space="0" w:color="000000"/>
            </w:tcBorders>
            <w:shd w:fill="CAED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AED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AED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AED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D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ED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AED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275,536</w:t>
            </w:r>
          </w:p>
        </w:tc>
        <w:tc>
          <w:tcPr>
            <w:tcW w:w="791" w:type="dxa"/>
            <w:tcBorders>
              <w:bottom w:val="double" w:sz="6" w:space="0" w:color="000000"/>
            </w:tcBorders>
            <w:shd w:fill="CAEDFB"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tbl>
      <w:tblPr>
        <w:tblW w:w="7855" w:type="dxa"/>
        <w:jc w:val="left"/>
        <w:tblInd w:w="0" w:type="dxa"/>
        <w:tblLayout w:type="fixed"/>
        <w:tblCellMar>
          <w:top w:w="28" w:type="dxa"/>
          <w:left w:w="28" w:type="dxa"/>
          <w:bottom w:w="28" w:type="dxa"/>
          <w:right w:w="28" w:type="dxa"/>
        </w:tblCellMar>
      </w:tblPr>
      <w:tblGrid>
        <w:gridCol w:w="2546"/>
        <w:gridCol w:w="246"/>
        <w:gridCol w:w="211"/>
        <w:gridCol w:w="676"/>
        <w:gridCol w:w="146"/>
        <w:gridCol w:w="146"/>
        <w:gridCol w:w="211"/>
        <w:gridCol w:w="676"/>
        <w:gridCol w:w="146"/>
        <w:gridCol w:w="146"/>
        <w:gridCol w:w="239"/>
        <w:gridCol w:w="391"/>
        <w:gridCol w:w="146"/>
        <w:gridCol w:w="146"/>
        <w:gridCol w:w="211"/>
        <w:gridCol w:w="781"/>
        <w:gridCol w:w="791"/>
      </w:tblGrid>
      <w:tr>
        <w:trPr/>
        <w:tc>
          <w:tcPr>
            <w:tcW w:w="25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2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AEEFB"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546" w:type="dxa"/>
            <w:tcBorders/>
            <w:shd w:fill="CAEEFB"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accounts</w:t>
            </w:r>
          </w:p>
        </w:tc>
        <w:tc>
          <w:tcPr>
            <w:tcW w:w="2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16,245</w:t>
            </w:r>
          </w:p>
        </w:tc>
        <w:tc>
          <w:tcPr>
            <w:tcW w:w="791" w:type="dxa"/>
            <w:tcBorders/>
            <w:shd w:fill="CAEEFB"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546" w:type="dxa"/>
            <w:tcBorders/>
            <w:shd w:fill="CAEEFB"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2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30,124</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30,124</w:t>
            </w:r>
          </w:p>
        </w:tc>
        <w:tc>
          <w:tcPr>
            <w:tcW w:w="791" w:type="dxa"/>
            <w:tcBorders/>
            <w:shd w:fill="CAEEFB"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46" w:type="dxa"/>
            <w:tcBorders/>
            <w:shd w:fill="CAEEFB"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2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25,195</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25,195</w:t>
            </w:r>
          </w:p>
        </w:tc>
        <w:tc>
          <w:tcPr>
            <w:tcW w:w="791" w:type="dxa"/>
            <w:tcBorders>
              <w:bottom w:val="single" w:sz="4" w:space="0" w:color="000000"/>
            </w:tcBorders>
            <w:shd w:fill="CAEEFB"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102,289</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and December 31, 2025, the Company had cash equivalents consisting of money market accounts classified as Level 1 financial assets, as these assets are valued using quoted market prices in active markets without any valuation adjustments. The Company classifies its investments in U.S. Treasury securities (Treasury bills, Treasury notes, and Treasury bonds), commercial paper, U.S. government agency debt, and corporate debt securities as Level 2 instruments. The Company estimates the fair value of these marketable securities by taking into consideration valuations obtained from third-party pricing sources. These pricing sources utilize standard industry valuation models, including both income and market-based approaches, for which all significant inputs are observable, either directly or indirectly to estimate fair value. These inputs include market pricing based on real time trade data for the same or similar securities, issuer credit spreads, benchmark yields, and other observable inputs.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periods ended June 30, 2026 and December 31, 2025, there were no transfers or reclassifications between fair value measurement levels of financial assets or liabilities.</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5.</w:t>
      </w:r>
    </w:p>
    <w:p>
      <w:pPr>
        <w:pStyle w:val="TextBody"/>
        <w:bidi w:val="0"/>
        <w:spacing w:before="360" w:after="283"/>
        <w:jc w:val="left"/>
        <w:rPr>
          <w:rFonts w:ascii="Times New Roman" w:hAnsi="Times New Roman"/>
          <w:sz w:val="20"/>
        </w:rPr>
      </w:pPr>
      <w:r>
        <w:rPr>
          <w:rFonts w:ascii="Times New Roman" w:hAnsi="Times New Roman"/>
          <w:b/>
          <w:caps/>
          <w:color w:val="000000"/>
          <w:sz w:val="20"/>
        </w:rPr>
        <w:t>P</w:t>
      </w:r>
      <w:r>
        <w:rPr>
          <w:rFonts w:ascii="Times New Roman" w:hAnsi="Times New Roman"/>
          <w:b/>
          <w:color w:val="000000"/>
          <w:sz w:val="20"/>
        </w:rPr>
        <w:t>repaid Expenses and Other Current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Prepaid expenses and other current assets consist of the following (in thousands):</w:t>
      </w:r>
    </w:p>
    <w:p>
      <w:pPr>
        <w:pStyle w:val="TextBody"/>
        <w:bidi w:val="0"/>
        <w:jc w:val="both"/>
        <w:rPr/>
      </w:pPr>
      <w:r>
        <w:rPr/>
        <w:t> </w:t>
      </w:r>
    </w:p>
    <w:tbl>
      <w:tblPr>
        <w:tblW w:w="7437" w:type="dxa"/>
        <w:jc w:val="left"/>
        <w:tblInd w:w="0" w:type="dxa"/>
        <w:tblLayout w:type="fixed"/>
        <w:tblCellMar>
          <w:top w:w="28" w:type="dxa"/>
          <w:left w:w="28" w:type="dxa"/>
          <w:bottom w:w="28" w:type="dxa"/>
          <w:right w:w="28" w:type="dxa"/>
        </w:tblCellMar>
      </w:tblPr>
      <w:tblGrid>
        <w:gridCol w:w="4131"/>
        <w:gridCol w:w="346"/>
        <w:gridCol w:w="211"/>
        <w:gridCol w:w="571"/>
        <w:gridCol w:w="346"/>
        <w:gridCol w:w="346"/>
        <w:gridCol w:w="294"/>
        <w:gridCol w:w="801"/>
        <w:gridCol w:w="391"/>
      </w:tblGrid>
      <w:tr>
        <w:trPr/>
        <w:tc>
          <w:tcPr>
            <w:tcW w:w="41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Property and Equipment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and equipment consist of the following (in thousands):</w:t>
      </w:r>
    </w:p>
    <w:p>
      <w:pPr>
        <w:pStyle w:val="TextBody"/>
        <w:bidi w:val="0"/>
        <w:jc w:val="both"/>
        <w:rPr/>
      </w:pPr>
      <w:r>
        <w:rPr/>
        <w:t> </w:t>
      </w:r>
    </w:p>
    <w:tbl>
      <w:tblPr>
        <w:tblW w:w="6132" w:type="dxa"/>
        <w:jc w:val="left"/>
        <w:tblInd w:w="0" w:type="dxa"/>
        <w:tblLayout w:type="fixed"/>
        <w:tblCellMar>
          <w:top w:w="28" w:type="dxa"/>
          <w:left w:w="28" w:type="dxa"/>
          <w:bottom w:w="28" w:type="dxa"/>
          <w:right w:w="28" w:type="dxa"/>
        </w:tblCellMar>
      </w:tblPr>
      <w:tblGrid>
        <w:gridCol w:w="3586"/>
        <w:gridCol w:w="146"/>
        <w:gridCol w:w="211"/>
        <w:gridCol w:w="571"/>
        <w:gridCol w:w="166"/>
        <w:gridCol w:w="146"/>
        <w:gridCol w:w="364"/>
        <w:gridCol w:w="731"/>
        <w:gridCol w:w="21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software, and 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depreciation expense was $110 thousand and $173 thousand for the three and six months ended June 30, 2026, respectively, and $9 thousand and $19 thousand for the three and six months ended June 30,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Accrued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liabilities consist of the following (in thousands):</w:t>
      </w:r>
    </w:p>
    <w:p>
      <w:pPr>
        <w:pStyle w:val="TextBody"/>
        <w:bidi w:val="0"/>
        <w:jc w:val="left"/>
        <w:rPr/>
      </w:pPr>
      <w:r>
        <w:rPr/>
        <w:t> </w:t>
      </w:r>
    </w:p>
    <w:tbl>
      <w:tblPr>
        <w:tblW w:w="7162" w:type="dxa"/>
        <w:jc w:val="left"/>
        <w:tblInd w:w="0" w:type="dxa"/>
        <w:tblLayout w:type="fixed"/>
        <w:tblCellMar>
          <w:top w:w="28" w:type="dxa"/>
          <w:left w:w="28" w:type="dxa"/>
          <w:bottom w:w="28" w:type="dxa"/>
          <w:right w:w="28" w:type="dxa"/>
        </w:tblCellMar>
      </w:tblPr>
      <w:tblGrid>
        <w:gridCol w:w="3856"/>
        <w:gridCol w:w="346"/>
        <w:gridCol w:w="211"/>
        <w:gridCol w:w="571"/>
        <w:gridCol w:w="346"/>
        <w:gridCol w:w="346"/>
        <w:gridCol w:w="294"/>
        <w:gridCol w:w="801"/>
        <w:gridCol w:w="391"/>
      </w:tblGrid>
      <w:tr>
        <w:trPr/>
        <w:tc>
          <w:tcPr>
            <w:tcW w:w="38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vacation accrual</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and professional fees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7,345</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September 2025, the Company entered into a non-cancelable operating sublease in Boston, Massachusetts, or the Boston Sublease, to rent out 8,774 square feet of office space and relocated its headquarters to Boston in September 2025. The lease commenced on September 2, 2025, at which time the Company recognized a right-of-use, or ROU, asset and corresponding lease liability of $1.7 million. The lease term is 41 months with rental payments beginning four months after the lease commencement. In addition to base rent, the Company will reimburse the landlord for certain operating expenses under the terms of the lease. The Company has the option to extend the lease one time for an additional 3-year period, subject to the terms therein; however, the exercise of the option to extend the lease term was not determined to be reasonably certain, and the Company will therefore recognize lease expense through the expiration of the initial lease term ending in January 2029.</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June 2026, the Company entered into an amendment to the Boston Sublease. Pursuant to the amendment, the Subleased Premises were expanded to include an additional 4,934 rentable square feet located on the second floor of the building, which expires in January 2029. The lease commenced on June 29, 2026, at which time the Company recognized an additional ROU asset and corresponding operating lease liability of $0.8 million, including $0.3 million of current lease liability and $0.5 million of noncurrent lease liability. The Company has the option to extend the lease one time for an additional 3-year period, subject to the terms therein; however, the exercise of the option to extend the lease term was not determined to be reasonably certain, and the Company will therefore recognize lease expense through the expiration of the initial lease term ending in January 2029.</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Lease liabilities are measured by calculating the present value of remaining lease payments under the lease arrangement. Since the rates implicit in our leases are not readily determinable, the Company uses estimated incremental borrowing rates in determining the discount rate used to calculate the present value of remaining lease payments. The incremental borrowing rate is the rate of interest that the Company would have to pay to borrow, on a collateralized basis, an amount equal to the lease payments over a similar term equal to the lease term in a similar economic environment. The incremental borrowing rate is based on the information available at commencement date. As the Company has no recent external borrowings, the incremental borrowing is a hypothetical rate based on our understanding of what our credit rating would be and adjusted to reflect a collateralized borrowing.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presentation in the Company’s consolidated balance sheets of its operating leases (in thousands):</w:t>
      </w:r>
    </w:p>
    <w:tbl>
      <w:tblPr>
        <w:tblW w:w="6332" w:type="dxa"/>
        <w:jc w:val="left"/>
        <w:tblInd w:w="0" w:type="dxa"/>
        <w:tblLayout w:type="fixed"/>
        <w:tblCellMar>
          <w:top w:w="28" w:type="dxa"/>
          <w:left w:w="28" w:type="dxa"/>
          <w:bottom w:w="28" w:type="dxa"/>
          <w:right w:w="28" w:type="dxa"/>
        </w:tblCellMar>
      </w:tblPr>
      <w:tblGrid>
        <w:gridCol w:w="3781"/>
        <w:gridCol w:w="146"/>
        <w:gridCol w:w="211"/>
        <w:gridCol w:w="571"/>
        <w:gridCol w:w="146"/>
        <w:gridCol w:w="146"/>
        <w:gridCol w:w="306"/>
        <w:gridCol w:w="834"/>
        <w:gridCol w:w="19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incurred total operating lease expenses of $151.0 thousand and $296.7 thousand during the three and six months ended June 30, 2026, respectively, and zero during the three and six months ended June 30, 2025. The Company incurred an immaterial amount of expense related to variable lease costs during the three and six months ended June 30, 2026 and no expense related to variable lease costs during three and six months ended June 30,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Future minimum lease payments under non-cancelable leases were as detailed below (in thousands):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tbl>
      <w:tblPr>
        <w:tblW w:w="5475" w:type="dxa"/>
        <w:jc w:val="left"/>
        <w:tblInd w:w="0" w:type="dxa"/>
        <w:tblLayout w:type="fixed"/>
        <w:tblCellMar>
          <w:top w:w="28" w:type="dxa"/>
          <w:left w:w="28" w:type="dxa"/>
          <w:bottom w:w="28" w:type="dxa"/>
          <w:right w:w="28" w:type="dxa"/>
        </w:tblCellMar>
      </w:tblPr>
      <w:tblGrid>
        <w:gridCol w:w="4336"/>
        <w:gridCol w:w="146"/>
        <w:gridCol w:w="211"/>
        <w:gridCol w:w="571"/>
        <w:gridCol w:w="21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paid for amounts included in the measurement of operating lease liabilities were $153.5 thousand and $255.9 thousand for the three and six months ended June 30, 2026, respectively, and zero during the three and six months ended June 30,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periods presented, the Company did not recognize any impairment losses on its ROU assets.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the Company is subject to various claims that arise in the ordinary course of business. Management believes that any liability of the Company that may arise out of or with respect to these matters will not materially adversely affect the financial position, results of operations, or cash flows of the Company.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certificate of incorporation, as amended and restated, authorizes the Company to issue 700,000,000 shares of common stock, par value $0.001, as of June 30, 2026, of which 500,000,000 is voting and 200,000,000 is designated as non-voting. The holders of voting common stock are entitled to one vote for each share of common stock held.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number of shares of common stock that have been reserved for the potential conversion of preferred stock, exercise of outstanding stock options granted, warrants, and stock options available for grant under the Company’s 2026 Equity Incentive Plan, or the 2026 Plan, as of June 30, 2026 and December 31, 2025, are as follows: </w:t>
      </w:r>
    </w:p>
    <w:p>
      <w:pPr>
        <w:pStyle w:val="TextBody"/>
        <w:bidi w:val="0"/>
        <w:jc w:val="left"/>
        <w:rPr/>
      </w:pPr>
      <w:r>
        <w:rPr/>
        <w:t> </w:t>
      </w:r>
    </w:p>
    <w:tbl>
      <w:tblPr>
        <w:tblW w:w="6429" w:type="dxa"/>
        <w:jc w:val="left"/>
        <w:tblInd w:w="0" w:type="dxa"/>
        <w:tblLayout w:type="fixed"/>
        <w:tblCellMar>
          <w:top w:w="28" w:type="dxa"/>
          <w:left w:w="28" w:type="dxa"/>
          <w:bottom w:w="28" w:type="dxa"/>
          <w:right w:w="28" w:type="dxa"/>
        </w:tblCellMar>
      </w:tblPr>
      <w:tblGrid>
        <w:gridCol w:w="3541"/>
        <w:gridCol w:w="146"/>
        <w:gridCol w:w="146"/>
        <w:gridCol w:w="931"/>
        <w:gridCol w:w="146"/>
        <w:gridCol w:w="146"/>
        <w:gridCol w:w="146"/>
        <w:gridCol w:w="1036"/>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Series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2,580,370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Series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1,310,082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Series C-1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12,421,759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Series C-2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1,055,847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Series 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6,550,136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4,088,900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available for grant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1,691,333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48,911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8,767,784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28,278,835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Stock Option Plan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Option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10, 2022, the Company adopted the 2022 Plan, which has been subsequently amended (the “Plan”). The Plan provides for the issuance of incentive and nonqualified common stock options to employees, directors, and certain consultants. The Plan is administered by the Board which determines the awards to be granted, including the number of common shares subject to the awards, the exercise price, and the vesting schedule. In connection with the IPO, the Company adopted its 2026 Equity Incentive Plan, at which time shares ceased to be available for issuance under the 2022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Subsequent to the effectiveness of the 2026 Plan, the shares of common stock underlying any awards under the 2022 Plan that are forfeited, canceled, reacquired by the Company prior to vesting, satisfied without the issuance of stock or otherwise terminated (other than by exercise) and shares withheld upon exercise of an option or settlement of an award to cover the exercise price or tax withholding will be added to the shares of common stock available for issuance under the 2026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2026 Equity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2026, the Board and the Company's stockholders adopted and approved the 2026 Stock Option and Incentive Plan, or the 2026 Plan, which became effective on April 28, 2026, the date immediately preceding the date that the registration statement on Form S-1 for the Company's IPO was declared effective by the SEC. The 2026 Plan initially reserved 4,160,000 shares of common stock for future issuances and is subject to automatic increases in the number of shares of common stock reserved for future issuances in accordance with the evergreen provisions in the 2026 Plan. The shares reserved for future issuance under the 2022 Plan ceased to be available for issuance at the time the 2026 Plan became effective. Any shares underlying outstanding stock awards granted under the 2022 Plan that subsequently expire or are repurchased, forfeited, canceled, or withheld will return to the 2026 Plan and be reserved and available for issuance. The Company granted 2,387,705 of common stock options subject to service-based vesting to certain executive officers, directors, and employees at the time of effectiveness of the 2026 Plan with an exercise price equal to $18.00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2026, the Board and the Company's stockholders adopted and approved the 2026 Employee Stock Purchase Plan, or the 2026 ESPP, which became effective on April 28, 2026, the date immediately preceding the date that the registration statement on Form S-1 for the Company's IPO was declared effective by the SEC. The 2026 ESPP initially reserved 370,000 shares of common stock for future issuance and is subject to automatic increases in the number of shares of common stock reserved for future issuances in accordance with the evergreen provisions in the 2026 ESPP.</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Employee Stock Options Valuation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estimates the fair value of stock options on the date of grant using the Black-Scholes option-pricing model. The Black-Scholes option-pricing model requires estimates of highly subjective assumptions, which affect the fair value of each stock option. The assumptions used to determine the fair values of stock options granted to employees, directors, and certain consultants are as follows:</w:t>
      </w:r>
    </w:p>
    <w:p>
      <w:pPr>
        <w:pStyle w:val="TextBody"/>
        <w:bidi w:val="0"/>
        <w:jc w:val="left"/>
        <w:rPr/>
      </w:pPr>
      <w:r>
        <w:rPr/>
        <w:t> </w:t>
      </w:r>
    </w:p>
    <w:tbl>
      <w:tblPr>
        <w:tblW w:w="10119" w:type="dxa"/>
        <w:jc w:val="left"/>
        <w:tblInd w:w="0" w:type="dxa"/>
        <w:tblLayout w:type="fixed"/>
        <w:tblCellMar>
          <w:top w:w="28" w:type="dxa"/>
          <w:left w:w="28" w:type="dxa"/>
          <w:bottom w:w="28" w:type="dxa"/>
          <w:right w:w="28" w:type="dxa"/>
        </w:tblCellMar>
      </w:tblPr>
      <w:tblGrid>
        <w:gridCol w:w="3331"/>
        <w:gridCol w:w="146"/>
        <w:gridCol w:w="382"/>
        <w:gridCol w:w="909"/>
        <w:gridCol w:w="387"/>
        <w:gridCol w:w="208"/>
        <w:gridCol w:w="355"/>
        <w:gridCol w:w="785"/>
        <w:gridCol w:w="271"/>
        <w:gridCol w:w="146"/>
        <w:gridCol w:w="355"/>
        <w:gridCol w:w="845"/>
        <w:gridCol w:w="353"/>
        <w:gridCol w:w="190"/>
        <w:gridCol w:w="355"/>
        <w:gridCol w:w="785"/>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4.1 - 4.3%</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4.0 - 4.1%</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of options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5.6 - 6.1</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5.9 - 6.1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5.6 - 6.1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5.9 - 6.1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of underlying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77.0 - 79.4%</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66.3 - 66.6%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69.7 - 79.6%</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66.3 - 66.6%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underlying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$7.93 - $12.97</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$5.41-$10.48</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stock option activity:</w:t>
      </w:r>
    </w:p>
    <w:p>
      <w:pPr>
        <w:pStyle w:val="TextBody"/>
        <w:bidi w:val="0"/>
        <w:jc w:val="left"/>
        <w:rPr/>
      </w:pPr>
      <w:r>
        <w:rPr/>
        <w:t> </w:t>
      </w:r>
    </w:p>
    <w:tbl>
      <w:tblPr>
        <w:tblW w:w="8657" w:type="dxa"/>
        <w:jc w:val="left"/>
        <w:tblInd w:w="0" w:type="dxa"/>
        <w:tblLayout w:type="fixed"/>
        <w:tblCellMar>
          <w:top w:w="28" w:type="dxa"/>
          <w:left w:w="28" w:type="dxa"/>
          <w:bottom w:w="28" w:type="dxa"/>
          <w:right w:w="28" w:type="dxa"/>
        </w:tblCellMar>
      </w:tblPr>
      <w:tblGrid>
        <w:gridCol w:w="3331"/>
        <w:gridCol w:w="146"/>
        <w:gridCol w:w="146"/>
        <w:gridCol w:w="931"/>
        <w:gridCol w:w="166"/>
        <w:gridCol w:w="146"/>
        <w:gridCol w:w="242"/>
        <w:gridCol w:w="658"/>
        <w:gridCol w:w="146"/>
        <w:gridCol w:w="146"/>
        <w:gridCol w:w="236"/>
        <w:gridCol w:w="755"/>
        <w:gridCol w:w="146"/>
        <w:gridCol w:w="146"/>
        <w:gridCol w:w="239"/>
        <w:gridCol w:w="886"/>
        <w:gridCol w:w="1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Stock</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br/>
              <w:t>Contractual</w:t>
              <w:br/>
              <w:t>Life</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 xml:space="preserve">Intrinsic </w:t>
              <w:br/>
              <w:t xml:space="preserve">Value </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2,838,091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6,853,621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2,447,891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67,289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The weighted-average grant date fair value of stock options granted in the three and six months ended June 30, 2026 was $12.86 and $12.00, respectively. The weighted-average grant date fair value of stock options granted in the three and six months ended June 30, 2025 was $3.05. The total intrinsic value of stock options exercised during the three and six months ended June 30, 2026 was $6 thousand and $27 thousand, respectively. There were no options exercised during the three and six months ended June 30, 2025. As of June 30, 2026, total stock-based compensation cost not yet recognized related to unvested stock options was $37.00 million, which is expected to be recognized over a weighted-average period of 2.4 years. Stock-based compensation expense recognized in the accompanying consolidated statements of comprehensive loss for the three and six months ended June 30, 2026 and 2025, included the following (in thousands):</w:t>
      </w:r>
    </w:p>
    <w:p>
      <w:pPr>
        <w:pStyle w:val="TextBody"/>
        <w:bidi w:val="0"/>
        <w:jc w:val="left"/>
        <w:rPr/>
      </w:pPr>
      <w:r>
        <w:rPr/>
        <w:t> </w:t>
      </w:r>
    </w:p>
    <w:tbl>
      <w:tblPr>
        <w:tblW w:w="7418" w:type="dxa"/>
        <w:jc w:val="left"/>
        <w:tblInd w:w="0" w:type="dxa"/>
        <w:tblLayout w:type="fixed"/>
        <w:tblCellMar>
          <w:top w:w="28" w:type="dxa"/>
          <w:left w:w="28" w:type="dxa"/>
          <w:bottom w:w="28" w:type="dxa"/>
          <w:right w:w="28" w:type="dxa"/>
        </w:tblCellMar>
      </w:tblPr>
      <w:tblGrid>
        <w:gridCol w:w="2311"/>
        <w:gridCol w:w="146"/>
        <w:gridCol w:w="257"/>
        <w:gridCol w:w="697"/>
        <w:gridCol w:w="178"/>
        <w:gridCol w:w="178"/>
        <w:gridCol w:w="257"/>
        <w:gridCol w:w="697"/>
        <w:gridCol w:w="146"/>
        <w:gridCol w:w="146"/>
        <w:gridCol w:w="235"/>
        <w:gridCol w:w="637"/>
        <w:gridCol w:w="162"/>
        <w:gridCol w:w="162"/>
        <w:gridCol w:w="235"/>
        <w:gridCol w:w="637"/>
        <w:gridCol w:w="146"/>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operates and manages its business as one operating segment and one reportable segment, which is focused on developing targeted therapies to treat rare lung diseases. The chief operating decision maker, or CODM, manages the Company’s operations on a consolidated basis, assesses performance for the operating segment and decides how to allocate resources based on consolidated operating results, which is reported on the consolidated statements of comprehensive loss.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monitoring of budgeted versus actual results is used in assessing the performance of the operating segment and in establishing resource allocation across the organization. Depreciation expense, amortization expense, stock-based compensation expense, and non-cash lease expense are significant noncash items included in net loss and reported on the consolidated statements of cash flows. The measure of segment assets is reported on the consolidated balance sheets as total assets. Expenditures for additions to long-lived assets, which include purchases of property and equipment, are included in total assets, reviewed by the CODM, and are reported on the consolidated statements of cash flows.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represents information about segment loss and significant segment expenses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22"/>
        <w:gridCol w:w="346"/>
        <w:gridCol w:w="211"/>
        <w:gridCol w:w="676"/>
        <w:gridCol w:w="346"/>
        <w:gridCol w:w="346"/>
        <w:gridCol w:w="211"/>
        <w:gridCol w:w="676"/>
        <w:gridCol w:w="166"/>
        <w:gridCol w:w="146"/>
        <w:gridCol w:w="211"/>
        <w:gridCol w:w="676"/>
        <w:gridCol w:w="146"/>
        <w:gridCol w:w="146"/>
        <w:gridCol w:w="211"/>
        <w:gridCol w:w="676"/>
        <w:gridCol w:w="393"/>
      </w:tblGrid>
      <w:tr>
        <w:trPr/>
        <w:tc>
          <w:tcPr>
            <w:tcW w:w="46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research and development expenses by program:</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AP01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13,600</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23,459</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AP02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AP03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 (excluding stock-based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5,774</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Facility and information technology allocated expenses</w:t>
              <w:br/>
              <w:t>   and other research and development costs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 (excluding stock-based compensation)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Facility expenses and information technology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corporate expenses and professional fees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28,935</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37,694</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pPr>
      <w:r>
        <w:rPr>
          <w:rFonts w:ascii="Times New Roman" w:hAnsi="Times New Roman"/>
          <w:color w:val="000000"/>
          <w:sz w:val="20"/>
        </w:rPr>
        <w:t>For the three months ended June 30, 2026 and 2025, other segment items consist of $2.5</w:t>
      </w:r>
      <w:r>
        <w:rPr>
          <w:color w:val="000000"/>
        </w:rPr>
        <w:t xml:space="preserve"> </w:t>
      </w:r>
      <w:r>
        <w:rPr>
          <w:rFonts w:ascii="Times New Roman" w:hAnsi="Times New Roman"/>
          <w:color w:val="000000"/>
          <w:sz w:val="20"/>
        </w:rPr>
        <w:t>million and $1.1</w:t>
      </w:r>
      <w:r>
        <w:rPr>
          <w:color w:val="000000"/>
        </w:rPr>
        <w:t xml:space="preserve"> </w:t>
      </w:r>
      <w:r>
        <w:rPr>
          <w:rFonts w:ascii="Times New Roman" w:hAnsi="Times New Roman"/>
          <w:color w:val="000000"/>
          <w:sz w:val="20"/>
        </w:rPr>
        <w:t>million of interest income, respectively, $0.2</w:t>
      </w:r>
      <w:r>
        <w:rPr>
          <w:color w:val="000000"/>
        </w:rPr>
        <w:t xml:space="preserve"> </w:t>
      </w:r>
      <w:r>
        <w:rPr>
          <w:rFonts w:ascii="Times New Roman" w:hAnsi="Times New Roman"/>
          <w:color w:val="000000"/>
          <w:sz w:val="20"/>
        </w:rPr>
        <w:t>million and $0.4</w:t>
      </w:r>
      <w:r>
        <w:rPr>
          <w:color w:val="000000"/>
        </w:rPr>
        <w:t xml:space="preserve"> </w:t>
      </w:r>
      <w:r>
        <w:rPr>
          <w:rFonts w:ascii="Times New Roman" w:hAnsi="Times New Roman"/>
          <w:color w:val="000000"/>
          <w:sz w:val="20"/>
        </w:rPr>
        <w:t>million of accretion of marketable securities, respectively, $2.8</w:t>
      </w:r>
      <w:r>
        <w:rPr>
          <w:color w:val="000000"/>
        </w:rPr>
        <w:t xml:space="preserve"> </w:t>
      </w:r>
      <w:r>
        <w:rPr>
          <w:rFonts w:ascii="Times New Roman" w:hAnsi="Times New Roman"/>
          <w:color w:val="000000"/>
          <w:sz w:val="20"/>
        </w:rPr>
        <w:t>million and</w:t>
      </w:r>
      <w:r>
        <w:rPr>
          <w:color w:val="000000"/>
        </w:rPr>
        <w:t xml:space="preserve"> </w:t>
      </w:r>
      <w:r>
        <w:rPr>
          <w:rFonts w:ascii="Times New Roman" w:hAnsi="Times New Roman"/>
          <w:color w:val="000000"/>
          <w:sz w:val="20"/>
        </w:rPr>
        <w:t>$1.1</w:t>
      </w:r>
      <w:r>
        <w:rPr>
          <w:color w:val="000000"/>
        </w:rPr>
        <w:t xml:space="preserve"> </w:t>
      </w:r>
      <w:r>
        <w:rPr>
          <w:rFonts w:ascii="Times New Roman" w:hAnsi="Times New Roman"/>
          <w:color w:val="000000"/>
          <w:sz w:val="20"/>
        </w:rPr>
        <w:t>million of stock-based compensation expense, respectively, $0.3</w:t>
      </w:r>
      <w:r>
        <w:rPr>
          <w:color w:val="000000"/>
        </w:rPr>
        <w:t xml:space="preserve"> </w:t>
      </w:r>
      <w:r>
        <w:rPr>
          <w:rFonts w:ascii="Times New Roman" w:hAnsi="Times New Roman"/>
          <w:color w:val="000000"/>
          <w:sz w:val="20"/>
        </w:rPr>
        <w:t>million and zero</w:t>
      </w:r>
      <w:r>
        <w:rPr>
          <w:color w:val="000000"/>
        </w:rPr>
        <w:t xml:space="preserve"> </w:t>
      </w:r>
      <w:r>
        <w:rPr>
          <w:rFonts w:ascii="Times New Roman" w:hAnsi="Times New Roman"/>
          <w:color w:val="000000"/>
          <w:sz w:val="20"/>
        </w:rPr>
        <w:t>of interest expense, respectively,</w:t>
      </w:r>
      <w:r>
        <w:rPr>
          <w:color w:val="000000"/>
        </w:rPr>
        <w:t xml:space="preserve"> </w:t>
      </w:r>
      <w:r>
        <w:rPr>
          <w:rFonts w:ascii="Times New Roman" w:hAnsi="Times New Roman"/>
          <w:color w:val="000000"/>
          <w:sz w:val="20"/>
        </w:rPr>
        <w:t>and $178</w:t>
      </w:r>
      <w:r>
        <w:rPr>
          <w:color w:val="000000"/>
        </w:rPr>
        <w:t xml:space="preserve"> </w:t>
      </w:r>
      <w:r>
        <w:rPr>
          <w:rFonts w:ascii="Times New Roman" w:hAnsi="Times New Roman"/>
          <w:color w:val="000000"/>
          <w:sz w:val="20"/>
        </w:rPr>
        <w:t>thousand and $50</w:t>
      </w:r>
      <w:r>
        <w:rPr>
          <w:color w:val="000000"/>
        </w:rPr>
        <w:t xml:space="preserve"> </w:t>
      </w:r>
      <w:r>
        <w:rPr>
          <w:rFonts w:ascii="Times New Roman" w:hAnsi="Times New Roman"/>
          <w:color w:val="000000"/>
          <w:sz w:val="20"/>
        </w:rPr>
        <w:t>thousand of depreciation expense and other expenses, respectively. For the six months ended June 30, 2026 and 2025, other segment items consist of $3.4</w:t>
      </w:r>
      <w:r>
        <w:rPr>
          <w:color w:val="000000"/>
        </w:rPr>
        <w:t xml:space="preserve"> </w:t>
      </w:r>
      <w:r>
        <w:rPr>
          <w:rFonts w:ascii="Times New Roman" w:hAnsi="Times New Roman"/>
          <w:color w:val="000000"/>
          <w:sz w:val="20"/>
        </w:rPr>
        <w:t>million and $1.8</w:t>
      </w:r>
      <w:r>
        <w:rPr>
          <w:color w:val="000000"/>
        </w:rPr>
        <w:t xml:space="preserve"> </w:t>
      </w:r>
      <w:r>
        <w:rPr>
          <w:rFonts w:ascii="Times New Roman" w:hAnsi="Times New Roman"/>
          <w:color w:val="000000"/>
          <w:sz w:val="20"/>
        </w:rPr>
        <w:t>million of interest income, respectively, $0.4</w:t>
      </w:r>
      <w:r>
        <w:rPr>
          <w:color w:val="000000"/>
        </w:rPr>
        <w:t xml:space="preserve"> </w:t>
      </w:r>
      <w:r>
        <w:rPr>
          <w:rFonts w:ascii="Times New Roman" w:hAnsi="Times New Roman"/>
          <w:color w:val="000000"/>
          <w:sz w:val="20"/>
        </w:rPr>
        <w:t>million and $1.0</w:t>
      </w:r>
      <w:r>
        <w:rPr>
          <w:color w:val="000000"/>
        </w:rPr>
        <w:t xml:space="preserve"> </w:t>
      </w:r>
      <w:r>
        <w:rPr>
          <w:rFonts w:ascii="Times New Roman" w:hAnsi="Times New Roman"/>
          <w:color w:val="000000"/>
          <w:sz w:val="20"/>
        </w:rPr>
        <w:t>million accretion of marketable securities, respectively,</w:t>
      </w:r>
      <w:r>
        <w:rPr>
          <w:color w:val="000000"/>
        </w:rPr>
        <w:t xml:space="preserve"> </w:t>
      </w:r>
      <w:r>
        <w:rPr>
          <w:rFonts w:ascii="Times New Roman" w:hAnsi="Times New Roman"/>
          <w:color w:val="000000"/>
          <w:sz w:val="20"/>
        </w:rPr>
        <w:t>$4.0</w:t>
      </w:r>
      <w:r>
        <w:rPr>
          <w:color w:val="000000"/>
        </w:rPr>
        <w:t xml:space="preserve"> </w:t>
      </w:r>
      <w:r>
        <w:rPr>
          <w:rFonts w:ascii="Times New Roman" w:hAnsi="Times New Roman"/>
          <w:color w:val="000000"/>
          <w:sz w:val="20"/>
        </w:rPr>
        <w:t>million and $1.7</w:t>
      </w:r>
      <w:r>
        <w:rPr>
          <w:color w:val="000000"/>
        </w:rPr>
        <w:t xml:space="preserve"> </w:t>
      </w:r>
      <w:r>
        <w:rPr>
          <w:rFonts w:ascii="Times New Roman" w:hAnsi="Times New Roman"/>
          <w:color w:val="000000"/>
          <w:sz w:val="20"/>
        </w:rPr>
        <w:t xml:space="preserve">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of stock-based compensation expense, respectively, $0.4 million and zero of interest expense, respectively, and $228 thousand and $94 thousand of depreciation expense and other expenses,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Direct research and development expenses by program consist primarily of costs paid to third-parties including CROs, CMOs, consultants, advisors, and other clinical study-related vendors.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Unallocated research and development expenses consist primarily of personnel-rated expenses and allocated information technology and facility expenses and other research and development related costs, excluding non-cash items, such as stock-based compensation and depreciation.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and administrative expenses consist primarily of personnel-rated expenses, including salaries, payroll tax, bonuses, and benefits, and professional services fees for legal, finance, human resources, in addition to information technology expenses, rent expense, and other administrative functions, excluding non-cash expenses such as stock-based compensation and depreciation.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segment items consist primarily of interest income on cash and cash equivalents, partially offset by non-cash expenses, such as stock-based compensation and depreciation, and amortization of discounts and premiums on marketable securities.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and diluted net loss per share attributable to common stockholders was calculated as follows (in thousands, except share and per share amounts):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430"/>
        <w:gridCol w:w="211"/>
        <w:gridCol w:w="1036"/>
        <w:gridCol w:w="166"/>
        <w:gridCol w:w="146"/>
        <w:gridCol w:w="211"/>
        <w:gridCol w:w="931"/>
        <w:gridCol w:w="166"/>
        <w:gridCol w:w="146"/>
        <w:gridCol w:w="211"/>
        <w:gridCol w:w="1036"/>
        <w:gridCol w:w="166"/>
        <w:gridCol w:w="146"/>
        <w:gridCol w:w="211"/>
        <w:gridCol w:w="781"/>
        <w:gridCol w:w="211"/>
      </w:tblGrid>
      <w:tr>
        <w:trPr/>
        <w:tc>
          <w:tcPr>
            <w:tcW w:w="4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 basic and</w:t>
              <w:br/>
              <w:t>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stock used in net loss</w:t>
              <w:br/>
              <w:t>   per share, basic and diluted</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29,650,660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1,145,309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15,519,187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713,450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potentially dilutive securities, which include preferred stock, stock options, and warrants, have been excluded from the computation of diluted net loss per share as the effect is anti-dilutive since they would reduce basic net loss per share. Therefore, the weighted-average number of common stock outstanding used to calculate both basic and diluted net loss per share attributable to common stockholders is the same. The following table summarizes the potentially dilutive common shares excluded from the computation of diluted net loss per share attributable to common stockholders: </w:t>
      </w:r>
    </w:p>
    <w:p>
      <w:pPr>
        <w:pStyle w:val="TextBody"/>
        <w:bidi w:val="0"/>
        <w:jc w:val="left"/>
        <w:rPr/>
      </w:pPr>
      <w:r>
        <w:rPr/>
        <w:t> </w:t>
      </w:r>
    </w:p>
    <w:tbl>
      <w:tblPr>
        <w:tblW w:w="4409" w:type="dxa"/>
        <w:jc w:val="left"/>
        <w:tblInd w:w="0" w:type="dxa"/>
        <w:tblLayout w:type="fixed"/>
        <w:tblCellMar>
          <w:top w:w="28" w:type="dxa"/>
          <w:left w:w="28" w:type="dxa"/>
          <w:bottom w:w="28" w:type="dxa"/>
          <w:right w:w="28" w:type="dxa"/>
        </w:tblCellMar>
      </w:tblPr>
      <w:tblGrid>
        <w:gridCol w:w="1321"/>
        <w:gridCol w:w="146"/>
        <w:gridCol w:w="146"/>
        <w:gridCol w:w="931"/>
        <w:gridCol w:w="146"/>
        <w:gridCol w:w="146"/>
        <w:gridCol w:w="146"/>
        <w:gridCol w:w="1036"/>
        <w:gridCol w:w="3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23,346,298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2,800,971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7,076,451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26,370,099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Term Loan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February 2026, the Company entered into a Loan and Security Agreement, or the LSA, with Banc of California (the Lender) for the issuance of a term loan facility with an aggregate principal amount of up to $30.0 million (the "Term Loan"). The Term Loan bears interest at an annual rate equal to the greater of the prime rate then in effect or 5%, payable monthly. The prime rate in effect as of June 30, 2026 was 6.75%. The maturity date of the Term Loan is June 30, 2030. In February 2026, the Company borrowed $15.0 million under the facility and the additional $15.0 million is available for drawdown through December 31, 2027.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the LSA, the Company granted the Lender a senior security interest in the Company’s property and other assets, which has priority over any existing or future indebtedness and related security interests, subject to limited exceptions, including the Company’s intellectual property. The LSA contains negative covenants that, among other things and subject to certain exceptions,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could restrict the Company's ability to incur additional liens, incur additional indebtedness, sell or dispose of assets that constitute collateral, including certain intellectual property, and make payments of certain subordinated indebtedness. The LSA also contains certain events of default, including in the event of a material adverse change, and representations and warranties from the Company. Upon the occurrence of an event of default, Banc of California may declare all outstanding obligations immediately due and payable, take such other actions as set forth in the LSA, and increase the interest rate otherwise applicable to the amount outstanding under the LSA by an additional 3.00%. The Company is in compliance with such covenants at June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paid debt issuance costs of approximately $0.2 million in connection with the term loan facility. In addition, the Company issued a warrant to the Lender to purchase 22,500 shares of the Company’s common stock with the exercise price of $9.81 per share. The Company estimated the fair value of the warrant to be approximately $8.08 per share using a Black-Scholes option pricing model. The warrant will expire ten years from the date of issuance. The fair value of the warrant at issuance was $0.2 million and was recorded in Stockholders' Deficit.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issuance costs, which includes the amounts paid and the fair value of the warrant, that are directly attributable to the funded portion of the loan have been presented as a direct deduction from the carrying value of the debt and are being amortized to interest expense over the term of the facility using the effective interest method. Issuance costs attributable to the undrawn portion of the facility of $0.2 million have been capitalized within other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issued 22,500 warrants in connection with the Company's term loan facility with Banc of California, N.A. at an exercise price of $9.81 per share. The fair value of the warrants issued in connection with the term loan was recorded to additional paid-in capital with an offsetting debt discount, which is amortized to interest expense over the term of the related 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1, 2026, Banc of California, N.A. submitted a notice of exercise for 22,500 warrants. Pursuant to the terms of the warrant agreement, the warrants were exercised on a cashless basis. In connection with the exercise, the Company issued 15,012 shares of common stock. The number of shares issued upon the cashless exercise was determined by dividing (i) the product of the number of warrants exercised multiplied by the excess of the fair market value of the Company's common stock over the aggregate exercise price by (ii) the fair market value of the Company's common stock. The fair market value used in the calculation was $29.49 per share, representing the closing price of the Company's common stock on April 30, 2026. No fractional shares were issued.</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the carrying value of the term loans consisted of the following (in thousands):</w:t>
      </w:r>
    </w:p>
    <w:p>
      <w:pPr>
        <w:pStyle w:val="TextBody"/>
        <w:bidi w:val="0"/>
        <w:jc w:val="both"/>
        <w:rPr/>
      </w:pPr>
      <w:r>
        <w:rPr/>
        <w:t> </w:t>
      </w:r>
    </w:p>
    <w:tbl>
      <w:tblPr>
        <w:tblW w:w="3855" w:type="dxa"/>
        <w:jc w:val="left"/>
        <w:tblInd w:w="0" w:type="dxa"/>
        <w:tblLayout w:type="fixed"/>
        <w:tblCellMar>
          <w:top w:w="28" w:type="dxa"/>
          <w:left w:w="28" w:type="dxa"/>
          <w:bottom w:w="28" w:type="dxa"/>
          <w:right w:w="28" w:type="dxa"/>
        </w:tblCellMar>
      </w:tblPr>
      <w:tblGrid>
        <w:gridCol w:w="2611"/>
        <w:gridCol w:w="146"/>
        <w:gridCol w:w="211"/>
        <w:gridCol w:w="676"/>
        <w:gridCol w:w="21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discount, net of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net of discount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14,801</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June 30, 2026, the $15.0 million borrowed under the facility is recorded in non-current liabilities as no principal payments were due in the next 12 months. During the three and six months ended June 30, 2026, the Company recorded $272.0 thousand and $370.0 thousand of interest expense related to the term loan, respectively, of which $17.0 thousand and $22.0 thousand were related to the amortization of the debt discounts,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Estimated future principal payments due under the Term Loan are as follows as of June 30, 2026 (in thousands):</w:t>
      </w:r>
    </w:p>
    <w:p>
      <w:pPr>
        <w:pStyle w:val="TextBody"/>
        <w:bidi w:val="0"/>
        <w:jc w:val="both"/>
        <w:rPr/>
      </w:pPr>
      <w:r>
        <w:rPr/>
        <w:t> </w:t>
      </w:r>
    </w:p>
    <w:tbl>
      <w:tblPr>
        <w:tblW w:w="3413" w:type="dxa"/>
        <w:jc w:val="left"/>
        <w:tblInd w:w="0" w:type="dxa"/>
        <w:tblLayout w:type="fixed"/>
        <w:tblCellMar>
          <w:top w:w="28" w:type="dxa"/>
          <w:left w:w="28" w:type="dxa"/>
          <w:bottom w:w="28" w:type="dxa"/>
          <w:right w:w="28" w:type="dxa"/>
        </w:tblCellMar>
      </w:tblPr>
      <w:tblGrid>
        <w:gridCol w:w="2161"/>
        <w:gridCol w:w="146"/>
        <w:gridCol w:w="217"/>
        <w:gridCol w:w="698"/>
        <w:gridCol w:w="19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 Loan</w:t>
              <w:br/>
              <w:t>Principal</w:t>
              <w:br/>
              <w:t>Payments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principal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did not record a provision or benefit for income taxes during the six months ended June 30, 2026 and 2025. The Company continues to maintain a full valuation allowance against its U.S. federal and state deferred tax assets as it is more likely than not that such assets will not be realized in the future.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and December 31, 2025, the Company had no uncertain tax positions relevant to the jurisdictions where it is required to file income tax returns requiring recognition in the consolidated financial statements. As of June 30, 2026 and December 31, 2025, the Company had no accrued interest or penalties related to uncertain tax positions.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License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April 2017, the Company entered into a license agreement, or the PARI License Agreement, with PARI Pharma GmbH, or PARI. Pursuant to the PARI License Agreement, PARI granted the Company an exclusive, sublicensable license to use its nebulizer devices for the development and commercialization of certain inhalant drug products as outlined in the PARI License Agreement. PARI additionally granted the Company a non-exclusive, sublicensable license to use certain proprietary accessories owned or controlled by PARI with the nebulizer devices for development of the drug products, as well as a non-sublicensable, exclusive sublicense to use certain Novartis patent rights which PARI licensed from Novartis for use with the nebulizer devices. PARI also granted the Company certain options to expand the licenses granted which would separately require amendments to the PARI License Agreement.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consideration for the PARI License Agreement, the Company paid a non-refundable up-front initial payment of 400 thousand EUR ($0.4 million). In addition, the Company agreed to make payments upon the achievement of certain developmental and regulatory milestones as it relates to its Drug Product, including initiation of Phase 2 and Phase 3 clinical trials, acceptance for filing by either the FDA or the European Medicines Agency, or the EMA, and approval by either the FDA or the EMA. Upon the achievement of these development and regulatory milestones, the Company is required to make payments up to, in aggregate, a low-mid single</w:t>
        <w:noBreakHyphen/>
        <w:t>digit million</w:t>
        <w:noBreakHyphen/>
        <w:t>euro amount for products using the device. The Company is additionally required to pay a mid six</w:t>
        <w:noBreakHyphen/>
        <w:t>figure</w:t>
        <w:noBreakHyphen/>
        <w:t>euro amount in the event that the Company consolidates or merges in a transaction in which 50% of the voting power of the Company is sold. After approval occurs, the Company is also required to pay PARI royalties equal to mid-single-digit percentage of net sales over a certain period. Further, following the first year of commercial sales in a major market, the Company shall pay a minimum annual royalty equal to a mid-single-digit percentage through the end of the relevant royalty term. Through June 30, 2026, the Company has met one developmental milestone, for which the payment was expensed to research and development when incurred. There were no regulatory milestones achieved during the six months ended June 30, 2026 and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10" w:name="item_2_managements_discussion_and_analys"/>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in conjunction with our unaudited condensed consolidated financial statements and related notes and other financial information included elsewhere in this Quarterly Report and our audited consolidated financial statements for the years ended December 31, 2025 and 2024,and related notes included in our final prospectus for our initial public offering, or the IPO, filed with the SEC pursuant to Rule 424(b)(4) under the Securities Act of 1933, as amended, or the Securities Act, on April 30, 2026, or the IPO Prospectus. References to the "Company," “Avalyn,” “Avalyn Pharma” “we,” “our,” “us,” or similar terms refer to Avalyn Pharma Inc. and its wholly owned subsidiaries, or either or all of them as the context may require. This discussion and analysis and other parts of this Quarterly Report contain forward-looking statements based upon our current plans and expectations that involve risks, uncertainties and assumptions, such as statements regarding our plans, strategies, objectives, expectations, intentions, and beliefs. The historical results are not necessarily indicative of results that may be expected in the future. Our actual results and the timing of events could differ materially from those anticipated in these forward-looking statements as a result of various factors, including those set forth under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“Special Note Regarding Forward-Looking Statements.” Our historical results are not necessarily indicative of the results that may be expected for any period in the future.</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clinical-stage biopharmaceutical company on a mission to revolutionize the current treatment landscape for rare respiratory diseases, including progressive pulmonary fibrosis, or PPF, idiopathic pulmonary fibrosis, or IPF, and other interstitial lung diseases, or ILDs.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lead product candidate, AP01 (inhaled pirfenidone), is an optimized inhaled formulation of pirfenidone currently being evaluated in MIST, a global Phase 2b clinical trial in patients with PPF. AP01 has indicated encouraging tolerability and clinical activity in the ATLAS Phase 1b trial in patients with IPF and ongoing, multi-year SAIL open-label extension study in IPF and PPF patients, with long-term data supporting the potential to preserve lung function while improving tolerability relative to historical oral pirfenidone data. MIST is a randomized, double-blind, placebo-controlled trial evaluating two doses of AP01 in patients with PPF. This 52-week trial is designed to assess safety and efficacy of AP01, with a primary endpoint of change in lung function measured by forced vital capacity, or FVC. The study overenrolled, with a total of 398 patients randomized 2:1:2 into three treatment cohorts. Topline clinical data are anticipated in the second half of 2027.</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second product candidate, AP02 (inhaled nintedanib), is an optimized inhaled formulation of nintedanib. We have completed a Phase 1 single-ascending dose, or SAD, trial in healthy volunteers and patients with IPF and a Phase 1 SAD and multiple-ascending dose, or MAD, trial in healthy volunteers. AP02 is currently being evaluated in AURA, a global Phase 2 clinical trial in patients with IPF. AURA is a randomized, double-blind study evaluating two doses of AP02 dosed twice daily in patients with IPF. The 12-week study, which is designed to enroll 160 patients, will assess safety and efficacy as measured by FVC. Topline data are anticipated in late 2027.</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advancing AP03, an inhaled fixed-dose combination of pirfenidone and nintedanib, designed to deliver multiple antifibrotic mechanisms through a single lung-targeted platform. A Phase 1 study of AP03 remains on track to initiate by the end of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our inception in 2011, we have incurred significant operating losses and have not generated any revenue. On May 1, 2026, we completed our IPO, pursuant to which we issued and sold 19,166,667 shares of common stock, which included 2,500,000 shares of common stock sold pursuant to the underwriters' exercise of their option to purchase additional shares. The aggregate net proceeds received by us from the IPO were approximately $316.6 million, after deducting underwriter discounts and commissions, as well as offering costs of $4.2 million. To date, we have funded our operations primarily with aggregate gross proceeds of $733.8 million from the sale and issuance of our common stock, preferred stock, and convertible notes, as well as the proceeds from our IPO and Term Loan (as hereinafter defined).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Due to our significant research, development, and manufacturing expenditures related to the clinical trials, we have accumulated substantial losses and negative cash flows since our inception, including net losses of $28.9 million and $20.2 million for the three months ended June 30, 2026 and 2025, respectively, and net losses of $55.8 million and $37.7 million for the six months ended June 30, 2026 and 2025, respectively. As of June 30, 2026, we had an accumulated deficit of $321.2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our expenses and operating losses will increase substantially as we: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continue to advance clinical development of our lead candidates, AP01 and AP02, and other current and future product candidates, including conducting our ongoing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continue to advance our research activities and seek to discover and develop additional product candidates to expand our pipeline;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pursue regulatory approvals for any current or future product candidates, including our lead PPF product candidate, that successfully complete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continue to utilize third parties to manufacture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continue to develop, maintain, expand, enforce, defend, and protect our intellectual property portfolio (including intellectual property obtained through license agreements) and provide reimbursement of third-party expenses related to our intellectual property portfolio;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attract, hire, and retain additional qualified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 operational, financial, and management information systems;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undertake pre-commercial activities, and scale-up external commercial-scale manufacturing capabilities, to commercialize any current or future product candidates which may receive regulatory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ultimately establish a sales, marketing and distribution infrastructure to commercialize any current or future product candidates which may receive regulatory approval;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incur additional audit, legal, regulatory, tax, and other expenses associated with being a public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have several clinical development, regulatory, and commercial milestones, as well as royalty payment obligations under our licensing arrangement and other agreements. Our net losses may fluctuate significantly from quarter to quarter and year to year, depending on the timing of our ongoing and planned clinical trials and our expenditures on other research and development activities. </w:t>
      </w:r>
    </w:p>
    <w:p>
      <w:pPr>
        <w:pStyle w:val="TextBody"/>
        <w:bidi w:val="0"/>
        <w:spacing w:before="240" w:after="283"/>
        <w:jc w:val="both"/>
        <w:rPr>
          <w:rFonts w:ascii="Times New Roman" w:hAnsi="Times New Roman"/>
          <w:sz w:val="20"/>
        </w:rPr>
      </w:pPr>
      <w:r>
        <w:rPr>
          <w:rFonts w:ascii="Times New Roman" w:hAnsi="Times New Roman"/>
          <w:color w:val="000000"/>
          <w:sz w:val="20"/>
        </w:rPr>
        <w:t>We do not have any products approved for sale and have not generated any revenue from product sales. We will not generate revenue from product sales unless and until we successfully complete clinical development and obtain regulatory approval for our current and any future product candidates, which we expect will take a number of years or may never occur. As a result, we will need substantial additional funding to support our continuing operations and pursue our growth strategy. Until we can generate significant revenue from product sales, if ever, we expect to finance our operations through a combination of equity offerings, debt financings or other capital sources, potentially including collaborations, licenses, or other strategic arrangements. See the section titled “—</w:t>
      </w:r>
      <w:r>
        <w:rPr>
          <w:rFonts w:ascii="Times New Roman" w:hAnsi="Times New Roman"/>
          <w:i/>
          <w:color w:val="000000"/>
          <w:sz w:val="20"/>
        </w:rPr>
        <w:t>Liquidity and Capital Resources</w:t>
      </w:r>
      <w:r>
        <w:rPr>
          <w:rFonts w:ascii="Times New Roman" w:hAnsi="Times New Roman"/>
          <w:color w:val="000000"/>
          <w:sz w:val="20"/>
        </w:rPr>
        <w:t xml:space="preserve">.”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Due to the numerous risks and uncertainties associated with drug development, we are unable to accurately predict the timing or amount of increased expenses or the timing of when, or if, we will be able to achieve or maintain profitability. Even if we generate product sales, we may not become profitable. If we fail to become profitable or are unable to sustain profitability on a continuing basis, then we may be unable to continue our operations at planned levels and be forced to reduce or terminate our operations. </w:t>
      </w:r>
    </w:p>
    <w:p>
      <w:pPr>
        <w:pStyle w:val="TextBody"/>
        <w:bidi w:val="0"/>
        <w:spacing w:before="240" w:after="283"/>
        <w:jc w:val="both"/>
        <w:rPr>
          <w:rFonts w:ascii="Times New Roman" w:hAnsi="Times New Roman"/>
          <w:sz w:val="20"/>
        </w:rPr>
      </w:pPr>
      <w:r>
        <w:rPr>
          <w:rFonts w:ascii="Times New Roman" w:hAnsi="Times New Roman"/>
          <w:color w:val="000000"/>
          <w:sz w:val="20"/>
        </w:rPr>
        <w:t>As of June 30, 2026, we had cash, cash equivalents, and marketable securities of $413.5 million. We believe, based on our current operating plans, that our cash, cash equivalents and investments in marketable securities will enable us to fund our operating expenses and capital expenditures into 2029. We have based this estimate on assumptions that may prove to be wrong, and we could exhaust our available capital resources sooner than we expect. See the sections titled “—Liquidity and Capital Resources” and “</w:t>
      </w:r>
      <w:r>
        <w:rPr>
          <w:rFonts w:ascii="Times New Roman" w:hAnsi="Times New Roman"/>
          <w:i/>
          <w:color w:val="000000"/>
          <w:sz w:val="20"/>
        </w:rPr>
        <w:t>Risk Factors—Risks Related to Our Financial Condition and Need for Additional Capital</w:t>
      </w:r>
      <w:r>
        <w:rPr>
          <w:rFonts w:ascii="Times New Roman" w:hAnsi="Times New Roman"/>
          <w:color w:val="000000"/>
          <w:sz w:val="20"/>
        </w:rPr>
        <w:t xml:space="preserve">” included elsewhere in this Quarterly Report.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Material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Below is a summary of the key terms for our material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PARI License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April 2017, the Company entered into a license agreement, or the PARI License Agreement, with PARI Pharma GmbH, or PARI. Pursuant to the PARI License Agreement, PARI granted the Company an exclusive, sublicensable license to use its nebulizer devices for the development and commercialization of certain inhalant drug products as outlined in the PARI License Agreement. PARI additionally granted the Company a non-exclusive, sublicensable license to use certain proprietary accessories owned or controlled by PARI with the nebulizer devices for development of the drug products, as well as a non-sublicensable, exclusive sublicense to use certain Novartis patent rights which PARI licensed from Novartis for use with the nebulizer devices. PARI also granted the Company certain options to expand the licenses granted which would separately require amendments to the PARI License Agreement.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consideration for the PARI License Agreement, we paid a non-refundable up-front initial payment of 400 thousand EUR ($0.4 million). To date, we have met one developmental milestone, for which the payment of 500 thousand EUR ($0.6 million) was expensed to research and development when the milestone was met. There were no regulatory milestones achieved during the year ended December 31, 2025, nor the six months ended June 30, 2026.</w:t>
      </w:r>
    </w:p>
    <w:p>
      <w:pPr>
        <w:pStyle w:val="TextBody"/>
        <w:bidi w:val="0"/>
        <w:spacing w:before="120" w:after="283"/>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Components of Results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operating expenses consist of (i) research and development expenses and (ii) general and administrative expenses. </w:t>
      </w:r>
    </w:p>
    <w:p>
      <w:pPr>
        <w:pStyle w:val="TextBody"/>
        <w:bidi w:val="0"/>
        <w:spacing w:before="120" w:after="283"/>
        <w:jc w:val="both"/>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expenses consist primarily of costs associated with the preclinical and clinical development of our current and potential future product candidates. Our research and development expenses include direct costs specifically attributable to our programs including external expenses incurred under arrangements with third parties, such as contract research organizations, or CROs, contract manufacturing organizations, or CMOs, consultants and our scientific advisors, and manufacturing expenditures, including costs for laboratory supplies, research materials and reagents, as well as indirect costs that are not directly attributable to a specific program such as: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personnel-related costs, including salaries, payroll tax, bonuses, benefits, and stock-based compensation for employees engaged in research and development functions;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facility costs, depreciation, and other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recognize research and development costs in the periods in which they are incurred. Most of our research and development expenses have been related to identifying and developing our product candidates. Typically, external expenses are recognized based on an evaluation of the progress to completion of specific tasks using information provided to us by our service providers as of each reporting date. Advance payments that we make for goods or services to be received in the future for use in research and development activities are recorded as prepaid expenses, which are expensed as the related goods are delivered or the services are performed, or when it is no longer expected that the goods will be delivered, or the services rendered. Significant judgments and estimates are made in determining the accrued, or prepaid expense balances at the end of any reporting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External costs represent a significant portion of our research and development expenses, which we track on a program-by-program basis following the nomination of a product candidate. Our internal research and development expenses consist primarily of personnel-related expenses, including stock-based compensation expenses and allocated expenses. We do not track our internal research and development expenses on a program-by-program basis as they relate to costs that are deployed across multiple programs.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Product candidates in later stages of development generally have higher development costs than those in earlier stages resulting from larger and more complex clinical trials, manufacturing scale-up and an increase in research and development headcount to oversee these activities. As a result, management expects that our research and development expenses will increase substantially over the next several years as we potentially advance our product candidates into later-stage development efforts. </w:t>
      </w:r>
    </w:p>
    <w:p>
      <w:pPr>
        <w:pStyle w:val="TextBody"/>
        <w:bidi w:val="0"/>
        <w:spacing w:before="36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expenses consist primarily of personnel-related costs, including salaries, payroll tax, bonuses, benefits, and stock-based compensation charges for those individuals in executive, legal, finance, human resources, information technology, and other administrative functions. Other significant costs include professional service fees, including legal fees relating to intellectual property and corporate matters, and auditing, accounting, tax, and consulting services, as well as facilities and depreciation expense, and other general and administrative expenses that are allocated. We recognize general and administrative expenses in the periods in which they are incurred.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anticipate that our general and administrative expenses will increase as we operate as a public company, as a result of increased personnel costs, including salaries, benefits and stock-based compensation expense, patent costs for our product candidates, expanded infrastructure, and higher legal, consulting and accounting services associated with maintaining compliance with the listing requirements of the Nasdaq Stock Market LLC and rules and regulations promulgated under the Exchange Act, investor relations costs and director and officer insurance premiums associated with being a public company.</w:t>
      </w:r>
    </w:p>
    <w:p>
      <w:pPr>
        <w:pStyle w:val="TextBody"/>
        <w:bidi w:val="0"/>
        <w:spacing w:before="36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Interest income consists primarily of interest earned and the amortization or accretion of discounts or premiums on our cash equivalents and investments in marketable securities. </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expense consists of interest paid on our Term Loan, as well as non-cash interest expense for amortization of our debt discounts.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Income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expense consists of realized and unrealized foreign currency gains and losses, as well as gains and losses on disposals of fixed assets.</w:t>
      </w:r>
    </w:p>
    <w:p>
      <w:pPr>
        <w:pStyle w:val="TextBody"/>
        <w:bidi w:val="0"/>
        <w:spacing w:before="360" w:after="283"/>
        <w:jc w:val="left"/>
        <w:rPr>
          <w:rFonts w:ascii="Times New Roman" w:hAnsi="Times New Roman"/>
          <w:sz w:val="20"/>
        </w:rPr>
      </w:pPr>
      <w:r>
        <w:rPr>
          <w:rFonts w:ascii="Times New Roman" w:hAnsi="Times New Roman"/>
          <w:i/>
          <w:color w:val="000000"/>
          <w:sz w:val="20"/>
        </w:rPr>
        <w:t>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our inception, we have not recorded any income tax benefits or expenses for the net losses we have incurred in each period or for our earned research and development tax credits, as we believe, based upon the weight of available evidence, that it is more likely than not that all of our NOLs and tax credits will not be realized. As of December 31, 2025, we had NOLs for federal and state income tax purposes of $190.3 million and $58.8 million, respectively. Of this amount, $9.9 million of the NOLs begin to expire in 2031, and the remainder are indefinite lived. The net state operating loss carryforwards will begin to expire in 2043. These loss carryforwards are available to reduce future federal taxable income, if any. As of December 31, 2025, we have recorded a full valuation allowance against our net deferred tax assets.</w:t>
      </w:r>
    </w:p>
    <w:p>
      <w:pPr>
        <w:pStyle w:val="TextBody"/>
        <w:bidi w:val="0"/>
        <w:spacing w:before="360" w:after="283"/>
        <w:jc w:val="left"/>
        <w:rPr>
          <w:rFonts w:ascii="Times New Roman" w:hAnsi="Times New Roman"/>
          <w:sz w:val="20"/>
        </w:rPr>
      </w:pPr>
      <w:r>
        <w:rPr>
          <w:rFonts w:ascii="Times New Roman" w:hAnsi="Times New Roman"/>
          <w:b/>
          <w:i/>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results of operations (in thousands): </w:t>
      </w:r>
    </w:p>
    <w:p>
      <w:pPr>
        <w:pStyle w:val="TextBody"/>
        <w:bidi w:val="0"/>
        <w:spacing w:before="120" w:after="283"/>
        <w:jc w:val="both"/>
        <w:rPr/>
      </w:pPr>
      <w:r>
        <w:rPr/>
        <w:t> </w:t>
      </w:r>
    </w:p>
    <w:tbl>
      <w:tblPr>
        <w:tblW w:w="6715" w:type="dxa"/>
        <w:jc w:val="left"/>
        <w:tblInd w:w="0" w:type="dxa"/>
        <w:tblLayout w:type="fixed"/>
        <w:tblCellMar>
          <w:top w:w="28" w:type="dxa"/>
          <w:left w:w="28" w:type="dxa"/>
          <w:bottom w:w="28" w:type="dxa"/>
          <w:right w:w="28" w:type="dxa"/>
        </w:tblCellMar>
      </w:tblPr>
      <w:tblGrid>
        <w:gridCol w:w="2561"/>
        <w:gridCol w:w="146"/>
        <w:gridCol w:w="216"/>
        <w:gridCol w:w="756"/>
        <w:gridCol w:w="170"/>
        <w:gridCol w:w="149"/>
        <w:gridCol w:w="216"/>
        <w:gridCol w:w="756"/>
        <w:gridCol w:w="166"/>
        <w:gridCol w:w="146"/>
        <w:gridCol w:w="211"/>
        <w:gridCol w:w="631"/>
        <w:gridCol w:w="591"/>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6,561</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31,290</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(28,935</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research and development expenses (in thousands): </w:t>
      </w:r>
    </w:p>
    <w:p>
      <w:pPr>
        <w:pStyle w:val="TextBody"/>
        <w:bidi w:val="0"/>
        <w:spacing w:before="120" w:after="283"/>
        <w:jc w:val="both"/>
        <w:rPr/>
      </w:pPr>
      <w:r>
        <w:rPr/>
        <w:t> </w:t>
      </w:r>
    </w:p>
    <w:tbl>
      <w:tblPr>
        <w:tblW w:w="8756" w:type="dxa"/>
        <w:jc w:val="left"/>
        <w:tblInd w:w="0" w:type="dxa"/>
        <w:tblLayout w:type="fixed"/>
        <w:tblCellMar>
          <w:top w:w="28" w:type="dxa"/>
          <w:left w:w="28" w:type="dxa"/>
          <w:bottom w:w="28" w:type="dxa"/>
          <w:right w:w="28" w:type="dxa"/>
        </w:tblCellMar>
      </w:tblPr>
      <w:tblGrid>
        <w:gridCol w:w="4881"/>
        <w:gridCol w:w="146"/>
        <w:gridCol w:w="231"/>
        <w:gridCol w:w="741"/>
        <w:gridCol w:w="160"/>
        <w:gridCol w:w="160"/>
        <w:gridCol w:w="231"/>
        <w:gridCol w:w="741"/>
        <w:gridCol w:w="146"/>
        <w:gridCol w:w="146"/>
        <w:gridCol w:w="211"/>
        <w:gridCol w:w="571"/>
        <w:gridCol w:w="391"/>
      </w:tblGrid>
      <w:tr>
        <w:trPr/>
        <w:tc>
          <w:tcPr>
            <w:tcW w:w="4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research and development expenses by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AP01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13,600</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AP02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AP03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Facility and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research and development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24,729</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Research and development expenses increased by $6.8 million to $24.7 million for the three months ended June 30, 2026, from $17.9 million for the three months ended June 30, 2025. The increase in research and development expenses was primarily attributable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$1.1 million increase of direct costs associated with our AP01 program costs driven by the progression of the Phase 2b clinical trial and ongoing OLE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$3.6 million increase of direct costs associated with our AP02 program costs driven by the progression of the Phase 2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$0.3 million increase of direct costs associated with our AP03 program, primarily due to the timing of expenses related to IND-enabling activities and scale-up activities;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increase in unallocated research and development expenses, primarily attributable to a $1.8 million increase in personnel-related expenses as a result of an increase in headcount.</w:t>
      </w:r>
    </w:p>
    <w:p>
      <w:pPr>
        <w:pStyle w:val="TextBody"/>
        <w:bidi w:val="0"/>
        <w:spacing w:before="36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general and administrative expenses (in thousands): </w:t>
      </w:r>
    </w:p>
    <w:tbl>
      <w:tblPr>
        <w:tblW w:w="8556" w:type="dxa"/>
        <w:jc w:val="left"/>
        <w:tblInd w:w="0" w:type="dxa"/>
        <w:tblLayout w:type="fixed"/>
        <w:tblCellMar>
          <w:top w:w="28" w:type="dxa"/>
          <w:left w:w="28" w:type="dxa"/>
          <w:bottom w:w="28" w:type="dxa"/>
          <w:right w:w="28" w:type="dxa"/>
        </w:tblCellMar>
      </w:tblPr>
      <w:tblGrid>
        <w:gridCol w:w="4681"/>
        <w:gridCol w:w="146"/>
        <w:gridCol w:w="257"/>
        <w:gridCol w:w="697"/>
        <w:gridCol w:w="178"/>
        <w:gridCol w:w="178"/>
        <w:gridCol w:w="257"/>
        <w:gridCol w:w="697"/>
        <w:gridCol w:w="146"/>
        <w:gridCol w:w="146"/>
        <w:gridCol w:w="211"/>
        <w:gridCol w:w="571"/>
        <w:gridCol w:w="39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 &amp;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6,561</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General and administrative expenses increased by $2.7 million to $6.6 million for the three months ended June 30, 2026, from $3.9 million for the three months ended June 30, 2025. The increase in general and administrative expenses was primarily attributable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$1.4 million increase in personnel-related expenses, including stock-based compensation, driven by the increase of G&amp;A headcount to support expanded research and development activities and overall corporate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$0.8 million increase in professional services and fees primarily driven by external legal and general G&amp;A consulting costs to support public company operations;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$0.5 million increase in facility expenses primarily associated with our office sublease entered in September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results of operations (in thousands): </w:t>
      </w:r>
    </w:p>
    <w:p>
      <w:pPr>
        <w:pStyle w:val="TextBody"/>
        <w:bidi w:val="0"/>
        <w:jc w:val="both"/>
        <w:rPr/>
      </w:pPr>
      <w:r>
        <w:rPr/>
        <w:t> </w:t>
      </w:r>
    </w:p>
    <w:tbl>
      <w:tblPr>
        <w:tblW w:w="6763" w:type="dxa"/>
        <w:jc w:val="left"/>
        <w:tblInd w:w="0" w:type="dxa"/>
        <w:tblLayout w:type="fixed"/>
        <w:tblCellMar>
          <w:top w:w="28" w:type="dxa"/>
          <w:left w:w="28" w:type="dxa"/>
          <w:bottom w:w="28" w:type="dxa"/>
          <w:right w:w="28" w:type="dxa"/>
        </w:tblCellMar>
      </w:tblPr>
      <w:tblGrid>
        <w:gridCol w:w="2561"/>
        <w:gridCol w:w="146"/>
        <w:gridCol w:w="211"/>
        <w:gridCol w:w="736"/>
        <w:gridCol w:w="166"/>
        <w:gridCol w:w="146"/>
        <w:gridCol w:w="211"/>
        <w:gridCol w:w="736"/>
        <w:gridCol w:w="166"/>
        <w:gridCol w:w="146"/>
        <w:gridCol w:w="211"/>
        <w:gridCol w:w="736"/>
        <w:gridCol w:w="591"/>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research and development expenses (in thousands): </w:t>
      </w:r>
    </w:p>
    <w:p>
      <w:pPr>
        <w:pStyle w:val="TextBody"/>
        <w:bidi w:val="0"/>
        <w:jc w:val="both"/>
        <w:rPr/>
      </w:pPr>
      <w:r>
        <w:rPr/>
        <w:t> </w:t>
      </w:r>
    </w:p>
    <w:tbl>
      <w:tblPr>
        <w:tblW w:w="8665" w:type="dxa"/>
        <w:jc w:val="left"/>
        <w:tblInd w:w="0" w:type="dxa"/>
        <w:tblLayout w:type="fixed"/>
        <w:tblCellMar>
          <w:top w:w="28" w:type="dxa"/>
          <w:left w:w="28" w:type="dxa"/>
          <w:bottom w:w="28" w:type="dxa"/>
          <w:right w:w="28" w:type="dxa"/>
        </w:tblCellMar>
      </w:tblPr>
      <w:tblGrid>
        <w:gridCol w:w="4881"/>
        <w:gridCol w:w="146"/>
        <w:gridCol w:w="211"/>
        <w:gridCol w:w="677"/>
        <w:gridCol w:w="146"/>
        <w:gridCol w:w="146"/>
        <w:gridCol w:w="211"/>
        <w:gridCol w:w="677"/>
        <w:gridCol w:w="146"/>
        <w:gridCol w:w="146"/>
        <w:gridCol w:w="211"/>
        <w:gridCol w:w="676"/>
        <w:gridCol w:w="391"/>
      </w:tblGrid>
      <w:tr>
        <w:trPr/>
        <w:tc>
          <w:tcPr>
            <w:tcW w:w="4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research and development expenses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AP01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AP02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AP03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 (including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Facility and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research and development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Research and development expenses increased by $14.4 million to $47.6 million for the six months ended June 30, 2026, from $33.2 million for the six months ended June 30, 2025. The increase in research and development expenses was primarily attributable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$3.3 million increase of direct costs associated with our AP01 program costs driven by the progression of the Phase 2b clinical trial and ongoing OLE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$7.6 million increase of direct costs associated with our AP02 program costs driven by the progression of the Phase 2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$0.2 million increase of direct costs associated with our AP03 program, driven by scale-up activities;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increase in unallocated research and development expenses, primarily attributable to a $3.2 million increase in personnel-related expenses as a result of an increase in headcount.</w:t>
      </w:r>
    </w:p>
    <w:p>
      <w:pPr>
        <w:pStyle w:val="TextBody"/>
        <w:bidi w:val="0"/>
        <w:jc w:val="both"/>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general and administrative expenses (in thousands): </w:t>
      </w:r>
    </w:p>
    <w:p>
      <w:pPr>
        <w:pStyle w:val="TextBody"/>
        <w:bidi w:val="0"/>
        <w:jc w:val="both"/>
        <w:rPr/>
      </w:pPr>
      <w:r>
        <w:rPr/>
        <w:t> </w:t>
      </w:r>
    </w:p>
    <w:tbl>
      <w:tblPr>
        <w:tblW w:w="8360" w:type="dxa"/>
        <w:jc w:val="left"/>
        <w:tblInd w:w="0" w:type="dxa"/>
        <w:tblLayout w:type="fixed"/>
        <w:tblCellMar>
          <w:top w:w="28" w:type="dxa"/>
          <w:left w:w="28" w:type="dxa"/>
          <w:bottom w:w="28" w:type="dxa"/>
          <w:right w:w="28" w:type="dxa"/>
        </w:tblCellMar>
      </w:tblPr>
      <w:tblGrid>
        <w:gridCol w:w="4681"/>
        <w:gridCol w:w="146"/>
        <w:gridCol w:w="222"/>
        <w:gridCol w:w="713"/>
        <w:gridCol w:w="154"/>
        <w:gridCol w:w="154"/>
        <w:gridCol w:w="222"/>
        <w:gridCol w:w="603"/>
        <w:gridCol w:w="146"/>
        <w:gridCol w:w="146"/>
        <w:gridCol w:w="211"/>
        <w:gridCol w:w="571"/>
        <w:gridCol w:w="39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 &amp;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11,581</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General and administrative expenses increased by $4.3 million to $11.6 million for the six months ended June 30, 2026, from $7.3 million for the six months ended June 30, 2025. The increase in general and administrative expenses was primarily attributable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$2.5 million increase in personnel-related expenses, including stock-based compensation, driven by the increase of G&amp;A headcount to support expanded research and development activities and overall corporate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$1.1 million increase in professional services and fees primarily driven by general G&amp;A consulting costs to support public company operations;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$0.7 million increase in facility expenses associated with our office sublease entered in September 2025.</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increased by $0.8 million and $0.6 million for the three and six months ended June 30, 2026, respectively, to $2.4 million from $1.6 million and $3.4 million from $2.8 million, respectively. The increase was primarily driven by income earned on the proceeds from the IPO, partially offset by the impact of lower federal funds rates.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our inception, we have not generated any revenue from product sales and have incurred significant operating losses and negative cash flows from operations. We expect to continue to incur significant expenses and operating losses for the foreseeable future as we advance the clinical development of our product candidates and any future product candidates. Further, we expect to continue to incur costs with operating as a public company. As such, we expect our research and development and general and administrative costs will continue to increase significantly.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date, we have funded our operations primarily from the sale of proceeds of preferred stock, convertible notes, and common stock as a result of our IPO, as well as through proceeds received from our Term Loan. As of June 30, 2026, we had $413.5 million in cash, cash equivalents, and marketable securities. In February 2026, we entered into a loan and security agreement with Banc of California, or the Lender, for the issuance of a term loan facility with an aggregate principal amount of up to $30.0 million. The interest rate on amounts borrowed will be equal to the greater of the prime rate then in effect, or 5.00%. The maturity date for the loan is June 30, 2030. To date, $15.0 million has been borrowed under the Term Loan Facility. In connection with the LSA, we issued warrants to the Lender to purchase 22,500 shares of our common stock. On May 1, 2026, we completed our IPO, pursuant to which we issued and sold 19,166,667 shares of common stock, resulting in net proceeds of approximately $316.6 million. To date, we have received aggregate gross proceeds of $733.8 million from the sale of our preferred stock, convertible notes, and common stock.</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Due to the inherently unpredictable nature of preclinical and clinical development and given the early stage of our programs and product candidates, we cannot reasonably estimate the costs we will incur and the timelines that will be required to complete development, obtain any marketing approval, and commercialize our products, if and when approved.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products, if approved, may be subject to future collaborations, when such arrangements will be secured, if at all, and to what degree such arrangements would affect our development plans and capital requirements. We will need to raise substantial additional capital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upon our current operating plans, we believe that our existing cash, cash equivalents and investments in marketable securities, including the net proceeds from our IPO, will be sufficient to fund our operations into 2029. Our primary uses of capital are to fund research and development activities, compensation and related expenses, and general overhead costs. We expect our expenses to increase substantially in connection with our ongoing activities, particularly as we advance our current and future product candidates through discovery, preclinical studies, and clinical trials.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future funding requirements will depend largely 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type, number, scope, progress, expansions, results, costs and timing of, discovery, preclinical studies, and clinical trials of our current and future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and timing of manufacturing for our current and future product candidates and commercial manufacturing;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timing, and outcome of regulatory review of our current and future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and amount of milestones, royalties, or other payments we may be required to make to third parties, including PARI, and the terms and timing of establishing and maintaining any other similar arrangements we may enter in the future;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legal costs of obtaining, maintaining, and enforcing our patents and other intellectual property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efforts to enhance operational systems and hire additional personnel to satisfy our obligations as a public company;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associated with hiring additional personnel and consultants as our clinical activities increase;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and timing of establishing or securing sales and marketing capabilities if any current or future product candidate is approved;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achieve sufficient market acceptance, coverage and adequate reimbursement from third-party payors and adequate market share and revenue for any approved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financial terms of any such agreement that we may enter into, including if we in-license or acquire additional product candidates or intellectual property;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costs to add additional operational, financial, clinical, quality, and management information systems.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no committed sources of capital other than the $30.0 million loan facility. Until such time, if ever, as we can generate substantial product revenue to support our cost structure, we expect to finance our cash needs through equity offerings, debt financings, or other capital sources, potentially including collaborations, licenses, or other strategic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existing common stockholders. In addition, debt financing and equity financing, if available, may involve agreements that include covenants limiting or restricting our ability to take specific actions, such as incurring additional debt, making capital expenditures, or declaring dividends. If we raise additional funds through a strategic agreement, we may have to grant rights to develop and market our current and future product candidates even if we would otherwise prefer to develop and market such product candidates ourselves. Our failure to raise capital or enter into such other arrangements when needed could have a negative impact on our financial condition and on our ability to pursue our business plans and strategies. </w:t>
      </w:r>
    </w:p>
    <w:p>
      <w:pPr>
        <w:pStyle w:val="TextBody"/>
        <w:bidi w:val="0"/>
        <w:spacing w:before="240" w:after="283"/>
        <w:jc w:val="both"/>
        <w:rPr>
          <w:rFonts w:ascii="Times New Roman" w:hAnsi="Times New Roman"/>
          <w:sz w:val="20"/>
        </w:rPr>
      </w:pPr>
      <w:r>
        <w:rPr>
          <w:rFonts w:ascii="Times New Roman" w:hAnsi="Times New Roman"/>
          <w:color w:val="000000"/>
          <w:sz w:val="20"/>
        </w:rPr>
        <w:t>If we are unable to raise additional funds, we may be required to delay, limit, reduce or terminate our product development or future commercialization efforts. See “</w:t>
      </w:r>
      <w:r>
        <w:rPr>
          <w:rFonts w:ascii="Times New Roman" w:hAnsi="Times New Roman"/>
          <w:i/>
          <w:color w:val="000000"/>
          <w:sz w:val="20"/>
        </w:rPr>
        <w:t>Risk Factors—We will need substantial additional funding. We may be unable to raise capital on acceptable terms, if at all, and, as a result, we may be required to delay, reduce, or eliminate our product development programs or commercialization efforts.</w:t>
      </w:r>
      <w:r>
        <w:rPr>
          <w:rFonts w:ascii="Times New Roman" w:hAnsi="Times New Roman"/>
          <w:color w:val="000000"/>
          <w:sz w:val="20"/>
        </w:rPr>
        <w:t>”</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sets forth a summary of the net cash flow activity (in thousands): </w:t>
      </w:r>
    </w:p>
    <w:p>
      <w:pPr>
        <w:pStyle w:val="TextBody"/>
        <w:bidi w:val="0"/>
        <w:jc w:val="both"/>
        <w:rPr/>
      </w:pPr>
      <w:r>
        <w:rPr/>
        <w:t> </w:t>
      </w:r>
    </w:p>
    <w:tbl>
      <w:tblPr>
        <w:tblW w:w="7329" w:type="dxa"/>
        <w:jc w:val="left"/>
        <w:tblInd w:w="0" w:type="dxa"/>
        <w:tblLayout w:type="fixed"/>
        <w:tblCellMar>
          <w:top w:w="28" w:type="dxa"/>
          <w:left w:w="28" w:type="dxa"/>
          <w:bottom w:w="28" w:type="dxa"/>
          <w:right w:w="28" w:type="dxa"/>
        </w:tblCellMar>
      </w:tblPr>
      <w:tblGrid>
        <w:gridCol w:w="4521"/>
        <w:gridCol w:w="211"/>
        <w:gridCol w:w="781"/>
        <w:gridCol w:w="166"/>
        <w:gridCol w:w="146"/>
        <w:gridCol w:w="211"/>
        <w:gridCol w:w="736"/>
        <w:gridCol w:w="166"/>
        <w:gridCol w:w="391"/>
      </w:tblGrid>
      <w:tr>
        <w:trPr/>
        <w:tc>
          <w:tcPr>
            <w:tcW w:w="45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six months ended June 30, 2026, net cash used in operating activities was $56.0 million, which was primarily due to our net loss of $55.8 million, changes in our operating assets and liabilities of $4.1 million, and $4.0 million of non-cash charges related to stock-based compensation, depreciation, non-cash operating lease expense, and accretion of premiums on marketable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six months ended June 30, 2025, net cash used in operating activities was $40.0 million, which was primarily due to our net loss of $37.7 million, changes in our operating assets and liabilities of $2.9 million, and $0.0 million of non-cash charges related to stock-based compensation, depreciation, non-cash operating lease expense, and accretion of premiums on marketable securities.</w:t>
      </w:r>
    </w:p>
    <w:p>
      <w:pPr>
        <w:pStyle w:val="TextBody"/>
        <w:bidi w:val="0"/>
        <w:spacing w:before="36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investing activities was $63.7 million for the six months ended June 30, 2026, which was primarily driven by purchases of marketable securities and property and equipment of $134.8 million and $0.6 million, respectively, offset by sales and maturities of marketable securities of $71.7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investing activities was $12.6 million for the six months ended June 30, 2025, driven by net purchases and maturities of marketable securities of $12.6 million.</w:t>
      </w:r>
    </w:p>
    <w:p>
      <w:pPr>
        <w:pStyle w:val="TextBody"/>
        <w:bidi w:val="0"/>
        <w:spacing w:before="36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financing activities was $331.5 million for the six months ended June 30, 2026, which was related to net proceeds of $316.6 million from the sale of common stock in the IPO and the drawdown of the term loan facility, net of debt issuance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financing activities was $89.8 million for the six months ended June 30, 2025, consisting entirely of net proceeds from the issuance of Series D convertible preferred stock of $89.9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Contractual Obligations and Commitments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than discussed below, there have been no material changes to the contractual obligations and commitments described under Management’s Discussion and Analysis of Financial Condition and Results of Operations from our most recently filed registration statement on Form S-1 for the year ended December 31, 2025 Annual Report.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Term Loan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February 2026, we entered into a debt facility with Banc of California. $15.0 million has been borrowed under the facility and the additional $15.0 million is available for drawdown through December 31, 2027. For more information on the Company's Term Loan facility, refer to Note 13, Term Loan, in our unaudited condensed consolidated financial statements included elsewhere in this Quarterly Report.</w:t>
      </w:r>
    </w:p>
    <w:p>
      <w:pPr>
        <w:pStyle w:val="TextBody"/>
        <w:bidi w:val="0"/>
        <w:spacing w:before="36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September 2025, we relocated our headquarters and executed a non-cancelable operating sublease in Boston, Massachusetts, or the Boston Sublease. Total fixed payments in connection with the Boston Sublease are $1.9 million over the term of the agreement ending in January 2029. In June 2026, we amended the Boston Sublease to expand the subleased premises, resulting in additional fixed payment obligations of $0.9 million over the remaining term of the agreement. This includes our share of facility operating expenses, real-estate taxes, but excludes our share of property management fees that are reimbursable to the landlord under the lease.</w:t>
      </w:r>
    </w:p>
    <w:p>
      <w:pPr>
        <w:pStyle w:val="TextBody"/>
        <w:bidi w:val="0"/>
        <w:spacing w:before="360" w:after="283"/>
        <w:jc w:val="left"/>
        <w:rPr>
          <w:rFonts w:ascii="Times New Roman" w:hAnsi="Times New Roman"/>
          <w:sz w:val="20"/>
        </w:rPr>
      </w:pPr>
      <w:r>
        <w:rPr>
          <w:rFonts w:ascii="Times New Roman" w:hAnsi="Times New Roman"/>
          <w:b/>
          <w:i/>
          <w:color w:val="000000"/>
          <w:sz w:val="20"/>
        </w:rPr>
        <w:t>Material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Our agreements with certain third parties to license intellectual property include potential milestone fees, sublicense fees, and royalty fees. The milestone fees are dependent upon the development of our drug products using the intellectual property licensed under the arrangements and contingent upon the achievement of development or regulatory approval milestones, as well as commercial milestones. These potential obligations are contingent upon the occurrence of future events and the timing and likelihood of such potential obligations are not known with certainty. For further information regarding these agreements, please see “</w:t>
      </w:r>
      <w:r>
        <w:rPr>
          <w:rFonts w:ascii="Times New Roman" w:hAnsi="Times New Roman"/>
          <w:i/>
          <w:color w:val="000000"/>
          <w:sz w:val="20"/>
        </w:rPr>
        <w:t>Management’s Discussion and Analysis of Financial Condition and Results of Operations—Overview—Material Agreement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Critical Accounting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these financial statements in accordance with U.S. GAAP requires us to make judgments and estimates that affect the reported amounts of assets, liabilities and expenses, as well as related disclosures during the reported periods. We evaluate our estimates and judgments on an ongoing basis. We base our estimates on historical experience, known trends and events, and various other factors that we believe are reasonable under the circumstances. Actual results may differ from these estimates under different assumptions or conditions. For a description of critical accounting estimates used in the preparation of our consolidated financial statements, refer to our registration statement on Form S-1 for the year ended December 31, 2025. There have been no material changes to our critical accounting estimates.</w:t>
      </w:r>
    </w:p>
    <w:p>
      <w:pPr>
        <w:pStyle w:val="TextBody"/>
        <w:bidi w:val="0"/>
        <w:spacing w:before="360" w:after="283"/>
        <w:jc w:val="left"/>
        <w:rPr>
          <w:rFonts w:ascii="Times New Roman" w:hAnsi="Times New Roman"/>
          <w:sz w:val="20"/>
        </w:rPr>
      </w:pPr>
      <w:r>
        <w:rPr>
          <w:rFonts w:ascii="Times New Roman" w:hAnsi="Times New Roman"/>
          <w:b/>
          <w:i/>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and results of operations is disclosed in Note 2 to our audited consolidated financial statements and unaudited interim condensed consolidated financial statements included elsewhere in this Quarterly Report.</w:t>
      </w:r>
    </w:p>
    <w:p>
      <w:pPr>
        <w:pStyle w:val="TextBody"/>
        <w:bidi w:val="0"/>
        <w:spacing w:before="360" w:after="283"/>
        <w:jc w:val="left"/>
        <w:rPr>
          <w:rFonts w:ascii="Times New Roman" w:hAnsi="Times New Roman"/>
          <w:sz w:val="20"/>
        </w:rPr>
      </w:pPr>
      <w:r>
        <w:rPr>
          <w:rFonts w:ascii="Times New Roman" w:hAnsi="Times New Roman"/>
          <w:b/>
          <w:i/>
          <w:color w:val="000000"/>
          <w:sz w:val="20"/>
        </w:rPr>
        <w:t>Emerging Growth Company and Smaller Reporting Company Status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an “emerging growth company,” as defined in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consolidated financial statements may not be comparable to companies that comply with public company effective dates. We may take advantage of these exemptions up until the time that we are no longer an “emerging growth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will remain an emerging growth company until the earlier of (1) the last day of the fiscal year (a) following the fifth anniversary of the completion of our IPO, (b) in which we have total annual gross revenue of at least $1.235 billion or (c) in which we are deemed to be a “large accelerated filer” under the rules of the SEC, which means, among other things, the market value of our common stock that is held by non-affiliates exceeds $700.0 million as of the last business day of our most recently completed second fiscal quarter and (2) the date on which we have issued more than $1.0 billion in non-convertible debt during the prior three-year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for so long as either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bookmarkStart w:id="11" w:name="item_3_quantitative_and_qualitative_dis"/>
      <w:bookmarkEnd w:id="11"/>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“smaller reporting company” as defined in Rule 12b-2 of the Exchange Act and are not required to provide the information otherwise required under this Item. </w:t>
      </w:r>
    </w:p>
    <w:p>
      <w:pPr>
        <w:pStyle w:val="TextBody"/>
        <w:bidi w:val="0"/>
        <w:spacing w:before="360" w:after="283"/>
        <w:jc w:val="left"/>
        <w:rPr>
          <w:rFonts w:ascii="Times New Roman" w:hAnsi="Times New Roman"/>
          <w:sz w:val="20"/>
        </w:rPr>
      </w:pPr>
      <w:bookmarkStart w:id="12" w:name="item_4_controls_and_procedures"/>
      <w:bookmarkEnd w:id="1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Management's 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by us in the reports we file or submit under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officer and principal financial officer, as appropriate to allow timely decisions regarding required disclosure.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designing and evaluating the disclosure controls and procedures, our management recognizes that any controls and procedures, no matter how well designed and operated, can provide only reasonable assurance of achieving the desired control objectives. As required by Rule 13a-15(b) or Rule 15d-15(b) promulgated by the SEC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Quarterly Report. Based on the foregoing, our principal executive officer and principal financial officer concluded that our disclosure controls and procedures were effective as of the end of the period covered by this Quarterly Report at the reasonable assurance level.</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have been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13" w:name="part_ii_other_information"/>
      <w:bookmarkEnd w:id="13"/>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From time to time, we may become involved in litigation or other legal proceedings. We are not currently a party to any litigation or legal proceedings that, in the opinion of our management, are probable to have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both"/>
        <w:rPr>
          <w:rFonts w:ascii="Times New Roman" w:hAnsi="Times New Roman"/>
          <w:sz w:val="20"/>
        </w:rPr>
      </w:pPr>
      <w:r>
        <w:rPr>
          <w:rFonts w:ascii="Times New Roman" w:hAnsi="Times New Roman"/>
          <w:i/>
          <w:color w:val="000000"/>
          <w:sz w:val="20"/>
        </w:rPr>
        <w:t>Investing in our common stock involves a high degree of risk. You should consider and read carefully all of the risks and uncertainties described below, as well as the other information in this Quarterly Report, including our consolidated financial statements and the related notes and “Management’s Discussion and Analysis of Financial Condition and Results of Operations” included elsewhere in this Quarterly Report and our audited consolidated financial statements and related notes included in the IPO Prospectus, before deciding whether to invest in our common stock. The risks described below are not the only ones facing us. The following risks or additional risks and uncertainties not presently known to us or that we currently believe to be immaterial could materially and adversely affect our business, financial condition, results of operations and growth prospects. In such an event, the trading price of our common stock could decline, and you may lose all or part of your investment. This Quarterly Report also contains forward-looking statements and estimates that involve risks and uncertainties not presently known to us or that we currently deem immaterial that also may impair our business operations. Our actual results could differ materially from those anticipated in our forward-looking statements as a result of specific factors, including the risks and uncertainties described below.</w:t>
      </w:r>
      <w:r>
        <w:rPr>
          <w:rFonts w:ascii="Times New Roman" w:hAnsi="Times New Roman"/>
          <w:color w:val="000000"/>
          <w:sz w:val="20"/>
        </w:rPr>
        <w:t xml:space="preserv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Risks Related to Our Financial Condition and Need for Additional Capital</w:t>
      </w:r>
    </w:p>
    <w:p>
      <w:pPr>
        <w:pStyle w:val="TextBody"/>
        <w:bidi w:val="0"/>
        <w:spacing w:before="120" w:after="283"/>
        <w:jc w:val="both"/>
        <w:rPr>
          <w:rFonts w:ascii="Times New Roman" w:hAnsi="Times New Roman"/>
          <w:sz w:val="20"/>
        </w:rPr>
      </w:pPr>
      <w:r>
        <w:rPr>
          <w:rFonts w:ascii="Times New Roman" w:hAnsi="Times New Roman"/>
          <w:b/>
          <w:i/>
          <w:color w:val="000000"/>
          <w:sz w:val="20"/>
        </w:rPr>
        <w:t>We are a clinical-stage biopharmaceutical company and have incurred significant operating losses since inception and anticipate that we will continue to incur significant operating losses for the foreseeable future.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clinical-stage biopharmaceutical company and have incurred operating losses in each year since our inception. Our net losses were $28.9 million and $20.2 million for the three months ended June 30, 2026 and 2025, respectively. Our net losses were $55.8 million and $37.7 million for the six months ended June 30, 2026 and 2025, respectively. We had an accumulated deficit of $321.2 million and $265.4 million as of June 30, 2026 and December 31, 2025, respectively. Substantially all of our operating losses have resulted from costs incurred in connection with our research and development programs and from general and administrative costs associated with our operations. Our prior losses, combined with expected future losses, have had and will continue to have an adverse effect on our stockholders’ deficit and working capital.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our inception in 2011, we have devoted substantially all of our efforts and financial resources to the development of our product candidates, the continuation of ongoing clinical trials, the commencement of new clinical trials and ongoing manufacturing to support our product candidates. Biopharmaceutical product development is a highly speculative undertaking and involves a substantial degree of risk. We have not yet demonstrated an ability to conduct later-stage clinical trials, obtain regulatory approval, manufacture any product on a commercial scale or conduct sales and marketing activities necessary for successful product commercialization, and there is no assurance that we will accomplish any of these abilities in the future. Our operating history makes any assessment of our future success and viability subject to significant uncertainty. In addition, if we obtain marketing approval for any of our product candidates, we will incur significant sales, marketing, and manufacturing expenses. Once we are a public company, we will incur additional costs associated with operating as a public company. As a result, we expect to continue to incur significant expenses and increasing operating losses for the foreseeable future. Because of the numerous risks and uncertainties associated with developing pharmaceutical products, we are unable to predict the extent of any future losses or when we will become profitable, if at all. Even if we become profitable, we may not be able to sustain or increase our profitability on a quarterly or annual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amount of our future losses is uncertain, and our quarterly operating results may fluctuate significantly or may fall below the expectations of investors or securities analysts, each of which may cause our stock price to fluctuate or decline. Our operating losses may fluctuate significantly from quarter to quarter and from year to year. We anticipate that our expenses will increase substantially if, and as, we: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advance clinical development of our lead candidates, AP01 (inhaled pirfenidone), or AP01, and AP02 (inhaled nintedanib), or AP02, and our other current and future product candidates, including conducting our ongoing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advance our research and preclinical activities and seek to discover and develop additional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utilize third parties to manufacture our product candidates and ensure sufficient supply of our manufacturing of drug substances, drug products and related medical devices;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develop, maintain, expand and protect our intellectual property portfolio (including intellectual property obtained through license agreements) and provide reimbursement of third-party expenses related to our patent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attract, hire and retain additional qualified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regulatory approvals for any current or future product candidates that successfully complete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make any potential milestones, royalties or other payments due under any current or future in-license, collaboration or other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undertake any pre-commercial activities and scale up external commercial-scale manufacturing capabilities;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ultimately establish a sales, marketing and distribution infrastructure to commercialize any product candidates for which we may obtain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 additional operational, financial, clinical, quality and management information systems;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incur additional audit, legal, regulatory, tax and other expenses with being a public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encounter unforeseen expenses, difficulties, complications, delays and other unknown factors that may adversely affect our business. The size of our future net losses will depend, in part, on the rate of future growth of our expenses and our ability to generate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Given the numerous risks and uncertainties associated with pharmaceutical product development, it is not certain if any of our current or future product candidates will advance through late-stage development or be approved for commercial sale; therefore, we are unable to predict if or when we will generate product revenue or achieve or maintain profitability.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we successfully complete development and obtain the necessary regulatory approval for commercialization for any of our product candidates, we anticipate incurring significant costs associated with launching and commercializing such products. If we fail to become profitable or do not sustain profitability on a continuing basis, we may be unable to continue our operations at planned levels and be forced to reduce or cease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will need substantial additional funding. We may be unable to raise capital on acceptable terms, if at all, and, as a result, we may be required to delay, reduce, or eliminate our product development programs or commercialization efforts.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operations have consumed substantial amounts of cash since inception. Identifying potential product candidates and conducting preclinical testing and clinical trials is a time-consuming, expensive and uncertain process that takes years to complete, and we may never generate the necessary data or results required to obtain regulatory approvals and achieve product sales. We expect to continue to incur significant and increasing expenses and operating losses for the foreseeable future as we initiate and conduct clinical trials of our current and future product candidates, scale-up and manufacture our product candidates, advance our preclinical programs, seek marketing and regulatory approvals for any product candidates that successfully complete clinical trials and commercialize our products, if approved. Because the outcome of any clinical trial or preclinical study is highly uncertain, we cannot reliably estimate the actual amount of financing necessary to successfully complete the development and commercialization of any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the net proceeds from our IPO, together with our existing cash, cash equivalents and marketable securities, inclusive of the $15.0 million borrowed under Term Loan Facility, will be sufficient to fund our operating expenses and capital requirements into 2029. This estimate is based on assumptions that may prove to be wrong, and we could use our available capital resources sooner than we expect. Changes may occur beyond our control that would cause us to consume our available capital before that time, including but not limited to changes in progress of our development activities, acquisitions of additional product candidates, and changes in regulation. Our future capital requirements will depend on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timing, progress, costs, complexity and results of discovery, preclinical development and clinical trials for our current or future product candidates, including our ongoing clinical trials of our lead candidates, AP01 and AP02;</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clinical trials required for regulatory approvals of our current or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develop, in-license or acquire other product candidates in our pipeline;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process development and manufacturing scale-up activities associated with our product candidates and other programs as we advance them through preclinical and clinical development and, if approved, commercialization;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and development requirements of product candidates that we may pursue;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amount of the milestone, royalty or other payments we must make to PARI, pursuant to the PARI License Agreement (as defined below), and any other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and amount of royalty payments we must make pursuant to the terms of a confidential settlement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regulatory review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headcount growth and associated costs as we expand our research and development capabilities and establish a commercial infrastructure;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future commercialization activities, including product manufacturing, marketing, sales and distribution, for any of our product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achieve sufficient market acceptance, coverage and adequate reimbursement from third-party payors (or patients’ willingness to pay out-of-pocket for any approved products in the absence of such coverage) and adequate market share and revenue for any approved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revenue, if any, received from commercial sales of any product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 of macroeconomic trends including inflation, tariffs and interest rates;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addressing any potential supply chain interruptions or delays, which may be due in part to international tariffs;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require additional capital to achieve our business objectives. Additional funds may not be available on a timely basis, on favorable terms or at all, and such funds, if raised, may not be sufficient to enable us to continue implementing our long-term business strategy. Further, our ability to raise additional capital may be adversely impacted by global economic conditions and disruptions to and volatility in the credit and financial markets in the United States, or the U.S., and worldwide resulting from factors that include but are not limited to, inflation, tariffs, global conflicts, diminished liquidity and credit availability, declines in consumer confidence, declines in economic growth, increases in unemployment rates, uncertainty about economic stability and other factors. If the equity and credit markets deteriorate, it may make any necessary debt or equity financing more difficult to obtain, more costly and more dilutive. If we are unable to raise sufficient additional capital, we could be forced to curtail our planned operations and the pursuit of our growth strategy, or even cease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Raising additional capital may cause dilution to our stockholders, restrict our operations or require us to relinquish rights to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Until such time, if ever, as we can generate substantial revenues from product sales, we expect to finance our cash needs through a combination of equity offerings, debt financings or other capital sources, such as grants, collaborations, licenses or other similar arrangements. We do not currently have any committed external source of funds other than the $30 million loan facility. To the extent that we raise additional capital through the sale of equity or convertible debt securities, our stockholders' ownership interest may be diluted, and the terms of these securities may include liquidation or other preferences that adversely affect our stockholders' rights as a common stockholder. Debt financing and preferred equity financing may involve agreements that include covenants limiting or restricting our ability to take specific actions, such as incurring additional debt or making capital expenditures. Such restrictions could adversely impact our ability to conduct our operations and execute our business plan. If we raise additional funds through grants, collaborations, licenses or other similar arrangements with third parties, we may be required to relinquish valuable rights to our future revenue streams, intellectual property or product candidates, grant licenses on terms that may not be favorable to us and/or that may reduce the value of our common stock or commit us to future payment streams. If we are unable to raise additional funds through equity or debt financings when needed or on terms acceptable to us, we may be required to delay, limit, reduce or terminate our product development or future commercialization efforts or grant rights to develop and market product candidates that we would otherwise prefer to develop and market ourselves, or on less favorable terms than we would otherwise choose.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maintain the majority of our cash and cash equivalents in accounts with major U.S. and multi-national financial institutions, and our deposits at certain of these institutions exceed insured limits. Market conditions and changes in financial regulations and policies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In addition, changes in regulations governing financial institutions are beyond our control and difficult to predict; consequently, the impact of such changes on our business and results of operations is difficult to predict and may have an adverse effect on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terms of our loan and security agreement place restrictions on our operating and financial flexibility. If we raise additional capital through debt financing, the terms of any new debt could further restrict our ability to operate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Loan and Security Agreement, or the LSA, with Banc of California provides us with up to $30.0 million of borrowing capacity, of which we have borrowed $15.0 million as of June 30, 2026. Our overall leverage, certain obligations and affirmative and negative covenants contained in the related documentation could adversely affect our financial health and business and future operations by limiting our ability to, among other things, satisfy our obligations under the LSA, refinance our debt on terms acceptable to us or at all, plan for and adjust to changing business, industry and market conditions, use our available cash flow to fund future acquisitions and make dividend payments, and obtain additional financing for working capital, to fund growth or for general corporate purposes, even when necessary to maintain adequate liquidity. With certain exceptions, the LSA prohibits us from taking certain actions without Banc of California’s prior consent, including, but not limited to any material transfers of our assets, changes in our business, management, directorship (in certain circumstances), ownership, or business locations; certain mergers or consolidations; incurring any indebtedness, other than permitted indebtedness; granting or permitting liens against our assets, other than permitted liens; making certain capitalized expenditures; entering into any material transaction with any affiliate, other than in the ordinary course of business; or making any payments in respect of any subordinated debt.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intend to satisfy our current and future debt service obligations with our cash and cash equivalents and short-term investments and funds from external sources. However, we may not have sufficient funds or may be unable to arrange for additional financing to pay the amounts due under our existing debt. Funds from external sources may not be available on acceptable terms, if at all. Additionally, if we raise any additional debt financing, the terms of such additional debt could further restrict our operating and financial flexibility. In the event of an acceleration of amounts due as a result of an event of default, we may not have sufficient funds and may be unable to arrange for additional financing to repay our indebtedness, and our lender could seek to enforce security interests in the collateral securing such indebtedness. Any declaration by the lender of an event of default could significantly harm our business and prospects and could cause the price of our common stock to decline. Further, if we are liquidated, the lenders’ right to repayment would be senior to the rights of the holders of our common stock to receive any proceeds from the liquidation.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the Discovery and Development of Our Product Candidates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substantially dependent on the success of our lead candidates, AP01 and AP02. If we are unable to advance such product candidates into later-stage clinical development or unable to obtain regulatory approval and commercialize a therapy for the treatment of pulmonary fibrosis, or PF, or experience significant delays in doing so, our business will be materially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date, as an organization, we have not completed the development of any product candidates. We are substantially dependent on the success of at least one of our product candidates, including AP01, which is currently in Phase 2b clinical development for the treatment of PPF and AP02, which is currently in Phase 2 clinical development for the treatment of IPF.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success of AP01, AP02, and our other current and any future product candidates will depend on several factors,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and timely initiation and enrollment of clinical trials and completion of clinical trials with favorable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safety, tolerability and PK profile of our product candidates observed in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acceptance of regulatory submissions by the FDA and/or comparable foreign regulatory authorities for the conduct of clinical trials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frequency and severity of adverse safety findings in nonclinical studies and AEs in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timely and successful completion of preclinical studies, including toxicology studies and in vitro dose projection studies in animals, where applicable;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acceptance of our products, if approved, by PF patients, the medical community and third-party payors, and their perspective on the cost, safety, tolerability and efficacy and perceived advantages of alternative therapies for PF, including the current standard of care;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relationships with contract research organizations, or CROs, and clinical sites for the clinical development of our product candidates and ability of such CROs and clinical sites to comply with clinical trial protocols, Good Clinical Practices, or GCPs, and other applicable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demonstrating the safety and efficacy of our product candidates to the satisfaction of applicable regulatory authorities;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receipt and maintenance of marketing approvals from applicable regulatory authorities for our initial target indication and label expansions to include new populations;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relationships with our third-party manufacturers and their ability to comply with current good manufacturing practices, or cGMPs, as well as making arrangements with our third-party manufacturers for commercial manufacturing capabilities at a cost and scale sufficient to support commercialization;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sales, marketing and distribution capabilities and launching commercial sales of our product candidates, if and when approved, whether alone or in collaboration with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establishing, maintaining and enforcing patent and any potential trade secret protection or regulatory exclusivity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maintaining our arrangement with PARI pursuant to the PARI License Agreement for the exclusive license to PARI’s eFlow</w:t>
      </w:r>
      <w:r>
        <w:rPr>
          <w:rFonts w:ascii="Times New Roman" w:hAnsi="Times New Roman"/>
          <w:color w:val="000000"/>
          <w:sz w:val="13"/>
        </w:rPr>
        <w:t>®</w:t>
      </w:r>
      <w:r>
        <w:rPr>
          <w:color w:val="000000"/>
        </w:rPr>
        <w:t xml:space="preserve"> </w:t>
      </w:r>
      <w:r>
        <w:rPr>
          <w:rFonts w:ascii="Times New Roman" w:hAnsi="Times New Roman"/>
          <w:color w:val="000000"/>
          <w:sz w:val="20"/>
        </w:rPr>
        <w:t>Technology and eRapid</w:t>
      </w:r>
      <w:r>
        <w:rPr>
          <w:rFonts w:ascii="Times New Roman" w:hAnsi="Times New Roman"/>
          <w:color w:val="000000"/>
          <w:sz w:val="13"/>
        </w:rPr>
        <w:t>®</w:t>
      </w:r>
      <w:r>
        <w:rPr>
          <w:color w:val="000000"/>
        </w:rPr>
        <w:t xml:space="preserve"> </w:t>
      </w:r>
      <w:r>
        <w:rPr>
          <w:rFonts w:ascii="Times New Roman" w:hAnsi="Times New Roman"/>
          <w:color w:val="000000"/>
          <w:sz w:val="20"/>
        </w:rPr>
        <w:t xml:space="preserve">Nebulizer System;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an acceptable safety profile of our product candidates following regulatory approvals,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sufficiency of our financial resources to fund our operations;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and growing an organization of people who can develop and, if approved, commercialize, market and sell our current or future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unable to develop, receive marketing approval for and successfully commercialize our product candidates, or if we experience delays as a result of any of the above factors or otherwise, our business would be significantly harmed.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early in our development efforts. If we are unable to successfully develop, receive regulatory approval for and commercialize any product candidate or successfully develop any other product candidate or experience significant delays in doing so, our business will be substantially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early in our development efforts. Each of our product candidates will require additional preclinical and/or clinical development, regulatory approval, obtaining manufacturing supply, capacity and expertise, building a commercial organization or successfully outsourcing commercialization, substantial investment and significant marketing efforts before we generate any revenue from product sales.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assumptions about the development potential of AP01 and AP02 are based on the data generated from our clinical trials and from preclinical studies. We may also observe materially and adversely different safety results as we continue to conduct our clinical trials.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product candidates will require substantial additional investment, clinical development, regulatory review, approval in one or more jurisdictions and significant marketing efforts before we could generate any revenue from product sales, if ever. Given our stage of development, it will take additional clinical development before we can demonstrate the safety and efficacy of a product candidate sufficient to warrant approval for commercialization, if we can do so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our product candidates or any future product candidate we develop or if we experience delays in such approvals, we may not be able to continue our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conducting clinical trials in foreign countries, as we are currently doing, presents additional risks that may delay completion of our clinical trials. These risks include the failure of enrolled patients in foreign countries to adhere to clinical protocol as a result of differences in healthcare services or cultural customs, failure to properly translate or interpret patient-reported outcome endpoints, managing additional administrative burdens associated with foreign regulatory schemes as well as political and economic risks relevant to such foreign countries.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foregoing makes our ability to successfully and timely complete development of our product candidates and obtain regulatory approval for them less certain. If we are unable to develop, or obtain marketing approval for, or, if approved, successfully commercialize our product candidates, our business, financial condition, results of operations and prospects could be materially harmed.</w:t>
      </w:r>
    </w:p>
    <w:p>
      <w:pPr>
        <w:pStyle w:val="TextBody"/>
        <w:bidi w:val="0"/>
        <w:spacing w:before="360" w:after="283"/>
        <w:jc w:val="both"/>
        <w:rPr>
          <w:rFonts w:ascii="Times New Roman" w:hAnsi="Times New Roman"/>
          <w:sz w:val="20"/>
        </w:rPr>
      </w:pPr>
      <w:r>
        <w:rPr>
          <w:rFonts w:ascii="Times New Roman" w:hAnsi="Times New Roman"/>
          <w:b/>
          <w:i/>
          <w:color w:val="000000"/>
          <w:sz w:val="20"/>
        </w:rPr>
        <w:t>Additional time may be required to obtain marketing authorizations for product candidates that we develop as drug-device combination products.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nebulizer-delivered product candidates, AP01 and AP02, are subject to combination product development and approval regulatory requirements. Development of a product candidate as a combination product candidate requires close coordination with the FDA and comparable foreign regulatory authorities for review of each of the drug and device components that comprise the product. Although the FDA and comparable foreign regulatory authorities have or may have systems in place for the review and approval of such combination products, we may experience additional delays in the development and commercialization of such product candidates due to regulatory timing constraints and uncertainties in the product development and approval process.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regulatory approval processes of the FDA, European Medicines Agency, or EMA, and comparable foreign authorities are lengthy, time-consuming and inherently unpredictable. If we are not able to obtain the required regulatory approval for any product candidate, our business will be substantially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not permitted to market, commercialize, sell, or promote any product candidate in the U.S. until we receive regulatory approval of a new drug application, or NDA, for such product candidate in a specific indication from the FDA. Our business is dependent on our ability to successfully complete preclinical and clinical development of, obtain regulatory approval for, and, if approved, successfully commercialize our product candidates and any future product candidates in a timely manner. The time required to obtain approval or other marketing authorizations by the FDA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we may seek to develop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Prior to obtaining approval to commercialize any product candidate in the U.S. or abroad, we must demonstrate with substantial evidence from well-controlled clinical trials, to the satisfaction of the FDA, EMA or comparable foreign regulatory authorities, that such product candidates are safe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EMA, and other regulatory authorities. For example, certain of our trials did not include a placebo or an oral antifibrotic comparator arm, and interpretability of the findings and whether these findings are robust enough to warrant approval will be reviewed closely by the FDA, EMA, or other regulatory authorities. Such authorities may ultimately determine that our data are insufficient for approval and may require that we conduct additional clinical trials, or nonclinical or other studies, before our candidates can be approved. The FDA may also require us to conduct additional preclinical studies or clinical trials for our product candidates either prior to or after approval, or it may object to elements of our clinical development programs. For example, in July 2025, in our pre-IND discussions for AP02, the FDA, but no other regulatory agency, asked us to complete an additional device compatibility study (which we have since successfully completed) and also commented on a nonclinical rat toxicology study that showed findings that were considered non-adverse and/or species-specific. Due to this and our desire for a faster start-up time, we proceeded to initiate our Phase 2 clinical trial outside of the U.S. We intend to submit such IND with the safety and efficacy clinical data from our Phase 2 trial, if successful, to potentially enable a future Phase 3 clinical trial that includes U.S. sites. We believe that the data package including our Phase 2 trial, if successful, will provide compelling support to open an IND in the U.S. while enabling an efficient use of our resources.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current and future product candidates could fail to receive regulatory approval for many reasons,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or comparable foreign regulatory authorities may disagree as to the design or implementation of our clinical trials and interpretation of data from clinical trials or preclinical studies;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demonstrate to the satisfaction of the FDA or comparable foreign regulatory authorities that a product candidate is safe and effective for its proposed indication;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results of clinical trials may not meet the level of statistical significance required by the FDA or comparable foreign regulatory authorities for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demonstrate that a product candidate’s clinical and other benefits outweigh its safety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data collected from clinical trials of our product candidates may not be sufficient to support the submission of an NDA to the FDA or other submission to obtain regulatory approval in the European Union or elsewhere;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or comparable foreign regulatory authorities may find deficiencies with or fail to accept device validation data or to approve the manufacturing processes or facilities of third-party manufacturers with which we contract for clinical and commercial supplies;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approval policies or regulations of the FDA or comparable foreign regulatory authorities may significantly change in a manner rendering our clinical data insufficient for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the large number of products in development, only a small percentage successfully complete the FDA or foreign regulatory approval processes and are commercialized. The lengthy approval and marketing authorization process as well as the unpredictability of future clinical trial results may result in our failing to obtain regulatory approval to market our product candidates, which would significantly harm our business, financial condition, results of operations and prospects. The FDA, EMA and comparable foreign authorities have substantial discretion in the approval process and determining when or whether regulatory approval will be granted for any product candidate that we develop. The U.S. Supreme Court’s July 2024 decision to overturn prior established case law giving deference to regulatory agencies’ interpretations of ambiguous statutory language has introduced uncertainty regarding the extent to which the FDA’s regulations, policies and decisions may become subject to increasing legal challenges, delays or changes. Even if we believe the data collected from future clinical trials of our product candidates are promising, such data may not be sufficient to support approval by the FDA, EMA or any other regulatory authority.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we complete clinical testing and receive approval of a NDA or foreign marketing application for our current or future product candidates, the FDA, EMA or the applicable foreign regulatory agency may grant approval or other marketing authorization contingent on the performance of costly additional clinical trials, including post-marketing clinical trials. The FDA, EMA or the applicable foreign regulatory agency also may approve or authorize for marketing a product candidate for a more limited indication or patient population than we originally request, and the FDA, EMA or applicable foreign regulatory authority may not approve or authorize the labeling that we believe is necessary or desirable for the successful commercialization of a product candidate. Any delay in obtaining, or inability to obtain, applicable regulatory approval or other marketing authorization, or failure to obtain our desired product label, would delay or prevent commercialization of that product candidate and would materially adversely impact our business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FDA, EMA and other regulatory authorities may change their policies, issue additional regulations or revise existing regulations or take other actions, which may prevent or delay approval of our future product candidates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 Further, macroeconomic and other global conditions have impacted and could in the future impact the ability of the FDA, EMA and comparable foreign regulatory authorities to provide any required approvals or marketing authorizations for our product candidates or result in the delay of such approvals or authorizations.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Preclinical and clinical product development involves a lengthy and expensive process, with an uncertain outcome.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current assumptions about our product candidates’ development potential are based on the data generated from preclinical studies and clinical trials; however, we may observe materially and adversely different safety results as we continue to conduct our clinical trials. In order to obtain FDA, EMA or other comparable foreign regulatory authorities approval to market a new drug product, we must demonstrate the safety and efficacy of the drug in humans in a manner that satisfies the applicable authority’s standards. It is impossible to predict when or if any of our product candidates will prove effective or safe in humans or will receive regulatory approval. Before obtaining marketing approval from regulatory authorities, including the FDA, EMA and comparable foreign regulatory authorities, we must complete preclinical development and then conduct extensive clinical trials to demonstrate the safety, potency and efficacy of our product candidates in humans. A failure of one or more clinical trials can occur at any stage of testing or at any time during the trial process. The outcome of preclinical testing and early clinical trials may not be predictive of the results of later clinical trials as to safety or efficacy, particularly if later clinical trials have a materially different trial design. The historical failure rate for product candidates in our industry is high, particularly in the earlier stages of development.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not completed all of the clinical trials required for the approval of any of our product candidates. We cannot assure you that any preclinical study or clinical trial that we are conducting, or may conduct in the future, will demonstrate consistent or adequate efficacy and safety to obtain regulatory approval to market our product candidates in the United States or in any other jurisdiction.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we have in the past and intend in the future to utilize an “open-label” clinical trial design for certain of our clinical trials. An “open-label” clinical trial is one where both the patient and investigator know whether the patient is receiving the investigational product candidate or either an existing approved drug or placebo. Most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of a product candidate when studied in a controlled environment with a placebo or active control.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incur additional costs and experience delays in completing, or ultimately be unable to complete, the development and commercialization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incur additional costs and experience delays in ongoing clinical trials for our product candidates, and we do not know whether future clinical trials, if any, will begin on time, need to be redesigned, enroll an adequate number of patients on time or be completed on schedule, if at all. We may experience numerous unforeseen events during or as a result of preclinical studies or clinical trials that could delay or prevent our ability to continue or complete clinical development, receive marketing approval or commercialize our product candidates,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or institutional review boards not authorizing us or our investigators to commence a clinical trial or conduct a clinical trial at a prospective trial site;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experiencing delays in reaching, or failing to reach, agreement on acceptable clinical trial contracts or clinical trial protocols with prospective trial sites or prospective CROs, the terms of which can be subject to extensive negotiation and may vary significantly among different CROs and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trials of our product candidates producing negative or inconclusive results, including failure to demonstrate statistical significance, and we may decide, or regulators may require us, to conduct additional clinical trials or abandon product development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failing to demonstrate statistical significance in clinical trials of our product candidates, which may impact the timing and design of late-stage clinical trials for such product candidates, or failing to demonstrate statistical significance in late-stage trials despite promising early stage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patients required for clinical trials of our product candidates being larger than we anticipate; enrollment in these clinical trials being slower than we anticipate, for example, due to the availability of standard of care therapy, changes to standard of care therapy, and the reluctance of patients to discontinue standard of care therapy in order to participate in certain of our future clinical trials; or participants dropping out of these clinical trials or failing to return for post-treatment follow-up at a higher rate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 candidates having undesirable side effects (including drug-drug interactions), unexpected toxicology findings, or other unexpected characteristics, causing us or our investigators, regulators or institutional review boards to suspend or terminate the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contractors failing to comply with regulatory requirements or meet their contractual obligations to us in a timely manner,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collaborators, if any, may conduct clinical trials in ways they view as advantageous to them but that are suboptimal to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clinical trials of our product candidates being greater than we anticipate;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supply or quality of our product candidates or other materials necessary, including comparator drug, to conduct clinical trials of our product candidates being insufficient, inadequate or too costly.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favorable or if there are safety concerns, we may,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 delayed in obtaining marketing approval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obtain marketing approval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approval for indications or patient populations that are not as broad as intended or desired;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approval with labeling that includes significant use or distribution restrictions or safety warnings;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 subject to additional post-marketing testing requirements;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have the product removed from the market after obtaining marketing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principal investigators for our current and future clinical trials have in the past and may in the future serve as scientific advisors or consultants to us from time to time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otherwise affected interpretation of the study. The FDA or a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a comparable foreign regulatory authority, as the case may be, and may ultimately lead to the denial of marketing approval.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have not yet completed all testing of any product candidate in clinical trials. Preclinical, interim, topline, and preliminary results from our preclinical studies or clinical trials are not necessarily predictive of the results or analyses of such results of later clinical trials. If we cannot replicate the positive results from any preclinical studies or clinical trials of our current or potential future product candidates that have positive results, or if we suffer any other significant setbacks in our later clinical trials, we may be unable to successfully develop, obtain regulatory approval for and commercialize our current or potential future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 in preclinical testing and early clinical trials does not ensure that later clinical trials will generate the same results or otherwise provide adequate data to demonstrate the efficacy and safety of a product candidate. Preclinical studies, Phase 1 and Phase 2a clinical trials are primarily designed to test safety, to study pharmacokinetics and pharmacodynamics, and to understand the side effects of product candidates at various doses and dosing schedules. Success in preclinical or animal studies and early clinical trials does not ensure that later large-scale efficacy trials will be successful, nor does it predict final results. Our product candidates may fail to show the desired safety, tolerability, PK profile, and efficacy in clinical development despite positive results in preclinical studies or having successfully advanced through initial clinical trials, particularly because of our product candidates leveraging an inhalation approach.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companies in the pharmaceutical and biotechnology industries have suffered significant setbacks in late-stage clinical trials even after achieving promising results in preclinical testing and earlier-stage clinical trials. Such setbacks have occurred and may occur for many reasons, including: clinical sites and investigators may deviate from clinical trial protocols, whether due to lack of training or otherwise, and we may fail to detect any such deviations in a timely manner; patients may fail to adhere to any required clinical trial procedures, including post-treatment follow-up; our product candidates may fail to demonstrate effectiveness or safety in certain patient subpopulations or at all; or our clinical trials may not adequately represent the patient populations we intend to treat, whether due to limitations in our trial designs or otherwise.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Similarly, from time to time, we may publish interim, topline, or preliminary results from our preclinical studies and clinical trials, which are based on a preliminary analysis of then-available data. We also make assumptions, estimations, calculations and conclusions as part of our preliminary analyses of data, and we may not have received or had the opportunity to fully and carefully evaluate all data. As a result, the results and related findings and conclusions are subject to change following a more comprehensive review of the data related to the particular study or trial. Interim results from clinical trials that we may complete are subject to the risk that one or more of the clinical outcomes may materially change as patient enrollment continues and more patient data become available. Preliminary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topline results also remain subject to audit and verification procedures that may result in the final data being materially different from the preliminary data we previously published. As a result, interim, topline, and preliminary data should be viewed with caution until the final data are available. Adverse differences between interim, topline, or preliminary data and final data could significantly harm our business prospects and may cause the trading price of our common stock to fluctuate significantly.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investors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Targeting PF with inhaled formulations of antifibrotic therapies is novel, and we do not know whether we will be able to successfully develop any inhaled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 candidates target PF with an inhaled formulation approach. Other companies have discontinued programs targeting PF as they were unable to develop compounds that could demonstrate safety or efficacy or whose dosing regimens were commercially unviable. Given our approach, we may not be able to successfully develop any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PF market currently relies on oral systemic medications: nintedanib, pirfenidone, and nerandomilast. We aim to optimize inhaled formulations of the current oral antifibrotic medicines, as with AP01 and AP02, inhaled formulations of pirfenidone or nintedanib, for potentially improved safety and efficacy. While products for the treatment of PF have been approved by the FDA and comparable foreign regulatory authorities, to date, no inhaled antifibrotic therapy of pirfenidone or nintedanib, or combination of pirfenidone and nintedanib, has been approved, and to our knowledge, no product candidate combining these agents in an inhaled formulation is currently in clinical development. As a result, it is difficult to predict the developmental challenges we may encounter as our lead product candidates proceed through clinical trials, including our planned future clinical trials. It is also difficult for us to predict the time and cost of development, whether any of our clinical trials will be successful, whether any unexpected side effects that have not been associated with oral nintedanib and pirfenidone will be identified in our product development activities and whether our novel approach will result in the successful development and regulatory approval of any product candidates. For example, although we have not observed this to date in clinical trials, airway irritation is a potential risk for inhaled administration, which can be manifested by coughing, increased secretions, or bronchospasm. Any development problems we experience in the future related to our lead product candidates may cause significant delays or unanticipated costs, and such development problems may not be able to be solved. The novelty of our approach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For example, the FDA could require additional studies that may be difficult or impossible to perform, or prohibitively costly. Any of these factors may prevent us from completing clinical trials that we may initiate, and obtaining regulatory approval of or commercializing any product candidates we may develop, on a timely or profitable basis, if at all.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preclinical studies and clinical trials may fail to demonstrate the safety and efficacy of our product candidates, or serious or unacceptable adverse side effects or unexpected toxicology findings may be identified during the development of our product candidates, which could prevent or delay further clinical development, regulatory approvals and commercialization, impact the product’s labeling, if approved, increase our costs or necessitate the abandonment or limitation of the development of some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Clinical trials often fail to demonstrate safety or efficacy of the product candidate studied for the target indication. If our product candidates are associated with serious or significant adverse side effects in clinical trials or have adverse safety findings in nonclinical studies, we may need to abandon their development or limit development to more narrow uses in which the side effects or other characteristics are less prevalent, less severe or more acceptable from a benefit-risk perspective. The FDA, EMA or other comparable foreign regulatory authority or an institutional review board or ethics committee may also require that we suspend, discontinue or limit our clinical trials based on safety information, or that we conduct additional animal or human studies regarding the safety and efficacy of our product candidates, which we have not planned or anticipated. For example, in July 2025, in our pre-IND discussions for AP02, the FDA, but no other regulatory agency, asked us to complete an additional device compatibility study (which we have since successfully completed) and also commented on a nonclinical rat toxicology study that showed findings that were considered non-adverse and/or species-specific. Due to this and our desire for a faster start-up time, we proceeded to initiate our Phase 2 clinical trial outside of the U.S. We intend to submit such IND with the safety and efficacy clinical data from our Phase 2 trial, if successful,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potentially enable a future Phase 3 clinical trial that includes U.S. sites. We believe that the data package from our Phase 2 trial, if successful, will provide compelling support to open an IND in the U.S. while enabling an efficient use of our resources. If we are unable to obtain IND clearance from the FDA for AP02, our market opportunity may be adversely affected, and we may have to expend additional resources to complete additional preclinical testing if required by the FDA. There is no guarantee that our efforts or further testing, if required, will be successful or will enable the clearance of an IND by the FDA.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Such findings could further result in regulatory authorities failing to provide marketing authorization for our product candidates or limiting the scope of the indication, if approved. Many product candidates that initially showed promise in early-stage testing have later been found to cause adverse side effects that prevented further development of the product candidate. For example, the long-term safety impacts of our product candidates are unknown and may not be discoverable in preclinical studies or clinical trials that we may conduct. Additionally, if one or more of our product candidates receives marketing approval, and we or others subsequently identify undesirable side effects caused by such products a number of potentially significant negative consequences could result,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authorities may withdraw, suspend or limit approvals of such product or seek an injunction against its manufacture or distribution;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required to recall a product;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authorities may require additional warnings on the labels, such as a boxed warning or a contraindication;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required to create a medication guide outlining the risks of such side effects for distribution to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required to change the way a product is distributed or administered, conduct additional clinical trials or change the labeling of a product or be required to conduct additional post-marketing studies or surveillance;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could be sued and held liable for harm caused to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the product may decrease significantly or the product could become less competitive;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achieve or maintain third-party payor coverage and adequate reimbursement;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reputation and physician or patient acceptance of our products may suffer.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can be no assurance that we will resolve any issues related to any product-related AEs to the satisfaction of the FDA, EMA or comparable foreign regulatory authorities in a timely manner or at all. Moreover, any of these events could prevent us from achieving or maintaining market acceptance of a particular product candidate, if approved, and could significantly harm our business,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have obtained orphan designation for AP01 for the treatment of IPF and may in the future seek orphan drug designation for additional product candidates. Even if we obtain designation, we may be unable to maintain the benefits associated with orphan drug designation, including the potential for market exclusivity.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July 2014, we obtained orphan drug designation from the FDA for AP01 for the treatment of IPF. We may seek orphan drug designation or exclusivity in the indications targeted by our current or future product candidates. Regulatory authorities in some jurisdictions, including the United States and Europe, may designate drugs for relatively small patient populations as orphan drugs. For example, under the Orphan Drug Act, the FDA may designate a product candidate as an orphan drug if it is intended to treat a rare disease or condition. In order for the FDA to grant orphan drug exclusivity to one of our product candidates, the agency must find that the product candidate is indicated for the treatment of a condition or disease that affects fewer than 200,000 individuals in the U.S. or that affects 200,000 or more individuals in the U.S. and for which there is no reasonable expectation that the cost of developing and making the product candidate available for the disease or condition will be recovered from sales of the product in the U.S. Orphan drug designation must be requested before submitting an NDA. The FDA may conclude that the condition or disease for which we seek orphan drug exclusivity does not meet the required standard.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product that has orphan drug designation subsequently receives the first FDA approval for a particular drug for the disease for which it has such designation, the product is entitled to orphan product exclusivity, which means that the FDA may not approve any other applications to market the same drug for the same indication for seven years, except in limited circumstances such as if the FDA finds that the holder of the orphan drug exclusivity has not shown that it can assure the availability of sufficient quantities of the orphan drug to meet the needs of patients with the disease or condition for which the drug was designated.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even after an orphan drug is approved, the FDA can subsequently approve the same product candidate for the same condition if the FDA concludes that the later product candidate is clinically superior in that it is shown to be safer, more effective or makes a major contribution to patient care compared with the product that has orphan exclusivity. In the U.S., orphan drug designation entitles a party to financial incentives such as opportunities for grant funding towards clinical trial costs, tax advantages, and user-fee waivers. After the FDA grants orphan drug designation, the generic identity of the drug or biologic and its potential orphan use are disclosed publicly by the FDA. Orphan drug designation does not convey any advantage in, or shorten the duration of, the regulatory review and approval process.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similar regulatory scheme governs approval of orphan product candidates by the EMA in the European Union. Generally, if a product with an orphan drug designation subsequently receives the first marketing approval for the indication for which it has such designation, the product is entitled to a period of marketing exclusivity, which precludes the FDA or the EMA (as applicable) from approving another marketing application for the same or another similar product candidate for the same orphan therapeutic indication for that time period. The applicable period is seven years in the U.S. and ten years in the European Union. The exclusivity period in the European Union can be reduced to six years if at the end of the fifth year it is determined that a product no longer meets the criteria for orphan designation, including if the product is sufficiently profitable so that market exclusivity is no longer justified.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While we may in the future seek designations for our product candidates with the FDA, EMA and comparable foreign regulatory authorities that are intended to confer benefits such as a faster development process, an accelerated regulatory pathway or priority review, there can be no assurance that we will successfully obtain such designations. In addition, even if one or more of our product candidates are granted such designations, we may not be able to realize the intended benefits of such designations.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EMA and comparable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of the marketing application(s). However, there can be no assurance that we will successfully obtain such designations for our product candidates. In addition, while such designations could expedite the development or approval process, they generally do not change the standards of product quality, safety or efficacy required to be demonstrated in support of approval. Even if we obtain such designations for our product candidates, there can be no assurance that we will realize their intended benefits.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we may seek a Fast Track Designation for one or more of our product candidates. 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Designation as a breakthrough therapy is within the discretion of the FDA. Accordingly, even if we believe one of our product candidates meets the criteria for designation as a breakthrough therapy, the FDA may disagree and instead determine not to make such designation. Further, the receipt of Breakthrough Therapy Designation for a product candidate may not result in a faster development process, review or approval compared to conventional FDA procedures and does not assure approval by the FDA. In addition, even if any product candidate we develop qualifies for Breakthrough Therapy Designation, the FDA may later decide that the drug no longer meets the conditions for qualification and rescind the designation.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in the absence of obtaining Fast Track and/or Breakthrough Therapy Designations, a sponsor can seek priority review at the time of submitting a marketing application. The FDA may designate a product for priority review if it is a product that treats a serious condition and, if approved, would provide a significant improvement in safety or effectiveness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from FDA’s acceptance of the application for review. Priority review designation may be rescinded if a product no longer meets the qualifying criteria.</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not be able to submit investigational new drug, or IND, applications or IND amendments to commence clinical trials on the timelines we expect, and even if we are able to, the FDA may not permit us to proceed.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submit INDs, including the IND for our lead product candidates, on the timelines we expect. We may experience manufacturing delays or other delays with IND-enabling studies or it may require time to align with the FDA or comparable regulatory authorities on data packages. For example, in July 2025, in our pre-IND discussions for AP02, the FDA, but no other regulatory agency, asked us to complete an additional device compatibility study (which we have since successfully completed) and also commented on a nonclinical rat toxicology study that showed findings that were considered non-adverse and/or species-specific. Due to this and our desire for a faster start-up time, we proceeded to initiate our Phase 2 clinical trial outside of the U.S. We intend to submit such IND with the safety and efficacy clinical data from our Phase 2 trial, if successful, to potentially enable a future Phase 3 clinical trial that includes U.S. sites. We believe that the data package from our Phase 2 trial, if successful, will provide compelling support to open an IND in the U.S. while enabling an efficient use of our resources. If we are unable to obtain IND clearance from the FDA for AP02, our market opportunity may be adversely affected, and we may have to expend additional resources to complete additional preclinical testing if required by the FDA. There is no guarantee that our efforts or further testing, if required, will be successful or will enable the clearance of an IND by the FDA. Moreover, we cannot be sure that submission of an IND will result in the FDA allowing clinical trials to begin, or that,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intend to deliver AP01 and AP02 and our other product candidates via a drug delivery device that will have its own regulatory, development, supply and other risks.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intend to deliver AP01 and AP02 and our other product candidates via a drug delivery device, a nebulizer, and there may be unforeseen technical complications related to the development activities required to bring such a product to market, including container compatibility and/or dose volume requirements. AP01 and AP02 and our other product candidates which may be delivered via drug delivery devices may not be approved or may be substantially delayed in receiving approval if the devices do not gain and/or maintain their own regulatory approvals or clearances. Where approval of the drug product and device is sought under a single application, the increased complexity of the review process may delay approval. </w:t>
      </w:r>
    </w:p>
    <w:p>
      <w:pPr>
        <w:pStyle w:val="TextBody"/>
        <w:bidi w:val="0"/>
        <w:spacing w:before="120" w:after="283"/>
        <w:jc w:val="both"/>
        <w:rPr>
          <w:rFonts w:ascii="Times New Roman" w:hAnsi="Times New Roman"/>
          <w:sz w:val="20"/>
        </w:rPr>
      </w:pPr>
      <w:r>
        <w:rPr>
          <w:rFonts w:ascii="Times New Roman" w:hAnsi="Times New Roman"/>
          <w:color w:val="000000"/>
          <w:sz w:val="20"/>
        </w:rPr>
        <w:t>We benefit from an exclusive license to PARI’s eRapid</w:t>
      </w:r>
      <w:r>
        <w:rPr>
          <w:rFonts w:ascii="Times New Roman" w:hAnsi="Times New Roman"/>
          <w:color w:val="000000"/>
          <w:sz w:val="13"/>
        </w:rPr>
        <w:t>®</w:t>
      </w:r>
      <w:r>
        <w:rPr>
          <w:rFonts w:ascii="Times New Roman" w:hAnsi="Times New Roman"/>
          <w:color w:val="000000"/>
          <w:sz w:val="20"/>
        </w:rPr>
        <w:t xml:space="preserve"> Nebulizer System with eFlow</w:t>
      </w:r>
      <w:r>
        <w:rPr>
          <w:rFonts w:ascii="Times New Roman" w:hAnsi="Times New Roman"/>
          <w:color w:val="000000"/>
          <w:sz w:val="13"/>
        </w:rPr>
        <w:t>®</w:t>
      </w:r>
      <w:r>
        <w:rPr>
          <w:rFonts w:ascii="Times New Roman" w:hAnsi="Times New Roman"/>
          <w:color w:val="000000"/>
          <w:sz w:val="20"/>
        </w:rPr>
        <w:t xml:space="preserve"> Technology for AP01’s delivery, and we retain an exclusive right to negotiate a separate license agreement with respect to AP02 and AP03 for exclusive licenses for PARI’s eRapid</w:t>
      </w:r>
      <w:r>
        <w:rPr>
          <w:rFonts w:ascii="Times New Roman" w:hAnsi="Times New Roman"/>
          <w:color w:val="000000"/>
          <w:sz w:val="13"/>
        </w:rPr>
        <w:t>®</w:t>
      </w:r>
      <w:r>
        <w:rPr>
          <w:rFonts w:ascii="Times New Roman" w:hAnsi="Times New Roman"/>
          <w:color w:val="000000"/>
          <w:sz w:val="20"/>
        </w:rPr>
        <w:t xml:space="preserve"> Nebulizer System with eFlow</w:t>
      </w:r>
      <w:r>
        <w:rPr>
          <w:rFonts w:ascii="Times New Roman" w:hAnsi="Times New Roman"/>
          <w:color w:val="000000"/>
          <w:sz w:val="13"/>
        </w:rPr>
        <w:t>®</w:t>
      </w:r>
      <w:r>
        <w:rPr>
          <w:rFonts w:ascii="Times New Roman" w:hAnsi="Times New Roman"/>
          <w:color w:val="000000"/>
          <w:sz w:val="20"/>
        </w:rPr>
        <w:t xml:space="preserve"> Technology. This exclusivity offers a key competitive advantage, as the proprietary device would be included in any potential U.S. FDA-approved product labels, however, we cannot guarantee that we will maintain preferable commercial terms for such license. We are dependent on the sustained cooperation and effort of PARI both to supply the device and, in some cases, to conduct the studies required for approval or other regulatory clearance of the device, and if received, we expect we will be dependent on PARI for continuing to maintain such approvals or clearances. Failure of PARI to supply the device, to successfully complete studies on the device or for any future devices we may utilize for any of our product candidates in a timely manner, or to obtain or maintain required approvals or clearances of the devices could result in increased development costs, delays in or failure to obtain regulatory approval, and delays in our product candidates reaching the market initially and/or expanding to new indications. For more information on the PARI License Agreement, see “</w:t>
      </w:r>
      <w:r>
        <w:rPr>
          <w:rFonts w:ascii="Times New Roman" w:hAnsi="Times New Roman"/>
          <w:i/>
          <w:color w:val="000000"/>
          <w:sz w:val="20"/>
        </w:rPr>
        <w:t>Management’s Discussion and Analysis of Financial Condition and Results of Operations—Overview—Material Agreement</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Any product candidate for which we obtain marketing approval could be subject to restrictions or withdrawal from the market, and we may be subject to substantial penalties if we fail to comply with regulatory requirements or if we experience unanticipated problems with our products, when and if any of them are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part of its decision to approve or grant marketing authorization for one or more of our product candidates, the FDA, European Commission, or EC, or other regulatory agencies may require us to perform certain post-marketing activities, such as completion of ongoing or planned studies, initiation of new studies or post-marketing clinical trials (including to assess safety risks), or additional analyses of existing data. Typically, we are required to provide annual updates on the progress of such required activities and to complete the activities by the assigned completion dates. Later discovery of previously unknown problems with our product candidates, including AEs of unanticipated severity or frequency, or with our third-party manufacturers or manufacturing processes, or failure to comply with regulatory requirements, may result in,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the marketing or manufacturing of such products, withdrawal of the product from the market or voluntary or mandatory product recalls;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or revisions to the labeling or marketing of a medicine;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the distribution or use of a medicine, including under a risk evaluation and mitigation strategy, or REMS, program;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fines, receipt of warning or untitled letters or suspension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refusal by the FDA, EC, or other regulatory agencies to approve pending applications or supplements to approved applications filed by us or suspension or withdrawal of marketing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seizure or detention or refusal to permit the import or export of our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the FDA, EC and other regulatory agencies closely regulate the post-approval marketing and promotion of medicines to ensure that they are marketed only for the approved indications and in accordance with the provisions of the approved labeling. Although physicians may prescribe products for uses not described in the product’s labeling, known as off-label uses, in their professional medical judgment, the FDA, EMA and comparable foreign regulatory agencies impose stringent restrictions on manufacturers’ communications regarding off-label use, and if we market our products, if approved, in a manner inconsistent with their approved labeling, we may be subject to enforcement action for off-label marketing by the FDA and other federal and state enforcement agencies, including the Department of Justice and other comparable foreign regulatory agencies. Violation of the Federal Food, Drug, and Cosmetic Act and other statutes, including the False Claims Act, relating to the promotion and advertising of prescription products may also lead to investigations or allegations of violations of federal and state healthcare fraud and abuse laws, state consumer protection laws and laws of other comparable foreign regulatory agencies.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government investigation of alleged violations of law could require us to expend significant time and resources in response and could generate negative publicity. The occurrence of any event or penalty described above may inhibit our ability to commercialize any product candidates we develop and adversely affect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experience delays or difficulties in the enrollment and/or retention of patients in clinical trials, our clinical development activities could be delayed or otherwise adversely affected, and our receipt of necessary regulatory approvals could be delayed or prevented.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Successful and timely completion of clinical trials will require that we identify and enroll a sufficient number of patients. Patient enrollment, a significant factor in the timing of clinical trials, is affected by many factors, including the size and nature of the patient population and competition for patients with other trials. Trials may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EMA or comparable foreign regulatory authorities, or if a large number of patients withdraw.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we are initially developing AP02 for the treatment of IPF, which is an orphan indication. In the United States, IPF is estimated to affect approximately 120,000 patients. As a result, we may encounter difficulties enrolling subjects in our clinical trials due, in part, to the small size of the patient population. If our target patient population is smaller than expected, we are unable to successfully enroll and retain patients in our clinical trials, or experience significant delays in doing so, we may not satisfy the FDA or other applicable regulatory authorities standards for number of patients enrolled due to enrollment being too 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predict how successful we will be at enrolling subjects in future clinical trials. We may conduct clinical trials that would require patients to discontinue standard of care therapy, and we may experience challenges finding, enrolling and retaining PF patients in our planned clinical trials who are willing to discontinue their current treatment regimens to participate in our trials. Subject enrollment is affected by other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patient eligibility criteria as defined in the applicable protocol;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of the patient population required for analysis of the trial’s primary endpoints and the process for identifying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actual and perceived risks and benefits of the product candidate in the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effects of global health crises, such as those related to COVID-19, on enrollment and/or completion of a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design of the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recruit clinical trial investigators with the appropriate competencies and experience;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competing clinical trials and clinicians’ and patients’ perceptions as to the potential advantages and risks of the product candidate being studied in relation to other available therapies, including the current standard of care and any new drugs that may be approved for PF, which may vary across the jurisdictions where we plan to conduct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willingness of patients to be enrolled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 of efforts to facilitate timely enrollment in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patient referral practices of physicians;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monitor patients adequately during and after treatment;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and maintain informed consent;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 that patients enrolled in our clinical trials will drop out of the trials prior to completion;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to, or lack of adequate compensation for, prospective patients;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proximity and availability of clinical trial sites to prospective patients.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inability to enroll a sufficient number of patients for clinical trials would result in significant delays and could require us to abandon one or more clinical trials altogether. For example, although enrollment for our Phase 2b MIST clinical trial was initially slower than anticipated, due to higher-than-expected screen failure rates and site activation delays, we have since addressed such factors and currently remain on track for our expected enrollment timeline. Enrollment delays in these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even if we are able to enroll a sufficient number of patients for our clinical trials, we may have difficulty maintaining enrollment of such patients. We cannot assure you that our assumptions used in determining expected clinical trial timelines are correct or that we will not experience delays or difficulties in enrollment, or be required by the FDA or comparable foreign regulatory authorities to increase our enrollment, which would result in the delay of completion of such trials beyond our expected timelines.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results of clinical trials conducted at clinical trial sites outside the U.S. might not be accepted by the FDA, and data developed outside of a foreign jurisdiction similarly might not be accepted by such foreign regulatory authority.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currently conducting our Phase 2 clinical trial for AP01 in the United Kingdom, Spain, France, Germany, Italy, Turkey, Argentina, United States and other EU countries, and AP02 in Australia, Canada, Germany, Italy, New Zealand, Spain, Argentina, and the United Kingdom, and may conduct additional clinical trials outside of the U.S. in the future. Clinical trials conducted in Australia using “unapproved therapeutic goods,” or those that have not yet been evaluated by the Therapeutic Goods Association, or TGA, for quality, safety and efficacy, must occur pursuant to either the Clinical Trial Notification Scheme or the Clinical Trial Approval Scheme. In each case, the trial is supervised by a Human Research Ethics Committee, or HREC, an independent review committee set up under the guidelines of the Australian National Health and Medical Research Council that reviews, approves and provides continuing oversight of trial protocols and amendments, and of the methods and material to be used in obtaining and documenting informed consent of the trial subjects. Although the FDA, EMA or comparable foreign regulatory authorities may accept data from clinical trials conducted outside the relevant jurisdiction, acceptance of these data is subject to certain conditions. For example, the FDA requires that the clinical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trial must be well-designed and conducted and performed by qualified investigators in accordance with ethical principles such as institutional review board or ethics committee approval and informed consent, the trial population must adequately represent the U.S. population and the data must be applicable to the U.S. population and U.S. medical practice in ways that the FDA deems clinically meaningful. Further, the FDA may consider an on-site inspection to be necessary in which case they must be able to validate the data through such an inspection or other appropriate means. In addition, while these clinical trials are subject to the applicable local laws, acceptance of the data by the FDA will be dependent upon its determination that the trials were conducted consistent with all applicable U.S. laws and regulations. There can be no assurance that the FDA will accept data from trials conducted outside of the U.S. as adequate support of a marketing application. Similarly, any data submitted to foreign regulatory authorities may not adhere to their standards and requirements for clinical trials and data from trials conducted outside of such jurisdiction may not be accepted. Moreover, cultural and population differences across populations participating in trials conducted with sites outside the U.S. could introduce confounding factors that impact interpretation of the results from foreign clinical trial sites.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FDA, EMA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 In addition, such foreign trials would be subject to the applicable local laws and ethics committee requirements of the foreign jurisdictions where the trials are conducted, which may increase costs or time required to complete the clinical trial.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Conducting clinical trials outside the U.S. also exposes us to additional risks, including risks associated with: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 foreign regulatory and ethics committee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exchange fluctuations;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foreign manufacturing, customs, shipment and storage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inconsistent standards for reporting and evaluating clinical data and AEs;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varying standards or availability of PF care, resulting in data that may differ from patients who have received the U.S. standard of care therapy;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legislative proposals that, if enacted, could require additional fees or other compliance requirements for inclusion of foreign data in marketing applications;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pandemic, epidemic or public health emergencies;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diminished protection of intellectual property in some countries;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political instability, civil unrest, war or similar events that may jeopardize our ability to commence, conduct or complete a clinical trial and evaluate resulting data.</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any third-party manufacturer of our product candidates is unable to increase the scale of its production of our product candidates or increase the product yield of its manufacturing, then our manufacturing costs may increase and commercialization may be delayed.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order to produce sufficient quantities to meet the demand for clinical trials and, if approved, subsequent commercialization of our product candidates, our third-party manufacturers will be required to increase their production and optimize their manufacturing processes while maintaining the quality of our product candidates.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decrease our ability to generate profits and have a material adverse impact on our business and results of operations. Additionally, if any such third-party manufacturer cannot achieve compliance with import and export requirements or build a sufficient network of partners for the storage and distribution of our product candidates, our future global commercialization prospects could be materially harmed.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methods of product candidate manufacturing or formulation may result in additional costs or delay.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product candidates proceed through preclinical studies to late-stage clinical trials towards potential approval and commercialization, various aspects of the development program, such as manufacturing methods and formulation, may be altered in an effort to optimize processes and product characteristics, and such optimization may not be achieved. Any of these changes could cause our product candidates to perform differently and affect the results of our current or future clinical trials. Such changes may also require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 testing, or notification to or approval by the FDA, EMA or another comparable regulatory authority.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120" w:after="283"/>
        <w:jc w:val="both"/>
        <w:rPr>
          <w:rFonts w:ascii="Times New Roman" w:hAnsi="Times New Roman"/>
          <w:sz w:val="20"/>
        </w:rPr>
      </w:pPr>
      <w:r>
        <w:rPr>
          <w:rFonts w:ascii="Times New Roman" w:hAnsi="Times New Roman"/>
          <w:color w:val="000000"/>
          <w:sz w:val="20"/>
        </w:rPr>
        <w:t>Because we have limited financial and management resources, we are initially focused on IPF and PPF, and we focus our research and development efforts on certain selected development programs and product candidates. We are currently primarily focused on the development of</w:t>
      </w:r>
      <w:r>
        <w:rPr>
          <w:rFonts w:ascii="Times New Roman" w:hAnsi="Times New Roman"/>
          <w:color w:val="FF0000"/>
          <w:sz w:val="20"/>
        </w:rPr>
        <w:t xml:space="preserve"> </w:t>
      </w:r>
      <w:r>
        <w:rPr>
          <w:rFonts w:ascii="Times New Roman" w:hAnsi="Times New Roman"/>
          <w:color w:val="000000"/>
          <w:sz w:val="20"/>
        </w:rPr>
        <w:t>AP01, AP02 and AP03. As a result, we may forego or delay pursuit of opportunities with other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intend to develop AP03 as a fixed-dose combination of pirfenidone and nintedanib. Developing combination treatments increases complexity and risk, including risks of drug-drug interactions, unforeseen side effects or failures in our clinical trials that could delay or prevent their regulatory approval or limit the commercial profile of an approved label. Additionally, certain regulatory authorities may require a demonstration that each component makes a contribution to the claimed effects in addition to demonstrating that the combination is safe and effective for the intended population.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FDA’s combination rule, the FDA generally will not file or approve an NDA for a fixed-dose combination product unless each component of a proposed drug product is shown to make a contribution to the claimed effects and the dosage of each component (amount, frequency, duration) is safe and effective for the intended population. If the FDA or other comparable foreign regulatory authorities require us to conduct one or more clinical trials to support such a demonstration, such as a factorial study, the design, duration, and scope of such clinical trials will be decided upon after further discussions with those agencies and other comparable foreign regulatory authorities. As a result, we are unable to predict with certainty the estimated timing or scope of any future clinical trials of AP03 we may be required to conduct to satisfy these requirements governing fixed dose combination products in various jurisdictions.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development of AP03 as a combination of pirfenidone and nintedanib in an inhaled formulation may subject us to risks that we would not face if AP03 was being developed as a monotherapy. For example, combining pirfenidone and nintedanib with each other in oral formulation has not been feasible due to their additive side effect profiles. Combination of the two molecules in an inhaled formulation may result in adverse side effects or toxicities that pirfenidone and nintedanib do not produce when used alone (orally or in an inhaled formulation). In addition, pirfenidone and nintedanib may interact with each other in undesirable ways that could negatively impact the efficacy of AP03. Testing products in combination with each other may increase the risk of significant adverse effects or failed clinical trials.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the FDA does not conclude that certain of our product candidates satisfy the requirements for the Section 505(b)(2) regulatory approval pathway, or if the requirements for such product candidates under Section 505(b)(2) are not as we expect, the approval pathway for those product candidates will likely take significantly longer, cost significantly more, and entail significantly greater complications and risks than currently anticipated, and in either case may not be successful.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plan to seek FDA approval through the Section 505(b)(2) regulatory pathway for certain of our product candidates. The Drug Price Competition and Patent Term Restoration Act of 1984, also known as the Hatch-Waxman Act, added Section 505(b)(2) to the FDCA. Section 505(b)(2) permits the filing of an NDA where at least some of the information required for approval comes from studies that were not conducted by or for the applicant and for which the applicant has not obtained a right of reference. Section 505(b)(2), if applicable to us under the FDCA, would allow an NDA we submit to the FDA for our product candidates to rely in part on data in the public domain or the FDA’s prior conclusions regarding the safety and effectiveness of approved compounds, which could expedite the development program for our product candidates by potentially decreasing the amount of clinical data that we would need to generate in order to obtain FDA approval. We intend to rely on the Section 505(b)(2) pathway and FDA’s prior determination of safety and efficacy for pirfenidone and nintedanib. If the FDA does not allow us to pursue the Section 505(b)(2) regulatory pathway as anticipated, or if we are unable to successfully bridge our product candidates to approved pirfenidone and nintedanib products, we may need to conduct additional clinical trials, provide additional data and information, and meet additional standards for regulatory approval. If this were to occur, the time and financial resources required to obtain FDA approval for these product candidates, and complications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associated with these product candidates, would likely substantially increase. We could need to obtain more additional funding, which could result in significant dilution to the ownership interests of our then existing stockholders to the extent we issue equity securities or convertible debt. We cannot assure you that we would be able to obtain such additional financing on terms acceptable to us, if at all. Moreover, inability to pursue the Section 505(b)(2) regulatory pathway would likely result in new competitive products reaching the market more quickly than our product candidates, which would likely adversely impact our competitive position and prospects. Even if we are allowed to pursue the Section 505(b)(2) regulatory pathway, we cannot assure you that our product candidates will receive the requisite approvals for commercialization.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notwithstanding the approval of a number of products by the FDA under Section 505(b)(2) over the last few years, certain brand-name pharmaceutical companies and others have objected to the FDA’s interpretation of Section 505(b)(2). If the FDA’s interpretation of Section 505(b)(2) is successfully challenged, the FDA may change its Section 505(b)(2) policies and practices, which could delay or even prevent the FDA from approving any NDA that we submit under Section 505(b)(2).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NDAs for up to 30 months or longer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there is no guarantee this would ultimately lead to faster product development or earlier approval. Moreover, even if our product candidates are approved under Section 505(b)(2),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Related to Our Dependence on Third Parties</w:t>
      </w:r>
    </w:p>
    <w:p>
      <w:pPr>
        <w:pStyle w:val="TextBody"/>
        <w:bidi w:val="0"/>
        <w:spacing w:before="120" w:after="283"/>
        <w:jc w:val="both"/>
        <w:rPr>
          <w:rFonts w:ascii="Times New Roman" w:hAnsi="Times New Roman"/>
          <w:sz w:val="20"/>
        </w:rPr>
      </w:pPr>
      <w:r>
        <w:rPr>
          <w:rFonts w:ascii="Times New Roman" w:hAnsi="Times New Roman"/>
          <w:b/>
          <w:i/>
          <w:color w:val="000000"/>
          <w:sz w:val="20"/>
        </w:rPr>
        <w:t>We are dependent on licensed intellectual property rights pursuant to the PARI License Agreement relating to the PARI eFlow</w:t>
      </w:r>
      <w:r>
        <w:rPr>
          <w:rFonts w:ascii="Times New Roman" w:hAnsi="Times New Roman"/>
          <w:b/>
          <w:i/>
          <w:color w:val="000000"/>
          <w:sz w:val="13"/>
        </w:rPr>
        <w:t>®</w:t>
      </w:r>
      <w:r>
        <w:rPr>
          <w:rFonts w:ascii="Times New Roman" w:hAnsi="Times New Roman"/>
          <w:color w:val="000000"/>
          <w:sz w:val="20"/>
        </w:rPr>
        <w:t xml:space="preserve"> </w:t>
      </w:r>
      <w:r>
        <w:rPr>
          <w:rFonts w:ascii="Times New Roman" w:hAnsi="Times New Roman"/>
          <w:b/>
          <w:i/>
          <w:color w:val="000000"/>
          <w:sz w:val="20"/>
        </w:rPr>
        <w:t>Technology and eRapid</w:t>
      </w:r>
      <w:r>
        <w:rPr>
          <w:rFonts w:ascii="Times New Roman" w:hAnsi="Times New Roman"/>
          <w:b/>
          <w:i/>
          <w:color w:val="000000"/>
          <w:sz w:val="13"/>
        </w:rPr>
        <w:t>®</w:t>
      </w:r>
      <w:r>
        <w:rPr>
          <w:rFonts w:ascii="Times New Roman" w:hAnsi="Times New Roman"/>
          <w:color w:val="000000"/>
          <w:sz w:val="20"/>
        </w:rPr>
        <w:t xml:space="preserve"> </w:t>
      </w:r>
      <w:r>
        <w:rPr>
          <w:rFonts w:ascii="Times New Roman" w:hAnsi="Times New Roman"/>
          <w:b/>
          <w:i/>
          <w:color w:val="000000"/>
          <w:sz w:val="20"/>
        </w:rPr>
        <w:t>Nebulizer System and we may in the future enter into additional intellectual property licensing agreements on which we could similarly become dependent. If we were to lose our rights to licensed intellectual property, we may not be able to continue developing or commercializing our product candidates, if approved, on the intended timeline. If we breach the PARI License Agreement or any other future agreements in which we license the use, development and commercialization rights to our product candidates from third parties or, in certain cases, we fail to meet certain deadlines, we could lose license rights that are important to our business.</w:t>
      </w:r>
    </w:p>
    <w:p>
      <w:pPr>
        <w:pStyle w:val="TextBody"/>
        <w:bidi w:val="0"/>
        <w:spacing w:before="120" w:after="283"/>
        <w:jc w:val="both"/>
        <w:rPr>
          <w:rFonts w:ascii="Times New Roman" w:hAnsi="Times New Roman"/>
          <w:sz w:val="20"/>
        </w:rPr>
      </w:pPr>
      <w:r>
        <w:rPr>
          <w:rFonts w:ascii="Times New Roman" w:hAnsi="Times New Roman"/>
          <w:color w:val="000000"/>
          <w:sz w:val="20"/>
        </w:rPr>
        <w:t>We are a party to the PARI License Agreement under which we are granted rights to intellectual property that are important to our business and we may enter into additional license agreements in the future with PARI or other third parties. Pursuant to the PARI License Agreement, we have secured an exclusive license to develop and commercialize our inhaled candidates with PARI’s eFlow</w:t>
      </w:r>
      <w:r>
        <w:rPr>
          <w:rFonts w:ascii="Times New Roman" w:hAnsi="Times New Roman"/>
          <w:color w:val="000000"/>
          <w:sz w:val="13"/>
        </w:rPr>
        <w:t>®</w:t>
      </w:r>
      <w:r>
        <w:rPr>
          <w:rFonts w:ascii="Times New Roman" w:hAnsi="Times New Roman"/>
          <w:color w:val="000000"/>
          <w:sz w:val="20"/>
        </w:rPr>
        <w:t xml:space="preserve"> Technology and eRapid</w:t>
      </w:r>
      <w:r>
        <w:rPr>
          <w:rFonts w:ascii="Times New Roman" w:hAnsi="Times New Roman"/>
          <w:color w:val="000000"/>
          <w:sz w:val="13"/>
        </w:rPr>
        <w:t>®</w:t>
      </w:r>
      <w:r>
        <w:rPr>
          <w:rFonts w:ascii="Times New Roman" w:hAnsi="Times New Roman"/>
          <w:color w:val="000000"/>
          <w:sz w:val="20"/>
        </w:rPr>
        <w:t xml:space="preserve"> Nebulizer System. The PARI License Agreement imposes, and we expect that future license agreements will impose on us, various development, regulatory and/or commercial diligence obligations, payment of milestones and/or royalties and other obligations. If we fail to comply with our obligations under such agreements, or we are subject to a bankruptcy, the licensor may have the right to terminate the license, in which event we would not be able to market products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 See “</w:t>
      </w:r>
      <w:r>
        <w:rPr>
          <w:rFonts w:ascii="Times New Roman" w:hAnsi="Times New Roman"/>
          <w:i/>
          <w:color w:val="000000"/>
          <w:sz w:val="20"/>
        </w:rPr>
        <w:t>Management’s Discussion and Analysis of Financial Condition and Results of Operations—Overview—Material Agreement</w:t>
      </w:r>
      <w:r>
        <w:rPr>
          <w:rFonts w:ascii="Times New Roman" w:hAnsi="Times New Roman"/>
          <w:color w:val="000000"/>
          <w:sz w:val="20"/>
        </w:rPr>
        <w:t>” for additional information on the PARI License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intellectual property licensed to us. In that event, we may be required to expend significant time and resources to develop or license replacement intellectual property.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some circumstances, we may not have the right to control the maintenance, prosecution, preparation, filing, enforcement, defense or litigation of patents and patent applications that we license from or license to third parties and may be reliant on our licensors or licensees to do so. We thus cannot be certain that activities such as patent maintenance and prosecution by our licensors have been or will be conducted consistent with our best interests or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 If our licensors fail to maintain such patents or patent applications, or lose rights to those patents or patent applications, the rights we have licensed may be reduced or eliminated, and our right to develop and commercialize any product candidates that are the subject of such licensed rights and our right to exclude third parties from commercializing competing products could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Disputes may arise between us and our licensors regarding intellectual property subject to a license agreement,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and the extent to which our product candidates and processes infringe on intellectual property of the licensor that is not subject to the licensing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right to sublicense patent and other rights to third parties under collaborative development relationships;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diligence obligations with respect to the use of the licensed intellectual property in relation to our development and commercialization of our product candidates, and what activities satisfy those diligence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or other obligations under the licensing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licensors and us and our partners;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disputes over intellectual property that we have licensed prevent or impair our ability to maintain our current licensing arrangements on acceptable terms, we may be unable to successfully develop and commercialize the affected product candidates.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Furthermore, if our licenses are terminated, or if the underlying patents fail to provide the intended exclusivity, competitors or other third parties would have the freedom to seek regulatory approval of, and to market, products identical or competitive to ours and we may be required to cease our development and commercialization of certain of our product candidates. Moreover, if disputes over intellectual property that we license prevent or impair our ability to maintain other licensing arrangements on commercially acceptable terms, we may be unable to successfully develop and commercialize the affected product candidates. In addition, certain of these license agreements, may not be assignable by us without the consent of the respective licensor, which may have an adverse effect on our ability to engage in certain transactions.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PARI License Agreement is, and future license agreements that we enter into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currently rely on, and in the future intend to rely on, third parties to conduct a significant portion of our clinical trials and potential future clinical trials for product candidates, and those third parties may not perform satisfactorily, including failing to meet deadlines for the completion of such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currently engage CROs and other vendors to conduct our ongoing clinical trials, including our ongoing Phase 2 clinical trials of AP01 and AP02, and similarly expect to engage CROs and other vendors for future clinical trials for these and other product candidates that we may progress to clinical development. We expect to continue to rely on third parties, including but not limited to clinical data management organizations, healthcare institutions operating as clinical sites and clinical investigators, to conduct those clinical trials. Any of these third parties may terminate their engagements with us, some in the event of an uncured material breach and some at any time for convenience. If any of our relationships with these third parties terminate, we may not be able to timely enter into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arrangements with alternative third parties or to do so on commercially reasonable terms, if at all. Switching or adding CROs or other vendors involves substantial cost and requires management time and focus. In addition, there is a natural transition period when a new CRO or vendor commences work. As a result, delays may occur, which can materially impact our ability to meet our desired clinical development timelines. We may encounter challenges or delays in our CRO/vendor relationships in the future which may cause a material adverse impact on our business, financial condition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any third parties conducting our clinical trials will not be our employees, and, except for including contractual obligations and remedies for breach of such obligations in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approvals for or successfully commercialize our product candidates. Consequently, our results of operations and the commercial prospects for our product candidates would be harmed, our costs could increase substantially and our ability to generate revenue could be delayed significantly. In addition, many of the third parties with whom we contract may also have relationships with other commercial entities, including our competitors, for whom they may also be conducting clinical trials or other development activities that could harm our competitive position.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on these parties for execution of our preclinical studies and clinical trials, and generally do not directly control their businesses or related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certain ongoing clinical trials and post the results of completed clinical trials on a government-sponsored database, ClinicalTrials.gov, within specified timeframes. Failure to do so can result in fines, adverse publicity and civil and criminal sanctions. If we or any of our CROs or other third parties, including trial sites, fail to comply with applicable GCPs, the clinical data generated in our clinical trials may be deemed unreliable and the FDA or comparable foreign regulatory authorities may require us to perform additional clinical trials before approving our marketing applications. Further, upon inspection by a given regulatory authority, such regulatory authority may not agree with our determination that any of our clinical trials complies with GCP requirements. In addition, our clinical trials must be conducted with product produced under cGMP conditions. Our failure to comply with these requirements may require us to repeat clinical trials, which would delay the regulatory approval process.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expect to rely on other third parties to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contract with third parties for the manufacture of our product candidates for clinical drug and device supply and expect to continue to do so for commercialization, if our product candidates are approved. This reliance on third parties increases the risk that we will not have sufficient quantities of our product candidates or such quantities at an acceptable cost or quality, which could delay, prevent or impair our development or commercialization efforts.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have any cGMP manufacturing facilities and have no plans to develop our own clinical or commercial-scale manufacturing capabilities. We currently rely, and expect to continue to rely, on contract development and manufacturing organizations, or CDMOs, for the cGMP manufacture of our product candidates and related raw materials for clinical development. In addition, we expect to rely on CDMOs for the commercial supply of any products for which we receive marketing approval. This reliance increases the risk that we will not have sufficient quantities of our product candidates or products, if approved, or such quantities at an acceptable cost or quality, which could delay, prevent or impair our development or commercialization efforts. For example, any of these third parties may terminate their engagements with us at any time or may face production shortages or other supply interruptions or otherwise be unable to secure the requisite raw materials to support our planned clinical activities. In addition, the availability of CDMOs to manufacture our product candidates/drugs may depend in part on the CDMOs’ schedules for manufacturing other companies’ products or product candidates. If we need to modify our development plans or enter into alternative arrangements, which may not be readily available or available on acceptable terms, it could delay our product development activities and increase our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reliance on CDMOs for manufacturing activities will reduce our control over these activities, but will not relieve us of our responsibility to ensure compliance with all required regulations. In particular, we do not have control over a supplier’s or manufacturer’s compliance with laws, regulations and applicable cGMP standards or similar regulatory requirements and other laws and regulations, such as those related to environmental health and safety matters. If our CDMOs cannot successfully manufacture material that conforms to our specifications and the strict regulatory requirements of the FDA or comparable foreign regulatory authorities, we may be unable to obtain regulatory approval of our potential future marketing applications. In addition, although we conduct routine qualification audits and have quality agreements in place with our CDMOs, we have no direct operational control over their ability to maintain adequate quality control, quality assurance and qualified personnel. Our CDMOs may face manufacturing or quality control problems causing production and shipment delays, or CDMOs may fail to maintain compliance with the applicable cGMP requirements. The facilities used by our CDMOs are subject to continual review and periodic inspections by the FDA and comparable foreign regulatory authorities. If the FDA or a comparable foreign regulatory authority finds deficiencies with or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drugs, operating restrictions and criminal prosecutions, any of which could significantly and adversely affect supply of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use of foreign CROs and CDMOs in some jurisdictions may be or may become subject to U.S. legislation, including sanctions, trade restrictions and other regulatory requirements, which may increase the cost of and cause delays in the procurement or supply of materials for, or manufacture of, our product candidates or have an adverse effect on our ability to secure significant commitments from governments to purchase its potential therapies.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we rely on sole suppliers for certain steps in the manufacturing supply chain of pirfenidone and nintedanib. If these sole suppliers are unable to supply to us in the quantities we require, or at all, or otherwise defaults on their supply obligations to us, we may not be able to obtain alternative supplies from other suppliers on acceptable terms, in a timely manner, or at all. We also do not have long-term supply agreements with any of our suppliers. Our current contracts with certain suppliers may be canceled or not extended by such suppliers and, therefore, do not afford us with protection against a reduction or interruption in supplies. Moreover, in the event any of these suppliers breach their contracts with us, our legal remedies associated with such a breach may be insufficient to compensate us for any damages we may suffer.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performance failure on the part of our existing or future manufacturers could delay clinical development or marketing approval. If our current CDMOs cannot perform as agreed, we may be required to replace such manufacturers. We may incur added costs and delays in identifying and qualifying any such replacement. In addition, our current and anticipated dependence upon others for the manufacture of our product candidates may adversely affect our future profit margins and our ability to commercialize any products that receive marketing approval on a timely and competitive basis.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seek to establish collaborations, license agreements and other similar arrangements with third parties for the development or commercialization of our product candidates. If we are not able to establish them on commercially reasonable terms, or if those arrangements are not successful, we may have to alter our development and commercialization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development and potential commercialization of our product candidates will require substantial additional funding. For some of our product candidates, we may seek to collaborate with other pharmaceutical and biotechnology companies for the development and potential commercialization of our product candidates, including for the commercialization of any of our product candidates that are approved for marketing outside the U.S. If we enter into any such additional arrangements with any third parties, we will likely have limited control over the amount and timing of resources that our future collaborators dedicate to the development or commercialization of our product candidates. Collaboration agreements may not lead to development or commercialization of product candidates in the most efficient manner or at all. If any future collaborator of ours is involved in a business combination, it could decide to delay, diminish or terminate the development or commercialization of any product candidate licensed to it by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face significant competition in seeking appropriate collaborators, and the negotiation process is time-consuming and complex.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 from competing product candidates, the design or results of clinical trials, the likelihood of approval by the FDA or comparable foreign regulatory authorities outside the U.S., the potential market for the subject product candidate, the costs and complexities of manufacturing and delivering such product candidate to patients, and industry and market conditions generally. The collaborator may also consider alternative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candidates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Collaborations involving our product candidates would pose the following risks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these collaborations;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not perform their obligations as expected,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collaborator with marketing and distribution rights to one or more of our product candidates that achieve regulatory approval may not commit sufficient resources to the marketing and distribution of such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infringe the intellectual property rights of third parties, which may expose us to litigation and potential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collaborations may be terminated, including for the convenience of the collaborator and, if terminated, we could be required to raise additional capital to pursue further development or commercialization of the applicable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required to invest resources and attention into such collaboration, which could distract from other business objectives.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not be able to negotiate future collaborations on a timely basis, on acceptable terms, or at all. If we are unable to do so, we may have to curtail the development of any product candidate that we planned to collaborate on,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which could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any future collaborations that we enter into may not be successful. The success of our future collaboration arrangements will depend heavily on the efforts and activities of our future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If conflicts arise between any future collaborators and us, the other party may act in a manner adverse to us and could limit our ability to implement our strategies. For example, our future collaborators could conduct multiple product development efforts and could develop, either alone or with others,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products in related fields that are competitive with the product candidates we may develop. In addition, collaborations with pharmaceutical or biotechnology companies and other third parties often are terminated or allowed to expire by the other party, and any such termination or expiration may adversely affect us financially or harm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Related to Our Intellectual Property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are unable to obtain and maintain patent protection for any products we develop and for our technology, or if the scope of the patent protection obtained is not sufficiently broad, our competitors or other third parties could develop and commercialize products and technology similar or identical to ours, and our ability to commercialize any product candidates we may develop, and our technology may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success depends in large part on our ability to obtain and maintain patent protection in the United States and other countries for our product candidates and their uses, as well as our ability to operate without infringing, misappropriating, or otherwise violating the proprietary rights of others. We seek to protect our proprietary position by filing patent applications in the United States and abroad related to our novel discoveries and technologies that are important to our business. Although we own issued patents, our pending and future patent applications, may not result in issued patents. Even if our owned or licensed patent applications result in issued patents, we cannot assure you that such issued patents will afford sufficient protection of our product candidates or their intended uses against competitors, nor can there be any assurance that the patents issued will not be infringed, designed around, or invalidated by third parties, or that they will effectively prevent others from commercializing competing technologies, products, or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Obtaining and enforcing patents is expensive, complex, and time-consuming, and we may not be able to file, prosecute, maintain, enforce, or license all necessary or desirable patent applications or maintain and/or enforce patents that may issue based on our owned or licensed patent applications at a reasonable cost or in a timely manner. We may not be able to obtain or maintain patent applications and patents due to the subject matter claimed in such patent applications and patents being in disclosures in the public domain. It is also possible that we will fail to identify patentable aspects of our research and development results before it is too late to obtain patent protection. Although we may have the right to have some input in connection with such activities, we may not have the right to control the preparation, filing, and prosecution of patent applications that are licensed to us by third parties, or to control prosecution and maintenance of patents that we out-license to third parties. For example, we do not control the prosecution or enforcement of certain intellectual property licensed from PARI. Therefore, patents and applications that are relevant to our product candidates may not be prosecuted and enforced in a manner consistent with the best interests of our business.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 Consequently, we may not be able to prevent any third parties from using any of our technology that is in the public domain to compete with our technologies or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Composition of matter patents for pharmaceutical product candidates often provide a strong form of intellectual property protection for those types of products, as such patents provide protection without regard to any method of use. Similarly, patents for pharmaceutical formulations containing pharmaceutical product candidates may provide an additional form of intellectual property protection, as such patents provide protection without regard to any method of use. However, we cannot be certain that the claims in our pending patent applications directed to the pharmaceutical formulations of our product candidates will be considered patentable by the USPTO or by patent offices in foreign countries, or that such claims in any of our issued patents will be considered valid and enforceable by courts in the United States or foreign countries. In addition, we cannot be certain that the claims of such patents, and applications if granted, will be sufficiently broad to effectively prevent competitors from working around our claimed inventions by developing an alternative formulation and thereby competing with us without infringing our patent rights. Method of use patents protect the use of a product for the specified method or indication. In the absence of separate composition of matter protection, this type of patent does not prevent a competitor from making and marketing a product that is identical to our product candidates for an indication that is outside methods of use included in our owned or licensed patents. Moreover, even if competitor products are not approved for use in our patented indications, and our competitors do not actively promote their product for indications that are covered by our owned or licensed patents, clinicians may prescribe these competitor products “off-label.” Although off-label prescriptions may infringe or contribute to the infringement of method of use patents, such infringement is difficult to prevent or prosecute.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issued patents we own or license that cover our pharmaceutical product candidates may expire at such a date that such patents may not prevent competitors from developing, making and marketing a product that is identical to our product candidates after expiration of any applicable regulatory exclusivities.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patent position of biopharmaceutical companies generally is highly uncertain, involves complex legal and factual questions, and has in recent years been the subject of much litigation, resulting in court decisions, including Supreme Court decisions, which have increased uncertainties as to the ability to enforce patent rights in the future. As a result, the issuance, scope, validity, enforceability, and commercial value of any patent rights are highly uncertain. Our pending and future owned and in-licensed patent applications may not result in patents being issued that protect our technologies or product candidates, effectively prevent others from commercializing our technologies or product candidates or otherwise provide any competitive advantage. In fact, patent applications may not issue as patents at all. The coverage claimed in a patent application can also be significantly reduced before the patent is issued, and its scope can be reinterpreted after issuance. In addition, the laws of foreign countries may not protect our rights to the same extent as the laws of the United States, or vice versa.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patent application process is subject to numerous risks and uncertainties, and there can be no assurance that we will be successful in protecting our product candidates by obtaining and defending patents. For example,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If a third party can establish that we were not the first to make or the first to file for patent protection of such inventions, our owned patent applications may not issue as patents and even if issued, may be challenged and invalidated or rendered unenforceable. As a result, the issuance, inventorship, scope, validity, enforceability, and commercial value of our patent rights are highly uncertain.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issuance of a patent is not conclusive as to its inventorship, scope, validity, or enforceability, and our owned or licensed patents and pending patent applications may be challenged in patent offices in the United States and abroad. Even issued patents may later be found invalid or unenforceable or may be modified or revoked in proceedings instituted by third parties before various patent offices or in courts. For example, our owned or licensed pending patent applications may be subject to third-party pre-issuance submissions of prior art to the USPTO, and our issued patents may be subject to post-grant review proceedings, oppositions, derivations, reexaminations, interferences, </w:t>
      </w:r>
      <w:r>
        <w:rPr>
          <w:rFonts w:ascii="Times New Roman" w:hAnsi="Times New Roman"/>
          <w:i/>
          <w:color w:val="000000"/>
          <w:sz w:val="20"/>
        </w:rPr>
        <w:t>inter partes</w:t>
      </w:r>
      <w:r>
        <w:rPr>
          <w:rFonts w:ascii="Times New Roman" w:hAnsi="Times New Roman"/>
          <w:color w:val="000000"/>
          <w:sz w:val="20"/>
        </w:rPr>
        <w:t xml:space="preserve"> review proceedings, or other similar proceedings, in the United States or elsewhere, challenging our patent rights or the patent rights of others. Such submissions may also be made prior to a patent’s issuance, precluding the granting of a patent based on one or more of our owned pending patent applications.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Such challenges also may result in substantial cost and require significant time from our scientists and management, even if the eventual outcome is favorable to us. Any of the foregoing could adversely affect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third party may also claim that our owned patent rights are invalid or unenforceable in a litigation. The outcome following legal assertions of invalidity and unenforceability is unpredictable. An adverse result in any legal proceeding could put one or more of our owned patents at risk of being invalidated or interpreted narrowly and could allow third parties to commercialize our products and compete directly with us, without payment to us, or result in our inability to manufacture or commercialize our technology, products, or product candidates without infringing third-party patent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given the amount of time required for the development, testing, and regulatory review of new product candidates, patents protecting such candidates might expire before or shortly after such candidates are commercialized. Further, if we encounter delays in our clinical trials, the period of time during which we could market our product candidates under patent protection would be reduced. The degree of future protection for our proprietary rights is uncertain. Only limited protection may be available and may not adequately protect our rights or permit us to gain or keep any competitive advantage. Any failure to obtain or maintain patent protection with respect to our product candidates or their uses could adversely affect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before="360" w:after="283"/>
        <w:jc w:val="both"/>
        <w:rPr>
          <w:rFonts w:ascii="Times New Roman" w:hAnsi="Times New Roman"/>
          <w:sz w:val="20"/>
        </w:rPr>
      </w:pPr>
      <w:r>
        <w:rPr>
          <w:rFonts w:ascii="Times New Roman" w:hAnsi="Times New Roman"/>
          <w:b/>
          <w:i/>
          <w:color w:val="000000"/>
          <w:sz w:val="20"/>
        </w:rPr>
        <w:t>If our efforts to protect the proprietary nature of the intellectual property related to our technologies are not adequate, we may not be able to compete effectively in our market.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rely upon a combination of patents, confidentiality agreements, and trade secret protection to protect the intellectual property related to our technologies. Any disclosure to or misappropriation by third parties of our confidential proprietary information could enable competitors to quickly duplicate or surpass our technological achievements, thus eroding our competitive position in our market. We, or any future partners, collaborators, licensors or licensees, may fail to identify patentable aspects of inventions made in the course of development and commercialization activities before it is too late to obtain patent protection on them. Therefore, we may miss potential opportunities to strengthen our patent position.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It is possible that defects of form in the preparation or filing of our owned or licensed patents or patent applications may exist, or may arise in the future, for example with respect to proper priority claims, inventorship, claim scope, or requests for patent term adjustments. If we or our future partners, collaborators, licensees or licensors fail to establish, maintain or protect such patents and other intellectual property rights, such rights may be reduced or eliminated. If our future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owned or licensed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anticipate additional patent applications will be filed both in the United States and in other countries, as appropriate. However, we cannot predict: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additional patent applications covering new technologies related to our product candidates will be filed;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and when patents will issue;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degree and range of protection any issued patents will afford us against competitors, including whether third parties will find ways to invalidate or otherwise circumvent our owned or licensed patents;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any of our intellectual property will provide any competitive advantage;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any of our owned or licensed patents that may be issued may be challenged, invalidated, modified, revoked, circumvented, found to be unenforceable or otherwise may not provide any competitive advantage;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or not others will obtain patents claiming aspects similar to those covered by our owned or licensed patents and patent applications;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we will need to initiate or defend litigation or administrative proceedings which may be costly regardless of whether we win or lose.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we cannot be certain that the claims in our pending and future patent applications covering our product candidates will be considered patentable by the USPTO, or by patent offices in foreign countries, or that the claims in any of our issued patents will be considered valid or patentable by courts in the United States or foreign countries.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Patents are of national or regional effect. Filing, prosecuting, and defending patents on all of our research programs and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or our licensors do pursue patent protection, or from selling or importing products made using our inventions in and into the United States or other jurisdictions. In some cases, we or our licensors may not be able to obtain patent protection for certain technology outside the United States. Competitors may use our technologies in jurisdictions where we and our licensors have not obtained patent protection to develop their own products and, further, may export otherwise infringing products to territories where we have patent protection, but enforcement is not as strong as that in the United States. These competitor products may compete with our product candidates, and our owned or licensed patents or other intellectual property rights may not be effective or sufficient to prevent them from competing.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Various companies have encountered significant problems in protecting and defending intellectual property rights in foreign jurisdictions. The legal systems of many countries, particularly certain developing countries, do not favor the enforcement of patents and other intellectual property protection, particularly those relating to pharmaceuticals, which could make it difficult for us to stop the infringement of our owned or licensed patents or marketing of competing products in violation of our proprietary rights. Proceedings to enforce our or our licensors’ patent rights in foreign jurisdictions could result in substantial costs and divert our efforts and attention from other aspects of our business, could put our owned or licensed patents at risk of being invalidated or interpreted narrowly and our owned or licensed patent applications at risk of not issuing and could provoke third parties to assert claims against us. We or our licensors may not prevail in any lawsuits that we or our licensors initiate, and the damages or other remedies awarded, if any, may not be commercially meaningful.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Various countries outside the United States have compulsory licensing laws under which a patent owner may be compelled to grant licenses to third parties. In addition, many countries limit the enforceability of patents against government agencies or government contractors. As a result, a patent owner may have limited remedies in certain circumstances,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the standards applied by the USPTO and foreign patent offices in granting patents are not always applied uniformly or predictably.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 consuming, expensive, and unpredictable.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geopolitical actions in the United States and in foreign countries could increase the uncertainties and costs surrounding the prosecution or maintenance of our owned or licensed patent applications or those of any future licensors and the maintenance, enforcement, or defense of our issued patents or those of any future licensors. As a result, our competitive position may be impaired, and our business, financial condition, results of operations, and prospects may be adversely affected.</w:t>
      </w:r>
    </w:p>
    <w:p>
      <w:pPr>
        <w:pStyle w:val="TextBody"/>
        <w:bidi w:val="0"/>
        <w:spacing w:before="360" w:after="283"/>
        <w:jc w:val="both"/>
        <w:rPr>
          <w:rFonts w:ascii="Times New Roman" w:hAnsi="Times New Roman"/>
          <w:sz w:val="20"/>
        </w:rPr>
      </w:pPr>
      <w:r>
        <w:rPr>
          <w:rFonts w:ascii="Times New Roman" w:hAnsi="Times New Roman"/>
          <w:b/>
          <w:i/>
          <w:color w:val="000000"/>
          <w:sz w:val="20"/>
        </w:rPr>
        <w:t>Third-party claims of intellectual property infringement, misappropriation, or other violation may prevent or delay our product discovery and development efforts.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commercial success depends in part on our ability and the ability of our future collaborators to develop, manufacture, market, and sell our product candidates without infringing, misappropriating, or otherwise violating the intellectual property and proprietary rights of third parties. We may analyze patents or patent applications of our competitors that we believe are relevant to our activities, and consider that we are free to operate in relation to our product candidates, but our competitors may obtain issued claims, including in patents we consider to be unrelated to our products or activities, which block our efforts or may potentially result in our product candidates or our activities infringing such claims.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is a substantial amount of litigation involving the infringement of patents and other intellectual property rights in the biotechnology and pharmaceutical industries. We may be exposed to, or threatened with, future litigation by third parties having patent or other intellectual property rights and who allege that our product candidates, uses and/or other proprietary technologies infringe, misappropriate, or otherwise violate their intellectual property rights. Numerous U.S. and foreign issued patents and pending patent applications, which are owned by third parties, exist in the fields in which we are developing our product candidates. As the biotechnology and pharmaceutical industries expand and more patents are issued, the risk that our product candidates may give rise to claims of infringement of the patent rights of others increases. Moreover, it is not always clear to industry participants, including us, which patents exist which may be found to cover various types of drugs, products or their methods of use or manufacture. Moreover, we may face patent infringement claims from nonpracticing entities that have no relevant product revenue and against whom our owned or licensed patent portfolio may therefore have no deterrent effect. Thus, because of the large number of patents issued and patent applications currently pending in our fields, there may be a risk that third parties may allege they have patent rights which are infringed by our product candidates, technologies or methods.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 third party alleges that we infringe, misappropriate, or otherwise violate its intellectual property rights, we may face a number of issues, including, but not limited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infringement and other intellectual property misappropriation which, regardless of merit, may be expensive and time-consuming to litigate and may divert our management’s attention from our core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substantial damages for infringement or misappropriation, which we may have to pay if a court decides that the product candidate or technology at issue infringes on or violates the third-party’s rights, and, if the court finds we have willfully infringed intellectual property rights, we could be ordered to pay treble damages and the patent owner’s attorneys’ fees;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injunction prohibiting us from manufacturing, marketing or selling our product candidates, or from using our proprietary technologies, unless the third party agrees to license its patent rights to us;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even if a license is available from a third party, we may have to pay substantial royalties, upfront fees, and other amounts, and/or grant cross-licenses to intellectual property rights protecting our products;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forced to try to redesign our product candidates or processes so they do not infringe third-party intellectual property rights, an undertaking which may not be possible or which may require substantial monetary expenditures and time.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Third parties may assert that we are employing their proprietary technology without authorization. Generally, conducting preclinical and clinical trials and other development activities in the United States is not considered an act of infringement. If a product candidate is approved by the FDA, a third party may then seek to enforce its patent by filing a patent infringement lawsuit against us. There may be issued third-party patents of which we are currently unaware with claims to compositions, formulations, methods of manufacture or methods for treatment related to the use or manufacture of our product candidates. There may be currently pending patent applications which may later result in issued patents that may be infringed by our product candidates. Moreover, we may fail to identify relevant patents or incorrectly conclude that a patent is invalid, not enforceable, exhausted, or not infringed by our activities.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Patent and other types of intellectual property litigation can involve complex factual and legal questions, and their outcome is uncertain. Even if we believe such claims are without merit, a court of competent jurisdiction could hold that third-party patents are valid, enforceable, and infringed, which could adversely affect our ability to commercialize our product candidates.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or find that our product candidates or technology did not infringe any such claims.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employee resources from our business. There could also be public announcements of the results of hearings, motions, or other interim proceedings or developments. If securities analysts or investors perceive these results to be negative, it could adversely affect the price of shares of our common stock.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product candidates. Even if we were able to obtain a license, it could be nonexclusive, thereby giving our competitors and other third parties access to the same technologies licensed to us, and it could require us to make substantial licensing and royalty payments. We may fail to obtain any of these licenses at a reasonable cost or on reasonable terms, if at all. In that event, we would be unable to further develop and commercialize our product candidates, which could harm our business significantly.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involved in lawsuits to protect or enforce our owned or licensed patents or other intellectual property, which could be expensive, time-consuming and unsuccessful.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Competitors or other third parties may infringe, misappropriate, or violate our owned or licensed patents, trademarks, or other intellectual property. To counter infringement, misappropriation, or unauthorized use, we may be required to file infringement claims, which can be expensive and time consuming and divert the time and attention of our management and scientific personnel. Our pending patent applications cannot be enforced against third parties practicing the technology claimed in such applications unless and until a patent issues from such applications. Any claims we assert against perceived infringers could provoke these parties to assert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counterclaims against us alleging that we infringe their patents, in addition to counterclaims asserting that our owned or licensed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insufficient written description, or failure to claim patent-eligible subject matter.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technology falls under the safe harbor to patent infringement under 35 U.S.C. §271(e)(1). An adverse outcome in a litigation or proceeding involving our patents could limit our ability to assert our patents against those parties or other competitors and may curtail or preclude our ability to exclude third parties from making and selling similar or competing products. Any of these occurrences could adversely affect our competitive position, and our business, financial condition, results of operations, and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we establish infringement, misappropriation, or violation,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cannot assure you that we will have sufficient financial or other resources to file and pursue such infringement, misappropriation, or violation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file a Section 505(b)(2) application that references a product marketed by another manufacturer, we may be subject to a patent infringement suit and the approval of our product may be delayed.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file a Section 505(b)(2) application that relies in whole or in part on studies conducted by a third-party, we will be required to certify to the FDA that either: (1) there is no patent information listed in the FDA’s publication Approved Drug Products with Therapeutic Equivalence Evaluations, which we refer to as the Orange Book, with respect to the third-party NDA for the applicable approved drug candidate; (2) the patents listed in the Orange Book have expired; (3) the listed patents have not expired, but will expire on a particular date and approval is sought after patent expiration; or (4) the listed patents are invalid or will not be infringed by the manufacture, use or sale of our drug. A certification that our new drug will not infringe the Orange Book-listed patents for the applicable approved drug candidate, or that such patents are invalid, is called a paragraph IV certification. If we submit a paragraph IV certification to the FDA, a notice of the paragraph IV certification must also be sent to the NDA holder once our Section 505(b)(2) application is accepted for filing by the FDA. The third-party may then initiate a lawsuit to defend the patents identified in the notice and sue us for infringing such patents. The filing of a patent infringement lawsuit within 45 days of receipt of the notice automatically prevents the FDA from approving the Section 505(b)(2) application until the earliest of 30 months or the date on which the patent expires, the lawsuit is settled, or the court reaches a decision in the infringement lawsuit in favor of us. The third-party may file a patent infringement lawsuit against us outside the 45-day period, in which case, our Section 505(b)(2) application will not be subject to the 30-month stay of FDA approval. If we are sued for patent infringement by a third party and are unsuccessful in defending such suit, we may be prevented from commercializing our product unless we are able to obtain a license from such third party, which may not be available on commercially reasonable terms or at all, and the occurrence of such event could have a material adverse effect on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Issued patents covering our product candidates could be found invalid or unenforceable if challenged in court or before administrative bodies in the United States or abroad.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or one of our current or future licensors initiates legal proceedings against a third party to enforce a patent covering our product candidates, or our other proprietary technologies,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addition to such counterclaims, third parties may raise claims challenging the validity or enforceability of a patent before administrative bodies in the United States or abroad, even outside the context of litigation. Such mechanisms include re-examination, post-grant review, </w:t>
      </w:r>
      <w:r>
        <w:rPr>
          <w:rFonts w:ascii="Times New Roman" w:hAnsi="Times New Roman"/>
          <w:i/>
          <w:color w:val="000000"/>
          <w:sz w:val="20"/>
        </w:rPr>
        <w:t>inter partes</w:t>
      </w:r>
      <w:r>
        <w:rPr>
          <w:rFonts w:ascii="Times New Roman" w:hAnsi="Times New Roman"/>
          <w:color w:val="000000"/>
          <w:sz w:val="20"/>
        </w:rPr>
        <w:t xml:space="preserve"> review, derivation proceedings, and equivalent proceedings in foreign jurisdictions (</w:t>
      </w:r>
      <w:r>
        <w:rPr>
          <w:rFonts w:ascii="Times New Roman" w:hAnsi="Times New Roman"/>
          <w:i/>
          <w:color w:val="000000"/>
          <w:sz w:val="20"/>
        </w:rPr>
        <w:t>e.g.</w:t>
      </w:r>
      <w:r>
        <w:rPr>
          <w:rFonts w:ascii="Times New Roman" w:hAnsi="Times New Roman"/>
          <w:color w:val="000000"/>
          <w:sz w:val="20"/>
        </w:rPr>
        <w:t>, opposition proceedings). Such proceedings could result in the revocation of, cancellation of, or amendment to our patent rights in such a way that they no longer cover our product candidates, and any other proprietary or platform technologies we may develop. The outcome following legal assertions of invalidity and unenforceability is unpredictable. With respect to the validity question, for example, we cannot be certain that there is no invalidating prior art of which we or our licensors and the patent examiner were unaware during prosecution. If a third party were to prevail on a legal assertion of invalidity or unenforceability, we would lose at least part, and perhaps all, of the patent protection provided to our product candidates, or other components of our programs, as applicable. Such a loss of patent protection could have a material adverse impact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Furthermore, for U.S. applications in which all claims are entitled to a priority date before March 16, 2013, an interference proceeding can be provoked by a third-party or instituted by the USPTO to determine who was the first to invent any of the subject matter covered by the patent claims.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 assurance can be given that, if challenged, our owned or licensed patents would be declared by a court or an administrative body to be valid or enforceable.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patent law in the United States and other jurisdictions could diminish the value of patents in general, thereby impairing our ability to protect our product candidates.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success is heavily dependent on intellectual property, particularly patents. Obtaining, defending, maintaining,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Patent reform legislation in the United States and other countries, including the Leahy-Smith America Invents Act, or the Leahy-Smith Act, signed into law on September 16, 2011, could increase those uncertainties and costs surrounding the prosecution of our patent applications and the enforcement or defense of our patents and future issued patents. The Leahy-Smith Act includes a number of significant changes to United States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Times New Roman" w:hAnsi="Times New Roman"/>
          <w:i/>
          <w:color w:val="000000"/>
          <w:sz w:val="20"/>
        </w:rPr>
        <w:t>inter partes</w:t>
      </w:r>
      <w:r>
        <w:rPr>
          <w:rFonts w:ascii="Times New Roman" w:hAnsi="Times New Roman"/>
          <w:color w:val="000000"/>
          <w:sz w:val="20"/>
        </w:rPr>
        <w:t xml:space="preserve"> review, and derivation proceedings.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because of a lower evidentiary standard in these USPTO post-grant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 or defense of our patents and future issued patents, all of which could adversely affect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After March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third-party was the first to invent the claimed invention. Consequently, if a third party files a patent application in the USPTO before we file an application covering the same invention, the third party could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(i) file any patent application related to our product candidates and other proprietary technologies we may develop or (ii) invent any of the inventions claimed in our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 The Leahy-Smith Act and its implementation could increase the uncertainties and costs surrounding the prosecution of our patent applications and the enforcement or defense of our patents and future issued patents, all of which could adversely affect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patent positions of companies in the development and commercialization of pharmaceuticals are particularly uncertain. The U.S. Supreme Court has ruled on several patent cases in recent years, either narrowing the scope of patent protection available in certain circumstances or weakening the rights of patent owners in certain situations. Depending on future actions by the United States Congress, the United States courts, the USPTO, and the relevant law-making bodies in other countries, the laws and regulations governing patents could change in unpredictable ways that would weaken our ability to enforce patents or obtain new patents. We cannot predict how future decisions by the courts, the United States Congress, or the USPTO may impact the value of our patents. Any similar adverse change in the patent laws of other jurisdictions could also adversely affect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Similarly, changes in patent law and regulations in other countries or jurisdictions or changes in governmental bodies that enforce them or changes in how the relevant governmental authority enforces patent laws or regulations may weaken our ability to obtain new patents or to enforce patents that we may obtain in the future. For example, the complexity and uncertainty of European patent laws have also increased in recent years. In Europe, a unitary patent system took effect on June 1, 2023. Under the unitary patent system, all European patents, including those issued prior to June 1, 2023, now by default automatically fall under the jurisdiction of a new European Unified Patent Court, or the UPC, for litigation involving such patents. As the UPC is a new court system, there is no precedent for the court, increasing the uncertainty of any litigation.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European patents could remain under the jurisdiction of the UPC. The UPC will provide our competitors with a new forum to centrally revoke our European patents, and allow for the possibility of a competitor to obtain pan-European injunctions. It is uncertain how the UPC will impact granted European patents in the biotechnology and pharmaceutical industries.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become subject to claims challenging the inventorship or ownership of our patents and other 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adversely affect our business. Even if we are successful in defending against such claims, litigation could result in substantial costs and be a distraction to management and other employees.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future licensors may have relied on third-party consultants or collaborators or on funds from third parties, such as the United States government, such that our future licensors are not the sole and exclusive owners of the patents we may in-licensed. If other third parties have ownership rights or other rights to our future in-licensed patents, they may be able to license such patents to our competitors,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and our competitors could market competing products and technology. This could adversely affect our competitive position,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Individuals executing agreements with us may have preexisting or competing obligations to a third party and thus an agreement with us may be ineffective in perfecting ownership of inventions developed by that individual.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might adversely affect our ability to develop and market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the biopharmaceutical industry expands and more patents are issued, the risk increases that our product candidates may be subject to claims of infringement of the patent rights of third parties. There can be no assurance that our operations do not, or will not in the future, infringe, misappropriate, or otherwise violate existing or future third-party patents or other intellectual property rights. Identification of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Numerous U.S. and foreign patents and pending patent applications exist in our market that are owned by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patent applications of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United States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product candidates, or the use of our product candidates. As such, there may be applications of others now pending or recently revived patents of which we are unaware. These patent applications may later result in issued patents, or the revival of previously abandoned patents may result in revived patents, that may be infringed by the manufacture, use, or sale of our technologies or product candidates or will prevent, limit, or otherwise interfere with our ability to make, use, or sell our technologies and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provide any assurances that third-party patents and other intellectual property rights do not exist which might be enforced against our product candidates, their respective methods of use, manufacture, and formulations thereof, and could result in either an injunction prohibiting our manufacture or future sales, or, with respect to our future sales, an obligation on our part to pay royalties and/or other forms of compensation to third parties, which could be significant.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Patent terms may be inadequate to protect our competitive position on products or product candidates for a sufficient amount of time.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patent is generally 20 years from its earliest United States non-provisional or international patent application filing date. Various extensions may be available, but the life of a patent, and the protection it affords, is limited. Even if patents covering our products or product candidates are obtained, once the patent life has expired, we may be open to competition from competing products, including generics. Given the amount of time required for the development, testing, and regulatory review of products or new product candidates, patents protecting such products or candidates might expire before or shortly after such products or candidates are commercialized. As a result, our patent portfolio may not provide us with sufficient and continuing rights to exclude others from commercializing products similar or identical to ours.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 patent agencies, and our patent protection could be reduced or eliminated as a result of noncompliance with these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Periodic maintenance fees, renewal fees, annuity fees, and various other government fees on patents and/or applications will be due to be paid to the USPTO and various government patent agencies outside of the United States over the lifetime of our owned patents and patent applications. We rely on our outside counsel, or third party vendors, to pay these fees due to United States and non-United States patent agencies. The USPTO and various non-United States government patent agencies require compliance with several procedural, documentary, fee payment, and other similar provisions during the patent application process. We are also dependent on PARI to take the necessary action to comply with these requirements with respect to the intellectual property licensed under the PARI License Agreement and may be similarly dependent on licensors in the future.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commercially-viable terms, then we may not be able to launch our product candidate. Additionally, trade secrets can be difficult to protect and some courts inside and outside the United States are less willing or unwilling to protect trade secrets. The laws of some foreign countries do not protect proprietary rights to the same extent or in the same manner as the laws within the United States.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 Additionally,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whether inadvertently or through intentional acts of current or departing employees, or that competitors will not otherwise gain access to our trade secrets. If any of the employees, consultants or advisors who are parties to these agreements breach or violate the terms of any of these agreements, we may not have adequate remedies for any such breach or violation. We cannot guarantee that we have entered into such agreements with each party that may have or has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 If our trade secrets are not adequately protected, our business, financial condition, results of operations, and prospects could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registered or unregistered trademarks or trade names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names, or other intellectual property may be ineffective and could result in substantial costs and diversion of resources and could adversely affect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of our employees, consultants, or advisors have in the past and may in the future be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An inability to incorporate such technologies or features would harm our business and may prevent us from successfully commercializing our technologies or product candidates.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technologies or product candidates, which could adversely affect our business, financial condition, results of operations, and prospects. Even if we are successful in defending against such claims, litigation could result in substantial costs and be a distraction to management.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or our licensors may in the future be subject to claims by former employees, consultants, or other third parties asserting an ownership right in our owned or licensed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technologies and product candidates. Such challenges may also result in our inability to develop, manufacture, or commercialize our technologies and product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technologies and product candidates. Any of the foregoing could adversely affect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be able to make products that are similar to ours, but that are not covered by the claims of the patents that we license or may own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and when patents will issue;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or collaborators, might not have been the first to make the inventions covered by the issued patent or pending patent applications that we license or may own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or collaborators, might not have been the first to file patent applications covering certain of our or their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owned or licensed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possible that our pending owned or licensed patent applications will not lead to issued patents;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issued patents that we hold rights to now or in the future may be held invalid or unenforceable, including as a result of legal challenges by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have access to the same intellectual property rights licensed to us in the future on a nonexclusive basis;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patents or other intellectual property rights of others may have an adverse effect on our business;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choose not to file a patent for certain trade secrets or know-how, and a third party may subsequently file a patent covering such intellectual property.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 foregoing could have a material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Related to Legal and Regulatory Compliance Matters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business operations and our relationships with healthcare providers, third-party payors, patients and other parties in the healthcare industry are subject, directly or indirectly, to significant regulation under a broad range of healthcare laws, including fraud and abuse laws. Any action against us for violation of such laws could harm our reputation and require significant resources for defense. If we are unable to comply, or have not fully complied, with such laws, we could face substantial penalties.</w:t>
      </w:r>
    </w:p>
    <w:p>
      <w:pPr>
        <w:pStyle w:val="TextBody"/>
        <w:bidi w:val="0"/>
        <w:spacing w:before="120" w:after="283"/>
        <w:jc w:val="both"/>
        <w:rPr>
          <w:rFonts w:ascii="Times New Roman" w:hAnsi="Times New Roman"/>
          <w:sz w:val="20"/>
        </w:rPr>
      </w:pPr>
      <w:r>
        <w:rPr>
          <w:rFonts w:ascii="Times New Roman" w:hAnsi="Times New Roman"/>
          <w:color w:val="000000"/>
          <w:sz w:val="20"/>
        </w:rPr>
        <w:t>Pharmaceutical manufacturers, and the parties with which such manufacturers interact, are subject to extensive and complex regulation under a broad range of healthcare laws. Such laws, some of which will apply only if and when we have a marketed product, constrain our business operations, including the research and development, manufacturing, distribution, sales and promotion of our product candidates and products, if any are approved in the future, as well as educational and charitable activities. Arrangements with healthcare provider, third-party payors, patients and other parties in the healthcare industry professionals, which may have a significant impact on our business, are regulated by fraud and abuse and other healthcare laws. For more information, see the section titled “</w:t>
      </w:r>
      <w:r>
        <w:rPr>
          <w:rFonts w:ascii="Times New Roman" w:hAnsi="Times New Roman"/>
          <w:i/>
          <w:color w:val="000000"/>
          <w:sz w:val="20"/>
        </w:rPr>
        <w:t>Business—Government Regulation—Other U.S. Healthcare Laws and Compliance Requirements</w:t>
      </w:r>
      <w:r>
        <w:rPr>
          <w:rFonts w:ascii="Times New Roman" w:hAnsi="Times New Roman"/>
          <w:color w:val="000000"/>
          <w:sz w:val="20"/>
        </w:rPr>
        <w:t>” included in our IPO Prospectus.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Healthcare laws regulating our business activities are broad and any exceptions may be narrow. Requirements may differ across jurisdictions. There may be limited guidance on the interpretation of the laws and their application to our specific activities. Interpretations of these laws by government enforcement agencies and courts are evolving. Efforts to ensure that our business operations will comply with applicable healthcare laws and regulations will involve substantial costs. We will need to develop and implement robust compliance policies and processes to seek to prevent and detect non-compliance and update such policies and processes as our operations and government expectations evolve, which will involve substantial and ongoing costs, and even with such policies and processes we cannot be certain to prevent non-compliance.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Given the broad scope, limited guidance and evolving government interpretations, our business activities may nonetheless potentially be subject to challenge under these healthcare laws despite efforts to ensure compliance. Any action against us for violation of these laws, even if we successfully defend against it, could cause us to incur significant legal expenses and divert our management’s attention from the operation of our business. Such an action could also harm our reputation and adversely affect our business as a result.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Even if we obtain regulatory approvals for our product candidates or any future product candidates, they will remain subject to ongoing regulatory oversight.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we obtain any regulatory approvals for our product candidates or any future product candidates, such product candidates, once approved, will be subject to ongoing regulatory requirements applicable to manufacturing, labeling, packaging, storage, advertising, promoting, sampling, record-keeping and post-marketing activities, among other things. These requirements include submissions of safety and other post-marketing information and reports, registration, as well as continued compliance with cGMP and GCP requirements for any clinical trials that we conduct post-approval. Manufacturers of approved products and their facilities are subject to continual review and periodic and unannounced inspections by the FDA, EMA and other regulatory authorities for compliance with cGMP regulations and standards. Any regulatory approvals that we receive for our product candidates or any future product candidates may also be subject to a REMS, limitations on the approved indicated uses for which the drug may be marketed or to the conditions of approval, or requirements that we conduct potentially costly post-marketing testing, including additional trials and heightened surveillance to monitor the quality, safety and efficacy of the drug. An unsuccessful post-marketing study or failure to complete such a study could result in the withdrawal of marketing approval. We will further be required to promptly report any serious and unexpected adverse drug experiences and certain quality or production problems with our products to regulatory authorities along with other periodic reports.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new legislation addressing drug safety issues could result in delays in product development or commercialization, or increased costs to ensure compliance. We will also have to comply with requirements concerning advertising and promotion for our products.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Physicians, on the other hand, may prescribe products for off-label uses. Although the FDA, EMA and other regulatory agencies do not regulate a physician’s choice of drug treatment made in the physician’s independent medical judgment, they do restrict promotional communications from companies, including their sales force, with respect to off-label uses of products for which marketing approval has not been issued. However, companies may share truthful and not misleading information that is otherwise consistent with a product’s FDA approved labeling. The holder of an approved NDA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drug manufacturers are subject to payment of annual fees and continual review and periodic inspections by the FDA, EMA and other regulatory authorities for compliance with cGMP requirements and adherence to commitments made in the NDA or foreign marketing application. If we, or a regulatory authority, discover previously unknown problems with any product, if approved, such as adverse experiences of unanticipated severity or frequency, or problems with the facility where the product is manufactured or if a regulatory authority disagrees with the promotion, marketing or labeling of that product, a regulatory authority may impose restrictions relative to that product, the manufacturing facility or us, including requesting revisions to the approved labeling to add new safety information, imposing of post-market studies or clinical trials to assess new safety risks or imposing distribution restrictions or other restrictions under a REMS program, requesting a recall or requiring withdrawal of the product from the market or suspension of manufacturing. If we fail to comply with applicable regulatory requirements following approval of any of our product candidates, a regulatory authority may: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 an untitled letter or warning letter asserting that we are in violation of the law;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an injunction or impose administrative, civil or criminal penalties or monetary fines, disgorgement or profits or revenue, warning letters or adverse publicity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suspend or withdraw regulatory approvals;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 product distribution or use, including full or partial holds on any ongoing or planned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refuse to approve a pending NDA or comparable foreign marketing application (or any supplements thereto) submitted by us or our strategic partners;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 the marketing or manufacturing of the drug;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seize or detain the drug or otherwise require the withdrawal of the drug from the market;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refuse to permit the import or export of product candidates;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refuse to allow us to enter into supply contracts, including government contracts.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harm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Healthcare and other reform initiatives may have an adverse impact on our business and results of operations.</w:t>
      </w:r>
    </w:p>
    <w:p>
      <w:pPr>
        <w:pStyle w:val="TextBody"/>
        <w:bidi w:val="0"/>
        <w:spacing w:before="120" w:after="283"/>
        <w:jc w:val="both"/>
        <w:rPr>
          <w:rFonts w:ascii="Times New Roman" w:hAnsi="Times New Roman"/>
          <w:sz w:val="20"/>
        </w:rPr>
      </w:pPr>
      <w:r>
        <w:rPr>
          <w:rFonts w:ascii="Times New Roman" w:hAnsi="Times New Roman"/>
          <w:color w:val="000000"/>
          <w:sz w:val="20"/>
        </w:rPr>
        <w:t>In the U.S. and some foreign jurisdictions, there have been and continue to be ongoing efforts to implement legislative and regulatory changes regarding the healthcare system. Such changes could prevent or delay marketing approval of any product candidates that we may develop; restrict or regulate post-approval activities; and affect our ability to profitably sell any product candidates for which we obtain marketing approval. These reform efforts may result in more rigorous coverage criteria, additional downward pressure on the price that we, or our future collaborators, may receive for any approved products, or in other consequences that may adversely affect our ability to achieve or maintain profitability. For more information, see the section titled “</w:t>
      </w:r>
      <w:r>
        <w:rPr>
          <w:rFonts w:ascii="Times New Roman" w:hAnsi="Times New Roman"/>
          <w:i/>
          <w:color w:val="000000"/>
          <w:sz w:val="20"/>
        </w:rPr>
        <w:t>Business—Government Regulation—Healthcare Reform</w:t>
      </w:r>
      <w:r>
        <w:rPr>
          <w:rFonts w:ascii="Times New Roman" w:hAnsi="Times New Roman"/>
          <w:color w:val="000000"/>
          <w:sz w:val="20"/>
        </w:rPr>
        <w:t>” included in our IPO Prospectus.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no assurance that federal or state healthcare reform will not adversely affect our future business and financial results. The implementation of healthcare reform measures, including drug price negotiation programs, pricing transparency requirements, and state-level pricing controls, could significantly reduce the prices we are able to charge for any approved products, limit our commercial opportunities, or impose substantial compliance costs. We may be required to provide significant discounts or rebates, participate in government price negotiation programs on unfavorable terms, or face restrictions on product access that limit our ability to commercialize our products successfully. Additionally, implementation by third party payors of policies and practices to limit coverage, manage utilization, reduce payment of drug products could adversely affect our ability to sell our products profitably. The effect of these pricing pressures and access restrictions may prevent us from being able to generate revenue, attain profitability or commercialize our drugs.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we cannot predict the likelihood, nature, or extent of healthcare reform initiatives that may arise from future legislation or administrative action, which could impose additional restrictions or costs on our business that we have not anticipated.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legislative cost control measures may also affect reimbursement for our product candidates. The Budget Control Act, for example, resulted in the imposition of reductions in Medicare (but not Medicaid) payments to providers in 2013 and will remain in effect into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ability to obtain adequate reimbursement for any approved products and on our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Related to the Commercialization of Our Product Candidates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face substantial competition and we may not be able to compete successfully in this environment.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face significant competition in an environment of rapid change, and there is a possibility that our competitors may achieve regulatory approval before us or develop therapies that are safer or more advanced or effective than ours, or that we are unable to compete with existing entities that have made substantial investment into novel treatments for disease, which may harm our financial condition and our ability to successfully market or commercialize any product candidates we may develop. The development and commercialization of new drug products is highly competitive. We will face competition with respect to our product candidates and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or other intellectual property protection and establish collaborative arrangements for research, development, manufacturing and commercialization. There are larger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pharmaceuticals that currently market and sell products or are pursuing the development of products for the treatment of the disease indications for which we have research programs. Some of these competitive products and therapies are based on scientific approaches that are the same as or similar to our approach, while others are based on entirely different approaches. Any product candidates that we successfully develop and commercialize will compete with existing therapies and new therapies that may become available in the future that are approved to treat the same diseases for which we may obtain approval for any product candidates we may develop.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of our current or potential competitors, either alone or with their collaboration partners, may have significantly greater financial resources and expertise in research and development, manufacturing, conducting preclinical studies and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 candidates that are safer, more effective, have fewer or less severe side effects, are more convenient, or are less expensive than any product candidates that we may develop or that would render any product candidates that we may develop obsolete or non-competitive. Our competitors also may obtain FDA or other regulatory approval for their product candidates more rapidly than we may obtain approval for ours, which could result in our competitors establishing a strong market position before we are able to enter the market. Additionally, technologies developed by our competitors may render our product candidates uneconomical or obsolete, and we may not be successful in marketing any product candidates we may develop against competitors.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as a result of the expiration or successful challenge of our patent or other intellectual property rights, we could face risks relating to our ability to successfully prevent or delay launch of competitors’ products. The availability of our competitors’ products could limit the demand and the price we are able to charge for any product candidates that we may develop and commercialize. The biotechnology and pharmaceutical industries are characterized by rapid advances, intense competition and a strong emphasis on proprietary and novel products and product candidates. We face competition with respect to our current product candidates and will face competition with respect to any product candidates that we may seek to develop or commercialize in the future, from many different sources, including major pharmaceutical and biotechnology companies, academic institutions, governmental agencies, consortiums and public and private research institutions.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Even if any of our product candidates receive marketing approval, it may fail to achieve the degree of market acceptance by physicians, patients, third-party payors and others in the medical community necessary for commercial success.</w:t>
      </w:r>
    </w:p>
    <w:p>
      <w:pPr>
        <w:pStyle w:val="TextBody"/>
        <w:bidi w:val="0"/>
        <w:spacing w:before="120" w:after="283"/>
        <w:jc w:val="both"/>
        <w:rPr>
          <w:rFonts w:ascii="Times New Roman" w:hAnsi="Times New Roman"/>
          <w:sz w:val="20"/>
        </w:rPr>
      </w:pPr>
      <w:r>
        <w:rPr>
          <w:rFonts w:ascii="Times New Roman" w:hAnsi="Times New Roman"/>
          <w:color w:val="000000"/>
          <w:sz w:val="20"/>
        </w:rPr>
        <w:t>If any of our product candidates receive marketing approval, they may nonetheless fail to gain sufficient market acceptance by physicians, patients, third-party payors and others in the medical community. There is currently a well-established oral standard of care for PF: pirfenidone (ESBRIET</w:t>
      </w:r>
      <w:r>
        <w:rPr>
          <w:rFonts w:ascii="Times New Roman" w:hAnsi="Times New Roman"/>
          <w:color w:val="000000"/>
          <w:sz w:val="13"/>
        </w:rPr>
        <w:t>®</w:t>
      </w:r>
      <w:r>
        <w:rPr>
          <w:rFonts w:ascii="Times New Roman" w:hAnsi="Times New Roman"/>
          <w:color w:val="000000"/>
          <w:sz w:val="20"/>
        </w:rPr>
        <w:t>, marketed by Legacy Pharma Inc. in the U.S. and Genentech/Roche globally), nintedanib (OFEV</w:t>
      </w:r>
      <w:r>
        <w:rPr>
          <w:rFonts w:ascii="Times New Roman" w:hAnsi="Times New Roman"/>
          <w:color w:val="000000"/>
          <w:sz w:val="13"/>
        </w:rPr>
        <w:t>®</w:t>
      </w:r>
      <w:r>
        <w:rPr>
          <w:rFonts w:ascii="Times New Roman" w:hAnsi="Times New Roman"/>
          <w:color w:val="000000"/>
          <w:sz w:val="20"/>
        </w:rPr>
        <w:t>, marketed by Boehringer Ingelheim), and nerandomilast (JASCAYD</w:t>
      </w:r>
      <w:r>
        <w:rPr>
          <w:rFonts w:ascii="Times New Roman" w:hAnsi="Times New Roman"/>
          <w:color w:val="000000"/>
          <w:sz w:val="13"/>
        </w:rPr>
        <w:t>®</w:t>
      </w:r>
      <w:r>
        <w:rPr>
          <w:rFonts w:ascii="Times New Roman" w:hAnsi="Times New Roman"/>
          <w:color w:val="000000"/>
          <w:sz w:val="20"/>
        </w:rPr>
        <w:t>, initially marketed by Boehringer Ingelheim) with which physicians, PF patients and payors are very familiar and for which an established benefit-risk profile exists. Even if our product candidates are successful in registrational clinical trials, they may not be successful in displacing the current standard of care if we are unable to demonstrate competitive efficacy, safety, ease of administration and/or cost-effectiveness. For example, physicians may be reluctant or unwilling to take their patients off their current medication, and switch their treatment regimen to our product candidates or add-on our product to their treatment regimen, if approved, if the current medication is effective. Further, patients often acclimate to the treatment regimen that they are currently taking and may not want to switch or add-on unless recommended to do so by their physician for clinical reasons or required to do so due to lack of coverage and adequate reimbursement. Even if we are able to demonstrate our product candidates’ safety and efficacy to the FDA, EMA and other regulators and receive approval, concerns in the medical community related to the comparative efficacy or side effect profile of our products may hinder market acceptance and uptake.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Efforts to educate the medical community and third-party payors regarding the benefits of our product candidates, if approved, may require significant resources, including management time and financial resources, and may not be successful. If our product candidates do not achieve an adequate level of market acceptance, we may not generate significant revenue and we may not become profitable. The degree of market acceptance of our product candidates, if approved for commercial sale, will depend on a number of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efficacy, safety and potential advantages compared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a product candidate is approved, if ever, as an add-on to standard of care or as part of a proprietary combination therapy;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offer our products at competitive prices;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convenience and ease of administration compared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labeling or product insert requirements of the FDA or comparable foreign regulatory authorities, including any limitations or warnings contained in a product’s approved labeling, including any boxed warning;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product’s acceptance into current standard of care treatment algorithms by medical societies that could affect payor and physician uptake;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impact of the combination of our product candidates with a drug delivery device on cost of treatment with our products or the convenience for patients, if approved;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effectiveness of sales and marketing efforts, and the strength of sales, marketing and distribution support;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third-party coverage and adequate reimbursement for any product candidates, once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willingness of the target patient population to try, and of physicians to prescribe, the product;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restrictions on the use of our products together with other medications;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product liability claims and unfavorable publicity related to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failure by one or more of our product candidates that obtains regulatory approvals to achieve market acceptance or commercial success would adversely affect our business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Due to the significant resources required for the development of our pipeline, and depending on our ability to access capital, we must prioritize the development of certain product candidates over others. Moreover, we may fail to expend our limited resources on product candidates or indications that may have been more profitable or for which there is a greater likelihood of success.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therapeutic areas or indications may not lead to the development of viable commercial products and may divert resources away from better opportunities. If we make incorrect determinations regarding the viability or market potential of either lead product candidate, or any of our other current or future product candidates, or misread trends in the pharmaceutical industry, our business, financial condition and results of operations could be materially and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royalty arrangements in cases in which it would have been advantageous for us to invest additional resources to retain sole development and commercialization rights.</w:t>
      </w:r>
    </w:p>
    <w:p>
      <w:pPr>
        <w:pStyle w:val="TextBody"/>
        <w:bidi w:val="0"/>
        <w:spacing w:before="360" w:after="283"/>
        <w:jc w:val="both"/>
        <w:rPr>
          <w:rFonts w:ascii="Times New Roman" w:hAnsi="Times New Roman"/>
          <w:sz w:val="20"/>
        </w:rPr>
      </w:pPr>
      <w:r>
        <w:rPr>
          <w:rFonts w:ascii="Times New Roman" w:hAnsi="Times New Roman"/>
          <w:b/>
          <w:i/>
          <w:color w:val="000000"/>
          <w:sz w:val="20"/>
        </w:rPr>
        <w:t>We owe royalty payments to a third party pursuant to the terms of a confidential settlement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terms of a confidential settlement agreement, for a period beginning upon first commercial sale and ending on the later of the expiration of the last to expire patent right or twenty years after such first commercial sale, we are obligated to pay a third party royalties in the amount of 0.25% of net sales on any pirfenidone product, including AP01, and 0.5% of net sales of any nintedanib product, including AP02, although the agreement specifically excludes any percentage of net sales on AP03 as a combination product. The payment of the royalties will impact our future revenue and may make it more difficult to engage in collaborations, licenses or the acquisition of certain product candidates, and may result in us ceasing to develop certain product candidates or all of our product candidates if we determine that it will not be financially profitable to do so.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currently have no commercial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success of our product candidates or any future product candidate will depend significantly on coverage and adequate reimbursement by third party payors or the willingness of patients to pay for these products if not covered.</w:t>
      </w:r>
    </w:p>
    <w:p>
      <w:pPr>
        <w:pStyle w:val="TextBody"/>
        <w:bidi w:val="0"/>
        <w:spacing w:before="120" w:after="283"/>
        <w:jc w:val="both"/>
        <w:rPr>
          <w:rFonts w:ascii="Times New Roman" w:hAnsi="Times New Roman"/>
          <w:sz w:val="20"/>
        </w:rPr>
      </w:pPr>
      <w:r>
        <w:rPr>
          <w:rFonts w:ascii="Times New Roman" w:hAnsi="Times New Roman"/>
          <w:color w:val="000000"/>
          <w:sz w:val="20"/>
        </w:rPr>
        <w:t>We believe that for any product candidates which may be approved, our success depends on obtaining and maintaining coverage and adequate reimbursement for such products for their respective approved indications, and the extent to which patients will be willing to pay out-of-pocket for such products in the absence of reimbursement for all or part of the cost. Accordingly, we will need to establish a coverage and reimbursement strategy for any approved product candidate. 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Government and private third-party payors decide which products they will cover and establish reimbursement levels. Coverage and reimbursement varies among third party payors and new products face significant challenges in obtaining and maintaining coverage and adequate reimbursement, particularly if approved for indications with established treatments already on the market. For more information, see the section titled “</w:t>
      </w:r>
      <w:r>
        <w:rPr>
          <w:rFonts w:ascii="Times New Roman" w:hAnsi="Times New Roman"/>
          <w:i/>
          <w:color w:val="000000"/>
          <w:sz w:val="20"/>
        </w:rPr>
        <w:t>Business—Government Regulation—Coverage and Reimbursement</w:t>
      </w:r>
      <w:r>
        <w:rPr>
          <w:rFonts w:ascii="Times New Roman" w:hAnsi="Times New Roman"/>
          <w:color w:val="000000"/>
          <w:sz w:val="20"/>
        </w:rPr>
        <w:t>” included in our IPO Prospectus.</w:t>
      </w:r>
    </w:p>
    <w:p>
      <w:pPr>
        <w:pStyle w:val="TextBody"/>
        <w:bidi w:val="0"/>
        <w:spacing w:before="120" w:after="283"/>
        <w:jc w:val="both"/>
        <w:rPr>
          <w:rFonts w:ascii="Times New Roman" w:hAnsi="Times New Roman"/>
          <w:sz w:val="20"/>
        </w:rPr>
      </w:pPr>
      <w:r>
        <w:rPr>
          <w:rFonts w:ascii="Times New Roman" w:hAnsi="Times New Roman"/>
          <w:color w:val="000000"/>
          <w:sz w:val="20"/>
        </w:rPr>
        <w:t>A primary trend in the U.S. healthcare industry and elsewhere is cost containment. Government authorities and third-party payors have attempted to control costs by limiting coverage for certain products, managing utilization of covered products and restricting the amount of reimbursement for covered products. Within the U.S., net prices for drugs may be reduced by mandatory discounts or rebates required by government healthcare programs or requested by private payors in exchange for favorable coverage. The process of obtaining coverage and reimbursement determinations from third-party payors can be lengthy, unpredictable, and costly, with no guarantee of success. Even if we obtain favorable coverage decisions, payors may subsequently revise their policies in ways that adversely affect our products.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 For more information, see the section titled “</w:t>
      </w:r>
      <w:r>
        <w:rPr>
          <w:rFonts w:ascii="Times New Roman" w:hAnsi="Times New Roman"/>
          <w:i/>
          <w:color w:val="000000"/>
          <w:sz w:val="20"/>
        </w:rPr>
        <w:t>Business—Government Regulation—Healthcare Reform</w:t>
      </w:r>
      <w:r>
        <w:rPr>
          <w:rFonts w:ascii="Times New Roman" w:hAnsi="Times New Roman"/>
          <w:color w:val="000000"/>
          <w:sz w:val="20"/>
        </w:rPr>
        <w:t>” included in our IPO Prospectus.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can be no assurance that our product candidates, even if they are approved for sale in the U.S.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market for our product candidates may be smaller than we estimate.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estimates of the potential market opportunity for our product candidates include several key assumptions, based on our industry knowledge, industry publications and third-party research reports. These assumptions include the number of patients who have PF, as well as the estimated reimbursement levels for each product candidate, if approved. While we believe our assumptions and the data underlying our estimates are reasonable, and believe that the assumptions and data underlying the estimates of third-party led market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are similarly reasonable and accurate, we have not independently verified the accuracy of the third-party data on which we have based our assumptions and estimates, and these assumptions and estimates may not be correct and the conditions supporting our assumptions or estimates may change at any time, including as a result of factors outside our control, thereby reducing the predictive accuracy of these underlying factors. Further, new studies may change the estimated incidence or prevalence of these diseases, and the potentially addressable patient population for our product candidates may not ultimately be amenable to treatment with our product candidates. If the actual market for any product candidates we may develop is smaller than we estimate, our revenues, if any, may be limited and it may be more difficult for us to achieve or maintain profitability.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Clinical trial and product liability lawsuits against us could divert our resources, cause us to incur substantial liabilities and limit commercialization of any products that we may develop.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an inherent risk of clinical trial and product liability exposure related to the testing of our product candidates in human clinical trials and will face an even greater risk if we commercially sell any products that we may develop, especially if our products are prescribed for off-label uses (even if we do not promote such uses). For example, we may be sued if our product candidates allegedly cause injury or are found to be otherwise unsuitable during product testing, manufacturing, marketing or sale.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 If we cannot successfully defend ourselves against claims that our product candidates caused injuries, we will incur substantial liabilities. Regardless of merit or eventual outcome, liability claims may result 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decreased demand for any product candidates that we may develop;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termination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injury to our reputation and significant negative media attention;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costs to defend the related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monetary awards paid to trial participants or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recalls, withdrawals or labeling, marketing or promotional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reduced resources of our management to pursue our business strategy;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to commercialize any products that we may develop;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decline in our stock price.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maintain clinical trial liability insurance coverage, such insurance may not be adequate to cover all liabilities that we may incur. We may need to increase our insurance coverage as we expand our clinical trials. We intend to expand our insurance coverage for products to include the sale of commercial products if we obtain marketing approval on any current or potential product candidates, but we may be unable to obtain commercially reasonable product liability insurance for any products approved for marketing. Insurance coverage is increasingly expensive. We may not be able to maintain insurance coverage at a reasonable cost or in an amount adequate to satisfy any liability that may arise.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Related to Our Business Operations, Employee Matters and Managing Our Growth</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future success depends on our ability to retain key executives and to attract, retain and motivate qualified personnel.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success depends in part on our continued ability to attract, retain and motivate highly qualified management, clinical and scientific personnel. Each of our executive officers may currently terminate their employment with us at any time. We do not maintain “key person” insurance for any of our executives or employees. This lack of insurance means that we may not have adequate compensation for the loss of the services of these individuals.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approvals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job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encounter difficulties in managing our growth, which could disrupt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we had 55 full-time employees, including 36 who were engaged in research and development activities. As we continue to build our organization and execute on our strategy, we expect to experience significant growth in the number of our employees and the scope of our operations, particularly in the areas of clinical development,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business, and development resources. Any inability to manage growth could delay the execution of our business plans or disrupt our operations. Our future financial performance and our ability to compete effectively will depend, in part, on our ability to manage our growth effectively.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could be affected by litigation, government investigations and enforcement 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operate and plan to operate in a highly regulated industry and we could now or in the future be subject to litigation, government investigation and enforcement actions on a variety of matters in the U.S. or foreign jurisdictions, including, without limitation, intellectual property, regulatory, product liability, environmental, whistleblower, false claims, privacy, anti-kickback, anti-bribery, securities, commercial, employment and other claims and legal proceedings which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and results of operations. Even if such a proceeding, investigation or enforcement action is ultimately decided in our favor, the investigation and defense thereof could require substantial financial and management resources and cause reputational harm.</w:t>
      </w:r>
    </w:p>
    <w:p>
      <w:pPr>
        <w:pStyle w:val="TextBody"/>
        <w:bidi w:val="0"/>
        <w:spacing w:before="360" w:after="283"/>
        <w:jc w:val="both"/>
        <w:rPr>
          <w:rFonts w:ascii="Times New Roman" w:hAnsi="Times New Roman"/>
          <w:sz w:val="20"/>
        </w:rPr>
      </w:pPr>
      <w:r>
        <w:rPr>
          <w:rFonts w:ascii="Times New Roman" w:hAnsi="Times New Roman"/>
          <w:b/>
          <w:i/>
          <w:color w:val="000000"/>
          <w:sz w:val="20"/>
        </w:rPr>
        <w:t>Inadequate funding for the FDA, the Securities and Exchange Commission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prevent those agencies from performing normal business functions on which the operation of our business may rely, which could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If another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employees, independent contractors, consultants, commercial collaborators, principal investigators, CROs, suppliers and vendors may engage in fraudulent conduct or other illegal activity. Misconduct by these parties could include intentional, reckless and/or negligent conduct or disclosure of unauthorized activities to us that violates FDA or other comparable regulatory authority regulations, including those laws requiring the reporting of true, complete and accurate information to the FDA or other comparable regulatory authority, manufacturing standards, foreign, federal and state healthcare laws and regulations, and laws that require the true, complete and accurate reporting of financial information or data.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particular, sales, marketing and business arrangements in the healthcare industry are subject to extensive laws and regulations intended to prevent fraud and abuse, such as the payment of kickbacks in return for business. These laws and regulations may restrict or prohibit a wide range of pricing, discounting, marketing and promotion, sales commission, customer incentive programs and other business arrangements. Misconduct by these parties could also involve the improper use or misrepresentation of individually identifiable information, including, without limitation, information obtained in the course of clinical trials, which could result in regulatory sanctions and serious harm to our reputation. We have adopted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imprisonment, contractual damages, reputational harm, diminished profits and future earnings, additional reporting requirements and oversight if we become subject to a corporate integrity agreement or similar agreement to resolve allegations of non-compliance with these laws, and the curtailment or restructuring of our operations. Any of these could adversely affect our ability to operate our business and our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our third-party manufacturers or suppliers do not comply with laws regulating the protection of the environment and health and human safety, our business could be affected adversely.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and any CDMOs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Manufacturing operations for our product candidates involve the use of hazardous and flammable materials, including chemicals and biological materials. These operations also produce hazardous waste products. We or the manufacturers we contract with generally contract with third parties for the disposal of these materials and wastes. We cannot eliminate the risk of contamination or injury from these materials. In the event of contamination or injury resulting from the use of hazardous materials by us or by one of our third party-manufacturers, we could be held liable for any resulting damages or be penalized with fines in an amount exceeding our resources, and our clinical trials or regulatory approvals could be suspended. We and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third-party manufacturers and suppliers cannot eliminate the risk of accidental injury or contamination from these materials or wastes. 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and our third-party manufacturers and suppliers may incur substantial costs in order to comply with current or future environmental, health and safety laws and regulations, which may increase the cost of their services to us. These current or future laws and regulations may impair our research, development or production efforts. Failure to comply with these laws and regulations also may result in substantial fines, penalties or other sanctions or liabilities for us or our third-party manufacturers and suppliers, or adversely impact our supply chain or reputation, which could in turn materially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insurance policies are expensive and only protect us from some business risks, which will leave us exposed to significant uninsured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carry insurance for all categories of risk that our business may encounter. Some of the policies we currently maintain include property, general liability, employment directors’ and officers’ and employment practices insurance, however, we may not be able to maintain adequate levels of insurance coverage in the future. Further, an insurance carrier may seek to cancel or deny coverage after a claim has occurred.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engage in strategic transactions that could increase our capital requirements, dilute our stockholders, cause us to incur debt or assume contingent liabilities, subject us to other risks, adversely affect our liquidity, increase our expenses, present significant distractions to our management and harm our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consider strategic transactions, such as acquisitions of companies, asset purchases and strategic partnerships or out-licensing or in-licensing of intellectual property, product candidates or products. Additional potential transactions that we may consider in the future include a variety of business arrangements, including spin-offs, strategic partnerships, joint ventures, restructurings, divestitures, business combinations and investments. We may not be able to find suitable partners or acquisition candidates, and we may not be able to complete such transactions on favorable terms, if at all.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licensed assets that we may acquire rights to in the future may disrupt our existing business, may cause delays related to the integration of any licensed or acquired assets, and may be a complex, risky and costly endeavor for which we may never realize the full benefits. Furthermore, we may experience losses related to our entry into any licensing or partnerships, including as a result of failure to realize expected benefits or the materialization of unexpected liabilities or risks, which could have a material negative effect on our results of operations and financial condition.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Business disruptions could seriously harm our future revenue and financial condition and increase our costs and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operations and the operations of our suppliers, CROs, CDMOs and clinical sites could be subject to earthquakes, power shortages, telecommunications or infrastructure failures, cybersecurity incidents, physical security breaches, water shortages, floods, hurricanes, typhoons, blizzards, and other extreme weather conditions, fires, public health pandemics or epidemics and other natural or manmade disasters or business interruptions, for which we are predominantly self-insured. We rely or expect to rely on third-party manufacturers or suppliers to produce our product candidates and their components and on CROs and clinical sites to conduct our clinical trials, and do not currently have a redundant source of supply for all components of our product candidates. Our ability to obtain clinical or, if approved, commercial, supplies of our product candidates or any future product candidates could be disrupted if the operations of these suppliers were affected by a man-made or natural disaster or other business interruption, and our ability to commence, conduct or complete our clinical trials in a timely manner could be similarly adversely affected by any of the foregoing. The occurrence of any of these business disruptions could seriously harm our operations and financial condition and increase our costs and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Related to Ownership of Our Common Stock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An active trading market for our common stock may not be sustained.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active trading market for our shares may not be sustained. If an active market for our common stock is not sustained, the value of our shares may be impaired, and it may be difficult for our stockholders to sell shares at an attractive price or at all. An inactive market may also impair our ability to raise capital by selling shares, which in turn could materially adversely affect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quarterly and annual operating results may fluctuate significantly, which makes it difficult for us to predict our future operating results. These fluctuations may occur due to a variety of factors, many of which are outside of our control,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success or failure of clinical trials for our product candidates or competing product candidates or any other change in the competitive landscape of our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successfully recruit and retain subjects for clinical trials and any delays caused by difficulties in such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cost of, and level of investment in, research, development, regulatory approvals and commercialization activities relating to our product candidates, which may change from time to time;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manufacturing our product candidates, which may vary depending on the quantity of production and the terms of our agreements with manufacturers;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expenditures that we may incur to acquire, develop or commercialize additional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level of demand and the indication for any approved products, which may vary significantly;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risk/benefit profile, cost, coverage, and reimbursement policies with respect to our product candidates, if approved, and existing and potential future drugs that compete with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amount of any milestone, royalty or other payments payable by us or due to us under any collaboration, licensing or other agreements;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market and economic conditions, including market conditions in the pharmaceutical and biotechnology sectors.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revenue or earnings guidance.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trading price of the shares of our common stock may be volatile, and purchasers of our common stock could lose all or part of their investment.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price for our stock is likely to be highly volatile and could be subject to wide fluctuations in response to various factors, some of which we cannot control. The stock market in general and the market for biopharmaceutical companies in particular have experienced extreme price and volume fluctuations that have often been unrelated or disproportionate to the operating performance of particular companies. As a result of this volatility, investors may not be able to sell their common stock at or above the price paid for the shares. These factors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commencement, enrollment or results of our current or future clinical trials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results from, delays in, suspension or termination of current or future clinical trials or preclinical studies of our product candidates, or any delay in advancing a clinical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 of competitive products gaining approvals or announcements by current and future competitors of their product development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delay in our regulatory filings for our product candidates or any other product candidate we may develop, and any adverse development or perceived adverse development with respect to the applicable regulatory authority’s review of such filings;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regulatory decisions, including the failure to authorize or approve the conduct of one or more clinical trials of our product candidates, the failure to receive regulatory approvals of our product candidates, or the failure of a regulatory authority to accept data from clinical trials conducted in other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reporting of unfavorable preclinical or clinical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success or failure to identify, develop, acquire or license additional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degree and rate of physician and market adoption of any of our current and future product candidates, if successfully developed and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supply or distribution delays or shortages, including our inability to obtain adequate supply of drug product, drug substance, raw materials or any commercially available product to be used in our clinical trials, at acceptable prices,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unanticipated serious safety concerns related to the use of our product candidates or any other product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cash position, and any changes in financial estimates by us or by any equity research analysts who might cover our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our capital structure, such as future issuances of securities and the incurrence of additional debt;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conditions or trends in our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investors’ general perception of our company and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effectively manage our growth;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overall performance of the equity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market valuations and stock market price and volume fluctuations of comparable companies and, in particular, those that operate in the biopharmaceutical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publication of research reports about us or our industry or positive or negative recommendations or withdrawal of research coverage by securities analysts;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by us or our competitors of significant acquisitions, strategic collaborations, joint ventures, capital commitments or divestitures;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third-party publications and discussions about our business on social media, forums and other websites;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recruitment or departure of key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common stock by us or our stockholders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lawsuits, including patent or stockholder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accounting standards, policies, guidelines, interpretations or principles;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or legal developments in the U.S. and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political and economic conditions;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events or factors, many of which are beyond our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stock market in general, and the market for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risks described in this section, or any of a broad range of other risks, could have a material adverse impact on the market price of our common stock. In the past, stockholders have initiated class action lawsuits against pharmaceutical and biotechnology companies following periods of volatility in the market prices of these companies’ stock. Such litigation, if instituted, could result in substantial costs and divert management’s attention and resources.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not be able to maintain a listing of our common stock on Nasdaq.</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our common stock is listed on Nasdaq, we must meet certain financial and liquidity criteria to maintain such listing. If we violate Nasdaq’s listing requirements, our common stock may be delisted. If we fail to meet any of Nasdaq’s listing standards, our common stock may be delisted. In addition, our board of directors may determine that the cost of maintaining our listing on a national securities exchange outweighs the benefits of such listing.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our stockholders' investment.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Provisions in our amended and restated certificate of incorporation and amended and restated bylaws may significantly reduce the value of our shares to a potential acquirer or make it difficult for a third party to acquire, or attempt to acquire, control of our company, even if a change of control was considered favorable by you and other stockholders. For example, our board of directors will have the authority to issue up to 10,000,000 shares of preferred stock and may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charter documents will also contain other provisions that could have an anti-takeover effect,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only one of our three classes of directors will be elected each year;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stockholders will not be entitled to remove directors other than by a two-thirds (2/3) vote and only for cause;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stockholders will not be permitted to take actions by written consent;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stockholders cannot call a special meeting of stockholders;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stockholders must give advance notice to nominate directors or submit proposals for consideration at stockholder meetings.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our stockholders' best interests. These provisions may also prevent changes in our management or limit the price that investors are willing to pay for our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Because we do not anticipate paying any cash dividends on our common stock in the foreseeable future, capital appreciation of our common stock, if any, will be our stockholders' sole source of gains and they may never receive a return on their investment.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stockholders should not rely on an investment in our common stock to provide dividend income. We have not declared or paid cash dividends on our common stock to date. We currently intend to retain our future earnings, if any, to fund the development and growth of our business and do not anticipate declaring or paying any cash dividends for the foreseeable future. As a result, capital appreciation, if any, of our common stock will be our stockholders' sole source of gain for the foreseeable future. Investors seeking cash dividends should not purchase our common stock. There is no guarantee that shares of our common stock will appreciate in value or even maintain the price at which stockholders have purchased their shares.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our amended and restated bylaws, unless we consent in writing to the selection of an alternative forum, the Court of Chancery of the State of Delaware is the sole and exclusive forum for any state law claims for (i) any derivative action or proceeding brought on our behalf; (ii) any action asserting a claim of or based on a breach of a fiduciary duty owed by any director, officer or other employee of ours to us or our stockholders; (iii) any action asserting a claim pursuant to any provision of the Delaware General Corporation Law, or DGCL, our amended and restated certificate of incorporation or our amended and restated bylaws or as to which the DGCL confers jurisdiction on the Court of Chancery of the State of Delaware; or (iv) any action asserting a claim governed by the internal affairs doctrine, or the Delaware Forum Provision. The Delaware Forum Provision will not apply to any causes of action arising under the Securities Act or the Securities Exchange Act of 1934, as amended, or the Exchange Act. Our amended and restated bylaws further provide that unless we consent in writing to the selection of an alternative forum, the federal district courts of the United States shall be the sole and exclusive forum for resolving any complaint asserting a cause of action arising under the Securities Act, the Exchange Act, the respective rules and regulations promulgated thereunder or the Federal Forum Provision. In addition, our amended and restated bylaws will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recognize that the Delaware Forum Provision and the Federal Forum Provision in our amended and restated bylaws may impose additional litigation costs on stockholders in pursuing any such claims, particularly if the stockholders do not reside in or near the State of Delaware. Additionally, the forum selection clauses in our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structure of our common stock may limit our stockholders' ability to influence corporate matters and may limit their visibility with respect to certain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structure of our common stock, which includes a series of non-voting common stock, may also limit our stockholders' ability to influence corporate matters. Holders of our common stock are entitled to one vote per share, while holders of our non-voting common stock are not entitled to any votes. We do not currently have any shares of non-voting common stock outstanding. Nonetheless, each share of our non-voting common stock may be converted at any time into one share of our common stock at the option of its holder by providing written notice to us, subject to the limitations provided for in our amended and restated certificate of incorporation.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Risk Factors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our information technology systems or data, or those of third parties upon which we rely, are or were compromised, or fail, we could experience adverse consequences resulting from such compromise, or failure, including but not limited to regulatory investigations or actions; litigation; fines and penalties; disruptions of our business operations; reputational harm; loss of revenue or profits; and other adverse consequences.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ordinary course of our business, we and the third parties upon which we rely, process, collect, receive, store, use, transfer, protect, secure, dispose of, transmit, and share collectively referred to as processing, data and information, including proprietary, confidential, and sensitive data, including personal data (such as health-related data), intellectual property and trade secrets, collectively referred to as sensitive information. The secure processing, maintenance and transmission of sensitive information is critical to our operations. Despite our security measures, our information technology and infrastructure, and that of the third parties upon which we rely, may be vulnerable to attacks by hackers or other third parties or breaches due to employee error, malfeasance or other disruptions.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Cyber-attacks, malicious internet-based activity, online and offline fraud, security breaches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risks, as well as the number and frequency of cybersecurity events globally, may also be heightened during times of war or other major conflicts. We and the third parties upon which we rely are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attacks), credential harvesting, personnel misconduct or error, ransomware attacks, supply-chain attacks, software bugs, server malfunctions, software, or hardware failures, loss of data or other information technology assets, adware, electrical and telecommunications failures, earthquakes, fires, floods, and other similar threats. In particular, severe ransomware attacks are becoming increasingly prevalent and can lead to significant interruptions in our operations, loss of sensitive data and income, reputational harm and diversion of funds.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 hybrid in-office/remote work environment, which, like other companies that have incorporated remote working, has increased risks to our information technology systems and data, as more of our employees utilize network connections, computers and devices outside our premises or network, including working at home, while in transit and in public locations.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Future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currently rely on third-party service providers and technologies to operate critical business systems to process sensitive information in a variety of contexts, including, without limitation, cloud-based infrastructure, employee email, and other functions. We also currently rely on commercially available tools from third-party service providers to process and safeguard our sensitive information and business data.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to our knowledge, we have not experienced any material security breach to date, we have experienced and may continue to experience threats or system failures which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We have not yet conducted any internal audits or penetration tests on our information technology systems, however, we have enlisted a third-party to conduct security audits or penetration tests on our behalf, and we intend to undertake such testing. Such assessments, when conducted, could indicate vulnerabilities in our information technology systems which we may not be able to effectively remediate. If a security incident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approvals efforts and significantly increase our costs to recover or reproduce the data. To the extent that any disruption, security breach, or other incident results in a loss of or damage to our data or applications, other data or applications relating to our technology, or our current or future product candidates, we could incur liabilities and the further development of our current or future product candidates could be compromised or delayed. We may expend significant resources or modify our business activities (including our clinical trial activities) to try to protect against security incidents.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data privacy and security obligations may require us to implement and maintain specific security measures or industry-standard or reasonable security measures to protect our information technology systems and sensitive information. While we have implemented security measures designed to protect against security incidents, there can be no assurance that these measures have been or will be effective. Additionally, certain federal, state and foreign government requirements include obligations of companies to notify individuals of security breaches involving particular categories of personally identifiable information, which could result from breaches experienced by us or the third parties upon whom we rely. Such disclosures are costly, and the disclosure or the failure to comply with such requirements could lead to adverse consequences.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not be able to detect and remediate vulnerabilities in our information technology systems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 It is not possible to prevent all threats to our information technology systems and those of our third-party service providers, over which we exert less control, and any controls we implement to do so may prove to be ineffective.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delays or disruptions in our clinical trials and development of product candidates, deter customers from using our products, and negatively impact our ability to grow and operate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stringent and evolving U.S. laws and regulations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ordinary course of business, we and the third parties on which we rely process personal data and other sensitive information, including proprietary and confidential business data, trade secrets, intellectual property, data we collect about clinical trial participants and sensitive third-party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legislative and regulatory framework for the processing of personal data worldwide is rapidly evolving and is likely to remain uncertain for the foreseeable future. In the U.S., there are numerous federal and state privacy and data security laws and regulations governing the collection, use, disclosure, transfer, security and processing of personal information, including federal and state health information privacy laws, federal and state security breach notification laws, federal and state consumer protection laws (e.g., Section 5 of the Federal Trade Commission Act), and other similar laws (e.g., wiretapping laws). In addition, we may obtain health information from third parties (including research institutions from which we obtain clinical trial data) that are subject to HIPAA, which imposes specific requirements relating to the privacy, security, and transmission of individually identifiable health information. Depending on the facts and circumstances, we could be subject to criminal penalties under certain privacy laws, including under HIPAA, for example, if we knowingly obtain, use or disclose individually identifiable health information maintained by a HIPAA-covered entity in a manner that is not authorized or permitted by HIPAA.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the state level, numerous U.S. states have enacted comprehensive privacy laws that impose certain obligations on covered businesses, including providing specific disclosures in privacy notices and affording individuals certain rights concerning their personal data. Similar laws are being considered in several other states, as well as at the federal and local levels, and we expect more states to pass similar laws in the future. While these states exempt some data processed in the context of clinical trials, these developments may further complicate compliance efforts, and increase legal risk and compliance costs for us and the third parties upon whom we rely. Furthermore, other states have proposed or enacted legislation that is focused on more narrow aspects of privacy. For example, a number of states have passed laws that protect biometric information and a smaller number of states have passed or are considering laws that are specifically focused upon health privacy, such as Washington’s My Health My Data Act. The My Health My Data Act imposes new state restrictions and requirements on the processing and sale of consumer health data and creates a private right of action. In addition, all 50 U.S. states and the District of Columbia have enacted breach notification laws that may require us to notify patients, employees or regulators in the event of unauthorized access to or disclosure of personal or confidential information experienced by us or our collaborators or third-party service providers. The effects of state and federal privacy laws are potentially significant and may require us to modify our data processing practices and policies and to incur substantial costs and potential liability in an effort to comply with such legislation.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Outside the U.S., an increasing number of laws, regulations, and industry standards may govern data privacy and security. For example, in our clinical trials in Europe and/or the UK, our processing of personal data is subject to the European Union’s General Data Protection Regulation, EU GDPR, and/or the United Kingdom’s so-called “UK GDPR,” together, the GDPR. The GDPR is wide-ranging in scope and imposes numerous requirements on companies that are subject to it, including relating to having a legal basis for processing personal data, relating to the processing of sensitive data (such as health data), obtaining consent of the individuals to whom the personal data relates, providing information to individuals regarding data processing activities, implementing safeguards to protect the security and confidentiality of personal data, notification of data breaches, requiring data protection impact assessments for high risk processing and taking certain measures when engaging third-party processors. The GDPR also imposes strict rules on the transfer of personal data to countries outside the European Union and the UK, including the U.S., and permits data protection authorities to impose large penalties for violations of the GDPR, including potential fines of up to €20 million (£17.5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be unable to transfer personal data from Europe and other jurisdictions to the U.S.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or EEA, and the United Kingdom, or UK, have significantly restricted the transfer of personal data to the U.S. and other countries whose privacy laws it considers inadequate. Other jurisdictions may adopt similarly stringent data localization and cross-border data transfer laws. Although there are currently various mechanisms that may be used to transfer personal data from the EEA and UK to the U.S. in compliance with law, such as the EEA’s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U.S., are subject to increased scrutiny from regulators, individual litigants, and activist groups. Some European regulators have ordered certain companies to suspend or permanently cease certain transfers of personal data out of Europe for allegedly violating the GDPR’s cross-border data transfer limitations.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Through executive and legislative action, the U.S. federal government has also taken steps to restrict data transactions involving persons affiliated with countries of concern such as China and Russia. For example, Executive Order 14117 on “Preventing Access to Americans’ Bulk Sensitive Personal Data and United States Government-Related Data by Countries of Concern” as implemented by Department of Justice regulations (issued in December 2024, with the final rule effective April 2025) prohibits data brokerage transactions involving certain sensitive personal data categories to countries of concern.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The evolving complexity of privacy and data security legislation in the U.S. may complicate our compliance efforts and further increase our risk of regulatory enforcement, penalties and litigation.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bound by contractual obligations related to data privacy and security, and our efforts to comply with such obligations may not be successful. If any privacy policies, marketing materials and other statements regarding data privacy and security that we publish are found to be deficient, lacking in transparency, deceptive, unfair or misrepresentative of our practices, we may be subject to investigation, enforcement actions by regulators, including the Federal Trade Commission, or other adverse consequences.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Laws and regulations related to privacy, data protection and security are continuing to evolve and are becoming increasingly stringent. Additionally, these laws may be subject to differing applications and interpretations, which may be inconsistent or conflict among jurisdictions, creating uncertainty. Preparing for and complying with these obligations requires us to devote significant resources, which may necessitate changes to the ways in which we collect and process data, our information technologies, systems and to exercise greater oversight and control over third parties that process personal data on our behalf.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we rely on fail, or are perceived to have failed, to address or comply with applicable data privacy and security obligations, we may face significant consequences, including but not limited to: government enforcement actions (e.g., investigations, fines, penalties, audits, inspections, and similar); litigation (including class-action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(including, as relevant, clinical trials and development of product candidates);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use of new and evolving technologies, such as AI,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use of artificial intelligence in our operations and products may introduce new cybersecurity and data privacy risks, including vulnerabilities in artificial intelligence algorithms, unauthorized data access, unintended bias in automated decision-making, potential for artificial intelligence systems to process or generate personal data in ways that violate data privacy regulations, inadvertent exposure of confidential business information or trade secrets, and potential liability for discriminatory outcomes from artificial intelligence systems. In addition, if we enable or use solutions that draw controversy due to perceived or actual negative societal impact or otherwise cause harm, we may experience brand or reputational harm, competitive harm, legal liability, and defensive costs and expenses. These artificial intelligence-related risks may be difficult to detect, prevent, or remediate, and could result in regulatory investigations, fines, litigation, reputational damage, and increased compliance costs as well as impact our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growing number of lawmakers are adopting laws and regulations addressing, and have focused enforcement efforts on, the development and adoption of AI technologies and use of such technologies in compliance with ethical standards and societal expectations. In the U.S., several states have passed laws to regulate various uses of AI, including to make consequential decisions, among other requirements, that were set to take effect in 2026. In addition, it is possible that U.S. states and the federal government will adopt new laws and regulations in the near future, and that existing laws and regulations may be interpreted in ways that would affect our business and the ways in which we and our customers use our AI technologies. The Executive Order on Ensuring a National Policy Framework for Artificial Intelligence, which was signed on December 11, 2025, raises significant questions regarding the future of these state laws and it is likely that companies making use of AI technologies will face a uncertain legal framework for the near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Outside the U.S., lawmaking and regulation relating to AI is proceeding at a similar pace. In Europe, for example, the EU’s Artificial Intelligence Act, or AI Act, entered into force on August 1, 2024 and, with some exceptions, will begin to apply as of August 2, 2026. This legislation imposes significant obligations on providers and deployers of high-risk AI systems, and encourages providers and deployers of AI systems to account for EU ethical principles in their development and use of these systems. As we continue to develop and use AI systems that are governed by the AI Act or other emerging regulations, it may necessitate ensuring higher standards of data quality, transparency, and human oversight, as well as adhering to specific ethical, accountability, and administrative requirements, some of which may increase our costs and compliance obligations. Further, potential government regulation related to AI use and ethics may also increase the cost of research and development in this area, and failure to properly remediate AI usage or ethics issues may cause public confidence in AI to be undermined, which could slow adoption of AI in our products and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rapid evolution of AI technologies and the applicable regulatory frameworks governing AI will require the application of significant resources to design, develop, test and maintain such systems to help ensure that AI is implemented in a legally compliant and socially responsible manner and to minimize any real or perceived unintended harmful impacts of the use of such technologies. The use of certain AI technologies can also give rise to intellectual property risks, including by disclosing or otherwise compromising our confidential or proprietary intellectual property, or by undermining our ability to assert or defend ownership rights in intellectual property created with the assistance of AI tools. Our vendors may also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through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governmental export and import controls, economic sanctions, anti-corruption laws and regulations of the U.S. and other jurisdictions. We can face criminal liability and other serious consequences for violations of these laws and regulations, which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and required to comply with various export control, import and trade and economic sanctions laws and regulations, including the U.S. Export Administration Regulations, U.S. Customs regulations and sanctions regulations administered by the U.S. Treasury Department’s Office of Foreign Assets Controls. These laws may prohibit or restrict our ability to transfer, sell or supply, our products to certain governments, persons, entities, countries, and territories, including those that are the target of comprehensive sanctions or an embargo.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subject to anti-corruption and anti-bribery laws, including the U.S. Foreign Corrupt Practices Act of 1977, as amended, or FCPA, the U.S. domestic bribery statute contained in 18 U.S.C. § 201, the U.S. Travel Act, and other state and national anti-bribery and anti-money laundering laws in the countries in which we conduct activities. Anti-corruption laws, including the FCPA, generally prohibit companies and their employees, agents, CROs, contractors and other partners from offering, promising, giving, soliciting or authorizing others to give or receive anything of value, either directly or indirectly, to or from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CROs,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maintain an effective system of internal controls over financial reporting, our ability to produce accurate financial statements on a timely basis could be impaired.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the reporting requirements of the Exchange Act, the Sarbanes-Oxley Act of 2002, or the Sarbanes-Oxley Act, and the rules and regulations of the stock market on which our common stock is listed. The Sarbanes-Oxley Act requires, among other things, that we maintain effective disclosure controls and procedures and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Commencing with our second annual report on Form 10-K for the fiscal year ending December 31, 2027, we must perform system and process evaluation and testing of our internal control over financial reporting to allow management to report on the effectiveness of our internal control over financial reporting in our Form 10-K filing for that year, as required by Section 404 of the Sarbanes-Oxley Act. This will require that we incur substantial additional professional fees and internal costs to expand our accounting and finance functions and that we expend significant management efforts. We have never been required to test our internal control within a specified period, and, as a result, we may experience difficulty in meeting these reporting requirements in a timely manner. In addition, when we lose our status as an “emerging growth company” and if we do not otherwise qualify as a “non-accelerated filer,” our independent registered public accounting firm will be required to attest to the effectiveness of our internal control over financial reporting, which will require additional expense, resources and management commitment.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identify material weaknesses in our system of internal controls over financial reporting that could result in a material misstatement of our consolidated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not able to comply with the requirements of Section 404 of the Sarbanes-Oxley Act in a timely manner, or if we are unable to maintain proper and effective internal controls over financial reporting, we may not be able to produce timely and accurate consolidated financial statements. If that were to happen, the market price of our stock could decline and we could be subject to sanctions or investigations by the stock exchange on which our common stock is listed, the SEC or other regulatory authorities.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might not be able to utilize a significant portion of our net operating loss carryforwards, which could harm our profitability.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generated, and expect to continue to generate, significant federal and state net operating loss, or NOL, carryforwards. As of December 31, 2025, we had federal and state net operating loss carryforwards of $190.3 million and $58.8 million, respectively. Under current tax laws and regulations, these NOL carryforwards could expire unused and be unavailable to offset future income tax liabilities. Under the Tax Cuts and Jobs Act, as modified by the Coronavirus Aid, Relief, and Economic Security Act, federal net operating loss carryforwards, or NOLs, incurred in taxable years beginning after December 31, 2017 generally may be carried forward indefinitely, but the deductibility of such federal NOLs is limited.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Sections 382 and 383 of the Internal Revenue Code of 1986, as amended, or the Code, if a corporation undergoes an “ownership change,” generally defined as a greater than 50 percentage point change (by value) in its equity ownership by one or more “5 percent shareholders” over a three-year period, the corporation’s ability to use its pre-change NOLs and other pre-change tax attributes (such as research and development tax credits) to offset its post-change income or taxes may be limited. A corporation that experiences an ownership change will generally be subject to an annual limitation on the use of its pre-ownership change NOLs equal to the value of the corporation immediately before the ownership change, multiplied by the long-term tax-exempt rate (subject to certain adjustments). We may have experienced ownership changes in the past and may experience ownership changes as a result of our IPO and/or subsequent shifts in our stock ownership (some of which are outside our control). There is also a risk that due to regulatory changes, such as suspensions on the use of NOLs by federal or state taxing authorities or other unforeseen reasons, portions of our existing NOLs could expire or otherwise be unavailable to reduce future income tax liabilities. As a result, our ability to use our pre-change NOLs and tax credits to offset future taxable income, if any, or taxes could be subject to limitations. Similar provisions of state tax law may also apply. As a result, even if we attain profitability, we may be unable to use a material portion of our NOLs and tax credits.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tax law could adversely affect our business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 federal, state, local, and foreign tax laws, regulations and administrative guidance are subject to change as a result of the legislative process and review and interpretation by the U.S. Internal Revenue Service, or IRS, the U.S. Treasury Department and other taxing authorities. Changes to tax laws (which changes may have retroactive application), including with respect to net operating losses and research and development tax credits, could adversely affect us or holders of our common stock. For example, on July 4, 2025, President Donald Trump signed the One Big Beautiful Bill Act into law. Key tax provisions included the restoration of 100% bonus depreciation for certain qualified property, immediate expensing for domestic research and experimental expenditures and the ability to make elective adjustments for prior years, changes to the Section 163(j) interest limitations and updates to net CFC tested income (formerly GILTI) and FDII rules. In recent years, many other similar changes have been made and changes are likely to continue to occur in the future. Future changes in tax laws could have a material adverse effect on our business, financial condition, results of operations, or cash flow. We urge investors to consult with their legal and tax advisers regarding the implications of potential changes in tax laws on an investment in our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an “emerging growth company” and a “smaller reporting company” and, as a result of the reduced disclosure and governance requirements applicable to emerging growth companies and smaller reporting companies, our common stock may be less attractive to investors.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“emerging growth company” as defined in the Jumpstart Our Business Startups Act of 2012, or the JOBS Act. For as long as we continue to be an emerging growth company, we may take advantage of certain exemptions from reporting requirements that are applicable to other public companies that are not emerging growth companies, including: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not being required to comply with the auditor attestation requirements in the assessment of our internal control over financial reporting; providing only two years of audited financial statements in addition to any required unaudited interim financial statements and a correspondingly reduced “</w:t>
      </w:r>
      <w:r>
        <w:rPr>
          <w:rFonts w:ascii="Times New Roman" w:hAnsi="Times New Roman"/>
          <w:i/>
          <w:color w:val="000000"/>
          <w:sz w:val="20"/>
        </w:rPr>
        <w:t>Management’s Discussion and Analysis of Financial Condition and Results of Operations</w:t>
      </w:r>
      <w:r>
        <w:rPr>
          <w:color w:val="000000"/>
        </w:rPr>
        <w:t xml:space="preserve">” </w:t>
      </w:r>
      <w:r>
        <w:rPr>
          <w:rFonts w:ascii="Times New Roman" w:hAnsi="Times New Roman"/>
          <w:color w:val="000000"/>
          <w:sz w:val="20"/>
        </w:rPr>
        <w:t>disclosure in this Quarterly Report;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being required to comply with any requirement that may be adopted by the Public Company Accounting Oversight Board regarding the communication of critical audit matters in the auditor’s report on the financial statements;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reduced disclosure obligations regarding executive compensation in our periodic reports, proxy statements and registration statements;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being required to hold a nonbinding advisory vote on executive compensation and stockholder approval of any golden parachute payments not previously approved.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will remain an emerging growth company until the earlier of (1) the last day of the fiscal year (a) following the fifth anniversary of the closing of our initial public offering, (b) in which we have total annual gross revenue of at least $1.235 billion or (c) in which we are deemed to be a large accelerated filer, which means, among other conditions, that the market value of our common stock that is held by non-affiliates exceeds $700 million as of the last business day of our most recently completed second fiscal quarter, and (2) the date on which we have issued more than $1.0 billion in non-convertible debt during the prior three-year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Section 107(b) of the JOBS Act, emerging growth companies can delay adopting new or revised accounting standards until such time as those standards apply to private companies, and we expect to rely on this exemption. Even after we no longer qualify as an emerging growth company, we may, under certain circumstances, still qualify as a “smaller reporting company,” which would allow us to take advantage of many of the same exemptions from disclosure requirements, including reduced disclosure obligations regarding executive compensation in our periodic reports and proxy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incur increased costs and demands upon management as a result of being a public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public company, we incur significant additional legal, accounting and other costs that we did not incur as a private company. We are subject to the reporting requirements of the Exchange Act, which require, among other things, that we file with the SEC annual, quarterly and current reports with respect to our business and financial condition. In addition, Sarbanes-Oxley, as well as rules subsequently adopted by the SEC and Nasdaq to implement provisions of Sarbanes-Oxley, impose significant requirements on public companies, including requiring establishment and maintenance of effective disclosure and financial controls and certain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will increase our net loss, and may require us to reduce costs in other areas of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Unfavorable global economic conditions could adversely affect our business, financial condition or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operations could be adversely affected by general conditions in the global economy and in the global financial markets and uncertainty about economic stability. The global economy and financial markets have experienced extreme volatility and disruptions, including severely diminished liquidity and credit availability, declines in consumer confidence, inflation, declines in economic growth, global supply chain disruptions, and uncertainty about economic stability. The global economy and financial markets may also be adversely affected by the current or anticipated impact of military conflict, terrorism or other geopolitical events, including the ongoing war in Ukraine and the ongoing hostilities in the Middle East as well as the increasingly strained relationship between the U.S. and China. Sanctions or tariffs imposed by the U.S. and other countries in response to such conflicts may adversely impact the financial markets and the global economy, and the economic countermeasures by the affected countries or others could exacerbate market and economic instability.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can be no assurance that further deterioration in credit and financial markets and confidence in economic conditions will not occur. A severe or prolonged economic downturn could result in a variety of risks to our business, including weakened demand for any product candidates we may develop and our ability to raise additional capital when needed on acceptable terms, if at all. A weak or declining economy could also strain our suppliers, possibly resulting in supply disruption. If the equity and credit markets deteriorate, it may make any necessary equity or debt financing more difficult, more costly, and more dilutive. Failure to secure any necessary financing in a timely manner and on favorable terms could impair our ability to achieve our growth strategy, could harm our financial performance and stock price and could require us to delay or abandon clinical development plans. In addition, there is a risk that our current or future service providers, manufacturers or other collaborators may not survive such difficult economic times, which could directly affect our ability to attain our operating goals on schedule and on budget. We cannot anticipate all of the ways in which the current economic climate and financial market conditions could adversely impact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become involved in litigation that could divert management’s attention and harm our business, and insurance coverage may not be sufficient to cover all costs and damages.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in the past and may in the future be subject to litigation claims through the ordinary course of our business operations regarding, but not limited to, securities litigation, employment matters, security of patient and employee personal data, contractual relations with collaborators and licensors and intellectual property rights. For example, on June 1, 2017, Genoa, a QoL Healthcare Company, LLC filed a lawsuit against us for trademark infringement which resulted in our company changing its name to the current name. Additionally, from November 2020 through July 2024, Avalyn was involved in a dispute on matters related to a Stock Purchase Agreement that concluded in a confidential settlement agreement. We may be exposed to similar litigation even if no wrongdoing on our part has occurred. Litigation to defend ourselves against claims by third parties, or to enforce any rights that we may have against third parties, could result in substantial costs and diversion of our resources, causing a material adverse effect on our business, financial condition, results of operations or cash flows, and we may not have insurance coverage for such claims or our insurance coverage may not adequately cover all costs and damages related to such claims. Moreover, adverse publicity about legal action against us could damage our reputation and brand image, even if the legal action is unfounded or not material to our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bookmarkStart w:id="16" w:name="item_2_unregistered_sales_of_equity_sec"/>
      <w:bookmarkEnd w:id="16"/>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 Recent Sales of Unregistered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 Use of Proceeds from our Initial Public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April 29, 2026, the SEC declared effective our registration statement on Form S-1 (File No. 333-294932), as amended, or the Registration Statement, filed in connection with our IPO. Pursuant to the Registration Statement, we registered the offer and sale of 16,666,667 shares of our common stock with a maximum aggregate offering price of approximately $300.0 million. Morgan Stanley, Jefferies, Evercore ISI, and Guggenheim Securities acted as representatives of the underwriters for the IPO.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received net proceeds of approximately $316.6 million from the sale of 19,166,667 shares of common stock at a price of $18.00 per share, which included 2,500,000 shares of common stock sold pursuant to the underwriters' exercise of their option to purchase additional shares. None of the expenses associated with the IPO were paid to directors, officers, persons owning 10% or more of any class of equity securities, or to our affiliates.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has been no material change in the expected use of the net proceeds from our IPO as described in our final prospectus filed with the SEC pursuant to Rule 424(b) of the Securities Act on April 30, 2026.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 Issuer Repurchases of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8" w:name="item4_mine_safety_disclosures"/>
      <w:bookmarkEnd w:id="18"/>
      <w:r>
        <w:rPr>
          <w:rFonts w:ascii="Times New Roman" w:hAnsi="Times New Roman"/>
          <w:b/>
          <w:color w:val="000000"/>
          <w:sz w:val="20"/>
        </w:rPr>
        <w:t>Item 4. Mine</w:t>
      </w:r>
      <w:r>
        <w:rPr>
          <w:rFonts w:ascii="Times New Roman" w:hAnsi="Times New Roman"/>
          <w:color w:val="000000"/>
          <w:sz w:val="20"/>
        </w:rPr>
        <w:t xml:space="preserve"> </w:t>
      </w:r>
      <w:r>
        <w:rPr>
          <w:rFonts w:ascii="Times New Roman" w:hAnsi="Times New Roman"/>
          <w:b/>
          <w:color w:val="000000"/>
          <w:sz w:val="20"/>
        </w:rPr>
        <w:t>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tem5_other_information"/>
      <w:bookmarkEnd w:id="19"/>
      <w:r>
        <w:rPr>
          <w:rFonts w:ascii="Times New Roman" w:hAnsi="Times New Roman"/>
          <w:b/>
          <w:color w:val="000000"/>
          <w:sz w:val="20"/>
        </w:rPr>
        <w:t>Item 5.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June 30, 2026, none of our directors or officers (as defined in Rule 16a-1(f) under the Exchange Act) adopted or terminated any “Rule 10b5-1 trading arrangement” or “non-Rule 10b5-1 trading arrangement,” as those terms are defined in Item 408 of Regulation S-K.</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Furnish the exhibits required by Item 601 of Regulation S-K (§ 229.601 of this chapter).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3.1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20"/>
                  <w:u w:val="single"/>
                </w:rPr>
                <w:t>Amended and Restated Certificate of Incorporation of Avalyn Pharma Inc. (incorporated by reference to Exhibit 3.1 to the Registrant’s Current Report on Form 8-K filed with the SEC on</w:t>
              </w:r>
            </w:hyperlink>
            <w:hyperlink r:id="rId4">
              <w:r>
                <w:rPr>
                  <w:rStyle w:val="InternetLink"/>
                  <w:rFonts w:ascii="Times New Roman" w:hAnsi="Times New Roman"/>
                  <w:color w:val="0000FF"/>
                  <w:sz w:val="20"/>
                </w:rPr>
                <w:t xml:space="preserve"> </w:t>
              </w:r>
            </w:hyperlink>
            <w:r>
              <w:rPr>
                <w:rFonts w:ascii="Times New Roman" w:hAnsi="Times New Roman"/>
                <w:color w:val="000000"/>
                <w:sz w:val="20"/>
              </w:rPr>
              <w:t>May 1, 2026</w:t>
            </w:r>
            <w:hyperlink r:id="rId5">
              <w:r>
                <w:rPr>
                  <w:rStyle w:val="InternetLink"/>
                  <w:rFonts w:ascii="Times New Roman" w:hAnsi="Times New Roman"/>
                  <w:color w:val="0000FF"/>
                  <w:sz w:val="20"/>
                  <w:u w:val="single"/>
                </w:rPr>
                <w:t xml:space="preserve"> (File No. 001-43251)).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3.2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Bylaws of Avalyn Pharma Inc. (incorporated by reference to Exhibit 3.2 to the Registrant’s Current Report on Form 8-K filed with the SEC on May 1, 2026 (File No. 001-43251)).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4.1+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Amended and Restated Investors’ Rights Agreement, by and between the Registrant and certain of its stockholders, dated as of April 25, 2025 (incorporated by reference to Exhibit 4.2 to the Registrant’s Registration Statement on Form S-1 (File No. 333-294932)).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4.2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Common Stock Certificate (incorporated by reference to Exhibit 4.1 to the Registrant's Registration Statement on Form S-1 (File No. 333-294932)).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10.1#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2026 Equity Incentive Plan and form of award agreements thereunder (incorporated by reference to Exhibit 10.3 to the Registrant’s Registration Statement on Form S-1, as amended (File No. 333-294932)).</w:t>
              </w:r>
            </w:hyperlink>
          </w:p>
        </w:tc>
      </w:tr>
      <w:tr>
        <w:trPr/>
        <w:tc>
          <w:tcPr>
            <w:tcW w:w="706" w:type="dxa"/>
            <w:tcBorders/>
            <w:shd w:fill="FFFFFF" w:val="clear"/>
            <w:tcMar>
              <w:top w:w="0" w:type="dxa"/>
              <w:left w:w="0" w:type="dxa"/>
              <w:bottom w:w="0" w:type="dxa"/>
              <w:right w:w="0" w:type="dxa"/>
            </w:tcMar>
            <w:vAlign w:val="center"/>
          </w:tcPr>
          <w:p>
            <w:pPr>
              <w:pStyle w:val="TableContents"/>
              <w:bidi w:val="0"/>
              <w:jc w:val="left"/>
              <w:rPr/>
            </w:pPr>
            <w:hyperlink r:id="rId14">
              <w:r>
                <w:rPr>
                  <w:rStyle w:val="InternetLink"/>
                  <w:rFonts w:ascii="Times New Roman" w:hAnsi="Times New Roman"/>
                  <w:color w:val="0000FF"/>
                  <w:sz w:val="20"/>
                  <w:u w:val="single"/>
                </w:rPr>
                <w:t>10.2#</w:t>
              </w:r>
            </w:hyperlink>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2026 Employee Stock Purchase Plan (incorporated by reference to Exhibit 10.4 to the Registrant’s Registration Statement on Form S-1, as amended (File No. 333-294932)).</w:t>
              </w:r>
            </w:hyperlink>
            <w:hyperlink r:id="rId16">
              <w:r>
                <w:rPr>
                  <w:rStyle w:val="InternetLink"/>
                  <w:rFonts w:ascii="Times New Roman" w:hAnsi="Times New Roman"/>
                  <w:color w:val="0000FF"/>
                  <w:sz w:val="20"/>
                </w:rPr>
                <w:t xml:space="preserve"> </w:t>
              </w:r>
            </w:hyperlink>
          </w:p>
        </w:tc>
      </w:tr>
      <w:tr>
        <w:trPr/>
        <w:tc>
          <w:tcPr>
            <w:tcW w:w="706" w:type="dxa"/>
            <w:tcBorders/>
            <w:shd w:fill="FFFFFF" w:val="clear"/>
            <w:tcMar>
              <w:top w:w="0" w:type="dxa"/>
              <w:left w:w="0" w:type="dxa"/>
              <w:bottom w:w="0" w:type="dxa"/>
              <w:right w:w="0" w:type="dxa"/>
            </w:tcMar>
            <w:vAlign w:val="center"/>
          </w:tcPr>
          <w:p>
            <w:pPr>
              <w:pStyle w:val="TableContents"/>
              <w:bidi w:val="0"/>
              <w:jc w:val="left"/>
              <w:rPr/>
            </w:pPr>
            <w:hyperlink r:id="rId17">
              <w:r>
                <w:rPr>
                  <w:rStyle w:val="InternetLink"/>
                  <w:rFonts w:ascii="Times New Roman" w:hAnsi="Times New Roman"/>
                  <w:color w:val="0000FF"/>
                  <w:sz w:val="20"/>
                  <w:u w:val="single"/>
                </w:rPr>
                <w:t>10.3#</w:t>
              </w:r>
            </w:hyperlink>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Director Indemnification Agreement, by and between the Registrant and its directors (incorporated by reference to Exhibit 10.5 to the Registrant’s Registration Statement on Form S-1 (File No. 333-294932)).</w:t>
              </w:r>
            </w:hyperlink>
            <w:hyperlink r:id="rId19">
              <w:r>
                <w:rPr>
                  <w:rStyle w:val="InternetLink"/>
                  <w:rFonts w:ascii="Times New Roman" w:hAnsi="Times New Roman"/>
                  <w:color w:val="0000FF"/>
                  <w:sz w:val="20"/>
                </w:rPr>
                <w:t xml:space="preserve"> </w:t>
              </w:r>
            </w:hyperlink>
          </w:p>
        </w:tc>
      </w:tr>
      <w:tr>
        <w:trPr/>
        <w:tc>
          <w:tcPr>
            <w:tcW w:w="706" w:type="dxa"/>
            <w:tcBorders/>
            <w:shd w:fill="FFFFFF" w:val="clear"/>
            <w:tcMar>
              <w:top w:w="0" w:type="dxa"/>
              <w:left w:w="0" w:type="dxa"/>
              <w:bottom w:w="0" w:type="dxa"/>
              <w:right w:w="0" w:type="dxa"/>
            </w:tcMar>
            <w:vAlign w:val="center"/>
          </w:tcPr>
          <w:p>
            <w:pPr>
              <w:pStyle w:val="TableContents"/>
              <w:bidi w:val="0"/>
              <w:jc w:val="left"/>
              <w:rPr/>
            </w:pPr>
            <w:hyperlink r:id="rId20">
              <w:r>
                <w:rPr>
                  <w:rStyle w:val="InternetLink"/>
                  <w:rFonts w:ascii="Times New Roman" w:hAnsi="Times New Roman"/>
                  <w:color w:val="0000FF"/>
                  <w:sz w:val="20"/>
                  <w:u w:val="single"/>
                </w:rPr>
                <w:t>10.4#</w:t>
              </w:r>
            </w:hyperlink>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Form of Officer Indemnification Agreement, by and between the Registrant and its executive officers (incorporated by reference to Exhibit 10.6 to the Registrant’s Registration Statement on Form S-1 (File No. 333-294932)).</w:t>
              </w:r>
            </w:hyperlink>
            <w:hyperlink r:id="rId22">
              <w:r>
                <w:rPr>
                  <w:rStyle w:val="InternetLink"/>
                  <w:rFonts w:ascii="Times New Roman" w:hAnsi="Times New Roman"/>
                  <w:color w:val="0000FF"/>
                  <w:sz w:val="20"/>
                </w:rPr>
                <w:t xml:space="preserve"> </w:t>
              </w:r>
            </w:hyperlink>
          </w:p>
        </w:tc>
      </w:tr>
      <w:tr>
        <w:trPr/>
        <w:tc>
          <w:tcPr>
            <w:tcW w:w="706" w:type="dxa"/>
            <w:tcBorders/>
            <w:shd w:fill="FFFFFF" w:val="clear"/>
            <w:tcMar>
              <w:top w:w="0" w:type="dxa"/>
              <w:left w:w="0" w:type="dxa"/>
              <w:bottom w:w="0" w:type="dxa"/>
              <w:right w:w="0" w:type="dxa"/>
            </w:tcMar>
            <w:vAlign w:val="center"/>
          </w:tcPr>
          <w:p>
            <w:pPr>
              <w:pStyle w:val="TableContents"/>
              <w:bidi w:val="0"/>
              <w:jc w:val="left"/>
              <w:rPr/>
            </w:pPr>
            <w:hyperlink r:id="rId23">
              <w:r>
                <w:rPr>
                  <w:rStyle w:val="InternetLink"/>
                  <w:rFonts w:ascii="Times New Roman" w:hAnsi="Times New Roman"/>
                  <w:color w:val="0000FF"/>
                  <w:sz w:val="20"/>
                  <w:u w:val="single"/>
                </w:rPr>
                <w:t>10.5#</w:t>
              </w:r>
            </w:hyperlink>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Senior Executive Cash Incentive Bonus Plan (incorporated by reference to Exhibit 10.7 to the Registrant's Registration Statement on Form S-1 (File No. 333-294932)).</w:t>
              </w:r>
            </w:hyperlink>
          </w:p>
        </w:tc>
      </w:tr>
      <w:tr>
        <w:trPr/>
        <w:tc>
          <w:tcPr>
            <w:tcW w:w="706" w:type="dxa"/>
            <w:tcBorders/>
            <w:shd w:fill="FFFFFF" w:val="clear"/>
            <w:tcMar>
              <w:top w:w="0" w:type="dxa"/>
              <w:left w:w="0" w:type="dxa"/>
              <w:bottom w:w="0" w:type="dxa"/>
              <w:right w:w="0" w:type="dxa"/>
            </w:tcMar>
            <w:vAlign w:val="center"/>
          </w:tcPr>
          <w:p>
            <w:pPr>
              <w:pStyle w:val="TableContents"/>
              <w:bidi w:val="0"/>
              <w:jc w:val="left"/>
              <w:rPr/>
            </w:pPr>
            <w:hyperlink r:id="rId25">
              <w:r>
                <w:rPr>
                  <w:rStyle w:val="InternetLink"/>
                  <w:rFonts w:ascii="Times New Roman" w:hAnsi="Times New Roman"/>
                  <w:color w:val="0000FF"/>
                  <w:sz w:val="20"/>
                  <w:u w:val="single"/>
                </w:rPr>
                <w:t>10.6#</w:t>
              </w:r>
            </w:hyperlink>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Executive Severance Plan (incorporated by reference to Exhibit 10.8 to the Registrant’s Registration Statement on Form S-1 (File No. 333-294976)).</w:t>
              </w:r>
            </w:hyperlink>
          </w:p>
        </w:tc>
      </w:tr>
      <w:tr>
        <w:trPr/>
        <w:tc>
          <w:tcPr>
            <w:tcW w:w="706" w:type="dxa"/>
            <w:tcBorders/>
            <w:shd w:fill="FFFFFF" w:val="clear"/>
            <w:tcMar>
              <w:top w:w="0" w:type="dxa"/>
              <w:left w:w="0" w:type="dxa"/>
              <w:bottom w:w="0" w:type="dxa"/>
              <w:right w:w="0" w:type="dxa"/>
            </w:tcMar>
            <w:vAlign w:val="center"/>
          </w:tcPr>
          <w:p>
            <w:pPr>
              <w:pStyle w:val="TableContents"/>
              <w:bidi w:val="0"/>
              <w:jc w:val="left"/>
              <w:rPr/>
            </w:pPr>
            <w:hyperlink r:id="rId27">
              <w:r>
                <w:rPr>
                  <w:rStyle w:val="InternetLink"/>
                  <w:rFonts w:ascii="Times New Roman" w:hAnsi="Times New Roman"/>
                  <w:color w:val="0000FF"/>
                  <w:sz w:val="20"/>
                  <w:u w:val="single"/>
                </w:rPr>
                <w:t>10.7#</w:t>
              </w:r>
            </w:hyperlink>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Non-Employee Director Compensation Policy (incorporated by reference to Exhibit 10.9 to the Registrant's Registration Statement on Form S-1 (File No. 333-294932)).</w:t>
              </w:r>
            </w:hyperlink>
          </w:p>
        </w:tc>
      </w:tr>
      <w:tr>
        <w:trPr/>
        <w:tc>
          <w:tcPr>
            <w:tcW w:w="706" w:type="dxa"/>
            <w:tcBorders/>
            <w:shd w:fill="FFFFFF" w:val="clear"/>
            <w:tcMar>
              <w:top w:w="0" w:type="dxa"/>
              <w:left w:w="0" w:type="dxa"/>
              <w:bottom w:w="0" w:type="dxa"/>
              <w:right w:w="0" w:type="dxa"/>
            </w:tcMar>
            <w:vAlign w:val="center"/>
          </w:tcPr>
          <w:p>
            <w:pPr>
              <w:pStyle w:val="TableContents"/>
              <w:bidi w:val="0"/>
              <w:jc w:val="left"/>
              <w:rPr/>
            </w:pPr>
            <w:hyperlink r:id="rId29">
              <w:r>
                <w:rPr>
                  <w:rStyle w:val="InternetLink"/>
                  <w:rFonts w:ascii="Times New Roman" w:hAnsi="Times New Roman"/>
                  <w:color w:val="0000FF"/>
                  <w:sz w:val="20"/>
                  <w:u w:val="single"/>
                </w:rPr>
                <w:t>10.8#</w:t>
              </w:r>
            </w:hyperlink>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Compensation Recovery Policy (incorporated by reference to Exhibit 10.10 to the Registrant's Registration Statement on Form S-1 (File No. 333-294932)).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10.9#</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Employment Agreement, by and between the Registrant and Lyn Baranowski, effective as of April 29, 2026 (incorporated by reference to Exhibit 10.9 to the Registrant's Current Report on Form 10-Q filed with the SEC on June 3, 2026 (File No. 001-43251)).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10.10#</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Employment Agreement, by and between the Registrant and Douglas Carlson, effective as of April 29, 2026 (incorporated by reference to Exhibit 10.10 to the Registrant's Current Report on Form 10-Q filed with the SEC on June 3, 2026 (File No. 001-43251)).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10.11#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Employment Agreement, by and between the Registrant and Melissa Rhodes, effective as of April 29, 2026 (incorporated by reference to Exhibit 10.11 to the Registrant's Current Report on Form 10-Q filed with the SEC on June 3, 2026 (File No. 001-43251)).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10.12#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Employment Agreement, by and between the Registrant and Howard Lazarus, effective as of April 29, 2026 (incorporated by reference to Exhibit 10.12 to the Registrant's Current Report on Form 10-Q filed with the SEC on June 3, 2026 (File No. 001-43251)).</w:t>
              </w:r>
            </w:hyperlink>
          </w:p>
        </w:tc>
      </w:tr>
      <w:tr>
        <w:trPr/>
        <w:tc>
          <w:tcPr>
            <w:tcW w:w="706" w:type="dxa"/>
            <w:tcBorders/>
            <w:shd w:fill="FFFFFF" w:val="clear"/>
            <w:tcMar>
              <w:top w:w="0" w:type="dxa"/>
              <w:left w:w="0" w:type="dxa"/>
              <w:bottom w:w="0" w:type="dxa"/>
              <w:right w:w="0" w:type="dxa"/>
            </w:tcMar>
            <w:vAlign w:val="center"/>
          </w:tcPr>
          <w:p>
            <w:pPr>
              <w:pStyle w:val="TableContents"/>
              <w:bidi w:val="0"/>
              <w:jc w:val="left"/>
              <w:rPr/>
            </w:pPr>
            <w:hyperlink r:id="rId39">
              <w:r>
                <w:rPr>
                  <w:rStyle w:val="InternetLink"/>
                  <w:rFonts w:ascii="Times New Roman" w:hAnsi="Times New Roman"/>
                  <w:color w:val="0000FF"/>
                  <w:sz w:val="20"/>
                  <w:u w:val="single"/>
                </w:rPr>
                <w:t>10.13+</w:t>
              </w:r>
            </w:hyperlink>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Sublease Agreement, by and between the Registrant and CRISPR Therapeutics, Inc., dated as of August 29, 2025 (incorporated by reference to Exhibit 10.24 to the Registrant’s Registration Statement on Form S-1 (File No. 333-294976)</w:t>
              </w:r>
            </w:hyperlink>
            <w:r>
              <w:rPr>
                <w:rFonts w:ascii="Times New Roman" w:hAnsi="Times New Roman"/>
                <w:color w:val="000000"/>
                <w:sz w:val="20"/>
              </w:rPr>
              <w:t>)</w:t>
            </w:r>
            <w:hyperlink r:id="rId41">
              <w:r>
                <w:rPr>
                  <w:rStyle w:val="InternetLink"/>
                  <w:rFonts w:ascii="Times New Roman" w:hAnsi="Times New Roman"/>
                  <w:color w:val="0000FF"/>
                  <w:sz w:val="20"/>
                  <w:u w:val="single"/>
                </w:rPr>
                <w:t>.</w:t>
              </w:r>
            </w:hyperlink>
            <w:r>
              <w:rPr>
                <w:rFonts w:ascii="Times New Roman" w:hAnsi="Times New Roman"/>
                <w:color w:val="000000"/>
                <w:sz w:val="20"/>
              </w:rPr>
              <w:t xml:space="preserve"> </w:t>
            </w:r>
          </w:p>
        </w:tc>
      </w:tr>
      <w:tr>
        <w:trPr/>
        <w:tc>
          <w:tcPr>
            <w:tcW w:w="70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color w:val="0000FF"/>
                <w:sz w:val="20"/>
                <w:u w:val="single"/>
              </w:rPr>
              <w:t>10.14</w:t>
            </w:r>
            <w:r>
              <w:rPr>
                <w:rFonts w:ascii="Times New Roman" w:hAnsi="Times New Roman"/>
                <w:color w:val="000000"/>
                <w:sz w:val="20"/>
              </w:rPr>
              <w:t>+</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First Amendment to Sublease Agreement, by and between the Registrant and CRISPR Therapeutics, Inc., dated June 29, 2026 (incorporated by reference to Exhibit 10.1 to the Registrant’s Current Report on Form 8-K filed with the SEC on July 1, 2026 (File No. 001-43251)).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1540171-ex31_1.htm">
              <w:r>
                <w:rPr>
                  <w:rStyle w:val="InternetLink"/>
                  <w:rFonts w:ascii="Times New Roman" w:hAnsi="Times New Roman"/>
                  <w:color w:val="0000FF"/>
                  <w:sz w:val="20"/>
                  <w:u w:val="single"/>
                </w:rPr>
                <w:t>31.1*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ck0001540171-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1540171-ex31_2.htm">
              <w:r>
                <w:rPr>
                  <w:rStyle w:val="InternetLink"/>
                  <w:rFonts w:ascii="Times New Roman" w:hAnsi="Times New Roman"/>
                  <w:color w:val="0000FF"/>
                  <w:sz w:val="20"/>
                  <w:u w:val="single"/>
                </w:rPr>
                <w:t>31.2*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ck0001540171-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1540171-ex32_1.htm">
              <w:r>
                <w:rPr>
                  <w:rStyle w:val="InternetLink"/>
                  <w:rFonts w:ascii="Times New Roman" w:hAnsi="Times New Roman"/>
                  <w:color w:val="0000FF"/>
                  <w:sz w:val="20"/>
                  <w:u w:val="single"/>
                </w:rPr>
                <w:t>32.1**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ck0001540171-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1540171-ex32_2.htm">
              <w:r>
                <w:rPr>
                  <w:rStyle w:val="InternetLink"/>
                  <w:rFonts w:ascii="Times New Roman" w:hAnsi="Times New Roman"/>
                  <w:color w:val="0000FF"/>
                  <w:sz w:val="20"/>
                  <w:u w:val="single"/>
                </w:rPr>
                <w:t>32.2**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ck0001540171-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790"/>
        <w:gridCol w:w="146"/>
        <w:gridCol w:w="9269"/>
      </w:tblGrid>
      <w:tr>
        <w:trPr/>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9" w:type="dxa"/>
            <w:tcBorders/>
            <w:vAlign w:val="center"/>
          </w:tcPr>
          <w:p>
            <w:pPr>
              <w:pStyle w:val="TableContents"/>
              <w:bidi w:val="0"/>
              <w:spacing w:before="0" w:after="283"/>
              <w:jc w:val="left"/>
              <w:rPr>
                <w:sz w:val="4"/>
                <w:szCs w:val="4"/>
              </w:rPr>
            </w:pPr>
            <w:r>
              <w:rPr>
                <w:sz w:val="4"/>
                <w:szCs w:val="4"/>
              </w:rPr>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xml:space="preserve">** The certifications furnished in Exhibit 32.1 and 32.2 hereto are deemed to be furnished with this Quarterly Report and will not be deemed to be “filed” for purposes of Section 18 of the Exchange Act, except to the extent that the Registrant specifically incorporates it by reference. </w:t>
      </w:r>
    </w:p>
    <w:tbl>
      <w:tblPr>
        <w:tblW w:w="10205" w:type="dxa"/>
        <w:jc w:val="left"/>
        <w:tblInd w:w="0" w:type="dxa"/>
        <w:tblLayout w:type="fixed"/>
        <w:tblCellMar>
          <w:top w:w="28" w:type="dxa"/>
          <w:left w:w="28" w:type="dxa"/>
          <w:bottom w:w="28" w:type="dxa"/>
          <w:right w:w="28" w:type="dxa"/>
        </w:tblCellMar>
      </w:tblPr>
      <w:tblGrid>
        <w:gridCol w:w="226"/>
        <w:gridCol w:w="9979"/>
      </w:tblGrid>
      <w:tr>
        <w:trPr/>
        <w:tc>
          <w:tcPr>
            <w:tcW w:w="226" w:type="dxa"/>
            <w:tcBorders/>
            <w:vAlign w:val="center"/>
          </w:tcPr>
          <w:p>
            <w:pPr>
              <w:pStyle w:val="TableContents"/>
              <w:bidi w:val="0"/>
              <w:spacing w:before="0" w:after="283"/>
              <w:jc w:val="left"/>
              <w:rPr>
                <w:sz w:val="4"/>
                <w:szCs w:val="4"/>
              </w:rPr>
            </w:pPr>
            <w:r>
              <w:rPr>
                <w:sz w:val="4"/>
                <w:szCs w:val="4"/>
              </w:rPr>
            </w:r>
          </w:p>
        </w:tc>
        <w:tc>
          <w:tcPr>
            <w:tcW w:w="9979"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Indicates a management contract or any compensatory plan, contract or arrangement.</w:t>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Certain portions of this document that constitute confidential information have been redacted pursuant to Item 601(b)(10) of Regulation S-K.</w:t>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Certain exhibits and schedules to these agreements have been omitted pursuant to Item 601(a)(5) and (6) of Regulation S-K. The registrant will furnish copies of any of the exhibits and schedules to the Securities and Exchange Commission upon request.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681" w:type="dxa"/>
        <w:jc w:val="left"/>
        <w:tblInd w:w="0" w:type="dxa"/>
        <w:tblLayout w:type="fixed"/>
        <w:tblCellMar>
          <w:top w:w="28" w:type="dxa"/>
          <w:left w:w="28" w:type="dxa"/>
          <w:bottom w:w="28" w:type="dxa"/>
          <w:right w:w="28" w:type="dxa"/>
        </w:tblCellMar>
      </w:tblPr>
      <w:tblGrid>
        <w:gridCol w:w="1876"/>
        <w:gridCol w:w="109"/>
        <w:gridCol w:w="478"/>
        <w:gridCol w:w="5218"/>
      </w:tblGrid>
      <w:tr>
        <w:trPr/>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5218"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Avalyn Pharma Inc.</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X,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By:</w:t>
            </w:r>
          </w:p>
        </w:tc>
        <w:tc>
          <w:tcPr>
            <w:tcW w:w="521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/s/ Lyn Baranowski</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5218"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Lyn Baranowski</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5218" w:type="dxa"/>
            <w:tcBorders/>
            <w:shd w:fill="FFFFFF" w:val="clear"/>
            <w:tcMar>
              <w:top w:w="0" w:type="dxa"/>
              <w:left w:w="0" w:type="dxa"/>
              <w:bottom w:w="0" w:type="dxa"/>
              <w:right w:w="0" w:type="dxa"/>
            </w:tcMar>
            <w:vAlign w:val="center"/>
          </w:tcPr>
          <w:p>
            <w:pPr>
              <w:pStyle w:val="TableContents"/>
              <w:bidi w:val="0"/>
              <w:ind w:left="0" w:right="0" w:firstLine="72"/>
              <w:jc w:val="left"/>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(Principal Executive Officer)</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X,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By:</w:t>
            </w:r>
          </w:p>
        </w:tc>
        <w:tc>
          <w:tcPr>
            <w:tcW w:w="521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/s/ Douglas Carlson</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5218"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Douglas Carlson</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5218" w:type="dxa"/>
            <w:tcBorders/>
            <w:shd w:fill="FFFFFF" w:val="clear"/>
            <w:tcMar>
              <w:top w:w="0" w:type="dxa"/>
              <w:left w:w="0" w:type="dxa"/>
              <w:bottom w:w="0" w:type="dxa"/>
              <w:right w:w="0" w:type="dxa"/>
            </w:tcMar>
            <w:vAlign w:val="center"/>
          </w:tcPr>
          <w:p>
            <w:pPr>
              <w:pStyle w:val="TableContents"/>
              <w:bidi w:val="0"/>
              <w:ind w:left="0" w:right="0" w:firstLine="72"/>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ind w:left="0" w:right="0" w:firstLine="72"/>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bookmarkStart w:id="22" w:name="ck0001540171-ex31_1.htm"/>
      <w:bookmarkStart w:id="23" w:name="ksck0001540171ex31_1"/>
      <w:bookmarkEnd w:id="22"/>
      <w:bookmarkEnd w:id="23"/>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Lyn Baranowski,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Form 10-Q for the quarterly period ended June 30, 2026 of Avalyn Pharma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(Paragraph omitted pursuant to SEC Release Nos. 33-8238/34-47986 and 33-8392/34-49313);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478" w:type="dxa"/>
        <w:jc w:val="left"/>
        <w:tblInd w:w="0" w:type="dxa"/>
        <w:tblLayout w:type="fixed"/>
        <w:tblCellMar>
          <w:top w:w="28" w:type="dxa"/>
          <w:left w:w="28" w:type="dxa"/>
          <w:bottom w:w="28" w:type="dxa"/>
          <w:right w:w="28" w:type="dxa"/>
        </w:tblCellMar>
      </w:tblPr>
      <w:tblGrid>
        <w:gridCol w:w="1951"/>
        <w:gridCol w:w="406"/>
        <w:gridCol w:w="312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2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Lyn Baranowski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Lyn Baranowski</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and Director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4" w:name="ck0001540171-ex31_2.htm"/>
      <w:bookmarkStart w:id="25" w:name="ksck0001540171ex31_2"/>
      <w:bookmarkEnd w:id="24"/>
      <w:bookmarkEnd w:id="25"/>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Douglas Carlson,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Form 10-Q for the quarterly period ended June 30, 2026 of Avalyn Pharma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(Paragraph omitted pursuant to SEC Release Nos. 33-8238/34-47986 and 33-8392/34-49313);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723" w:type="dxa"/>
        <w:jc w:val="left"/>
        <w:tblInd w:w="0" w:type="dxa"/>
        <w:tblLayout w:type="fixed"/>
        <w:tblCellMar>
          <w:top w:w="28" w:type="dxa"/>
          <w:left w:w="28" w:type="dxa"/>
          <w:bottom w:w="28" w:type="dxa"/>
          <w:right w:w="28" w:type="dxa"/>
        </w:tblCellMar>
      </w:tblPr>
      <w:tblGrid>
        <w:gridCol w:w="1951"/>
        <w:gridCol w:w="406"/>
        <w:gridCol w:w="436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36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Douglas Carlson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Douglas Carlson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ck0001540171-ex32_1.htm"/>
      <w:bookmarkStart w:id="27" w:name="ksck0001540171ex32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Avalyn Pharma Inc. (the “Company”)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5478" w:type="dxa"/>
        <w:jc w:val="left"/>
        <w:tblInd w:w="0" w:type="dxa"/>
        <w:tblLayout w:type="fixed"/>
        <w:tblCellMar>
          <w:top w:w="28" w:type="dxa"/>
          <w:left w:w="28" w:type="dxa"/>
          <w:bottom w:w="28" w:type="dxa"/>
          <w:right w:w="28" w:type="dxa"/>
        </w:tblCellMar>
      </w:tblPr>
      <w:tblGrid>
        <w:gridCol w:w="1951"/>
        <w:gridCol w:w="406"/>
        <w:gridCol w:w="312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2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Lyn Baranowski</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Lyn Baranowski</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and Director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ck0001540171-ex32_2.htm"/>
      <w:bookmarkStart w:id="29" w:name="ksck0001540171ex32_2"/>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Avalyn Pharma Inc. (the “Company”)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6723" w:type="dxa"/>
        <w:jc w:val="left"/>
        <w:tblInd w:w="0" w:type="dxa"/>
        <w:tblLayout w:type="fixed"/>
        <w:tblCellMar>
          <w:top w:w="28" w:type="dxa"/>
          <w:left w:w="28" w:type="dxa"/>
          <w:bottom w:w="28" w:type="dxa"/>
          <w:right w:w="28" w:type="dxa"/>
        </w:tblCellMar>
      </w:tblPr>
      <w:tblGrid>
        <w:gridCol w:w="1951"/>
        <w:gridCol w:w="406"/>
        <w:gridCol w:w="436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36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Douglas Carlson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Douglas Carlson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40171/000119312526201434/ck0001540171-ex3_1.htm" TargetMode="External"/><Relationship Id="rId3" Type="http://schemas.openxmlformats.org/officeDocument/2006/relationships/hyperlink" Target="https://www.sec.gov/Archives/edgar/data/1540171/000119312526201434/ck0001540171-ex3_1.htm" TargetMode="External"/><Relationship Id="rId4" Type="http://schemas.openxmlformats.org/officeDocument/2006/relationships/hyperlink" Target="https://www.sec.gov/Archives/edgar/data/1540171/000119312526201434/ck0001540171-ex3_1.htm" TargetMode="External"/><Relationship Id="rId5" Type="http://schemas.openxmlformats.org/officeDocument/2006/relationships/hyperlink" Target="https://www.sec.gov/Archives/edgar/data/1540171/000119312526201434/ck0001540171-ex3_1.htm" TargetMode="External"/><Relationship Id="rId6" Type="http://schemas.openxmlformats.org/officeDocument/2006/relationships/hyperlink" Target="https://www.sec.gov/Archives/edgar/data/1540171/000119312526201434/ck0001540171-ex3_2.htm" TargetMode="External"/><Relationship Id="rId7" Type="http://schemas.openxmlformats.org/officeDocument/2006/relationships/hyperlink" Target="https://www.sec.gov/Archives/edgar/data/1540171/000119312526201434/ck0001540171-ex3_2.htm" TargetMode="External"/><Relationship Id="rId8" Type="http://schemas.openxmlformats.org/officeDocument/2006/relationships/hyperlink" Target="https://www.sec.gov/Archives/edgar/data/1540171/000119312526147573/ck0001540171-ex4_2.htm" TargetMode="External"/><Relationship Id="rId9" Type="http://schemas.openxmlformats.org/officeDocument/2006/relationships/hyperlink" Target="https://www.sec.gov/Archives/edgar/data/1540171/000119312526147573/ck0001540171-ex4_2.htm" TargetMode="External"/><Relationship Id="rId10" Type="http://schemas.openxmlformats.org/officeDocument/2006/relationships/hyperlink" Target="https://www.sec.gov/Archives/edgar/data/1540171/000119312526147573/ck0001540171-ex4_1.htm" TargetMode="External"/><Relationship Id="rId11" Type="http://schemas.openxmlformats.org/officeDocument/2006/relationships/hyperlink" Target="https://www.sec.gov/Archives/edgar/data/1540171/000119312526147573/ck0001540171-ex4_1.htm" TargetMode="External"/><Relationship Id="rId12" Type="http://schemas.openxmlformats.org/officeDocument/2006/relationships/hyperlink" Target="https://www.sec.gov/Archives/edgar/data/1540171/000119312526173632/ck0001540171-ex10_3.htm" TargetMode="External"/><Relationship Id="rId13" Type="http://schemas.openxmlformats.org/officeDocument/2006/relationships/hyperlink" Target="https://www.sec.gov/Archives/edgar/data/1540171/000119312526173632/ck0001540171-ex10_3.htm" TargetMode="External"/><Relationship Id="rId14" Type="http://schemas.openxmlformats.org/officeDocument/2006/relationships/hyperlink" Target="https://www.sec.gov/Archives/edgar/data/1540171/000119312526173632/ck0001540171-ex10_4.htm" TargetMode="External"/><Relationship Id="rId15" Type="http://schemas.openxmlformats.org/officeDocument/2006/relationships/hyperlink" Target="https://www.sec.gov/Archives/edgar/data/1540171/000119312526173632/ck0001540171-ex10_4.htm" TargetMode="External"/><Relationship Id="rId16" Type="http://schemas.openxmlformats.org/officeDocument/2006/relationships/hyperlink" Target="https://www.sec.gov/Archives/edgar/data/1540171/000119312526173632/ck0001540171-ex10_4.htm" TargetMode="External"/><Relationship Id="rId17" Type="http://schemas.openxmlformats.org/officeDocument/2006/relationships/hyperlink" Target="https://www.sec.gov/Archives/edgar/data/1540171/000119312526147573/ck0001540171-ex10_5.htm" TargetMode="External"/><Relationship Id="rId18" Type="http://schemas.openxmlformats.org/officeDocument/2006/relationships/hyperlink" Target="https://www.sec.gov/Archives/edgar/data/1540171/000119312526147573/ck0001540171-ex10_5.htm" TargetMode="External"/><Relationship Id="rId19" Type="http://schemas.openxmlformats.org/officeDocument/2006/relationships/hyperlink" Target="https://www.sec.gov/Archives/edgar/data/1540171/000119312526147573/ck0001540171-ex10_5.htm" TargetMode="External"/><Relationship Id="rId20" Type="http://schemas.openxmlformats.org/officeDocument/2006/relationships/hyperlink" Target="https://www.sec.gov/Archives/edgar/data/1540171/000119312526147573/ck0001540171-ex10_6.htm" TargetMode="External"/><Relationship Id="rId21" Type="http://schemas.openxmlformats.org/officeDocument/2006/relationships/hyperlink" Target="https://www.sec.gov/Archives/edgar/data/1540171/000119312526147573/ck0001540171-ex10_6.htm" TargetMode="External"/><Relationship Id="rId22" Type="http://schemas.openxmlformats.org/officeDocument/2006/relationships/hyperlink" Target="https://www.sec.gov/Archives/edgar/data/1540171/000119312526147573/ck0001540171-ex10_6.htm" TargetMode="External"/><Relationship Id="rId23" Type="http://schemas.openxmlformats.org/officeDocument/2006/relationships/hyperlink" Target="https://www.sec.gov/Archives/edgar/data/1540171/000119312526147573/ck0001540171-ex10_7.htm" TargetMode="External"/><Relationship Id="rId24" Type="http://schemas.openxmlformats.org/officeDocument/2006/relationships/hyperlink" Target="https://www.sec.gov/Archives/edgar/data/1540171/000119312526147573/ck0001540171-ex10_7.htm" TargetMode="External"/><Relationship Id="rId25" Type="http://schemas.openxmlformats.org/officeDocument/2006/relationships/hyperlink" Target="https://www.sec.gov/Archives/edgar/data/1540171/000119312526173632/ck0001540171-ex10_8.htm" TargetMode="External"/><Relationship Id="rId26" Type="http://schemas.openxmlformats.org/officeDocument/2006/relationships/hyperlink" Target="https://www.sec.gov/Archives/edgar/data/1540171/000119312526173632/ck0001540171-ex10_8.htm" TargetMode="External"/><Relationship Id="rId27" Type="http://schemas.openxmlformats.org/officeDocument/2006/relationships/hyperlink" Target="https://www.sec.gov/Archives/edgar/data/1540171/000119312526189477/ck0001540171-ex10_9.htm" TargetMode="External"/><Relationship Id="rId28" Type="http://schemas.openxmlformats.org/officeDocument/2006/relationships/hyperlink" Target="https://www.sec.gov/Archives/edgar/data/1540171/000119312526189477/ck0001540171-ex10_9.htm" TargetMode="External"/><Relationship Id="rId29" Type="http://schemas.openxmlformats.org/officeDocument/2006/relationships/hyperlink" Target="https://www.sec.gov/Archives/edgar/data/1540171/000119312526147573/ck0001540171-ex10_10.htm" TargetMode="External"/><Relationship Id="rId30" Type="http://schemas.openxmlformats.org/officeDocument/2006/relationships/hyperlink" Target="https://www.sec.gov/Archives/edgar/data/1540171/000119312526147573/ck0001540171-ex10_10.htm" TargetMode="External"/><Relationship Id="rId31" Type="http://schemas.openxmlformats.org/officeDocument/2006/relationships/hyperlink" Target="https://www.sec.gov/Archives/edgar/data/1540171/000119312526254623/ck0001540171-ex10_9.htm" TargetMode="External"/><Relationship Id="rId32" Type="http://schemas.openxmlformats.org/officeDocument/2006/relationships/hyperlink" Target="https://www.sec.gov/Archives/edgar/data/1540171/000119312526254623/ck0001540171-ex10_9.htm" TargetMode="External"/><Relationship Id="rId33" Type="http://schemas.openxmlformats.org/officeDocument/2006/relationships/hyperlink" Target="https://www.sec.gov/Archives/edgar/data/1540171/000119312526254623/ck0001540171-ex10_10.htm" TargetMode="External"/><Relationship Id="rId34" Type="http://schemas.openxmlformats.org/officeDocument/2006/relationships/hyperlink" Target="https://www.sec.gov/Archives/edgar/data/1540171/000119312526254623/ck0001540171-ex10_10.htm" TargetMode="External"/><Relationship Id="rId35" Type="http://schemas.openxmlformats.org/officeDocument/2006/relationships/hyperlink" Target="https://www.sec.gov/Archives/edgar/data/1540171/000119312526254623/ck0001540171-ex10_11.htm" TargetMode="External"/><Relationship Id="rId36" Type="http://schemas.openxmlformats.org/officeDocument/2006/relationships/hyperlink" Target="https://www.sec.gov/Archives/edgar/data/1540171/000119312526254623/ck0001540171-ex10_11.htm" TargetMode="External"/><Relationship Id="rId37" Type="http://schemas.openxmlformats.org/officeDocument/2006/relationships/hyperlink" Target="https://www.sec.gov/Archives/edgar/data/1540171/000119312526254623/ck0001540171-ex10_12.htm" TargetMode="External"/><Relationship Id="rId38" Type="http://schemas.openxmlformats.org/officeDocument/2006/relationships/hyperlink" Target="https://www.sec.gov/Archives/edgar/data/1540171/000119312526254623/ck0001540171-ex10_12.htm" TargetMode="External"/><Relationship Id="rId39" Type="http://schemas.openxmlformats.org/officeDocument/2006/relationships/hyperlink" Target="https://www.sec.gov/Archives/edgar/data/1540171/000119312526147573/ck0001540171-ex10_24.htm" TargetMode="External"/><Relationship Id="rId40" Type="http://schemas.openxmlformats.org/officeDocument/2006/relationships/hyperlink" Target="https://www.sec.gov/Archives/edgar/data/1540171/000119312526147573/ck0001540171-ex10_24.htm" TargetMode="External"/><Relationship Id="rId41" Type="http://schemas.openxmlformats.org/officeDocument/2006/relationships/hyperlink" Target="https://www.sec.gov/Archives/edgar/data/1540171/000119312526147573/ck0001540171-ex10_24.htm" TargetMode="External"/><Relationship Id="rId42" Type="http://schemas.openxmlformats.org/officeDocument/2006/relationships/hyperlink" Target="https://www.sec.gov/Archives/edgar/data/1540171/000119312526292834/ck0001540171-ex10_1.htm" TargetMode="External"/><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65213</Words>
  <Characters>363979</Characters>
  <CharactersWithSpaces>429449</CharactersWithSpaces>
  <Paragraphs>6601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