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Avalyn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2,675,296.00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2,675,296.00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2,675,296.00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2,675,296.00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2,675,296.00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2,675,296.00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Xontogeny Venture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2,250,296.00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2,250,296.00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2,250,296.00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Avalyn Pharma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 FIRST ST., BOSTON, Massachusetts 02127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the Common Stock, $0.001 par value per share (the "Common Stock") of Avalyn Pharma Inc. (the "Issuer") are: (i) Perceptive Advisors LLC ("Perceptive Advisors") (ii) Joseph Edelman ("Mr. Edelman") (iii) Perceptive Life Sciences Master Fund, Ltd. (the "Master Fund") (iv) Perceptive Xontogeny Venture Fund II, LP ("PXV II")</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 PVX II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are based on 44,312,047 shares of Common Stock outstanding, as reported by the Issuer in its prospectus filed pursuant to Rule 424(b)(4) with the Securities and Exchange Commission on April 30, 2026, giving effect to the underwriters' exercise of their over-allotment option. The Master Fund directly holds 425,000 shares of Common Stock and PXV II directly holds 2,250,296 shares of Common Stock. Perceptive Advisors serves as the investment manager to the Master Fund and may be deemed to beneficially own shares held by the Master Fund. Perceptive Venture Advisors, LLC is the investment manager of PXV II and is controlled by Perceptive Advisors, who may be deemed to beneficially own the shares held by PXV II. Perceptive Xontogeny Ventures II GP, LLC is the general partner of PXV II. Mr. Edelman is the managing member of Perceptive Advisors and may be deemed to beneficially own the shares held by the Master Fund and PXV II.</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6.0% Mr. Edelman: 6.0% Master Fund: 1.0% PXV II: 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 PXV II: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2,675,296 Mr. Edelman: 2,675,296 Master Fund: 425,000 PXV II: 2,250,296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 PXV II: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2,675,296 Mr. Edelman: 2,675,296 Master Fund: 425,000 PXV II: 2,250,296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9000" w:type="dxa"/>
        <w:jc w:val="left"/>
        <w:tblInd w:w="0" w:type="dxa"/>
        <w:tblLayout w:type="fixed"/>
        <w:tblCellMar>
          <w:top w:w="28" w:type="dxa"/>
          <w:left w:w="28" w:type="dxa"/>
          <w:bottom w:w="28" w:type="dxa"/>
          <w:right w:w="28" w:type="dxa"/>
        </w:tblCellMar>
      </w:tblPr>
      <w:tblGrid>
        <w:gridCol w:w="4500"/>
        <w:gridCol w:w="4500"/>
      </w:tblGrid>
      <w:tr>
        <w:trPr/>
        <w:tc>
          <w:tcPr>
            <w:tcW w:w="4500" w:type="dxa"/>
            <w:tcBorders/>
            <w:vAlign w:val="center"/>
          </w:tcPr>
          <w:p>
            <w:pPr>
              <w:pStyle w:val="TableContents"/>
              <w:bidi w:val="0"/>
              <w:spacing w:before="0" w:after="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0"/>
                    <w:jc w:val="left"/>
                    <w:rPr/>
                  </w:pPr>
                  <w:r>
                    <w:rPr/>
                    <w:t>Perceptive Xontogeny Venture Fund II, L.P</w:t>
                  </w:r>
                </w:p>
              </w:tc>
            </w:tr>
          </w:tbl>
          <w:p>
            <w:pPr>
              <w:pStyle w:val="TableContents"/>
              <w:bidi w:val="0"/>
              <w:spacing w:before="0" w:after="283"/>
              <w:jc w:val="left"/>
              <w:rPr/>
            </w:pPr>
            <w:r>
              <w:rPr/>
            </w:r>
          </w:p>
        </w:tc>
        <w:tc>
          <w:tcPr>
            <w:tcW w:w="4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Joseph Edelman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Perceptive Xontogeny Ventures II GP, LLC; By:Joseph Edelman,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jc w:val="right"/>
        <w:rPr>
          <w:rFonts w:ascii="Times New Roman" w:hAnsi="Times New Roman"/>
          <w:b/>
          <w:color w:val="000000"/>
          <w:sz w:val="24"/>
        </w:rPr>
      </w:pPr>
      <w:bookmarkStart w:id="28" w:name="acrv-ex99_1.htm"/>
      <w:bookmarkStart w:id="29" w:name="ksacrvex99_1"/>
      <w:bookmarkEnd w:id="28"/>
      <w:bookmarkEnd w:id="29"/>
      <w:r>
        <w:rPr>
          <w:rFonts w:ascii="Times New Roman" w:hAnsi="Times New Roman"/>
          <w:b/>
          <w:color w:val="000000"/>
          <w:sz w:val="24"/>
        </w:rPr>
        <w:t>EXHIBIT 99.1</w:t>
      </w:r>
      <w:r>
        <w:br w:type="page"/>
      </w:r>
    </w:p>
    <w:p>
      <w:pPr>
        <w:pStyle w:val="TextBody"/>
        <w:bidi w:val="0"/>
        <w:jc w:val="center"/>
        <w:rPr>
          <w:rFonts w:ascii="Times New Roman" w:hAnsi="Times New Roman"/>
          <w:color w:val="000000"/>
          <w:sz w:val="24"/>
        </w:rPr>
      </w:pPr>
      <w:r>
        <w:rPr>
          <w:rFonts w:ascii="Times New Roman" w:hAnsi="Times New Roman"/>
          <w:color w:val="000000"/>
          <w:sz w:val="24"/>
        </w:rPr>
        <w:t>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persons below hereby agree that the Schedule 13G to which this agreement is attached as an</w:t>
      </w:r>
    </w:p>
    <w:p>
      <w:pPr>
        <w:pStyle w:val="TextBody"/>
        <w:bidi w:val="0"/>
        <w:jc w:val="left"/>
        <w:rPr>
          <w:rFonts w:ascii="Times New Roman" w:hAnsi="Times New Roman"/>
          <w:color w:val="000000"/>
          <w:sz w:val="24"/>
        </w:rPr>
      </w:pPr>
      <w:r>
        <w:rPr>
          <w:rFonts w:ascii="Times New Roman" w:hAnsi="Times New Roman"/>
          <w:color w:val="000000"/>
          <w:sz w:val="24"/>
        </w:rPr>
        <w:t>exhibit, as well as all future amendments to such Schedule 13G, shall be filed on behalf of each</w:t>
      </w:r>
    </w:p>
    <w:p>
      <w:pPr>
        <w:pStyle w:val="TextBody"/>
        <w:bidi w:val="0"/>
        <w:jc w:val="left"/>
        <w:rPr>
          <w:rFonts w:ascii="Times New Roman" w:hAnsi="Times New Roman"/>
          <w:color w:val="000000"/>
          <w:sz w:val="24"/>
        </w:rPr>
      </w:pPr>
      <w:r>
        <w:rPr>
          <w:rFonts w:ascii="Times New Roman" w:hAnsi="Times New Roman"/>
          <w:color w:val="000000"/>
          <w:sz w:val="24"/>
        </w:rPr>
        <w:t>of them. This agreement is intended to satisfy the requirements of Rule 13d-1(k)(1)(iii) under</w:t>
      </w:r>
    </w:p>
    <w:p>
      <w:pPr>
        <w:pStyle w:val="TextBody"/>
        <w:bidi w:val="0"/>
        <w:jc w:val="left"/>
        <w:rPr>
          <w:rFonts w:ascii="Times New Roman" w:hAnsi="Times New Roman"/>
          <w:color w:val="000000"/>
          <w:sz w:val="24"/>
        </w:rPr>
      </w:pPr>
      <w:r>
        <w:rPr>
          <w:rFonts w:ascii="Times New Roman" w:hAnsi="Times New Roman"/>
          <w:color w:val="000000"/>
          <w:sz w:val="24"/>
        </w:rPr>
        <w:t>the Securities Exchange Act of 1934.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May 7,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PERCEPTIVE ADVISORS LLC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Joseph Edelman</w:t>
      </w:r>
    </w:p>
    <w:p>
      <w:pPr>
        <w:pStyle w:val="TextBody"/>
        <w:bidi w:val="0"/>
        <w:jc w:val="left"/>
        <w:rPr>
          <w:rFonts w:ascii="Times New Roman" w:hAnsi="Times New Roman"/>
          <w:color w:val="000000"/>
          <w:sz w:val="24"/>
        </w:rPr>
      </w:pPr>
      <w:r>
        <w:rPr>
          <w:rFonts w:ascii="Times New Roman" w:hAnsi="Times New Roman"/>
          <w:color w:val="000000"/>
          <w:sz w:val="24"/>
        </w:rPr>
        <w:t>Name: Joseph Edelman</w:t>
      </w:r>
    </w:p>
    <w:p>
      <w:pPr>
        <w:pStyle w:val="TextBody"/>
        <w:bidi w:val="0"/>
        <w:jc w:val="left"/>
        <w:rPr>
          <w:rFonts w:ascii="Times New Roman" w:hAnsi="Times New Roman"/>
          <w:color w:val="000000"/>
          <w:sz w:val="24"/>
        </w:rPr>
      </w:pPr>
      <w:r>
        <w:rPr>
          <w:rFonts w:ascii="Times New Roman" w:hAnsi="Times New Roman"/>
          <w:color w:val="000000"/>
          <w:sz w:val="24"/>
        </w:rPr>
        <w:t>Title: Managing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Joseph Edelman</w:t>
      </w:r>
    </w:p>
    <w:p>
      <w:pPr>
        <w:pStyle w:val="TextBody"/>
        <w:bidi w:val="0"/>
        <w:jc w:val="left"/>
        <w:rPr>
          <w:rFonts w:ascii="Times New Roman" w:hAnsi="Times New Roman"/>
          <w:color w:val="000000"/>
          <w:sz w:val="24"/>
        </w:rPr>
      </w:pPr>
      <w:r>
        <w:rPr>
          <w:rFonts w:ascii="Times New Roman" w:hAnsi="Times New Roman"/>
          <w:color w:val="000000"/>
          <w:sz w:val="24"/>
        </w:rPr>
        <w:t>JOSEPH EDELMAN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PERCEPTIVE LIFE SCIENCES MASTER FUND, LTD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Joseph Edelman</w:t>
      </w:r>
    </w:p>
    <w:p>
      <w:pPr>
        <w:pStyle w:val="TextBody"/>
        <w:bidi w:val="0"/>
        <w:jc w:val="left"/>
        <w:rPr>
          <w:rFonts w:ascii="Times New Roman" w:hAnsi="Times New Roman"/>
          <w:color w:val="000000"/>
          <w:sz w:val="24"/>
        </w:rPr>
      </w:pPr>
      <w:r>
        <w:rPr>
          <w:rFonts w:ascii="Times New Roman" w:hAnsi="Times New Roman"/>
          <w:color w:val="000000"/>
          <w:sz w:val="24"/>
        </w:rPr>
        <w:t>Name: Joseph Edelman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Title: Managing Member</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PERCEPTIVE XONTOGENY VENTURE FUND II, 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Perceptive Xontogeny Ventures II GP, LLC, its general partner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Joseph Edelman</w:t>
      </w:r>
    </w:p>
    <w:p>
      <w:pPr>
        <w:pStyle w:val="TextBody"/>
        <w:bidi w:val="0"/>
        <w:jc w:val="left"/>
        <w:rPr>
          <w:rFonts w:ascii="Times New Roman" w:hAnsi="Times New Roman"/>
          <w:color w:val="000000"/>
          <w:sz w:val="24"/>
        </w:rPr>
      </w:pPr>
      <w:r>
        <w:rPr>
          <w:rFonts w:ascii="Times New Roman" w:hAnsi="Times New Roman"/>
          <w:color w:val="000000"/>
          <w:sz w:val="24"/>
        </w:rPr>
        <w:t>Name: Joseph Edelman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Title: Managing Member</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1584</Words>
  <Characters>8271</Characters>
  <CharactersWithSpaces>9778</CharactersWithSpaces>
  <Paragraphs>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