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0001540171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Genoa 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Genoa 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 12670 High Bluff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DIEGO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92130</w:t>
      </w:r>
      <w:r>
        <w:rPr>
          <w:sz w:val="20"/>
          <w:szCs w:val="20"/>
          <w:color w:val="auto"/>
        </w:rPr>
        <w:tab/>
      </w:r>
      <w:r>
        <w:rPr>
          <w:rFonts w:ascii="Arial" w:cs="Arial" w:eastAsia="Arial" w:hAnsi="Arial"/>
          <w:sz w:val="22"/>
          <w:szCs w:val="22"/>
          <w:color w:val="auto"/>
        </w:rPr>
        <w:t>(619) 992-6488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Surber, Ph.D.</w:t>
            </w:r>
          </w:p>
        </w:tc>
        <w:tc>
          <w:tcPr>
            <w:tcW w:w="1000" w:type="dxa"/>
            <w:vAlign w:val="bottom"/>
          </w:tcPr>
          <w:p>
            <w:pPr>
              <w:ind w:left="260"/>
              <w:spacing w:after="0"/>
              <w:rPr>
                <w:sz w:val="20"/>
                <w:szCs w:val="20"/>
                <w:color w:val="auto"/>
              </w:rPr>
            </w:pPr>
            <w:r>
              <w:rPr>
                <w:rFonts w:ascii="Arial" w:cs="Arial" w:eastAsia="Arial" w:hAnsi="Arial"/>
                <w:sz w:val="22"/>
                <w:szCs w:val="22"/>
                <w:color w:val="auto"/>
              </w:rPr>
              <w:t>Mark</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12670 High Bluff Drive</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Vincent</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12670 High Bluff Drive</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Kamdar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12670 High Bluff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Burgess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9"/>
              </w:rPr>
              <w:t>Daniel</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12670 High Bluff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2011-10-23</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2520" w:type="dxa"/>
            <w:vAlign w:val="bottom"/>
          </w:tcPr>
          <w:p>
            <w:pPr>
              <w:ind w:left="20"/>
              <w:spacing w:after="0"/>
              <w:rPr>
                <w:sz w:val="20"/>
                <w:szCs w:val="20"/>
                <w:color w:val="auto"/>
              </w:rPr>
            </w:pPr>
            <w:r>
              <w:rPr>
                <w:rFonts w:ascii="Arial" w:cs="Arial" w:eastAsia="Arial" w:hAnsi="Arial"/>
                <w:sz w:val="22"/>
                <w:szCs w:val="22"/>
                <w:color w:val="auto"/>
              </w:rPr>
              <w:t>X Yes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3"/>
              </w:rPr>
              <w:t>X Option, Warrant or Other Right to Acquire Another Security</w:t>
            </w: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vMerge w:val="restart"/>
          </w:tcPr>
          <w:p>
            <w:pPr>
              <w:ind w:left="3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$1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00" w:type="dxa"/>
            <w:vAlign w:val="bottom"/>
            <w:gridSpan w:val="2"/>
          </w:tcPr>
          <w:p>
            <w:pPr>
              <w:ind w:left="118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$2,179,480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3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$2,179,480 USD</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3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34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06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20" w:type="dxa"/>
            <w:vAlign w:val="bottom"/>
          </w:tcPr>
          <w:p>
            <w:pPr>
              <w:ind w:left="40"/>
              <w:spacing w:after="0" w:line="228" w:lineRule="exact"/>
              <w:rPr>
                <w:sz w:val="20"/>
                <w:szCs w:val="20"/>
                <w:color w:val="auto"/>
              </w:rPr>
            </w:pPr>
            <w:r>
              <w:rPr>
                <w:rFonts w:ascii="Arial" w:cs="Arial" w:eastAsia="Arial" w:hAnsi="Arial"/>
                <w:sz w:val="22"/>
                <w:szCs w:val="22"/>
                <w:color w:val="auto"/>
              </w:rPr>
              <w:t>Genoa Pharmaceuticals,</w:t>
            </w:r>
          </w:p>
        </w:tc>
        <w:tc>
          <w:tcPr>
            <w:tcW w:w="20" w:type="dxa"/>
            <w:vAlign w:val="bottom"/>
          </w:tcPr>
          <w:p>
            <w:pPr>
              <w:spacing w:after="0"/>
              <w:rPr>
                <w:sz w:val="19"/>
                <w:szCs w:val="19"/>
                <w:color w:val="auto"/>
              </w:rPr>
            </w:pPr>
          </w:p>
        </w:tc>
        <w:tc>
          <w:tcPr>
            <w:tcW w:w="2280" w:type="dxa"/>
            <w:vAlign w:val="bottom"/>
          </w:tcPr>
          <w:p>
            <w:pPr>
              <w:ind w:left="40"/>
              <w:spacing w:after="0" w:line="228" w:lineRule="exact"/>
              <w:rPr>
                <w:sz w:val="20"/>
                <w:szCs w:val="20"/>
                <w:color w:val="auto"/>
              </w:rPr>
            </w:pPr>
            <w:r>
              <w:rPr>
                <w:rFonts w:ascii="Arial" w:cs="Arial" w:eastAsia="Arial" w:hAnsi="Arial"/>
                <w:sz w:val="22"/>
                <w:szCs w:val="22"/>
                <w:color w:val="auto"/>
              </w:rPr>
              <w:t>/s/ Mark W. Surber,</w:t>
            </w:r>
          </w:p>
        </w:tc>
        <w:tc>
          <w:tcPr>
            <w:tcW w:w="20" w:type="dxa"/>
            <w:vAlign w:val="bottom"/>
          </w:tcPr>
          <w:p>
            <w:pPr>
              <w:spacing w:after="0"/>
              <w:rPr>
                <w:sz w:val="19"/>
                <w:szCs w:val="19"/>
                <w:color w:val="auto"/>
              </w:rPr>
            </w:pPr>
          </w:p>
        </w:tc>
        <w:tc>
          <w:tcPr>
            <w:tcW w:w="2020" w:type="dxa"/>
            <w:vAlign w:val="bottom"/>
          </w:tcPr>
          <w:p>
            <w:pPr>
              <w:ind w:left="40"/>
              <w:spacing w:after="0" w:line="228" w:lineRule="exact"/>
              <w:rPr>
                <w:sz w:val="20"/>
                <w:szCs w:val="20"/>
                <w:color w:val="auto"/>
              </w:rPr>
            </w:pPr>
            <w:r>
              <w:rPr>
                <w:rFonts w:ascii="Arial" w:cs="Arial" w:eastAsia="Arial" w:hAnsi="Arial"/>
                <w:sz w:val="22"/>
                <w:szCs w:val="22"/>
                <w:color w:val="auto"/>
              </w:rPr>
              <w:t>Mark W. Surber,</w:t>
            </w:r>
          </w:p>
        </w:tc>
        <w:tc>
          <w:tcPr>
            <w:tcW w:w="40" w:type="dxa"/>
            <w:vAlign w:val="bottom"/>
          </w:tcPr>
          <w:p>
            <w:pPr>
              <w:spacing w:after="0"/>
              <w:rPr>
                <w:sz w:val="19"/>
                <w:szCs w:val="19"/>
                <w:color w:val="auto"/>
              </w:rPr>
            </w:pPr>
          </w:p>
        </w:tc>
        <w:tc>
          <w:tcPr>
            <w:tcW w:w="3340" w:type="dxa"/>
            <w:vAlign w:val="bottom"/>
          </w:tcPr>
          <w:p>
            <w:pPr>
              <w:ind w:left="20"/>
              <w:spacing w:after="0" w:line="228" w:lineRule="exact"/>
              <w:rPr>
                <w:sz w:val="20"/>
                <w:szCs w:val="20"/>
                <w:color w:val="auto"/>
              </w:rPr>
            </w:pPr>
            <w:r>
              <w:rPr>
                <w:rFonts w:ascii="Arial" w:cs="Arial" w:eastAsia="Arial" w:hAnsi="Arial"/>
                <w:sz w:val="22"/>
                <w:szCs w:val="22"/>
                <w:color w:val="auto"/>
              </w:rPr>
              <w:t>President and Chief Executive</w:t>
            </w:r>
          </w:p>
        </w:tc>
        <w:tc>
          <w:tcPr>
            <w:tcW w:w="1100" w:type="dxa"/>
            <w:vAlign w:val="bottom"/>
            <w:gridSpan w:val="2"/>
            <w:vMerge w:val="restart"/>
          </w:tcPr>
          <w:p>
            <w:pPr>
              <w:jc w:val="right"/>
              <w:spacing w:after="0"/>
              <w:rPr>
                <w:sz w:val="20"/>
                <w:szCs w:val="20"/>
                <w:color w:val="auto"/>
              </w:rPr>
            </w:pPr>
            <w:r>
              <w:rPr>
                <w:rFonts w:ascii="Arial" w:cs="Arial" w:eastAsia="Arial" w:hAnsi="Arial"/>
                <w:sz w:val="22"/>
                <w:szCs w:val="22"/>
                <w:color w:val="auto"/>
                <w:w w:val="92"/>
              </w:rPr>
              <w:t>2015-08-11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520" w:type="dxa"/>
            <w:vAlign w:val="bottom"/>
            <w:vMerge w:val="restart"/>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13"/>
                <w:szCs w:val="13"/>
                <w:color w:val="auto"/>
              </w:rPr>
            </w:pPr>
          </w:p>
        </w:tc>
        <w:tc>
          <w:tcPr>
            <w:tcW w:w="2280" w:type="dxa"/>
            <w:vAlign w:val="bottom"/>
            <w:vMerge w:val="restart"/>
          </w:tcPr>
          <w:p>
            <w:pPr>
              <w:ind w:left="40"/>
              <w:spacing w:after="0"/>
              <w:rPr>
                <w:sz w:val="20"/>
                <w:szCs w:val="20"/>
                <w:color w:val="auto"/>
              </w:rPr>
            </w:pPr>
            <w:r>
              <w:rPr>
                <w:rFonts w:ascii="Arial" w:cs="Arial" w:eastAsia="Arial" w:hAnsi="Arial"/>
                <w:sz w:val="22"/>
                <w:szCs w:val="22"/>
                <w:color w:val="auto"/>
              </w:rPr>
              <w:t>Ph.D.</w:t>
            </w:r>
          </w:p>
        </w:tc>
        <w:tc>
          <w:tcPr>
            <w:tcW w:w="20" w:type="dxa"/>
            <w:vAlign w:val="bottom"/>
          </w:tcPr>
          <w:p>
            <w:pPr>
              <w:spacing w:after="0"/>
              <w:rPr>
                <w:sz w:val="13"/>
                <w:szCs w:val="13"/>
                <w:color w:val="auto"/>
              </w:rPr>
            </w:pPr>
          </w:p>
        </w:tc>
        <w:tc>
          <w:tcPr>
            <w:tcW w:w="2020" w:type="dxa"/>
            <w:vAlign w:val="bottom"/>
            <w:vMerge w:val="restart"/>
          </w:tcPr>
          <w:p>
            <w:pPr>
              <w:ind w:left="40"/>
              <w:spacing w:after="0"/>
              <w:rPr>
                <w:sz w:val="20"/>
                <w:szCs w:val="20"/>
                <w:color w:val="auto"/>
              </w:rPr>
            </w:pPr>
            <w:r>
              <w:rPr>
                <w:rFonts w:ascii="Arial" w:cs="Arial" w:eastAsia="Arial" w:hAnsi="Arial"/>
                <w:sz w:val="22"/>
                <w:szCs w:val="22"/>
                <w:color w:val="auto"/>
              </w:rPr>
              <w:t>Ph.D.</w:t>
            </w:r>
          </w:p>
        </w:tc>
        <w:tc>
          <w:tcPr>
            <w:tcW w:w="40" w:type="dxa"/>
            <w:vAlign w:val="bottom"/>
          </w:tcPr>
          <w:p>
            <w:pPr>
              <w:spacing w:after="0"/>
              <w:rPr>
                <w:sz w:val="13"/>
                <w:szCs w:val="13"/>
                <w:color w:val="auto"/>
              </w:rPr>
            </w:pPr>
          </w:p>
        </w:tc>
        <w:tc>
          <w:tcPr>
            <w:tcW w:w="3340" w:type="dxa"/>
            <w:vAlign w:val="bottom"/>
            <w:vMerge w:val="restart"/>
          </w:tcPr>
          <w:p>
            <w:pPr>
              <w:ind w:left="20"/>
              <w:spacing w:after="0"/>
              <w:rPr>
                <w:sz w:val="20"/>
                <w:szCs w:val="20"/>
                <w:color w:val="auto"/>
              </w:rPr>
            </w:pPr>
            <w:r>
              <w:rPr>
                <w:rFonts w:ascii="Arial" w:cs="Arial" w:eastAsia="Arial" w:hAnsi="Arial"/>
                <w:sz w:val="22"/>
                <w:szCs w:val="22"/>
                <w:color w:val="auto"/>
              </w:rPr>
              <w:t>Officer</w:t>
            </w:r>
          </w:p>
        </w:tc>
        <w:tc>
          <w:tcPr>
            <w:tcW w:w="11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52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334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540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2020-01-24T07:28:10Z</dcterms:created>
  <dcterms:modified xsi:type="dcterms:W3CDTF">2020-01-24T07:28:10Z</dcterms:modified>
</cp:coreProperties>
</file>