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3 </w:t>
      </w:r>
    </w:p>
    <w:tbl>
      <w:tblPr>
        <w:tblW w:w="5000" w:type="pct"/>
        <w:jc w:val="left"/>
        <w:tblInd w:w="0" w:type="dxa"/>
        <w:tblLayout w:type="fixed"/>
        <w:tblCellMar>
          <w:top w:w="60" w:type="dxa"/>
          <w:left w:w="60" w:type="dxa"/>
          <w:bottom w:w="60" w:type="dxa"/>
          <w:right w:w="60" w:type="dxa"/>
        </w:tblCellMar>
      </w:tblPr>
      <w:tblGrid>
        <w:gridCol w:w="2040"/>
        <w:gridCol w:w="6124"/>
        <w:gridCol w:w="2041"/>
      </w:tblGrid>
      <w:tr>
        <w:trPr/>
        <w:tc>
          <w:tcPr>
            <w:tcW w:w="2040" w:type="dxa"/>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3</w:t>
            </w:r>
          </w:p>
        </w:tc>
        <w:tc>
          <w:tcPr>
            <w:tcW w:w="6124" w:type="dxa"/>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INITIAL STATEMENT OF BENEFICIAL OWNERSHIP OF SECURITIES</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2041" w:type="dxa"/>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921"/>
            </w:tblGrid>
            <w:tr>
              <w:trPr/>
              <w:tc>
                <w:tcPr>
                  <w:tcW w:w="1921"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78"/>
                    <w:gridCol w:w="687"/>
                  </w:tblGrid>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3235-0104</w:t>
                        </w:r>
                      </w:p>
                    </w:tc>
                  </w:tr>
                  <w:tr>
                    <w:trPr/>
                    <w:tc>
                      <w:tcPr>
                        <w:tcW w:w="1865"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921"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061"/>
        <w:gridCol w:w="1530"/>
        <w:gridCol w:w="3062"/>
        <w:gridCol w:w="2552"/>
      </w:tblGrid>
      <w:tr>
        <w:trPr/>
        <w:tc>
          <w:tcPr>
            <w:tcW w:w="306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pPr>
                  <w:hyperlink r:id="rId2">
                    <w:r>
                      <w:rPr>
                        <w:rStyle w:val="InternetLink"/>
                      </w:rPr>
                      <w:t>Meyer Robert J.</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AVALYN PHARMA INC.</w:t>
                  </w:r>
                </w:p>
              </w:tc>
            </w:tr>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105 W FIRST STREET</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BOSTON</w:t>
                  </w:r>
                </w:p>
              </w:tc>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98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02127</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1530"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2. Date of Event Requiring Statement (Month/Day/Year)</w:t>
            </w:r>
            <w:r>
              <w:rPr/>
              <w:br/>
            </w:r>
            <w:r>
              <w:rPr>
                <w:rFonts w:ascii="Times;serif" w:hAnsi="Times;serif"/>
                <w:color w:val="0000FF"/>
                <w:sz w:val="24"/>
                <w:shd w:fill="FFFFFF" w:val="clear"/>
              </w:rPr>
              <w:t>09/15/2026</w:t>
            </w:r>
          </w:p>
        </w:tc>
        <w:tc>
          <w:tcPr>
            <w:tcW w:w="5614" w:type="dxa"/>
            <w:gridSpan w:val="2"/>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3.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3">
              <w:r>
                <w:rPr>
                  <w:rStyle w:val="InternetLink"/>
                </w:rPr>
                <w:t>Avalyn Pharma Inc.</w:t>
              </w:r>
            </w:hyperlink>
            <w:r>
              <w:rPr/>
              <w:t xml:space="preserve"> [ </w:t>
            </w:r>
            <w:r>
              <w:rPr>
                <w:rFonts w:ascii="Times;serif" w:hAnsi="Times;serif"/>
                <w:color w:val="0000FF"/>
                <w:sz w:val="24"/>
                <w:shd w:fill="FFFFFF" w:val="clear"/>
              </w:rPr>
              <w:t>AVLN</w:t>
            </w:r>
            <w:r>
              <w:rPr/>
              <w:t xml:space="preserve"> ] </w:t>
              <w:br/>
            </w:r>
            <w:r>
              <w:rPr>
                <w:rFonts w:ascii="arial;helvetica;sans-serif" w:hAnsi="arial;helvetica;sans-serif"/>
                <w:sz w:val="20"/>
              </w:rPr>
              <w:t>Foreign Trading Symbol</w:t>
            </w:r>
          </w:p>
        </w:tc>
      </w:tr>
      <w:tr>
        <w:trPr/>
        <w:tc>
          <w:tcPr>
            <w:tcW w:w="306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153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3062" w:type="dxa"/>
            <w:vMerge w:val="restart"/>
            <w:tcBorders>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4.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c>
          <w:tcPr>
            <w:tcW w:w="2552"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5. If Amendment, Date of Original Filed (Month/Day/Year)</w:t>
            </w:r>
          </w:p>
        </w:tc>
      </w:tr>
      <w:tr>
        <w:trPr/>
        <w:tc>
          <w:tcPr>
            <w:tcW w:w="306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530"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3062"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255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364"/>
              <w:gridCol w:w="2068"/>
            </w:tblGrid>
            <w:tr>
              <w:trPr/>
              <w:tc>
                <w:tcPr>
                  <w:tcW w:w="364"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364" w:type="dxa"/>
                  <w:tcBorders/>
                  <w:vAlign w:val="center"/>
                </w:tcPr>
                <w:p>
                  <w:pPr>
                    <w:pStyle w:val="TableContents"/>
                    <w:bidi w:val="0"/>
                    <w:spacing w:before="0" w:after="283"/>
                    <w:jc w:val="left"/>
                    <w:rPr>
                      <w:sz w:val="4"/>
                      <w:szCs w:val="4"/>
                    </w:rPr>
                  </w:pPr>
                  <w:r>
                    <w:rPr>
                      <w:sz w:val="4"/>
                      <w:szCs w:val="4"/>
                    </w:rPr>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4424"/>
        <w:gridCol w:w="1962"/>
        <w:gridCol w:w="1162"/>
        <w:gridCol w:w="2657"/>
      </w:tblGrid>
      <w:tr>
        <w:trPr>
          <w:tblHeader w:val="true"/>
        </w:trPr>
        <w:tc>
          <w:tcPr>
            <w:tcW w:w="10205" w:type="dxa"/>
            <w:gridSpan w:val="4"/>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Beneficially Owned</w:t>
            </w:r>
          </w:p>
        </w:tc>
      </w:tr>
      <w:tr>
        <w:trPr>
          <w:tblHeader w:val="true"/>
        </w:trPr>
        <w:tc>
          <w:tcPr>
            <w:tcW w:w="4424" w:type="dxa"/>
            <w:tcBorders>
              <w:left w:val="single" w:sz="6"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4) </w:t>
            </w:r>
          </w:p>
        </w:tc>
        <w:tc>
          <w:tcPr>
            <w:tcW w:w="1962"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2. Amount of Securities Beneficially Owned (Instr. 4) </w:t>
            </w:r>
          </w:p>
        </w:tc>
        <w:tc>
          <w:tcPr>
            <w:tcW w:w="1162"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Ownership Form: Direct (D) or Indirect (I) (Instr. 5) </w:t>
            </w:r>
          </w:p>
        </w:tc>
        <w:tc>
          <w:tcPr>
            <w:tcW w:w="2657"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Nature of Indirect Beneficial Ownership (Instr. 5) </w:t>
            </w:r>
          </w:p>
        </w:tc>
      </w:tr>
    </w:tbl>
    <w:tbl>
      <w:tblPr>
        <w:tblW w:w="5000" w:type="pct"/>
        <w:jc w:val="left"/>
        <w:tblInd w:w="-7" w:type="dxa"/>
        <w:tblLayout w:type="fixed"/>
        <w:tblCellMar>
          <w:top w:w="60" w:type="dxa"/>
          <w:left w:w="60" w:type="dxa"/>
          <w:bottom w:w="60" w:type="dxa"/>
          <w:right w:w="60" w:type="dxa"/>
        </w:tblCellMar>
      </w:tblPr>
      <w:tblGrid>
        <w:gridCol w:w="1880"/>
        <w:gridCol w:w="1222"/>
        <w:gridCol w:w="1137"/>
        <w:gridCol w:w="1015"/>
        <w:gridCol w:w="957"/>
        <w:gridCol w:w="1285"/>
        <w:gridCol w:w="1256"/>
        <w:gridCol w:w="1453"/>
      </w:tblGrid>
      <w:tr>
        <w:trPr>
          <w:tblHeader w:val="true"/>
        </w:trPr>
        <w:tc>
          <w:tcPr>
            <w:tcW w:w="10205" w:type="dxa"/>
            <w:gridSpan w:val="8"/>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18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Derivative Security (Instr. 4) </w:t>
            </w:r>
          </w:p>
        </w:tc>
        <w:tc>
          <w:tcPr>
            <w:tcW w:w="235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2. Date Exercisable and Expiration Date (Month/Day/Year)</w:t>
            </w:r>
          </w:p>
        </w:tc>
        <w:tc>
          <w:tcPr>
            <w:tcW w:w="19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Title and Amount of Securities Underlying Derivative Security (Instr. 4) </w:t>
            </w:r>
          </w:p>
        </w:tc>
        <w:tc>
          <w:tcPr>
            <w:tcW w:w="128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Conversion or Exercise Price of Derivative Security </w:t>
            </w:r>
          </w:p>
        </w:tc>
        <w:tc>
          <w:tcPr>
            <w:tcW w:w="125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5. Ownership Form: Direct (D) or Indirect (I) (Instr. 5) </w:t>
            </w:r>
          </w:p>
        </w:tc>
        <w:tc>
          <w:tcPr>
            <w:tcW w:w="145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6. Nature of Indirect Beneficial Ownership (Instr. 5) </w:t>
            </w:r>
          </w:p>
        </w:tc>
      </w:tr>
      <w:tr>
        <w:trPr>
          <w:tblHeader w:val="true"/>
        </w:trPr>
        <w:tc>
          <w:tcPr>
            <w:tcW w:w="1880"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222"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Date Exercisable</w:t>
            </w:r>
          </w:p>
        </w:tc>
        <w:tc>
          <w:tcPr>
            <w:tcW w:w="1137"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Expiration Date</w:t>
            </w:r>
          </w:p>
        </w:tc>
        <w:tc>
          <w:tcPr>
            <w:tcW w:w="1015"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Title</w:t>
            </w:r>
          </w:p>
        </w:tc>
        <w:tc>
          <w:tcPr>
            <w:tcW w:w="957"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Amount or Number of Shares</w:t>
            </w:r>
          </w:p>
        </w:tc>
        <w:tc>
          <w:tcPr>
            <w:tcW w:w="128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25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453"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Exhibit 24 - Power of Attorney</w:t>
            </w:r>
          </w:p>
        </w:tc>
      </w:tr>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No securities are beneficially owned.</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Douglas Carlson,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09/17/2026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5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Heading1"/>
        <w:bidi w:val="0"/>
        <w:spacing w:before="62" w:after="283"/>
        <w:jc w:val="center"/>
        <w:rPr>
          <w:rFonts w:ascii="Times New Roman" w:hAnsi="Times New Roman"/>
          <w:color w:val="000000"/>
          <w:sz w:val="24"/>
        </w:rPr>
      </w:pPr>
      <w:bookmarkStart w:id="2" w:name="ck0001540171-ex24.htm"/>
      <w:bookmarkStart w:id="3" w:name="ksck0001540171ex24"/>
      <w:bookmarkEnd w:id="2"/>
      <w:bookmarkEnd w:id="3"/>
      <w:r>
        <w:rPr>
          <w:rFonts w:ascii="Times New Roman" w:hAnsi="Times New Roman"/>
          <w:color w:val="000000"/>
          <w:sz w:val="24"/>
        </w:rPr>
        <w:t>POWER OF ATTORNEY</w:t>
      </w:r>
      <w:r>
        <w:br w:type="page"/>
      </w:r>
    </w:p>
    <w:p>
      <w:pPr>
        <w:pStyle w:val="TextBody"/>
        <w:bidi w:val="0"/>
        <w:spacing w:before="232" w:after="283"/>
        <w:jc w:val="both"/>
        <w:rPr>
          <w:rFonts w:ascii="Times New Roman" w:hAnsi="Times New Roman"/>
          <w:color w:val="000000"/>
          <w:sz w:val="24"/>
        </w:rPr>
      </w:pPr>
      <w:r>
        <w:rPr>
          <w:rFonts w:ascii="Times New Roman" w:hAnsi="Times New Roman"/>
          <w:color w:val="000000"/>
          <w:sz w:val="24"/>
        </w:rPr>
        <w:t>KNOW ALL BY THESE PRESENTS, that the undersigned hereby constitutes and appoints the Chief Executive Officer and the Chief Financial Officer with full power to act as the undersigned’s true and lawful attorneys-in-fact, with full power of substitution, to:</w:t>
      </w:r>
    </w:p>
    <w:p>
      <w:pPr>
        <w:pStyle w:val="TextBody"/>
        <w:bidi w:val="0"/>
        <w:spacing w:before="1" w:after="283"/>
        <w:jc w:val="left"/>
        <w:rPr/>
      </w:pPr>
      <w:r>
        <w:rPr/>
        <w:t> </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1)</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execute for and on behalf of the undersigned, in the undersigned’s capacity as an officer and/or director and/or beneficial owner of Avalyn Pharma Inc. (the “Company”), the Forms 3, 4 and 5 in accordance with Section 16(a) of the Securities Exchange Act of 1934, as amended, and the rules thereunder;</w:t>
      </w:r>
    </w:p>
    <w:p>
      <w:pPr>
        <w:pStyle w:val="TextBody"/>
        <w:bidi w:val="0"/>
        <w:spacing w:before="230" w:after="283"/>
        <w:jc w:val="both"/>
        <w:rPr>
          <w:rFonts w:ascii="Times New Roman" w:hAnsi="Times New Roman"/>
          <w:color w:val="000000"/>
          <w:sz w:val="24"/>
        </w:rPr>
      </w:pPr>
      <w:r>
        <w:rPr>
          <w:rFonts w:ascii="Times New Roman" w:hAnsi="Times New Roman"/>
          <w:color w:val="000000"/>
          <w:sz w:val="24"/>
        </w:rPr>
        <w:t>2)</w:t>
      </w:r>
    </w:p>
    <w:p>
      <w:pPr>
        <w:pStyle w:val="TextBody"/>
        <w:bidi w:val="0"/>
        <w:spacing w:before="230" w:after="283"/>
        <w:jc w:val="both"/>
        <w:rPr>
          <w:rFonts w:ascii="Times New Roman" w:hAnsi="Times New Roman"/>
          <w:color w:val="000000"/>
          <w:sz w:val="24"/>
        </w:rPr>
      </w:pPr>
      <w:r>
        <w:rPr>
          <w:rFonts w:ascii="Times New Roman" w:hAnsi="Times New Roman"/>
          <w:color w:val="000000"/>
          <w:sz w:val="24"/>
        </w:rPr>
        <w:t>do and perform any and all acts for and on behalf of the undersigned which may be necessary or desirable to complete and execute any such Forms 3, 4 and 5, complete and execute any amendment or amendments thereto, and timely file such form with the United States Securities and Exchange Commission and any stock exchange or similar authority; and</w:t>
      </w:r>
    </w:p>
    <w:p>
      <w:pPr>
        <w:pStyle w:val="TextBody"/>
        <w:bidi w:val="0"/>
        <w:spacing w:before="243" w:after="283"/>
        <w:jc w:val="both"/>
        <w:rPr>
          <w:rFonts w:ascii="Times New Roman" w:hAnsi="Times New Roman"/>
          <w:color w:val="000000"/>
          <w:sz w:val="24"/>
        </w:rPr>
      </w:pPr>
      <w:r>
        <w:rPr>
          <w:rFonts w:ascii="Times New Roman" w:hAnsi="Times New Roman"/>
          <w:color w:val="000000"/>
          <w:sz w:val="24"/>
        </w:rPr>
        <w:t>3)</w:t>
      </w:r>
    </w:p>
    <w:p>
      <w:pPr>
        <w:pStyle w:val="TextBody"/>
        <w:bidi w:val="0"/>
        <w:spacing w:before="243" w:after="283"/>
        <w:jc w:val="both"/>
        <w:rPr>
          <w:rFonts w:ascii="Times New Roman" w:hAnsi="Times New Roman"/>
          <w:color w:val="000000"/>
          <w:sz w:val="24"/>
        </w:rPr>
      </w:pPr>
      <w:r>
        <w:rPr>
          <w:rFonts w:ascii="Times New Roman" w:hAnsi="Times New Roman"/>
          <w:color w:val="000000"/>
          <w:sz w:val="24"/>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pStyle w:val="TextBody"/>
        <w:bidi w:val="0"/>
        <w:spacing w:before="238" w:after="283"/>
        <w:jc w:val="both"/>
        <w:rPr>
          <w:rFonts w:ascii="Times New Roman" w:hAnsi="Times New Roman"/>
          <w:color w:val="000000"/>
          <w:sz w:val="24"/>
        </w:rPr>
      </w:pPr>
      <w:r>
        <w:rPr>
          <w:rFonts w:ascii="Times New Roman" w:hAnsi="Times New Roman"/>
          <w:color w:val="000000"/>
          <w:sz w:val="24"/>
        </w:rPr>
        <w:t>The undersigned hereby grants to the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w:t>
      </w:r>
    </w:p>
    <w:p>
      <w:pPr>
        <w:pStyle w:val="TextBody"/>
        <w:bidi w:val="0"/>
        <w:spacing w:before="243" w:after="283"/>
        <w:jc w:val="both"/>
        <w:rPr>
          <w:rFonts w:ascii="Times New Roman" w:hAnsi="Times New Roman"/>
          <w:color w:val="000000"/>
          <w:sz w:val="24"/>
        </w:rPr>
      </w:pPr>
      <w:r>
        <w:rPr>
          <w:rFonts w:ascii="Times New Roman" w:hAnsi="Times New Roman"/>
          <w:color w:val="000000"/>
          <w:sz w:val="24"/>
        </w:rPr>
        <w:t>This power of attorney shall remain in full force and effect until revoked by the undersigned in a signed writing delivered to the attorney-in-fact.</w:t>
      </w:r>
    </w:p>
    <w:p>
      <w:pPr>
        <w:pStyle w:val="TextBody"/>
        <w:bidi w:val="0"/>
        <w:spacing w:before="235" w:after="283"/>
        <w:jc w:val="left"/>
        <w:rPr>
          <w:rFonts w:ascii="Times New Roman" w:hAnsi="Times New Roman"/>
          <w:sz w:val="16"/>
        </w:rPr>
      </w:pPr>
      <w:r>
        <w:rPr>
          <w:rFonts w:ascii="Times New Roman" w:hAnsi="Times New Roman"/>
          <w:b/>
          <w:color w:val="000000"/>
          <w:sz w:val="24"/>
        </w:rPr>
        <w:t>IN WITNESS WHEREOF</w:t>
      </w:r>
      <w:r>
        <w:rPr>
          <w:rFonts w:ascii="Times New Roman" w:hAnsi="Times New Roman"/>
          <w:color w:val="000000"/>
          <w:sz w:val="24"/>
        </w:rPr>
        <w:t>, the undersigned has caused this Power of Attorney to be executed as of this 17</w:t>
      </w:r>
      <w:r>
        <w:rPr>
          <w:rFonts w:ascii="Times New Roman" w:hAnsi="Times New Roman"/>
          <w:color w:val="000000"/>
          <w:sz w:val="16"/>
        </w:rPr>
        <w:t xml:space="preserve">th </w:t>
      </w:r>
      <w:r>
        <w:rPr>
          <w:rFonts w:ascii="Times New Roman" w:hAnsi="Times New Roman"/>
          <w:color w:val="000000"/>
          <w:sz w:val="24"/>
        </w:rPr>
        <w:t>day of September, 2026.</w:t>
      </w:r>
    </w:p>
    <w:p>
      <w:pPr>
        <w:pStyle w:val="TextBody"/>
        <w:bidi w:val="0"/>
        <w:jc w:val="left"/>
        <w:rPr/>
      </w:pPr>
      <w:r>
        <w:rPr/>
        <w:t> </w:t>
      </w:r>
    </w:p>
    <w:p>
      <w:pPr>
        <w:pStyle w:val="TextBody"/>
        <w:bidi w:val="0"/>
        <w:jc w:val="left"/>
        <w:rPr/>
      </w:pPr>
      <w:r>
        <w:rPr/>
        <w:t> </w:t>
      </w:r>
    </w:p>
    <w:tbl>
      <w:tblPr>
        <w:tblW w:w="2784" w:type="dxa"/>
        <w:jc w:val="left"/>
        <w:tblInd w:w="0" w:type="dxa"/>
        <w:tblLayout w:type="fixed"/>
        <w:tblCellMar>
          <w:top w:w="28" w:type="dxa"/>
          <w:left w:w="28" w:type="dxa"/>
          <w:bottom w:w="28" w:type="dxa"/>
          <w:right w:w="28" w:type="dxa"/>
        </w:tblCellMar>
      </w:tblPr>
      <w:tblGrid>
        <w:gridCol w:w="161"/>
        <w:gridCol w:w="736"/>
        <w:gridCol w:w="1696"/>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9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right"/>
              <w:rPr/>
            </w:pPr>
            <w:r>
              <w:rPr/>
              <w:t> </w:t>
            </w:r>
          </w:p>
        </w:tc>
        <w:tc>
          <w:tcPr>
            <w:tcW w:w="736" w:type="dxa"/>
            <w:tcBorders/>
            <w:tcMar>
              <w:top w:w="0" w:type="dxa"/>
              <w:left w:w="0" w:type="dxa"/>
              <w:bottom w:w="0" w:type="dxa"/>
              <w:right w:w="0" w:type="dxa"/>
            </w:tcMar>
            <w:vAlign w:val="center"/>
          </w:tcPr>
          <w:p>
            <w:pPr>
              <w:pStyle w:val="TableContents"/>
              <w:bidi w:val="0"/>
              <w:jc w:val="left"/>
              <w:rPr>
                <w:rFonts w:ascii="Times New Roman" w:hAnsi="Times New Roman"/>
                <w:color w:val="000000"/>
                <w:sz w:val="24"/>
              </w:rPr>
            </w:pPr>
            <w:r>
              <w:rPr>
                <w:rFonts w:ascii="Times New Roman" w:hAnsi="Times New Roman"/>
                <w:color w:val="000000"/>
                <w:sz w:val="24"/>
              </w:rPr>
              <w:t>By:</w:t>
            </w:r>
          </w:p>
          <w:p>
            <w:pPr>
              <w:pStyle w:val="TableContents"/>
              <w:bidi w:val="0"/>
              <w:spacing w:before="0" w:after="283"/>
              <w:jc w:val="left"/>
              <w:rPr/>
            </w:pPr>
            <w:r>
              <w:rPr/>
              <w:t> </w:t>
            </w:r>
          </w:p>
        </w:tc>
        <w:tc>
          <w:tcPr>
            <w:tcW w:w="1696" w:type="dxa"/>
            <w:tcBorders/>
            <w:tcMar>
              <w:top w:w="0" w:type="dxa"/>
              <w:left w:w="0" w:type="dxa"/>
              <w:bottom w:w="0" w:type="dxa"/>
              <w:right w:w="0" w:type="dxa"/>
            </w:tcMar>
            <w:vAlign w:val="center"/>
          </w:tcPr>
          <w:p>
            <w:pPr>
              <w:pStyle w:val="TableContents"/>
              <w:pBdr>
                <w:bottom w:val="single" w:sz="6" w:space="1" w:color="000000"/>
              </w:pBdr>
              <w:bidi w:val="0"/>
              <w:spacing w:before="0" w:after="283"/>
              <w:jc w:val="left"/>
              <w:rPr>
                <w:rFonts w:ascii="Times New Roman" w:hAnsi="Times New Roman"/>
                <w:color w:val="000000"/>
                <w:sz w:val="24"/>
              </w:rPr>
            </w:pPr>
            <w:r>
              <w:rPr>
                <w:rFonts w:ascii="Times New Roman" w:hAnsi="Times New Roman"/>
                <w:color w:val="000000"/>
                <w:sz w:val="24"/>
              </w:rPr>
              <w:t>/s/ Robert Meyer</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right"/>
              <w:rPr/>
            </w:pPr>
            <w:r>
              <w:rPr/>
              <w:t> </w:t>
            </w:r>
          </w:p>
        </w:tc>
        <w:tc>
          <w:tcPr>
            <w:tcW w:w="736" w:type="dxa"/>
            <w:tcBorders/>
            <w:tcMar>
              <w:top w:w="0" w:type="dxa"/>
              <w:left w:w="0" w:type="dxa"/>
              <w:bottom w:w="0" w:type="dxa"/>
              <w:right w:w="0" w:type="dxa"/>
            </w:tcMar>
            <w:vAlign w:val="center"/>
          </w:tcPr>
          <w:p>
            <w:pPr>
              <w:pStyle w:val="TableContents"/>
              <w:bidi w:val="0"/>
              <w:jc w:val="left"/>
              <w:rPr>
                <w:rFonts w:ascii="Times New Roman" w:hAnsi="Times New Roman"/>
                <w:color w:val="000000"/>
                <w:sz w:val="24"/>
              </w:rPr>
            </w:pPr>
            <w:r>
              <w:rPr>
                <w:rFonts w:ascii="Times New Roman" w:hAnsi="Times New Roman"/>
                <w:color w:val="000000"/>
                <w:sz w:val="24"/>
              </w:rPr>
              <w:t>Name:</w:t>
            </w:r>
          </w:p>
          <w:p>
            <w:pPr>
              <w:pStyle w:val="TableContents"/>
              <w:bidi w:val="0"/>
              <w:spacing w:before="0" w:after="283"/>
              <w:jc w:val="left"/>
              <w:rPr/>
            </w:pPr>
            <w:r>
              <w:rPr/>
              <w:t> </w:t>
            </w:r>
          </w:p>
        </w:tc>
        <w:tc>
          <w:tcPr>
            <w:tcW w:w="169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Robert Meyer</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cgi-bin/browse-edgar?action=getcompany&amp;CIK=0001735298" TargetMode="External"/><Relationship Id="rId3" Type="http://schemas.openxmlformats.org/officeDocument/2006/relationships/hyperlink" Target="http://www.sec.gov/cgi-bin/browse-edgar?action=getcompany&amp;CIK=0001540171" TargetMode="External"/><Relationship Id="rId4" Type="http://schemas.openxmlformats.org/officeDocument/2006/relationships/image" Target="https://cdn.kscope.io/box-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785</Words>
  <Characters>4177</Characters>
  <CharactersWithSpaces>4911</CharactersWithSpaces>
  <Paragraphs>91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