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Avalyn Pharma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001-43251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45-2463191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105 W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02127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707-0340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Voting 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AVLN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29, 2026 (the “Effective Date”), Avalyn Pharma Inc. (the “Company”) entered into a First Amendment to the Sublease (the “Sublease Amendment”), which amends that certain Sublease Agreement (the “Sublease Agreement”) with CRISPR Therapeutics, Inc. (the “Sublandlord”), dated as of August 29, 2025, providing for the lease of approximately 8,774 rentable square feet in the building located at 105 West First Street, Boston, Massachusetts (the “Premises”).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Sublease Amendment, the Sublandlord and the Company, as Subtenant, have agreed to an expansion of the Premises from approximately 8,774 rentable square feet to approximately 13,708 rentable square feet as of the Effective Date.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under the terms of the Sublease Amendment, the Company’s future minimum lease payments will increase by approximately $924,000 over the remaining lease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modified by the Sublease Amendment, the terms of the Sublease Agreement remain in full force and effect.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Sublease Amendment does not purport to be a complete description and is qualified in its entirety by reference to the complete text of the Sublease Amendment, a copy of which is filed as Exhibit 10.1 to this Current Report on Form 8-K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360" w:type="dxa"/>
            <w:vAlign w:val="bottom"/>
            <w:gridSpan w:val="2"/>
            <w:vMerge w:val="restart"/>
          </w:tcPr>
          <w:p>
            <w:pPr>
              <w:ind w:left="3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3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4"/>
                <w:szCs w:val="14"/>
                <w:color w:val="auto"/>
              </w:rPr>
            </w:pPr>
          </w:p>
        </w:tc>
        <w:tc>
          <w:tcPr>
            <w:tcW w:w="908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First Amendment to Sublease Agreement, by and between the Registrant and CRISPR Therapeutics, Inc., dated June 29, 2026</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1"/>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0"/>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Avalyn Pharma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 2026</w:t>
      </w:r>
      <w:r>
        <w:rPr>
          <w:sz w:val="20"/>
          <w:szCs w:val="20"/>
          <w:color w:val="auto"/>
        </w:rPr>
        <w:tab/>
      </w:r>
      <w:r>
        <w:rPr>
          <w:rFonts w:ascii="Times New Roman" w:cs="Times New Roman" w:eastAsia="Times New Roman" w:hAnsi="Times New Roman"/>
          <w:sz w:val="18"/>
          <w:szCs w:val="18"/>
          <w:color w:val="auto"/>
        </w:rPr>
        <w:t>By:</w:t>
        <w:tab/>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Lyn Baranowski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7F7F7F"/>
        </w:rPr>
        <w:t>Exhibit 10.1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SUBLEASE</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THIS FIRST AMENDMENT TO SUBLEASE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is made and entered into as of June 29, 2026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by and between CRISPR THERAPEUTICS, INC., a Delaware corporation, with a place of business at 105 West First Street, Boston, MA 02127 (“</w:t>
      </w:r>
      <w:r>
        <w:rPr>
          <w:rFonts w:ascii="Times New Roman" w:cs="Times New Roman" w:eastAsia="Times New Roman" w:hAnsi="Times New Roman"/>
          <w:sz w:val="22"/>
          <w:szCs w:val="22"/>
          <w:b w:val="1"/>
          <w:bCs w:val="1"/>
          <w:u w:val="single" w:color="auto"/>
          <w:color w:val="auto"/>
        </w:rPr>
        <w:t>Sublandlord</w:t>
      </w:r>
      <w:r>
        <w:rPr>
          <w:rFonts w:ascii="Times New Roman" w:cs="Times New Roman" w:eastAsia="Times New Roman" w:hAnsi="Times New Roman"/>
          <w:sz w:val="22"/>
          <w:szCs w:val="22"/>
          <w:color w:val="auto"/>
        </w:rPr>
        <w:t>”), and AVALYN PHARMA INC., a Delaware corporation with a place of business at 105 West First Street (“</w:t>
      </w:r>
      <w:r>
        <w:rPr>
          <w:rFonts w:ascii="Times New Roman" w:cs="Times New Roman" w:eastAsia="Times New Roman" w:hAnsi="Times New Roman"/>
          <w:sz w:val="22"/>
          <w:szCs w:val="22"/>
          <w:b w:val="1"/>
          <w:bCs w:val="1"/>
          <w:u w:val="single" w:color="auto"/>
          <w:color w:val="auto"/>
        </w:rPr>
        <w:t>Subtenant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R </w:t>
      </w:r>
      <w:r>
        <w:rPr>
          <w:rFonts w:ascii="Times New Roman" w:cs="Times New Roman" w:eastAsia="Times New Roman" w:hAnsi="Times New Roman"/>
          <w:sz w:val="14"/>
          <w:szCs w:val="14"/>
          <w:b w:val="1"/>
          <w:bCs w:val="1"/>
          <w:u w:val="single" w:color="auto"/>
          <w:color w:val="auto"/>
        </w:rPr>
        <w:t>e c i t a l s</w:t>
      </w:r>
    </w:p>
    <w:p>
      <w:pPr>
        <w:spacing w:after="0" w:line="233" w:lineRule="exact"/>
        <w:rPr>
          <w:sz w:val="20"/>
          <w:szCs w:val="20"/>
          <w:color w:val="auto"/>
        </w:rPr>
      </w:pPr>
    </w:p>
    <w:p>
      <w:pPr>
        <w:jc w:val="both"/>
        <w:ind w:firstLine="1505"/>
        <w:spacing w:after="0" w:line="241" w:lineRule="auto"/>
        <w:tabs>
          <w:tab w:leader="none" w:pos="203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Sublandlord is a party to that certain Lease, dated July 24, 2020 (the “</w:t>
      </w:r>
      <w:r>
        <w:rPr>
          <w:rFonts w:ascii="Times New Roman" w:cs="Times New Roman" w:eastAsia="Times New Roman" w:hAnsi="Times New Roman"/>
          <w:sz w:val="22"/>
          <w:szCs w:val="22"/>
          <w:b w:val="1"/>
          <w:bCs w:val="1"/>
          <w:u w:val="single" w:color="auto"/>
          <w:color w:val="auto"/>
        </w:rPr>
        <w:t>Master Lease</w:t>
      </w:r>
      <w:r>
        <w:rPr>
          <w:rFonts w:ascii="Times New Roman" w:cs="Times New Roman" w:eastAsia="Times New Roman" w:hAnsi="Times New Roman"/>
          <w:sz w:val="22"/>
          <w:szCs w:val="22"/>
          <w:color w:val="auto"/>
        </w:rPr>
        <w:t>”), by and between Sublandlord, as tenant, and 105 W First Street Owner, L.L.C. (“</w:t>
      </w:r>
      <w:r>
        <w:rPr>
          <w:rFonts w:ascii="Times New Roman" w:cs="Times New Roman" w:eastAsia="Times New Roman" w:hAnsi="Times New Roman"/>
          <w:sz w:val="22"/>
          <w:szCs w:val="22"/>
          <w:b w:val="1"/>
          <w:bCs w:val="1"/>
          <w:u w:val="single" w:color="auto"/>
          <w:color w:val="auto"/>
        </w:rPr>
        <w:t>Master Landlord</w:t>
      </w:r>
      <w:r>
        <w:rPr>
          <w:rFonts w:ascii="Times New Roman" w:cs="Times New Roman" w:eastAsia="Times New Roman" w:hAnsi="Times New Roman"/>
          <w:sz w:val="22"/>
          <w:szCs w:val="22"/>
          <w:color w:val="auto"/>
        </w:rPr>
        <w:t>”), as landlord, of approximately 263,500 rentable square feet of space (the “</w:t>
      </w:r>
      <w:r>
        <w:rPr>
          <w:rFonts w:ascii="Times New Roman" w:cs="Times New Roman" w:eastAsia="Times New Roman" w:hAnsi="Times New Roman"/>
          <w:sz w:val="22"/>
          <w:szCs w:val="22"/>
          <w:b w:val="1"/>
          <w:bCs w:val="1"/>
          <w:u w:val="single" w:color="auto"/>
          <w:color w:val="auto"/>
        </w:rPr>
        <w:t>Master Premises</w:t>
      </w:r>
      <w:r>
        <w:rPr>
          <w:rFonts w:ascii="Times New Roman" w:cs="Times New Roman" w:eastAsia="Times New Roman" w:hAnsi="Times New Roman"/>
          <w:sz w:val="22"/>
          <w:szCs w:val="22"/>
          <w:color w:val="auto"/>
        </w:rPr>
        <w:t>”) in the entire building commonly known as 105 West First Street, Boston, Massachusetts (the “</w:t>
      </w:r>
      <w:r>
        <w:rPr>
          <w:rFonts w:ascii="Times New Roman" w:cs="Times New Roman" w:eastAsia="Times New Roman" w:hAnsi="Times New Roman"/>
          <w:sz w:val="22"/>
          <w:szCs w:val="22"/>
          <w:b w:val="1"/>
          <w:bCs w:val="1"/>
          <w:u w:val="single" w:color="auto"/>
          <w:color w:val="auto"/>
        </w:rPr>
        <w:t>Building</w:t>
      </w:r>
      <w:r>
        <w:rPr>
          <w:rFonts w:ascii="Times New Roman" w:cs="Times New Roman" w:eastAsia="Times New Roman" w:hAnsi="Times New Roman"/>
          <w:sz w:val="22"/>
          <w:szCs w:val="22"/>
          <w:color w:val="auto"/>
        </w:rPr>
        <w:t>”).</w:t>
      </w:r>
    </w:p>
    <w:p>
      <w:pPr>
        <w:spacing w:after="0" w:line="35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Sublandlord and Subtenant are parties to that certain Sublease dated as of August 29, 2025 (the “</w:t>
      </w:r>
      <w:r>
        <w:rPr>
          <w:rFonts w:ascii="Times New Roman" w:cs="Times New Roman" w:eastAsia="Times New Roman" w:hAnsi="Times New Roman"/>
          <w:sz w:val="22"/>
          <w:szCs w:val="22"/>
          <w:b w:val="1"/>
          <w:bCs w:val="1"/>
          <w:u w:val="single" w:color="auto"/>
          <w:color w:val="auto"/>
        </w:rPr>
        <w:t>Sublease</w:t>
      </w:r>
      <w:r>
        <w:rPr>
          <w:rFonts w:ascii="Times New Roman" w:cs="Times New Roman" w:eastAsia="Times New Roman" w:hAnsi="Times New Roman"/>
          <w:sz w:val="22"/>
          <w:szCs w:val="22"/>
          <w:color w:val="auto"/>
        </w:rPr>
        <w:t>”) for that portion of the Master Premises measuring approximately 8,774 rentable square feet (as defined in the Sublease, the “</w:t>
      </w:r>
      <w:r>
        <w:rPr>
          <w:rFonts w:ascii="Times New Roman" w:cs="Times New Roman" w:eastAsia="Times New Roman" w:hAnsi="Times New Roman"/>
          <w:sz w:val="22"/>
          <w:szCs w:val="22"/>
          <w:b w:val="1"/>
          <w:bCs w:val="1"/>
          <w:u w:val="single" w:color="auto"/>
          <w:color w:val="auto"/>
        </w:rPr>
        <w:t>Subleased Premises</w:t>
      </w:r>
      <w:r>
        <w:rPr>
          <w:rFonts w:ascii="Times New Roman" w:cs="Times New Roman" w:eastAsia="Times New Roman" w:hAnsi="Times New Roman"/>
          <w:sz w:val="22"/>
          <w:szCs w:val="22"/>
          <w:color w:val="auto"/>
        </w:rPr>
        <w:t>”) for a Sublease Term expiring on January 31, 2029.</w:t>
      </w:r>
    </w:p>
    <w:p>
      <w:pPr>
        <w:spacing w:after="0" w:line="20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desire to enter into this Amendment to: (i) expand the Subleased Premises to include 4,934 rentable square feet on the second floor of the Building in the area shown on Exhibit A attached hereto (the “</w:t>
      </w:r>
      <w:r>
        <w:rPr>
          <w:rFonts w:ascii="Times New Roman" w:cs="Times New Roman" w:eastAsia="Times New Roman" w:hAnsi="Times New Roman"/>
          <w:sz w:val="22"/>
          <w:szCs w:val="22"/>
          <w:b w:val="1"/>
          <w:bCs w:val="1"/>
          <w:u w:val="single" w:color="auto"/>
          <w:color w:val="auto"/>
        </w:rPr>
        <w:t>Expansion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and (ii) amend certain other terms and conditions of the Sublease.</w:t>
      </w:r>
    </w:p>
    <w:p>
      <w:pPr>
        <w:spacing w:after="0" w:line="19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above recitals which by this reference are incorporated herein, the mutual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and conditions contained herein and other valuable consideration, the receipt and sufficiency of which are hereby acknowledged, Sublandlord and Subtenant agree as follows:</w:t>
      </w:r>
    </w:p>
    <w:p>
      <w:pPr>
        <w:spacing w:after="0" w:line="194" w:lineRule="exact"/>
        <w:rPr>
          <w:sz w:val="20"/>
          <w:szCs w:val="20"/>
          <w:color w:val="auto"/>
        </w:rPr>
      </w:pPr>
    </w:p>
    <w:p>
      <w:pPr>
        <w:jc w:val="both"/>
        <w:ind w:firstLine="757"/>
        <w:spacing w:after="0" w:line="241"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 Capitalized Terms</w:t>
      </w:r>
      <w:r>
        <w:rPr>
          <w:rFonts w:ascii="Times New Roman" w:cs="Times New Roman" w:eastAsia="Times New Roman" w:hAnsi="Times New Roman"/>
          <w:sz w:val="22"/>
          <w:szCs w:val="22"/>
          <w:color w:val="auto"/>
        </w:rPr>
        <w:t>. All the foregoing recitals are true and correct. Unless otherwise defined herein,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in this Amendment shall have the meaning ascribed to them in the Sublease, and all references to “the Sublease” or “this Sublease” or “herein” or “hereunder” or similar terms or to any sections thereof shall mean the Sublease, or such section thereof, as modified by this Amendment.</w:t>
      </w:r>
    </w:p>
    <w:p>
      <w:pPr>
        <w:spacing w:after="0" w:line="200" w:lineRule="exact"/>
        <w:rPr>
          <w:rFonts w:ascii="Times New Roman" w:cs="Times New Roman" w:eastAsia="Times New Roman" w:hAnsi="Times New Roman"/>
          <w:sz w:val="22"/>
          <w:szCs w:val="22"/>
          <w:color w:val="auto"/>
        </w:rPr>
      </w:pPr>
    </w:p>
    <w:p>
      <w:pPr>
        <w:spacing w:after="0" w:line="214"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Expansion Premises</w:t>
      </w:r>
      <w:r>
        <w:rPr>
          <w:rFonts w:ascii="Times New Roman" w:cs="Times New Roman" w:eastAsia="Times New Roman" w:hAnsi="Times New Roman"/>
          <w:sz w:val="22"/>
          <w:szCs w:val="22"/>
          <w:color w:val="auto"/>
        </w:rPr>
        <w:t>. Effective as of the Expansion Premises Commencement Date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Sublandlord leases to Subtenant the Expansion Premises for the balance of the Sublease Term and Subtenant hereby subleases from Sublandlord, the Expansion Premises subject to the terms and conditions of the Sublease. Sublandlord shall deliver the Expansion Premises to Subtenant Expansion Premises Commencement Date in its “</w:t>
      </w:r>
      <w:r>
        <w:rPr>
          <w:rFonts w:ascii="Times New Roman" w:cs="Times New Roman" w:eastAsia="Times New Roman" w:hAnsi="Times New Roman"/>
          <w:sz w:val="22"/>
          <w:szCs w:val="22"/>
          <w:b w:val="1"/>
          <w:bCs w:val="1"/>
          <w:color w:val="auto"/>
        </w:rPr>
        <w:t>AS IS, WHERE IS”</w:t>
      </w:r>
      <w:r>
        <w:rPr>
          <w:rFonts w:ascii="Times New Roman" w:cs="Times New Roman" w:eastAsia="Times New Roman" w:hAnsi="Times New Roman"/>
          <w:sz w:val="22"/>
          <w:szCs w:val="22"/>
          <w:color w:val="auto"/>
        </w:rPr>
        <w:t xml:space="preserve"> condition. Upon delivery of the Expansion Premises to Subtenant, Subtenant shall conclusively be deemed to have (x) accepted the Expansion Premises in the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jc w:val="both"/>
        <w:spacing w:after="0" w:line="239" w:lineRule="auto"/>
        <w:rPr>
          <w:sz w:val="20"/>
          <w:szCs w:val="20"/>
          <w:color w:val="auto"/>
        </w:rPr>
      </w:pPr>
      <w:r>
        <w:rPr>
          <w:rFonts w:ascii="Times New Roman" w:cs="Times New Roman" w:eastAsia="Times New Roman" w:hAnsi="Times New Roman"/>
          <w:sz w:val="22"/>
          <w:szCs w:val="22"/>
          <w:color w:val="auto"/>
        </w:rPr>
        <w:t>delivered, and (y) acknowledged that (i) the same are in good condition and satisfactory to Subtenant in all respects and (ii) Sublandlord has no obligation to make any improvements to the Expansion Premises (or portion thereof). Subtenant acknowledges that Sublandlord has made no representations or warranties concerning the Expansion Premises or the Building or their fitness for Subtenant’s purposes.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757"/>
        <w:spacing w:after="0" w:line="241"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u w:val="single" w:color="auto"/>
          <w:color w:val="auto"/>
        </w:rPr>
        <w:t>Expansion Premises Term</w:t>
      </w:r>
      <w:r>
        <w:rPr>
          <w:rFonts w:ascii="Times New Roman" w:cs="Times New Roman" w:eastAsia="Times New Roman" w:hAnsi="Times New Roman"/>
          <w:sz w:val="22"/>
          <w:szCs w:val="22"/>
          <w:color w:val="auto"/>
        </w:rPr>
        <w:t>” shall be that period of time commencing on the later to occur of (i)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this Sublease, or (ii) receipt of the Master Landlord’s consent to this Amendment (the “</w:t>
      </w:r>
      <w:r>
        <w:rPr>
          <w:rFonts w:ascii="Times New Roman" w:cs="Times New Roman" w:eastAsia="Times New Roman" w:hAnsi="Times New Roman"/>
          <w:sz w:val="22"/>
          <w:szCs w:val="22"/>
          <w:b w:val="1"/>
          <w:bCs w:val="1"/>
          <w:u w:val="single" w:color="auto"/>
          <w:color w:val="auto"/>
        </w:rPr>
        <w:t>Expansion Premises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Commencement Date</w:t>
      </w:r>
      <w:r>
        <w:rPr>
          <w:rFonts w:ascii="Times New Roman" w:cs="Times New Roman" w:eastAsia="Times New Roman" w:hAnsi="Times New Roman"/>
          <w:sz w:val="22"/>
          <w:szCs w:val="22"/>
          <w:color w:val="auto"/>
        </w:rPr>
        <w:t>”) and shall expire on January 31, 2029. Following the Expansion Premises Commencement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w:t>
      </w:r>
      <w:r>
        <w:rPr>
          <w:rFonts w:ascii="Times New Roman" w:cs="Times New Roman" w:eastAsia="Times New Roman" w:hAnsi="Times New Roman"/>
          <w:sz w:val="22"/>
          <w:szCs w:val="22"/>
          <w:b w:val="1"/>
          <w:bCs w:val="1"/>
          <w:color w:val="auto"/>
        </w:rPr>
        <w:t>Subleased Premises</w:t>
      </w:r>
      <w:r>
        <w:rPr>
          <w:rFonts w:ascii="Times New Roman" w:cs="Times New Roman" w:eastAsia="Times New Roman" w:hAnsi="Times New Roman"/>
          <w:sz w:val="22"/>
          <w:szCs w:val="22"/>
          <w:color w:val="auto"/>
        </w:rPr>
        <w:t>” shall be deemed to include the Expansion Premises for all purposes under the Sublease.</w:t>
      </w:r>
    </w:p>
    <w:p>
      <w:pPr>
        <w:spacing w:after="0" w:line="198" w:lineRule="exact"/>
        <w:rPr>
          <w:rFonts w:ascii="Times New Roman" w:cs="Times New Roman" w:eastAsia="Times New Roman" w:hAnsi="Times New Roman"/>
          <w:sz w:val="22"/>
          <w:szCs w:val="22"/>
          <w:color w:val="auto"/>
        </w:rPr>
      </w:pPr>
    </w:p>
    <w:p>
      <w:pPr>
        <w:jc w:val="both"/>
        <w:ind w:right="20" w:firstLine="757"/>
        <w:spacing w:after="0" w:line="246" w:lineRule="auto"/>
        <w:tabs>
          <w:tab w:leader="none" w:pos="10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 Subtenant shall pay Base Rent with respect to the Expansion Premises to Sublandlord in advance,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day of each calendar month during the Expansion Premises Term without notice or demand, in accordance with the following table:</w:t>
      </w:r>
    </w:p>
    <w:p>
      <w:pPr>
        <w:spacing w:after="0" w:line="202" w:lineRule="exact"/>
        <w:rPr>
          <w:sz w:val="20"/>
          <w:szCs w:val="20"/>
          <w:color w:val="auto"/>
        </w:rPr>
      </w:pPr>
    </w:p>
    <w:tbl>
      <w:tblPr>
        <w:tblLayout w:type="fixed"/>
        <w:tblInd w:w="250" w:type="dxa"/>
        <w:tblCellMar>
          <w:top w:w="0" w:type="dxa"/>
          <w:left w:w="0" w:type="dxa"/>
          <w:bottom w:w="0" w:type="dxa"/>
          <w:right w:w="0" w:type="dxa"/>
        </w:tblCellMar>
      </w:tblPr>
      <w:tr>
        <w:trPr>
          <w:trHeight w:val="324"/>
        </w:trPr>
        <w:tc>
          <w:tcPr>
            <w:tcW w:w="5320" w:type="dxa"/>
            <w:vAlign w:val="bottom"/>
            <w:tcBorders>
              <w:top w:val="single" w:sz="8" w:color="auto"/>
              <w:left w:val="single" w:sz="8" w:color="auto"/>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22"/>
                <w:szCs w:val="22"/>
                <w:b w:val="1"/>
                <w:bCs w:val="1"/>
                <w:color w:val="auto"/>
              </w:rPr>
              <w:t>RENTAL PERIOD</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ANNUAL BASE RENT</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MONTHLY PAYMENT</w:t>
            </w:r>
          </w:p>
        </w:tc>
      </w:tr>
      <w:tr>
        <w:trPr>
          <w:trHeight w:val="212"/>
        </w:trPr>
        <w:tc>
          <w:tcPr>
            <w:tcW w:w="5320" w:type="dxa"/>
            <w:vAlign w:val="bottom"/>
            <w:tcBorders>
              <w:right w:val="single" w:sz="8" w:color="auto"/>
            </w:tcBorders>
          </w:tcPr>
          <w:p>
            <w:pPr>
              <w:ind w:left="120"/>
              <w:spacing w:after="0" w:line="212" w:lineRule="exact"/>
              <w:rPr>
                <w:sz w:val="20"/>
                <w:szCs w:val="20"/>
                <w:color w:val="auto"/>
              </w:rPr>
            </w:pPr>
            <w:r>
              <w:rPr>
                <w:rFonts w:ascii="Times New Roman" w:cs="Times New Roman" w:eastAsia="Times New Roman" w:hAnsi="Times New Roman"/>
                <w:sz w:val="22"/>
                <w:szCs w:val="22"/>
                <w:color w:val="auto"/>
              </w:rPr>
              <w:t>Expansion Premises Commencement Date – January 31,</w:t>
            </w:r>
          </w:p>
        </w:tc>
        <w:tc>
          <w:tcPr>
            <w:tcW w:w="2560" w:type="dxa"/>
            <w:vAlign w:val="bottom"/>
            <w:tcBorders>
              <w:righ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r>
      <w:tr>
        <w:trPr>
          <w:trHeight w:val="282"/>
        </w:trPr>
        <w:tc>
          <w:tcPr>
            <w:tcW w:w="5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2027</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N/A</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$28,781.67</w:t>
            </w:r>
          </w:p>
        </w:tc>
      </w:tr>
      <w:tr>
        <w:trPr>
          <w:trHeight w:val="42"/>
        </w:trPr>
        <w:tc>
          <w:tcPr>
            <w:tcW w:w="532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r>
      <w:tr>
        <w:trPr>
          <w:trHeight w:val="284"/>
        </w:trPr>
        <w:tc>
          <w:tcPr>
            <w:tcW w:w="53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February 1, 2027 – January 31, 2028</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$355,741.40</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$29,645.12</w:t>
            </w:r>
          </w:p>
        </w:tc>
      </w:tr>
      <w:tr>
        <w:trPr>
          <w:trHeight w:val="290"/>
        </w:trPr>
        <w:tc>
          <w:tcPr>
            <w:tcW w:w="53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February 1, 2028 – January 31, 2029</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$366,413.64</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$30,534.47</w:t>
            </w:r>
          </w:p>
        </w:tc>
      </w:tr>
    </w:tbl>
    <w:p>
      <w:pPr>
        <w:spacing w:after="0" w:line="200" w:lineRule="exact"/>
        <w:rPr>
          <w:sz w:val="20"/>
          <w:szCs w:val="20"/>
          <w:color w:val="auto"/>
        </w:rPr>
      </w:pPr>
    </w:p>
    <w:p>
      <w:pPr>
        <w:spacing w:after="0" w:line="228" w:lineRule="exact"/>
        <w:rPr>
          <w:sz w:val="20"/>
          <w:szCs w:val="20"/>
          <w:color w:val="auto"/>
        </w:rPr>
      </w:pPr>
    </w:p>
    <w:p>
      <w:pPr>
        <w:jc w:val="both"/>
        <w:ind w:firstLine="757"/>
        <w:spacing w:after="0" w:line="246" w:lineRule="auto"/>
        <w:tabs>
          <w:tab w:leader="none" w:pos="10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Parking</w:t>
      </w:r>
      <w:r>
        <w:rPr>
          <w:rFonts w:ascii="Times New Roman" w:cs="Times New Roman" w:eastAsia="Times New Roman" w:hAnsi="Times New Roman"/>
          <w:sz w:val="22"/>
          <w:szCs w:val="22"/>
          <w:color w:val="auto"/>
        </w:rPr>
        <w:t>. As of the Expansion Premises Commencement Date, Section 23 of the Sublease is hereby amended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Subtenant with a total of two (2) Garage Parking Passes in the Garage (inclusive of the one (1) Garage Parking Pass in the Garage provided under the original Sublease), subject to the terms and conditions of such Section 23.</w:t>
      </w:r>
    </w:p>
    <w:p>
      <w:pPr>
        <w:spacing w:after="0" w:line="167"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Expansion Premises Furniture</w:t>
      </w:r>
      <w:r>
        <w:rPr>
          <w:rFonts w:ascii="Times New Roman" w:cs="Times New Roman" w:eastAsia="Times New Roman" w:hAnsi="Times New Roman"/>
          <w:sz w:val="22"/>
          <w:szCs w:val="22"/>
          <w:color w:val="auto"/>
        </w:rPr>
        <w:t>. Subtenant shall have, as appurtenant to the Expansion Premises, the use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furniture located in the Expansion Premises as more fully shown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during the Sublease Term, subject to and upon all of the terms and conditions of the Sublease, including, without limitation, Section 22 of the Sublease.</w:t>
      </w:r>
    </w:p>
    <w:p>
      <w:pPr>
        <w:spacing w:after="0" w:line="16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5"/>
        </w:numPr>
        <w:rPr>
          <w:rFonts w:ascii="Times New Roman" w:cs="Times New Roman" w:eastAsia="Times New Roman" w:hAnsi="Times New Roman"/>
          <w:sz w:val="22"/>
          <w:szCs w:val="22"/>
          <w:color w:val="2A2A2A"/>
        </w:rPr>
      </w:pPr>
      <w:r>
        <w:rPr>
          <w:rFonts w:ascii="Times New Roman" w:cs="Times New Roman" w:eastAsia="Times New Roman" w:hAnsi="Times New Roman"/>
          <w:sz w:val="22"/>
          <w:szCs w:val="22"/>
          <w:b w:val="1"/>
          <w:bCs w:val="1"/>
          <w:u w:val="single" w:color="auto"/>
          <w:color w:val="2A2A2A"/>
        </w:rPr>
        <w:t>Condition Precedent</w:t>
      </w:r>
      <w:r>
        <w:rPr>
          <w:rFonts w:ascii="Times New Roman" w:cs="Times New Roman" w:eastAsia="Times New Roman" w:hAnsi="Times New Roman"/>
          <w:sz w:val="22"/>
          <w:szCs w:val="22"/>
          <w:color w:val="2A2A2A"/>
        </w:rPr>
        <w:t>. This Amendment, and the rights and obligations of Sublandlord and Subtenant under this</w:t>
      </w:r>
      <w:r>
        <w:rPr>
          <w:rFonts w:ascii="Times New Roman" w:cs="Times New Roman" w:eastAsia="Times New Roman" w:hAnsi="Times New Roman"/>
          <w:sz w:val="22"/>
          <w:szCs w:val="22"/>
          <w:b w:val="1"/>
          <w:bCs w:val="1"/>
          <w:color w:val="2A2A2A"/>
        </w:rPr>
        <w:t xml:space="preserve"> </w:t>
      </w:r>
      <w:r>
        <w:rPr>
          <w:rFonts w:ascii="Times New Roman" w:cs="Times New Roman" w:eastAsia="Times New Roman" w:hAnsi="Times New Roman"/>
          <w:sz w:val="22"/>
          <w:szCs w:val="22"/>
          <w:color w:val="2A2A2A"/>
        </w:rPr>
        <w:t xml:space="preserve">Amendment, are subject to Master Landlord’s Consent, and this Amendment shall be </w:t>
      </w:r>
      <w:r>
        <w:rPr>
          <w:rFonts w:ascii="Times New Roman" w:cs="Times New Roman" w:eastAsia="Times New Roman" w:hAnsi="Times New Roman"/>
          <w:sz w:val="22"/>
          <w:szCs w:val="22"/>
          <w:color w:val="000000"/>
        </w:rPr>
        <w:t>effective</w:t>
      </w:r>
      <w:r>
        <w:rPr>
          <w:rFonts w:ascii="Times New Roman" w:cs="Times New Roman" w:eastAsia="Times New Roman" w:hAnsi="Times New Roman"/>
          <w:sz w:val="22"/>
          <w:szCs w:val="22"/>
          <w:color w:val="2A2A2A"/>
        </w:rPr>
        <w:t xml:space="preserve"> only upon the receipt by Sublandlord of such consent. Subtenant agrees to join such consent if so requested by Master Landlord in the form reasonably requested by Master Landlord. In the event such consent is not received within thirty (30) days after such request, Sublandlord shall have the individual right to rescind its respective execution of this Amendment.</w:t>
      </w:r>
    </w:p>
    <w:p>
      <w:pPr>
        <w:spacing w:after="0" w:line="176" w:lineRule="exact"/>
        <w:rPr>
          <w:rFonts w:ascii="Times New Roman" w:cs="Times New Roman" w:eastAsia="Times New Roman" w:hAnsi="Times New Roman"/>
          <w:sz w:val="22"/>
          <w:szCs w:val="22"/>
          <w:color w:val="2A2A2A"/>
        </w:rPr>
      </w:pPr>
    </w:p>
    <w:p>
      <w:pPr>
        <w:ind w:right="20" w:firstLine="757"/>
        <w:spacing w:after="0" w:line="262" w:lineRule="auto"/>
        <w:tabs>
          <w:tab w:leader="none" w:pos="10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Subtenant represents and warrants to Sublandlord and Sublandlord represents and warrants too Subtenant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neither party has dealt with any broker other than Jones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jc w:val="both"/>
        <w:spacing w:after="0" w:line="241" w:lineRule="auto"/>
        <w:rPr>
          <w:sz w:val="20"/>
          <w:szCs w:val="20"/>
          <w:color w:val="auto"/>
        </w:rPr>
      </w:pPr>
      <w:r>
        <w:rPr>
          <w:rFonts w:ascii="Times New Roman" w:cs="Times New Roman" w:eastAsia="Times New Roman" w:hAnsi="Times New Roman"/>
          <w:sz w:val="22"/>
          <w:szCs w:val="22"/>
          <w:color w:val="auto"/>
        </w:rPr>
        <w:t>Lang Lasalle (the “</w:t>
      </w: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color w:val="auto"/>
        </w:rPr>
        <w:t>”), who represented Sublandlord. in connection with the consummation of this Amendment. Subtenant and Sublandlord shall indemnify and hold harmless the other against any loss, damage, claims or liabilities arising out of the failure of the indemnified party’s representation or the breach of its warranty set forth in the previous sentence. Sublandlord shall pay any commission due to the Broker hereunder pursuant to its separate agreement with the Broker.</w:t>
      </w:r>
    </w:p>
    <w:p>
      <w:pPr>
        <w:spacing w:after="0" w:line="172" w:lineRule="exact"/>
        <w:rPr>
          <w:sz w:val="20"/>
          <w:szCs w:val="20"/>
          <w:color w:val="auto"/>
        </w:rPr>
      </w:pPr>
    </w:p>
    <w:p>
      <w:pPr>
        <w:jc w:val="both"/>
        <w:ind w:firstLine="757"/>
        <w:spacing w:after="0" w:line="241" w:lineRule="auto"/>
        <w:tabs>
          <w:tab w:leader="none" w:pos="10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 Except as expressly modified by this Amendment, the Sublease shall remain in full force and effect,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further modified by this Amendment, is expressly ratified and confirmed by the parties hereto. This Amendment shall be binding upon and inure to the benefit of the parties hereto and their respective successors and assigns, subject to the provisions of the Sublease regarding assignment and subletting.</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Amendment contains all of the agreements, conditions, warranties and representations with respect to the subject matter hereof and may be amended or modified only by written instruments executed by both Sublandlord and Subtenant.</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Counterparts; Authority and Binding Agreement</w:t>
      </w:r>
      <w:r>
        <w:rPr>
          <w:rFonts w:ascii="Times New Roman" w:cs="Times New Roman" w:eastAsia="Times New Roman" w:hAnsi="Times New Roman"/>
          <w:sz w:val="22"/>
          <w:szCs w:val="22"/>
          <w:color w:val="auto"/>
        </w:rPr>
        <w:t xml:space="preserve">. This Amendment may be executed in multiple counterparts, each of which shall be deemed an original and all of which together shall constitute one and the same document. The parties contemplate that they may be executing counterparts of this Amendment transmitted by e-mail or PDF and agree and intend that a signature by e-mail or PDF shall bind the party so signing with the same effect as though the signature were an original signature. Each of Sublandlord and Subtenant warrants to the other that the person or persons executing this Amendment on its behalf has or have authority to do so and that such execution has fully obligated and bound such party to all terms and provisions of this Amendment. This Amendment shall become effective and binding only upon the execution and delivery of this Amendment by both Sublandlord and Subtenant, subject to the provisions of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Amendment.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Sublandlord and Subtenant execute this Amendment as of the date first written above.</w:t>
      </w:r>
    </w:p>
    <w:p>
      <w:pPr>
        <w:spacing w:after="0" w:line="200" w:lineRule="exact"/>
        <w:rPr>
          <w:sz w:val="20"/>
          <w:szCs w:val="20"/>
          <w:color w:val="auto"/>
        </w:rPr>
      </w:pPr>
    </w:p>
    <w:p>
      <w:pPr>
        <w:spacing w:after="0" w:line="276"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54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[SUBLANDLORD]</w:t>
            </w:r>
          </w:p>
        </w:tc>
        <w:tc>
          <w:tcPr>
            <w:tcW w:w="5720" w:type="dxa"/>
            <w:vAlign w:val="bottom"/>
            <w:gridSpan w:val="2"/>
          </w:tcPr>
          <w:p>
            <w:pPr>
              <w:ind w:left="440"/>
              <w:spacing w:after="0"/>
              <w:rPr>
                <w:sz w:val="20"/>
                <w:szCs w:val="20"/>
                <w:color w:val="auto"/>
              </w:rPr>
            </w:pPr>
            <w:r>
              <w:rPr>
                <w:rFonts w:ascii="Times New Roman" w:cs="Times New Roman" w:eastAsia="Times New Roman" w:hAnsi="Times New Roman"/>
                <w:sz w:val="22"/>
                <w:szCs w:val="22"/>
                <w:b w:val="1"/>
                <w:bCs w:val="1"/>
                <w:color w:val="auto"/>
              </w:rPr>
              <w:t>[SUBTENANT]</w:t>
            </w:r>
          </w:p>
        </w:tc>
      </w:tr>
      <w:tr>
        <w:trPr>
          <w:trHeight w:val="486"/>
        </w:trPr>
        <w:tc>
          <w:tcPr>
            <w:tcW w:w="5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CRISPR THERAPEUTICS, INC., a Delaware corporation,</w:t>
            </w:r>
          </w:p>
        </w:tc>
        <w:tc>
          <w:tcPr>
            <w:tcW w:w="57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AVALYN PHARMA INC., a Delaware corporation</w:t>
            </w:r>
          </w:p>
        </w:tc>
      </w:tr>
      <w:tr>
        <w:trPr>
          <w:trHeight w:val="474"/>
        </w:trPr>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AJ Silver</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By:</w:t>
            </w:r>
          </w:p>
        </w:tc>
        <w:tc>
          <w:tcPr>
            <w:tcW w:w="4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Adam Golden</w:t>
            </w:r>
          </w:p>
        </w:tc>
      </w:tr>
      <w:tr>
        <w:trPr>
          <w:trHeight w:val="237"/>
        </w:trPr>
        <w:tc>
          <w:tcPr>
            <w:tcW w:w="16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AJ Silver</w:t>
            </w:r>
          </w:p>
        </w:tc>
        <w:tc>
          <w:tcPr>
            <w:tcW w:w="16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40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Adam Golden</w:t>
            </w:r>
          </w:p>
        </w:tc>
      </w:tr>
      <w:tr>
        <w:trPr>
          <w:trHeight w:val="237"/>
        </w:trPr>
        <w:tc>
          <w:tcPr>
            <w:tcW w:w="16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Its:</w:t>
            </w:r>
          </w:p>
        </w:tc>
        <w:tc>
          <w:tcPr>
            <w:tcW w:w="382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SVP Finance</w:t>
            </w:r>
          </w:p>
        </w:tc>
        <w:tc>
          <w:tcPr>
            <w:tcW w:w="16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Its:</w:t>
            </w:r>
          </w:p>
        </w:tc>
        <w:tc>
          <w:tcPr>
            <w:tcW w:w="40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General Counsel</w:t>
            </w:r>
          </w:p>
        </w:tc>
      </w:tr>
      <w:tr>
        <w:trPr>
          <w:trHeight w:val="276"/>
        </w:trPr>
        <w:tc>
          <w:tcPr>
            <w:tcW w:w="1600" w:type="dxa"/>
            <w:vAlign w:val="bottom"/>
          </w:tcPr>
          <w:p>
            <w:pPr>
              <w:spacing w:after="0"/>
              <w:rPr>
                <w:sz w:val="23"/>
                <w:szCs w:val="23"/>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Hereunto Duly Authorized</w:t>
            </w:r>
          </w:p>
        </w:tc>
        <w:tc>
          <w:tcPr>
            <w:tcW w:w="1680" w:type="dxa"/>
            <w:vAlign w:val="bottom"/>
          </w:tcPr>
          <w:p>
            <w:pPr>
              <w:spacing w:after="0"/>
              <w:rPr>
                <w:sz w:val="23"/>
                <w:szCs w:val="23"/>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Hereunto Duly Authorized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Amendment to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Expansion Premises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278765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Expansion Furniture Inventory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398780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2026-07-01T16:26:50Z</dcterms:created>
  <dcterms:modified xsi:type="dcterms:W3CDTF">2026-07-01T16:26:50Z</dcterms:modified>
</cp:coreProperties>
</file>