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60" w:hanging="3799"/>
        <w:spacing w:after="0" w:line="365" w:lineRule="auto"/>
        <w:tabs>
          <w:tab w:leader="none" w:pos="50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2340" w:right="1580" w:hanging="2319"/>
        <w:spacing w:after="0" w:line="352" w:lineRule="auto"/>
        <w:tabs>
          <w:tab w:leader="none" w:pos="49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______________________ to ______________________</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001-43251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Avalyn Pharma Inc.</w:t>
      </w:r>
    </w:p>
    <w:p>
      <w:pPr>
        <w:sectPr>
          <w:pgSz w:w="11900" w:h="16838" w:orient="portrait"/>
          <w:cols w:equalWidth="0" w:num="1">
            <w:col w:w="11240"/>
          </w:cols>
          <w:pgMar w:left="320" w:top="1334"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2"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45-2463191</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3" w:lineRule="exact"/>
        <w:rPr>
          <w:sz w:val="24"/>
          <w:szCs w:val="24"/>
          <w:color w:val="auto"/>
        </w:rPr>
      </w:pPr>
    </w:p>
    <w:p>
      <w:pPr>
        <w:sectPr>
          <w:pgSz w:w="11900" w:h="16838" w:orient="portrait"/>
          <w:cols w:equalWidth="0" w:num="2">
            <w:col w:w="7700" w:space="240"/>
            <w:col w:w="3300"/>
          </w:cols>
          <w:pgMar w:left="320" w:top="1334" w:right="339" w:bottom="1440" w:gutter="0" w:footer="0" w:header="0"/>
          <w:type w:val="continuous"/>
        </w:sectPr>
      </w:pPr>
    </w:p>
    <w:p>
      <w:pPr>
        <w:ind w:left="2100"/>
        <w:spacing w:after="0"/>
        <w:rPr>
          <w:sz w:val="20"/>
          <w:szCs w:val="20"/>
          <w:color w:val="auto"/>
        </w:rPr>
      </w:pPr>
      <w:r>
        <w:rPr>
          <w:rFonts w:ascii="Times New Roman" w:cs="Times New Roman" w:eastAsia="Times New Roman" w:hAnsi="Times New Roman"/>
          <w:sz w:val="18"/>
          <w:szCs w:val="18"/>
          <w:b w:val="1"/>
          <w:bCs w:val="1"/>
          <w:color w:val="auto"/>
        </w:rPr>
        <w:t>105 W First Street</w:t>
      </w:r>
    </w:p>
    <w:p>
      <w:pPr>
        <w:spacing w:after="0" w:line="31" w:lineRule="exact"/>
        <w:rPr>
          <w:sz w:val="24"/>
          <w:szCs w:val="24"/>
          <w:color w:val="auto"/>
        </w:rPr>
      </w:pPr>
    </w:p>
    <w:p>
      <w:pPr>
        <w:ind w:left="194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Boston, Massachusetts</w:t>
      </w:r>
      <w:r>
        <w:rPr>
          <w:sz w:val="20"/>
          <w:szCs w:val="20"/>
          <w:color w:val="auto"/>
        </w:rPr>
        <w:tab/>
      </w:r>
      <w:r>
        <w:rPr>
          <w:rFonts w:ascii="Times New Roman" w:cs="Times New Roman" w:eastAsia="Times New Roman" w:hAnsi="Times New Roman"/>
          <w:sz w:val="18"/>
          <w:szCs w:val="18"/>
          <w:b w:val="1"/>
          <w:bCs w:val="1"/>
          <w:color w:val="auto"/>
        </w:rPr>
        <w:t>02127</w:t>
      </w:r>
    </w:p>
    <w:p>
      <w:pPr>
        <w:spacing w:after="0" w:line="5" w:lineRule="exact"/>
        <w:rPr>
          <w:sz w:val="24"/>
          <w:szCs w:val="24"/>
          <w:color w:val="auto"/>
        </w:r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3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(206) 707-0340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15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40" w:type="dxa"/>
            <w:vAlign w:val="bottom"/>
          </w:tcPr>
          <w:p>
            <w:pPr>
              <w:spacing w:after="0"/>
              <w:rPr>
                <w:sz w:val="13"/>
                <w:szCs w:val="13"/>
                <w:color w:val="auto"/>
              </w:rPr>
            </w:pPr>
          </w:p>
        </w:tc>
        <w:tc>
          <w:tcPr>
            <w:tcW w:w="5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40" w:type="dxa"/>
            <w:vAlign w:val="bottom"/>
          </w:tcPr>
          <w:p>
            <w:pPr>
              <w:spacing w:after="0"/>
              <w:rPr>
                <w:sz w:val="15"/>
                <w:szCs w:val="15"/>
                <w:color w:val="auto"/>
              </w:rPr>
            </w:pPr>
          </w:p>
        </w:tc>
        <w:tc>
          <w:tcPr>
            <w:tcW w:w="5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40" w:type="dxa"/>
            <w:vAlign w:val="bottom"/>
          </w:tcPr>
          <w:p>
            <w:pPr>
              <w:spacing w:after="0"/>
              <w:rPr>
                <w:sz w:val="20"/>
                <w:szCs w:val="20"/>
                <w:color w:val="auto"/>
              </w:rPr>
            </w:pPr>
            <w:r>
              <w:rPr>
                <w:rFonts w:ascii="Times New Roman" w:cs="Times New Roman" w:eastAsia="Times New Roman" w:hAnsi="Times New Roman"/>
                <w:sz w:val="16"/>
                <w:szCs w:val="16"/>
                <w:color w:val="auto"/>
              </w:rPr>
              <w:t>Voting Common Stock, $0.001 par value per share</w:t>
            </w:r>
          </w:p>
        </w:tc>
        <w:tc>
          <w:tcPr>
            <w:tcW w:w="1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AVLN</w:t>
            </w:r>
          </w:p>
        </w:tc>
        <w:tc>
          <w:tcPr>
            <w:tcW w:w="140" w:type="dxa"/>
            <w:vAlign w:val="bottom"/>
          </w:tcPr>
          <w:p>
            <w:pPr>
              <w:spacing w:after="0"/>
              <w:rPr>
                <w:sz w:val="17"/>
                <w:szCs w:val="17"/>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jc w:val="both"/>
        <w:ind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16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88" w:lineRule="exact"/>
        <w:rPr>
          <w:sz w:val="24"/>
          <w:szCs w:val="24"/>
          <w:color w:val="auto"/>
        </w:rPr>
      </w:pPr>
    </w:p>
    <w:p>
      <w:pPr>
        <w:ind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520" w:right="210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June 2, 2026, the registrant had 44,333,095 shares of voting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934085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601"/>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10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w:t>
            </w:r>
          </w:p>
        </w:tc>
        <w:tc>
          <w:tcPr>
            <w:tcW w:w="20" w:type="dxa"/>
            <w:vAlign w:val="bottom"/>
            <w:tcBorders>
              <w:bottom w:val="single" w:sz="8" w:color="0000EE"/>
            </w:tcBorders>
          </w:tcPr>
          <w:p>
            <w:pPr>
              <w:spacing w:after="0"/>
              <w:rPr>
                <w:sz w:val="17"/>
                <w:szCs w:val="17"/>
                <w:color w:val="auto"/>
              </w:rPr>
            </w:pPr>
          </w:p>
        </w:tc>
        <w:tc>
          <w:tcPr>
            <w:tcW w:w="428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Changes in Redeemable Convertible Preferred Stock and Stockholders' Deficit</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540" w:type="dxa"/>
            <w:vAlign w:val="bottom"/>
            <w:tcBorders>
              <w:top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8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7"/>
                <w:szCs w:val="17"/>
                <w:color w:val="auto"/>
              </w:rPr>
            </w:pPr>
          </w:p>
        </w:tc>
        <w:tc>
          <w:tcPr>
            <w:tcW w:w="458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8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2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2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7"/>
                <w:szCs w:val="17"/>
                <w:color w:val="auto"/>
              </w:rPr>
            </w:pPr>
          </w:p>
        </w:tc>
        <w:tc>
          <w:tcPr>
            <w:tcW w:w="760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OTHER INFORMATION</w:t>
            </w:r>
          </w:p>
        </w:tc>
        <w:tc>
          <w:tcPr>
            <w:tcW w:w="748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00" w:type="dxa"/>
            <w:vAlign w:val="bottom"/>
            <w:tcBorders>
              <w:top w:val="single" w:sz="8" w:color="0000FF"/>
            </w:tcBorders>
            <w:gridSpan w:val="2"/>
          </w:tcPr>
          <w:p>
            <w:pPr>
              <w:spacing w:after="0"/>
              <w:rPr>
                <w:sz w:val="17"/>
                <w:szCs w:val="17"/>
                <w:color w:val="auto"/>
              </w:rPr>
            </w:pPr>
          </w:p>
        </w:tc>
        <w:tc>
          <w:tcPr>
            <w:tcW w:w="8060" w:type="dxa"/>
            <w:vAlign w:val="bottom"/>
            <w:gridSpan w:val="1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4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89</w:t>
            </w: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706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762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90</w:t>
            </w: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8080" w:type="dxa"/>
            <w:vAlign w:val="bottom"/>
            <w:gridSpan w:val="1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91</w:t>
            </w: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r>
      <w:tr>
        <w:trPr>
          <w:trHeight w:val="20"/>
        </w:trPr>
        <w:tc>
          <w:tcPr>
            <w:tcW w:w="78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or this Quarterly Report,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including statements regarding our future results of operations and financial position, business strategy, product candidates, planned preclinical studies and clinical trials, results of preclinical studies, clinical trials, research and development costs, regulatory approvals, commercial strategy,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w:t>
      </w:r>
    </w:p>
    <w:p>
      <w:pPr>
        <w:spacing w:after="0" w:line="176"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current and future research and development programs, preclinical studies and clinical trials;</w:t>
      </w:r>
    </w:p>
    <w:p>
      <w:pPr>
        <w:spacing w:after="0" w:line="117" w:lineRule="exact"/>
        <w:rPr>
          <w:rFonts w:ascii="Times New Roman" w:cs="Times New Roman" w:eastAsia="Times New Roman" w:hAnsi="Times New Roman"/>
          <w:sz w:val="18"/>
          <w:szCs w:val="18"/>
          <w:color w:val="auto"/>
        </w:rPr>
      </w:pPr>
    </w:p>
    <w:p>
      <w:pPr>
        <w:ind w:left="800" w:hanging="418"/>
        <w:spacing w:after="0"/>
        <w:tabs>
          <w:tab w:leader="none" w:pos="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our clinical trials;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any product candidates that we may identify and successfully complete any clinical studies, including the manufacture of any such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quickly leverage programs within our target indications and to progress additional programs to further develop our pipeline;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of certain diseases and conditions we intend to treat and the size of the market opportunity for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number of patients with certain diseases and conditions we intend to treat and the number of patients that we will enroll in our clinical trials;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our clinical trials demonstrating safety and efficacy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investigational new drug application, or IND, submissions;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programs and technology;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related to our competitors and our industry;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the clinical, regulatory, and manufacturing advancements to accelerate our clinical trials and approval of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future regulatory standards with respect to our product candidates, if approved;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enter into future license agreements and collaborations;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clinical trials of our product candidates;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the manufacture of our product candidates and our device related thereto;</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JOBS Act or a smaller reporting company;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and management personnel; and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cash runway, our financial performance, estimates of our expenses, capital requirements, and needs for additional financing.</w:t>
      </w:r>
    </w:p>
    <w:p>
      <w:pPr>
        <w:spacing w:after="0" w:line="11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“Risk Factors” and elsewhere in this Quarterly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Quarterly Report, whether as a result of any new information, future events or otherwise. Our forward-looking statements do not reflect the potential impact of any future acquisitions, mergers, dispositions, collaborations, joint ventures or investments that we may make or enter into.</w:t>
      </w:r>
    </w:p>
    <w:p>
      <w:pPr>
        <w:spacing w:after="0" w:line="8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7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and have filed with the U.S. Securities and Exchange Commission, or the SEC, is a part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OF THE MATERIAL RISKS ASSOCIATED WITH OUR BUSINESS</w:t>
      </w:r>
    </w:p>
    <w:p>
      <w:pPr>
        <w:spacing w:after="0" w:line="22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Investment in our securities involves risk. You should carefully consider the following summary of what we believe to be the principal risks facing our business, in addition to the risks described more fully in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Quarterly Report and other information included in this Quarterly Report. The risks and uncertainties described below are not the only risks and uncertainties we face. Additional risks and uncertainties not presently known to us or that we presently deem less significant may also impair our business operations.</w:t>
      </w:r>
    </w:p>
    <w:p>
      <w:pPr>
        <w:spacing w:after="0" w:line="13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If any of the following risks occurs, our business, financial condition and results of operations and future growth prospects could be materially and adversely affected, and the actual outcomes of matters as to which forward-looking statements are made in this report could be materially different from those anticipated in such forward-looking statements.</w:t>
      </w:r>
    </w:p>
    <w:p>
      <w:pPr>
        <w:spacing w:after="0" w:line="284" w:lineRule="exact"/>
        <w:rPr>
          <w:sz w:val="20"/>
          <w:szCs w:val="20"/>
          <w:color w:val="auto"/>
        </w:rPr>
      </w:pPr>
    </w:p>
    <w:p>
      <w:pPr>
        <w:ind w:left="1020" w:right="4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clinical-stage biopharmaceutical company and have incurred significant operating losses since inception and anticipate that we will continue to incur significant operating losses for the foreseeable future. We may never achieve or maintain profitability.</w:t>
      </w:r>
    </w:p>
    <w:p>
      <w:pPr>
        <w:spacing w:after="0" w:line="53"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substantial additional funding. We may be unable to raise capital on acceptable terms, if at all, and, as a result, we may be required to delay, reduce, or eliminate our product development programs or commercialization efforts.</w:t>
      </w:r>
    </w:p>
    <w:p>
      <w:pPr>
        <w:spacing w:after="0" w:line="53"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lead candidates, AP01 and AP02. If we are unable to advance such product candidates into later-stage clinical development or unable to obtain regulatory approval and commercialize a therapy for the treatment of pulmonary fibrosis, or PF, or experience significant delays in doing so, our business will be materially harmed.</w:t>
      </w:r>
    </w:p>
    <w:p>
      <w:pPr>
        <w:spacing w:after="0" w:line="67"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If we are unable to successfully develop, receive regulatory approval for and commercialize any product candidate or successfully develop any other product candidate or experience significant delays in doing so, our business will be substantially harmed.</w:t>
      </w:r>
    </w:p>
    <w:p>
      <w:pPr>
        <w:spacing w:after="0" w:line="6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Targeting PF with inhaled formulations of antifibrotic therapies is novel, and we do not know whether we will be able to successfully develop any inhaled products.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yet completed all testing of any product candidate in clinical trials. Preclinical, interim, topline and preliminary results from our preclinical studies or clinical trials are not necessarily predictive of the results or analyses of such results of later clinical trials. If we cannot replicate the positive results from any preclinical studies or clinical trials of our current or potential future product candidates that have positive results, or if we suffer any other significant setbacks in our later clinical trials, we may be unable to successfully develop, obtain regulatory approval for and commercialize our current or potential future product candidates.</w:t>
      </w:r>
    </w:p>
    <w:p>
      <w:pPr>
        <w:spacing w:after="0" w:line="7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and/or retention of patients in clinical trials, our clinical development activities could be delayed or otherwise adversely affected, and our receipt of necessary regulatory approvals could be delayed or prevented.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and we may not be able to compete successfully in this environment.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our product candidates may be smaller than we estimate.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conducted at clinical trial sites outside the U.S. might not be accepted by the FDA, and data developed outside of a foreign jurisdiction similarly might not be accepted by such foreign regulatory authority.</w:t>
      </w:r>
    </w:p>
    <w:p>
      <w:pPr>
        <w:spacing w:after="0" w:line="53" w:lineRule="exact"/>
        <w:rPr>
          <w:rFonts w:ascii="Times New Roman" w:cs="Times New Roman" w:eastAsia="Times New Roman" w:hAnsi="Times New Roman"/>
          <w:sz w:val="18"/>
          <w:szCs w:val="18"/>
          <w:color w:val="auto"/>
        </w:rPr>
      </w:pPr>
    </w:p>
    <w:p>
      <w:pPr>
        <w:jc w:val="both"/>
        <w:ind w:left="1020" w:right="30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licensed intellectual property rights pursuant to the PARI Agreement relating to the PARI eFlow® Technology and eRapid® Nebulizer System, and we may in the future enter into additional intellectual property licensing agreements on which we could similarly become dependent.</w:t>
      </w:r>
    </w:p>
    <w:p>
      <w:pPr>
        <w:spacing w:after="0" w:line="67" w:lineRule="exact"/>
        <w:rPr>
          <w:rFonts w:ascii="Times New Roman" w:cs="Times New Roman" w:eastAsia="Times New Roman" w:hAnsi="Times New Roman"/>
          <w:sz w:val="18"/>
          <w:szCs w:val="18"/>
          <w:color w:val="auto"/>
        </w:rPr>
      </w:pPr>
    </w:p>
    <w:p>
      <w:pPr>
        <w:ind w:left="1020" w:right="46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deliver AP01 and AP02 and our other product candidates via a drug delivery device that will have its own regulatory, development, supply and other risks. Where approval of the drug product and device is sought under a single application, the increased complexity of the review process may delay approval.</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any products we develop and for our technology, or if the scope of the patent protection obtained is not sufficiently broad, our competitors or other third parties could develop and commercialize products and technology similar or identical to ours, and our ability to commercialize any product candidates we may develop, and our technology may be adversely affected.</w:t>
      </w:r>
    </w:p>
    <w:p>
      <w:pPr>
        <w:spacing w:after="0" w:line="71"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any of our product candidates receive marketing approval, it may fail to achieve the degree of market acceptance by physicians, patients, third-party payors and others in the medical community necessary for commercial success.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5" w:name="page6"/>
    <w:bookmarkEnd w:id="5"/>
    <w:p>
      <w:pPr>
        <w:ind w:left="503" w:hanging="503"/>
        <w:spacing w:after="0"/>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managing our growth, which could disrupt our operations..</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assist in conducting our clinical trials and preclinical studies, manufacture our product candidates and seek to establish collaborations on product development and commercialization plans.</w:t>
      </w:r>
    </w:p>
    <w:p>
      <w:pPr>
        <w:spacing w:after="0" w:line="378"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3"/>
          </w:cols>
          <w:pgMar w:left="837" w:top="1093" w:right="7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AVALYN PHARMA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 (Unaudited)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92,310</w:t>
            </w:r>
          </w:p>
        </w:tc>
        <w:tc>
          <w:tcPr>
            <w:tcW w:w="16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52,315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Marketable securities, current</w:t>
            </w:r>
          </w:p>
        </w:tc>
        <w:tc>
          <w:tcPr>
            <w:tcW w:w="2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30,817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86,044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6,860</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5,201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129,987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143,560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NON-CURRENT ASSETS:</w:t>
            </w:r>
          </w:p>
        </w:tc>
        <w:tc>
          <w:tcPr>
            <w:tcW w:w="2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w:t>
            </w:r>
          </w:p>
        </w:tc>
        <w:tc>
          <w:tcPr>
            <w:tcW w:w="24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1,421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2,999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Borders>
              <w:bottom w:val="single" w:sz="8" w:color="CFF0FC"/>
            </w:tcBorders>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noncurrent assets</w:t>
            </w:r>
          </w:p>
        </w:tc>
        <w:tc>
          <w:tcPr>
            <w:tcW w:w="24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5,676</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5,321</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135,663</w:t>
            </w:r>
          </w:p>
        </w:tc>
        <w:tc>
          <w:tcPr>
            <w:tcW w:w="160" w:type="dxa"/>
            <w:vAlign w:val="bottom"/>
          </w:tcPr>
          <w:p>
            <w:pPr>
              <w:spacing w:after="0"/>
              <w:rPr>
                <w:sz w:val="12"/>
                <w:szCs w:val="12"/>
                <w:color w:val="auto"/>
              </w:rPr>
            </w:pPr>
          </w:p>
        </w:tc>
        <w:tc>
          <w:tcPr>
            <w:tcW w:w="320" w:type="dxa"/>
            <w:vAlign w:val="bottom"/>
            <w:gridSpan w:val="2"/>
          </w:tcPr>
          <w:p>
            <w:pPr>
              <w:jc w:val="right"/>
              <w:ind w:right="83"/>
              <w:spacing w:after="0" w:line="142"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148,881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7860" w:type="dxa"/>
            <w:vAlign w:val="bottom"/>
            <w:shd w:val="clear" w:color="auto" w:fill="CFF0FC"/>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LIABILITIES, REDEEMABLE CONVERTIBLE PREFERRED STOCK AND STOCKHOLDERS’</w:t>
            </w:r>
          </w:p>
        </w:tc>
        <w:tc>
          <w:tcPr>
            <w:tcW w:w="24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40" w:type="dxa"/>
            <w:vAlign w:val="bottom"/>
            <w:shd w:val="clear" w:color="auto" w:fill="CFF0FC"/>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3,147</w:t>
            </w:r>
          </w:p>
        </w:tc>
        <w:tc>
          <w:tcPr>
            <w:tcW w:w="16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3,758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2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8,133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liability</w:t>
            </w:r>
          </w:p>
        </w:tc>
        <w:tc>
          <w:tcPr>
            <w:tcW w:w="24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444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Pr>
          <w:p>
            <w:pPr>
              <w:ind w:left="44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11,787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14,091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NON-CURRENT LIABILITIES:</w:t>
            </w:r>
          </w:p>
        </w:tc>
        <w:tc>
          <w:tcPr>
            <w:tcW w:w="2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Term loan</w:t>
            </w:r>
          </w:p>
        </w:tc>
        <w:tc>
          <w:tcPr>
            <w:tcW w:w="2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786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liability, noncurrent</w:t>
            </w:r>
          </w:p>
        </w:tc>
        <w:tc>
          <w:tcPr>
            <w:tcW w:w="24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1,092</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27,687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15,316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COMMITMENTS AND CONTINGENCIES (Note 8)</w:t>
            </w:r>
          </w:p>
        </w:tc>
        <w:tc>
          <w:tcPr>
            <w:tcW w:w="2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REDEEMABLE CONVERTIBLE PREFERRED STOCK</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86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Series A redeemable convertible preferred stock, $0.001 par value; 51,213,004 shares authorized as of</w:t>
            </w:r>
          </w:p>
        </w:tc>
        <w:tc>
          <w:tcPr>
            <w:tcW w:w="24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March 31, 2026 and December 31, 2025, 49,651,129 shares issued and outstanding as of March 31, 2026</w:t>
            </w:r>
          </w:p>
        </w:tc>
        <w:tc>
          <w:tcPr>
            <w:tcW w:w="2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and December 31, 2025; liquidation preference of $49,651 as of March 31, 2026 and December 31, 2025,</w:t>
            </w:r>
          </w:p>
        </w:tc>
        <w:tc>
          <w:tcPr>
            <w:tcW w:w="240" w:type="dxa"/>
            <w:vAlign w:val="bottom"/>
            <w:shd w:val="clear" w:color="auto" w:fill="CFF0FC"/>
          </w:tcPr>
          <w:p>
            <w:pPr>
              <w:spacing w:after="0"/>
              <w:rPr>
                <w:sz w:val="12"/>
                <w:szCs w:val="12"/>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49,176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49,176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of issuance costs of $475</w:t>
            </w:r>
          </w:p>
        </w:tc>
        <w:tc>
          <w:tcPr>
            <w:tcW w:w="240" w:type="dxa"/>
            <w:vAlign w:val="bottom"/>
            <w:shd w:val="clear" w:color="auto" w:fill="CFF0FC"/>
          </w:tcPr>
          <w:p>
            <w:pPr>
              <w:spacing w:after="0"/>
              <w:rPr>
                <w:sz w:val="14"/>
                <w:szCs w:val="14"/>
                <w:color w:val="auto"/>
              </w:rPr>
            </w:pPr>
          </w:p>
        </w:tc>
        <w:tc>
          <w:tcPr>
            <w:tcW w:w="12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6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Series B redeemable convertible preferred stock, $0.001 par value; 25,210,789 shares authorized as of</w:t>
            </w: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March 31, 2026 and December 31, 2025, 25,208,502 shares issued and outstanding as of March 31, 2026</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and December 31, 2025; liquidation preference of $35,693 as of March 31, 2026 and December 31, 2025,</w:t>
            </w:r>
          </w:p>
        </w:tc>
        <w:tc>
          <w:tcPr>
            <w:tcW w:w="24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35,376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35,376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of issuance costs of $317</w:t>
            </w:r>
          </w:p>
        </w:tc>
        <w:tc>
          <w:tcPr>
            <w:tcW w:w="2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6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Series C-1 redeemable convertible preferred stock, $0.001 par value; 239,092,424 shares authorized as of</w:t>
            </w:r>
          </w:p>
        </w:tc>
        <w:tc>
          <w:tcPr>
            <w:tcW w:w="24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March 31, 2026 and December 31, 2025, 239,016,017 shares issued and outstanding as of March 31, 2026</w:t>
            </w:r>
          </w:p>
        </w:tc>
        <w:tc>
          <w:tcPr>
            <w:tcW w:w="2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and December 31, 2025; liquidation preference of $175,041 as of March 31, 2026 and December 31, 2025,</w:t>
            </w:r>
          </w:p>
        </w:tc>
        <w:tc>
          <w:tcPr>
            <w:tcW w:w="240" w:type="dxa"/>
            <w:vAlign w:val="bottom"/>
            <w:shd w:val="clear" w:color="auto" w:fill="CFF0FC"/>
          </w:tcPr>
          <w:p>
            <w:pPr>
              <w:spacing w:after="0"/>
              <w:rPr>
                <w:sz w:val="12"/>
                <w:szCs w:val="12"/>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174,494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174,494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of issuance costs of $547</w:t>
            </w:r>
          </w:p>
        </w:tc>
        <w:tc>
          <w:tcPr>
            <w:tcW w:w="240" w:type="dxa"/>
            <w:vAlign w:val="bottom"/>
            <w:shd w:val="clear" w:color="auto" w:fill="CFF0FC"/>
          </w:tcPr>
          <w:p>
            <w:pPr>
              <w:spacing w:after="0"/>
              <w:rPr>
                <w:sz w:val="14"/>
                <w:szCs w:val="14"/>
                <w:color w:val="auto"/>
              </w:rPr>
            </w:pPr>
          </w:p>
        </w:tc>
        <w:tc>
          <w:tcPr>
            <w:tcW w:w="12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6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Series C-2 redeemable convertible preferred stock, $0.001 par value; 20,316,359 shares authorized as of</w:t>
            </w: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March 31, 2026 and December 31, 2025, 20,316,359 shares issued and outstanding as of March 31, 2026</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and December 31, 2025; liquidation preference of $11,903 as of March 31, 2026 and December 31, 2025,</w:t>
            </w:r>
          </w:p>
        </w:tc>
        <w:tc>
          <w:tcPr>
            <w:tcW w:w="24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of issuance costs of $49</w:t>
            </w:r>
          </w:p>
        </w:tc>
        <w:tc>
          <w:tcPr>
            <w:tcW w:w="2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786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Series D redeemable convertible preferred stock, $0.001 par value; 126,346,412 authorized as of</w:t>
            </w:r>
          </w:p>
        </w:tc>
        <w:tc>
          <w:tcPr>
            <w:tcW w:w="24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March 31, 2026 and December 31, 2025, 126,036,334 shares issued and outstanding as of March 31, 2026</w:t>
            </w:r>
          </w:p>
        </w:tc>
        <w:tc>
          <w:tcPr>
            <w:tcW w:w="24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and December 31, 2025; liquidation preference of $100,363 as of March 31, 2026 and December 31, 2025,</w:t>
            </w:r>
          </w:p>
        </w:tc>
        <w:tc>
          <w:tcPr>
            <w:tcW w:w="240" w:type="dxa"/>
            <w:vAlign w:val="bottom"/>
            <w:shd w:val="clear" w:color="auto" w:fill="CFF0FC"/>
          </w:tcPr>
          <w:p>
            <w:pPr>
              <w:spacing w:after="0"/>
              <w:rPr>
                <w:sz w:val="12"/>
                <w:szCs w:val="12"/>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99,769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99,769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of issuance costs of $594</w:t>
            </w:r>
          </w:p>
        </w:tc>
        <w:tc>
          <w:tcPr>
            <w:tcW w:w="240" w:type="dxa"/>
            <w:vAlign w:val="bottom"/>
            <w:shd w:val="clear" w:color="auto" w:fill="CFF0FC"/>
          </w:tcPr>
          <w:p>
            <w:pPr>
              <w:spacing w:after="0"/>
              <w:rPr>
                <w:sz w:val="14"/>
                <w:szCs w:val="14"/>
                <w:color w:val="auto"/>
              </w:rPr>
            </w:pPr>
          </w:p>
        </w:tc>
        <w:tc>
          <w:tcPr>
            <w:tcW w:w="12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STOCKHOLDERS’ DEFICIT</w:t>
            </w: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86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Common stock, $0.001 par value; 585,000,000 and 575,000,000 shares authorized as of March 31, 2026</w:t>
            </w:r>
          </w:p>
        </w:tc>
        <w:tc>
          <w:tcPr>
            <w:tcW w:w="24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FF0FC"/>
          </w:tcPr>
          <w:p>
            <w:pPr>
              <w:ind w:left="260"/>
              <w:spacing w:after="0" w:line="149" w:lineRule="exact"/>
              <w:rPr>
                <w:sz w:val="20"/>
                <w:szCs w:val="20"/>
                <w:color w:val="auto"/>
              </w:rPr>
            </w:pPr>
            <w:r>
              <w:rPr>
                <w:rFonts w:ascii="Times New Roman" w:cs="Times New Roman" w:eastAsia="Times New Roman" w:hAnsi="Times New Roman"/>
                <w:sz w:val="14"/>
                <w:szCs w:val="14"/>
                <w:color w:val="auto"/>
              </w:rPr>
              <w:t>and December 31, 2025, respectively; 1,232,442 and 1,227,186 shares issued and outstanding as of</w:t>
            </w:r>
          </w:p>
        </w:tc>
        <w:tc>
          <w:tcPr>
            <w:tcW w:w="240" w:type="dxa"/>
            <w:vAlign w:val="bottom"/>
            <w:shd w:val="clear" w:color="auto" w:fill="CFF0FC"/>
          </w:tcPr>
          <w:p>
            <w:pPr>
              <w:spacing w:after="0"/>
              <w:rPr>
                <w:sz w:val="12"/>
                <w:szCs w:val="12"/>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March 31, 2026 and December 31, 2025, respectively</w:t>
            </w:r>
          </w:p>
        </w:tc>
        <w:tc>
          <w:tcPr>
            <w:tcW w:w="240" w:type="dxa"/>
            <w:vAlign w:val="bottom"/>
            <w:shd w:val="clear" w:color="auto" w:fill="CFF0FC"/>
          </w:tcPr>
          <w:p>
            <w:pPr>
              <w:spacing w:after="0"/>
              <w:rPr>
                <w:sz w:val="14"/>
                <w:szCs w:val="14"/>
                <w:color w:val="auto"/>
              </w:rPr>
            </w:pPr>
          </w:p>
        </w:tc>
        <w:tc>
          <w:tcPr>
            <w:tcW w:w="12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8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27,950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26,548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240" w:type="dxa"/>
            <w:vAlign w:val="bottom"/>
            <w:shd w:val="clear" w:color="auto" w:fill="CFF0FC"/>
          </w:tcPr>
          <w:p>
            <w:pPr>
              <w:spacing w:after="0"/>
              <w:rPr>
                <w:sz w:val="12"/>
                <w:szCs w:val="12"/>
                <w:color w:val="auto"/>
              </w:rPr>
            </w:pPr>
          </w:p>
        </w:tc>
        <w:tc>
          <w:tcPr>
            <w:tcW w:w="12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240" w:type="dxa"/>
            <w:vAlign w:val="bottom"/>
          </w:tcPr>
          <w:p>
            <w:pPr>
              <w:spacing w:after="0"/>
              <w:rPr>
                <w:sz w:val="12"/>
                <w:szCs w:val="12"/>
                <w:color w:val="auto"/>
              </w:rPr>
            </w:pPr>
          </w:p>
        </w:tc>
        <w:tc>
          <w:tcPr>
            <w:tcW w:w="14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(292,231)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(265,362)</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860" w:type="dxa"/>
            <w:vAlign w:val="bottom"/>
            <w:shd w:val="clear" w:color="auto" w:fill="CFF0FC"/>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stockholders’ deficit</w:t>
            </w:r>
          </w:p>
        </w:tc>
        <w:tc>
          <w:tcPr>
            <w:tcW w:w="24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(264,245)</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(238,656)</w:t>
            </w:r>
          </w:p>
        </w:tc>
        <w:tc>
          <w:tcPr>
            <w:tcW w:w="0" w:type="dxa"/>
            <w:vAlign w:val="bottom"/>
          </w:tcPr>
          <w:p>
            <w:pPr>
              <w:spacing w:after="0"/>
              <w:rPr>
                <w:sz w:val="1"/>
                <w:szCs w:val="1"/>
                <w:color w:val="auto"/>
              </w:rPr>
            </w:pPr>
          </w:p>
        </w:tc>
      </w:tr>
      <w:tr>
        <w:trPr>
          <w:trHeight w:val="119"/>
        </w:trPr>
        <w:tc>
          <w:tcPr>
            <w:tcW w:w="7860" w:type="dxa"/>
            <w:vAlign w:val="bottom"/>
            <w:tcBorders>
              <w:top w:val="single" w:sz="8" w:color="CFF0FC"/>
            </w:tcBorders>
          </w:tcPr>
          <w:p>
            <w:pPr>
              <w:spacing w:after="0" w:line="119" w:lineRule="exact"/>
              <w:rPr>
                <w:sz w:val="20"/>
                <w:szCs w:val="20"/>
                <w:color w:val="auto"/>
              </w:rPr>
            </w:pPr>
            <w:r>
              <w:rPr>
                <w:rFonts w:ascii="Times New Roman" w:cs="Times New Roman" w:eastAsia="Times New Roman" w:hAnsi="Times New Roman"/>
                <w:sz w:val="13"/>
                <w:szCs w:val="13"/>
                <w:color w:val="auto"/>
              </w:rPr>
              <w:t>TOTAL LIABILITIES, REDEEMABLE CONVERTIBLE PREFERRED STOCK AND STOCKHOLDERS’</w:t>
            </w:r>
          </w:p>
        </w:tc>
        <w:tc>
          <w:tcPr>
            <w:tcW w:w="240" w:type="dxa"/>
            <w:vAlign w:val="bottom"/>
            <w:tcBorders>
              <w:top w:val="single" w:sz="8" w:color="auto"/>
            </w:tcBorders>
            <w:vMerge w:val="restart"/>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135,663</w:t>
            </w:r>
          </w:p>
        </w:tc>
        <w:tc>
          <w:tcPr>
            <w:tcW w:w="16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148,881</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7860" w:type="dxa"/>
            <w:vAlign w:val="bottom"/>
          </w:tcPr>
          <w:p>
            <w:pPr>
              <w:ind w:left="120"/>
              <w:spacing w:after="0" w:line="125" w:lineRule="exact"/>
              <w:rPr>
                <w:sz w:val="20"/>
                <w:szCs w:val="20"/>
                <w:color w:val="auto"/>
              </w:rPr>
            </w:pPr>
            <w:r>
              <w:rPr>
                <w:rFonts w:ascii="Times New Roman" w:cs="Times New Roman" w:eastAsia="Times New Roman" w:hAnsi="Times New Roman"/>
                <w:sz w:val="14"/>
                <w:szCs w:val="14"/>
                <w:color w:val="auto"/>
              </w:rPr>
              <w:t>DEFICIT</w:t>
            </w:r>
          </w:p>
        </w:tc>
        <w:tc>
          <w:tcPr>
            <w:tcW w:w="240" w:type="dxa"/>
            <w:vAlign w:val="bottom"/>
            <w:tcBorders>
              <w:bottom w:val="single" w:sz="8" w:color="auto"/>
            </w:tcBorders>
            <w:vMerge w:val="continue"/>
          </w:tcPr>
          <w:p>
            <w:pPr>
              <w:spacing w:after="0"/>
              <w:rPr>
                <w:sz w:val="11"/>
                <w:szCs w:val="11"/>
                <w:color w:val="auto"/>
              </w:rPr>
            </w:pPr>
          </w:p>
        </w:tc>
        <w:tc>
          <w:tcPr>
            <w:tcW w:w="1260" w:type="dxa"/>
            <w:vAlign w:val="bottom"/>
            <w:tcBorders>
              <w:bottom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-4817110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-4817110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-4225290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-4225290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-3145155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-3145155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-196215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AVALYN PHARMA INC.</w:t>
      </w:r>
    </w:p>
    <w:p>
      <w:pPr>
        <w:spacing w:after="0" w:line="31" w:lineRule="exact"/>
        <w:rPr>
          <w:sz w:val="20"/>
          <w:szCs w:val="20"/>
          <w:color w:val="auto"/>
        </w:rPr>
      </w:pPr>
    </w:p>
    <w:p>
      <w:pPr>
        <w:ind w:right="4860"/>
        <w:spacing w:after="0" w:line="260" w:lineRule="auto"/>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 thousands, except share and per share amounts) (Unaudited)</w:t>
      </w:r>
    </w:p>
    <w:p>
      <w:pPr>
        <w:spacing w:after="0" w:line="175"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22,889</w:t>
            </w:r>
          </w:p>
        </w:tc>
        <w:tc>
          <w:tcPr>
            <w:tcW w:w="18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(27,909)</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(18,716)</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770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other income</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(26,869)</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(17,503)</w:t>
            </w:r>
          </w:p>
        </w:tc>
        <w:tc>
          <w:tcPr>
            <w:tcW w:w="0" w:type="dxa"/>
            <w:vAlign w:val="bottom"/>
          </w:tcPr>
          <w:p>
            <w:pPr>
              <w:spacing w:after="0"/>
              <w:rPr>
                <w:sz w:val="1"/>
                <w:szCs w:val="1"/>
                <w:color w:val="auto"/>
              </w:rPr>
            </w:pPr>
          </w:p>
        </w:tc>
      </w:tr>
      <w:tr>
        <w:trPr>
          <w:trHeight w:val="210"/>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(26,869)</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(17,503)</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losses on marketable securities</w:t>
            </w:r>
          </w:p>
        </w:tc>
        <w:tc>
          <w:tcPr>
            <w:tcW w:w="3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(26,991)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(17,591)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(26,991)</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(17,591)</w:t>
            </w:r>
          </w:p>
        </w:tc>
        <w:tc>
          <w:tcPr>
            <w:tcW w:w="0" w:type="dxa"/>
            <w:vAlign w:val="bottom"/>
          </w:tcPr>
          <w:p>
            <w:pPr>
              <w:spacing w:after="0"/>
              <w:rPr>
                <w:sz w:val="1"/>
                <w:szCs w:val="1"/>
                <w:color w:val="auto"/>
              </w:rPr>
            </w:pP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(21.83)</w:t>
            </w:r>
          </w:p>
        </w:tc>
        <w:tc>
          <w:tcPr>
            <w:tcW w:w="4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(63.24)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700" w:type="dxa"/>
            <w:vAlign w:val="bottom"/>
            <w:shd w:val="clear" w:color="auto" w:fill="CFF0FC"/>
          </w:tcPr>
          <w:p>
            <w:pPr>
              <w:ind w:left="80"/>
              <w:spacing w:after="0" w:line="178" w:lineRule="exact"/>
              <w:rPr>
                <w:sz w:val="20"/>
                <w:szCs w:val="20"/>
                <w:color w:val="auto"/>
              </w:rPr>
            </w:pPr>
            <w:r>
              <w:rPr>
                <w:rFonts w:ascii="Times New Roman" w:cs="Times New Roman" w:eastAsia="Times New Roman" w:hAnsi="Times New Roman"/>
                <w:sz w:val="18"/>
                <w:szCs w:val="18"/>
                <w:color w:val="auto"/>
              </w:rPr>
              <w:t>Weighted-average number of common stock used in net</w:t>
            </w:r>
          </w:p>
        </w:tc>
        <w:tc>
          <w:tcPr>
            <w:tcW w:w="360" w:type="dxa"/>
            <w:vAlign w:val="bottom"/>
            <w:shd w:val="clear" w:color="auto" w:fill="CFF0FC"/>
          </w:tcPr>
          <w:p>
            <w:pPr>
              <w:spacing w:after="0"/>
              <w:rPr>
                <w:sz w:val="15"/>
                <w:szCs w:val="15"/>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1,230,698</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276,792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700" w:type="dxa"/>
            <w:vAlign w:val="bottom"/>
            <w:tcBorders>
              <w:bottom w:val="single" w:sz="8" w:color="CFF0FC"/>
            </w:tcBorders>
            <w:shd w:val="clear" w:color="auto" w:fill="CFF0FC"/>
          </w:tcPr>
          <w:p>
            <w:pPr>
              <w:ind w:left="220"/>
              <w:spacing w:after="0" w:line="194" w:lineRule="exact"/>
              <w:rPr>
                <w:sz w:val="20"/>
                <w:szCs w:val="20"/>
                <w:color w:val="auto"/>
              </w:rPr>
            </w:pPr>
            <w:r>
              <w:rPr>
                <w:rFonts w:ascii="Times New Roman" w:cs="Times New Roman" w:eastAsia="Times New Roman" w:hAnsi="Times New Roman"/>
                <w:sz w:val="18"/>
                <w:szCs w:val="18"/>
                <w:color w:val="auto"/>
              </w:rPr>
              <w:t>loss per share, basic and diluted</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-2433955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-2433955</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-1593850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-1311275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-1311275</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-753745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-753745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-462280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-445135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-462280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-445135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-8255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AVALYN PHARMA INC.</w:t>
      </w:r>
    </w:p>
    <w:p>
      <w:pPr>
        <w:spacing w:after="0" w:line="31" w:lineRule="exact"/>
        <w:rPr>
          <w:sz w:val="20"/>
          <w:szCs w:val="20"/>
          <w:color w:val="auto"/>
        </w:rPr>
      </w:pPr>
    </w:p>
    <w:p>
      <w:pPr>
        <w:ind w:right="900"/>
        <w:spacing w:after="0" w:line="250"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CONVERTIBLE PREFERRED STOCK AND STOCKHOLDERS' DEFICIT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amounts) (Unaudited)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240" w:type="dxa"/>
            <w:vAlign w:val="bottom"/>
          </w:tcPr>
          <w:p>
            <w:pPr>
              <w:spacing w:after="0"/>
              <w:rPr>
                <w:sz w:val="11"/>
                <w:szCs w:val="11"/>
                <w:color w:val="auto"/>
              </w:rPr>
            </w:pPr>
          </w:p>
        </w:tc>
        <w:tc>
          <w:tcPr>
            <w:tcW w:w="800" w:type="dxa"/>
            <w:vAlign w:val="bottom"/>
            <w:gridSpan w:val="3"/>
            <w:vMerge w:val="restart"/>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w w:val="97"/>
              </w:rPr>
              <w:t>Series A</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vMerge w:val="restart"/>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w w:val="94"/>
              </w:rPr>
              <w:t>Series B</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vMerge w:val="restart"/>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w w:val="99"/>
              </w:rPr>
              <w:t>Series C-1</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Series C-2</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1"/>
                <w:szCs w:val="11"/>
                <w:b w:val="1"/>
                <w:bCs w:val="1"/>
                <w:color w:val="auto"/>
              </w:rPr>
              <w:t>Series 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Additio</w:t>
            </w:r>
          </w:p>
        </w:tc>
        <w:tc>
          <w:tcPr>
            <w:tcW w:w="100" w:type="dxa"/>
            <w:vAlign w:val="bottom"/>
          </w:tcPr>
          <w:p>
            <w:pPr>
              <w:spacing w:after="0"/>
              <w:rPr>
                <w:sz w:val="11"/>
                <w:szCs w:val="11"/>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1240" w:type="dxa"/>
            <w:vAlign w:val="bottom"/>
          </w:tcPr>
          <w:p>
            <w:pPr>
              <w:spacing w:after="0"/>
              <w:rPr>
                <w:sz w:val="10"/>
                <w:szCs w:val="10"/>
                <w:color w:val="auto"/>
              </w:rPr>
            </w:pPr>
          </w:p>
        </w:tc>
        <w:tc>
          <w:tcPr>
            <w:tcW w:w="800" w:type="dxa"/>
            <w:vAlign w:val="bottom"/>
            <w:tcBorders>
              <w:bottom w:val="single" w:sz="8" w:color="auto"/>
            </w:tcBorders>
            <w:gridSpan w:val="3"/>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auto"/>
            </w:tcBorders>
            <w:gridSpan w:val="3"/>
            <w:vMerge w:val="continue"/>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bottom w:val="single" w:sz="8" w:color="auto"/>
            </w:tcBorders>
            <w:gridSpan w:val="3"/>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bottom w:val="single" w:sz="8" w:color="auto"/>
            </w:tcBorders>
            <w:gridSpan w:val="3"/>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bottom w:val="single" w:sz="8" w:color="auto"/>
            </w:tcBorders>
            <w:gridSpan w:val="3"/>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4"/>
          </w:tcPr>
          <w:p>
            <w:pPr>
              <w:jc w:val="center"/>
              <w:ind w:left="186"/>
              <w:spacing w:after="0" w:line="124"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jc w:val="center"/>
              <w:ind w:right="46"/>
              <w:spacing w:after="0" w:line="124" w:lineRule="exact"/>
              <w:rPr>
                <w:sz w:val="20"/>
                <w:szCs w:val="20"/>
                <w:color w:val="auto"/>
              </w:rPr>
            </w:pPr>
            <w:r>
              <w:rPr>
                <w:rFonts w:ascii="Times New Roman" w:cs="Times New Roman" w:eastAsia="Times New Roman" w:hAnsi="Times New Roman"/>
                <w:sz w:val="11"/>
                <w:szCs w:val="11"/>
                <w:b w:val="1"/>
                <w:bCs w:val="1"/>
                <w:color w:val="auto"/>
                <w:w w:val="95"/>
              </w:rPr>
              <w:t>nal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99"/>
        </w:trPr>
        <w:tc>
          <w:tcPr>
            <w:tcW w:w="1240" w:type="dxa"/>
            <w:vAlign w:val="bottom"/>
          </w:tcPr>
          <w:p>
            <w:pPr>
              <w:spacing w:after="0"/>
              <w:rPr>
                <w:sz w:val="8"/>
                <w:szCs w:val="8"/>
                <w:color w:val="auto"/>
              </w:rPr>
            </w:pPr>
          </w:p>
        </w:tc>
        <w:tc>
          <w:tcPr>
            <w:tcW w:w="10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20" w:type="dxa"/>
            <w:vAlign w:val="bottom"/>
          </w:tcPr>
          <w:p>
            <w:pPr>
              <w:spacing w:after="0"/>
              <w:rPr>
                <w:sz w:val="8"/>
                <w:szCs w:val="8"/>
                <w:color w:val="auto"/>
              </w:rPr>
            </w:pPr>
          </w:p>
        </w:tc>
        <w:tc>
          <w:tcPr>
            <w:tcW w:w="9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20" w:type="dxa"/>
            <w:vAlign w:val="bottom"/>
          </w:tcPr>
          <w:p>
            <w:pPr>
              <w:spacing w:after="0"/>
              <w:rPr>
                <w:sz w:val="8"/>
                <w:szCs w:val="8"/>
                <w:color w:val="auto"/>
              </w:rPr>
            </w:pPr>
          </w:p>
        </w:tc>
        <w:tc>
          <w:tcPr>
            <w:tcW w:w="11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20" w:type="dxa"/>
            <w:vAlign w:val="bottom"/>
          </w:tcPr>
          <w:p>
            <w:pPr>
              <w:spacing w:after="0"/>
              <w:rPr>
                <w:sz w:val="8"/>
                <w:szCs w:val="8"/>
                <w:color w:val="auto"/>
              </w:rPr>
            </w:pPr>
          </w:p>
        </w:tc>
        <w:tc>
          <w:tcPr>
            <w:tcW w:w="10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00" w:type="dxa"/>
            <w:vAlign w:val="bottom"/>
          </w:tcPr>
          <w:p>
            <w:pPr>
              <w:spacing w:after="0"/>
              <w:rPr>
                <w:sz w:val="8"/>
                <w:szCs w:val="8"/>
                <w:color w:val="auto"/>
              </w:rPr>
            </w:pPr>
          </w:p>
        </w:tc>
        <w:tc>
          <w:tcPr>
            <w:tcW w:w="10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3"/>
            <w:vMerge w:val="restart"/>
          </w:tcPr>
          <w:p>
            <w:pPr>
              <w:jc w:val="center"/>
              <w:ind w:left="3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3"/>
          </w:tcPr>
          <w:p>
            <w:pPr>
              <w:jc w:val="center"/>
              <w:ind w:right="120"/>
              <w:spacing w:after="0" w:line="100" w:lineRule="exact"/>
              <w:rPr>
                <w:sz w:val="20"/>
                <w:szCs w:val="20"/>
                <w:color w:val="auto"/>
              </w:rPr>
            </w:pPr>
            <w:r>
              <w:rPr>
                <w:rFonts w:ascii="Times New Roman" w:cs="Times New Roman" w:eastAsia="Times New Roman" w:hAnsi="Times New Roman"/>
                <w:sz w:val="11"/>
                <w:szCs w:val="11"/>
                <w:b w:val="1"/>
                <w:bCs w:val="1"/>
                <w:color w:val="auto"/>
                <w:w w:val="98"/>
              </w:rPr>
              <w:t>Comprehensi</w:t>
            </w:r>
          </w:p>
        </w:tc>
        <w:tc>
          <w:tcPr>
            <w:tcW w:w="660" w:type="dxa"/>
            <w:vAlign w:val="bottom"/>
            <w:gridSpan w:val="2"/>
          </w:tcPr>
          <w:p>
            <w:pPr>
              <w:jc w:val="center"/>
              <w:ind w:right="66"/>
              <w:spacing w:after="0" w:line="100" w:lineRule="exact"/>
              <w:rPr>
                <w:sz w:val="20"/>
                <w:szCs w:val="20"/>
                <w:color w:val="auto"/>
              </w:rPr>
            </w:pPr>
            <w:r>
              <w:rPr>
                <w:rFonts w:ascii="Times New Roman" w:cs="Times New Roman" w:eastAsia="Times New Roman" w:hAnsi="Times New Roman"/>
                <w:sz w:val="11"/>
                <w:szCs w:val="11"/>
                <w:b w:val="1"/>
                <w:bCs w:val="1"/>
                <w:color w:val="auto"/>
                <w:w w:val="97"/>
              </w:rPr>
              <w:t>Accumulat</w:t>
            </w: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240" w:type="dxa"/>
            <w:vAlign w:val="bottom"/>
          </w:tcPr>
          <w:p>
            <w:pPr>
              <w:spacing w:after="0"/>
              <w:rPr>
                <w:sz w:val="10"/>
                <w:szCs w:val="10"/>
                <w:color w:val="auto"/>
              </w:rPr>
            </w:pPr>
          </w:p>
        </w:tc>
        <w:tc>
          <w:tcPr>
            <w:tcW w:w="108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bottom w:val="single" w:sz="8" w:color="auto"/>
            </w:tcBorders>
            <w:gridSpan w:val="3"/>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1"/>
                <w:szCs w:val="11"/>
                <w:b w:val="1"/>
                <w:bCs w:val="1"/>
                <w:color w:val="auto"/>
                <w:w w:val="95"/>
              </w:rPr>
              <w:t>ve</w:t>
            </w:r>
          </w:p>
        </w:tc>
        <w:tc>
          <w:tcPr>
            <w:tcW w:w="80" w:type="dxa"/>
            <w:vAlign w:val="bottom"/>
          </w:tcPr>
          <w:p>
            <w:pPr>
              <w:spacing w:after="0"/>
              <w:rPr>
                <w:sz w:val="10"/>
                <w:szCs w:val="10"/>
                <w:color w:val="auto"/>
              </w:rPr>
            </w:pPr>
          </w:p>
        </w:tc>
        <w:tc>
          <w:tcPr>
            <w:tcW w:w="580" w:type="dxa"/>
            <w:vAlign w:val="bottom"/>
          </w:tcPr>
          <w:p>
            <w:pPr>
              <w:jc w:val="center"/>
              <w:ind w:right="146"/>
              <w:spacing w:after="0" w:line="124" w:lineRule="exact"/>
              <w:rPr>
                <w:sz w:val="20"/>
                <w:szCs w:val="20"/>
                <w:color w:val="auto"/>
              </w:rPr>
            </w:pPr>
            <w:r>
              <w:rPr>
                <w:rFonts w:ascii="Times New Roman" w:cs="Times New Roman" w:eastAsia="Times New Roman" w:hAnsi="Times New Roman"/>
                <w:sz w:val="11"/>
                <w:szCs w:val="11"/>
                <w:b w:val="1"/>
                <w:bCs w:val="1"/>
                <w:color w:val="auto"/>
                <w:w w:val="90"/>
              </w:rPr>
              <w:t>ed</w:t>
            </w:r>
          </w:p>
        </w:tc>
        <w:tc>
          <w:tcPr>
            <w:tcW w:w="80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99"/>
        </w:trPr>
        <w:tc>
          <w:tcPr>
            <w:tcW w:w="1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Amoun</w:t>
            </w: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Amoun</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gridSpan w:val="2"/>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Amou</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Amou</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240" w:type="dxa"/>
            <w:vAlign w:val="bottom"/>
          </w:tcPr>
          <w:p>
            <w:pPr>
              <w:spacing w:after="0"/>
              <w:rPr>
                <w:sz w:val="11"/>
                <w:szCs w:val="11"/>
                <w:color w:val="auto"/>
              </w:rPr>
            </w:pPr>
          </w:p>
        </w:tc>
        <w:tc>
          <w:tcPr>
            <w:tcW w:w="60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t</w:t>
            </w:r>
          </w:p>
        </w:tc>
        <w:tc>
          <w:tcPr>
            <w:tcW w:w="120" w:type="dxa"/>
            <w:vAlign w:val="bottom"/>
          </w:tcPr>
          <w:p>
            <w:pPr>
              <w:spacing w:after="0"/>
              <w:rPr>
                <w:sz w:val="11"/>
                <w:szCs w:val="11"/>
                <w:color w:val="auto"/>
              </w:rPr>
            </w:pPr>
          </w:p>
        </w:tc>
        <w:tc>
          <w:tcPr>
            <w:tcW w:w="4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t</w:t>
            </w:r>
          </w:p>
        </w:tc>
        <w:tc>
          <w:tcPr>
            <w:tcW w:w="120" w:type="dxa"/>
            <w:vAlign w:val="bottom"/>
          </w:tcPr>
          <w:p>
            <w:pPr>
              <w:spacing w:after="0"/>
              <w:rPr>
                <w:sz w:val="11"/>
                <w:szCs w:val="11"/>
                <w:color w:val="auto"/>
              </w:rPr>
            </w:pPr>
          </w:p>
        </w:tc>
        <w:tc>
          <w:tcPr>
            <w:tcW w:w="6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1"/>
                <w:szCs w:val="11"/>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nt</w:t>
            </w:r>
          </w:p>
        </w:tc>
        <w:tc>
          <w:tcPr>
            <w:tcW w:w="100" w:type="dxa"/>
            <w:vAlign w:val="bottom"/>
          </w:tcPr>
          <w:p>
            <w:pPr>
              <w:spacing w:after="0"/>
              <w:rPr>
                <w:sz w:val="11"/>
                <w:szCs w:val="11"/>
                <w:color w:val="auto"/>
              </w:rPr>
            </w:pP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gridSpan w:val="2"/>
          </w:tcPr>
          <w:p>
            <w:pPr>
              <w:spacing w:after="0"/>
              <w:rPr>
                <w:sz w:val="11"/>
                <w:szCs w:val="11"/>
                <w:color w:val="auto"/>
              </w:rPr>
            </w:pPr>
          </w:p>
        </w:tc>
        <w:tc>
          <w:tcPr>
            <w:tcW w:w="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11"/>
                <w:szCs w:val="11"/>
                <w:color w:val="auto"/>
              </w:rPr>
            </w:pPr>
          </w:p>
        </w:tc>
        <w:tc>
          <w:tcPr>
            <w:tcW w:w="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4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BALANCES -</w:t>
            </w:r>
          </w:p>
        </w:tc>
        <w:tc>
          <w:tcPr>
            <w:tcW w:w="6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8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49,17</w:t>
            </w:r>
          </w:p>
        </w:tc>
        <w:tc>
          <w:tcPr>
            <w:tcW w:w="60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25,208,</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8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35,37</w:t>
            </w:r>
          </w:p>
        </w:tc>
        <w:tc>
          <w:tcPr>
            <w:tcW w:w="74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239,016,01</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w w:val="99"/>
              </w:rPr>
              <w:t>174,49</w:t>
            </w:r>
          </w:p>
        </w:tc>
        <w:tc>
          <w:tcPr>
            <w:tcW w:w="70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20,316,35</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13,4</w:t>
            </w:r>
          </w:p>
        </w:tc>
        <w:tc>
          <w:tcPr>
            <w:tcW w:w="66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126,036,3</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4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99,7</w:t>
            </w:r>
          </w:p>
        </w:tc>
        <w:tc>
          <w:tcPr>
            <w:tcW w:w="220" w:type="dxa"/>
            <w:vAlign w:val="bottom"/>
            <w:tcBorders>
              <w:right w:val="single" w:sz="8" w:color="auto"/>
            </w:tcBorders>
            <w:gridSpan w:val="2"/>
            <w:shd w:val="clear" w:color="auto" w:fill="CFF0FC"/>
          </w:tcPr>
          <w:p>
            <w:pPr>
              <w:spacing w:after="0"/>
              <w:rPr>
                <w:sz w:val="8"/>
                <w:szCs w:val="8"/>
                <w:color w:val="auto"/>
              </w:rPr>
            </w:pPr>
          </w:p>
        </w:tc>
        <w:tc>
          <w:tcPr>
            <w:tcW w:w="62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1,227,18</w:t>
            </w: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26,54</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80" w:type="dxa"/>
            <w:vAlign w:val="bottom"/>
            <w:tcBorders>
              <w:right w:val="single" w:sz="8" w:color="CFF0FC"/>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49,651,129</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502</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220" w:type="dxa"/>
            <w:vAlign w:val="bottom"/>
            <w:tcBorders>
              <w:right w:val="single" w:sz="8" w:color="auto"/>
            </w:tcBorders>
            <w:gridSpan w:val="2"/>
            <w:shd w:val="clear" w:color="auto" w:fill="CFF0FC"/>
          </w:tcPr>
          <w:p>
            <w:pPr>
              <w:spacing w:after="0"/>
              <w:rPr>
                <w:sz w:val="11"/>
                <w:szCs w:val="11"/>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(265,362)</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(238,656)</w:t>
            </w:r>
          </w:p>
        </w:tc>
        <w:tc>
          <w:tcPr>
            <w:tcW w:w="0" w:type="dxa"/>
            <w:vAlign w:val="bottom"/>
          </w:tcPr>
          <w:p>
            <w:pPr>
              <w:spacing w:after="0"/>
              <w:rPr>
                <w:sz w:val="1"/>
                <w:szCs w:val="1"/>
                <w:color w:val="auto"/>
              </w:rPr>
            </w:pPr>
          </w:p>
        </w:tc>
      </w:tr>
      <w:tr>
        <w:trPr>
          <w:trHeight w:val="108"/>
        </w:trPr>
        <w:tc>
          <w:tcPr>
            <w:tcW w:w="12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warrants in</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connection with Term</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20"/>
                <w:szCs w:val="20"/>
                <w:color w:val="auto"/>
              </w:rPr>
            </w:pPr>
            <w:r>
              <w:rPr>
                <w:rFonts w:ascii="Times New Roman" w:cs="Times New Roman" w:eastAsia="Times New Roman" w:hAnsi="Times New Roman"/>
                <w:sz w:val="11"/>
                <w:szCs w:val="11"/>
                <w:color w:val="auto"/>
              </w:rPr>
              <w:t>Loan</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Stock options exercised</w:t>
            </w:r>
          </w:p>
        </w:tc>
        <w:tc>
          <w:tcPr>
            <w:tcW w:w="6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4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gridSpan w:val="2"/>
            <w:shd w:val="clear" w:color="auto" w:fill="CFF0FC"/>
          </w:tcPr>
          <w:p>
            <w:pPr>
              <w:spacing w:after="0"/>
              <w:rPr>
                <w:sz w:val="10"/>
                <w:szCs w:val="10"/>
                <w:color w:val="auto"/>
              </w:rPr>
            </w:pPr>
          </w:p>
        </w:tc>
        <w:tc>
          <w:tcPr>
            <w:tcW w:w="6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5,256</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25</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80" w:type="dxa"/>
            <w:vAlign w:val="bottom"/>
            <w:tcBorders>
              <w:right w:val="single" w:sz="8" w:color="CFF0FC"/>
            </w:tcBorders>
            <w:shd w:val="clear" w:color="auto" w:fill="CFF0FC"/>
          </w:tcPr>
          <w:p>
            <w:pPr>
              <w:jc w:val="right"/>
              <w:ind w:right="66"/>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20"/>
                <w:szCs w:val="20"/>
                <w:color w:val="auto"/>
              </w:rPr>
            </w:pPr>
            <w:r>
              <w:rPr>
                <w:rFonts w:ascii="Times New Roman" w:cs="Times New Roman" w:eastAsia="Times New Roman" w:hAnsi="Times New Roman"/>
                <w:sz w:val="11"/>
                <w:szCs w:val="11"/>
                <w:color w:val="auto"/>
              </w:rPr>
              <w:t>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4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Other comprehensive</w:t>
            </w: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loss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(122)</w:t>
            </w:r>
          </w:p>
        </w:tc>
        <w:tc>
          <w:tcPr>
            <w:tcW w:w="8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(122)</w:t>
            </w:r>
          </w:p>
        </w:tc>
        <w:tc>
          <w:tcPr>
            <w:tcW w:w="0" w:type="dxa"/>
            <w:vAlign w:val="bottom"/>
          </w:tcPr>
          <w:p>
            <w:pPr>
              <w:spacing w:after="0"/>
              <w:rPr>
                <w:sz w:val="1"/>
                <w:szCs w:val="1"/>
                <w:color w:val="auto"/>
              </w:rPr>
            </w:pPr>
          </w:p>
        </w:tc>
      </w:tr>
      <w:tr>
        <w:trPr>
          <w:trHeight w:val="122"/>
        </w:trPr>
        <w:tc>
          <w:tcPr>
            <w:tcW w:w="1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(26,869)</w:t>
            </w:r>
          </w:p>
        </w:tc>
        <w:tc>
          <w:tcPr>
            <w:tcW w:w="12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(26,869)</w:t>
            </w:r>
          </w:p>
        </w:tc>
        <w:tc>
          <w:tcPr>
            <w:tcW w:w="0" w:type="dxa"/>
            <w:vAlign w:val="bottom"/>
          </w:tcPr>
          <w:p>
            <w:pPr>
              <w:spacing w:after="0"/>
              <w:rPr>
                <w:sz w:val="1"/>
                <w:szCs w:val="1"/>
                <w:color w:val="auto"/>
              </w:rPr>
            </w:pPr>
          </w:p>
        </w:tc>
      </w:tr>
      <w:tr>
        <w:trPr>
          <w:trHeight w:val="101"/>
        </w:trPr>
        <w:tc>
          <w:tcPr>
            <w:tcW w:w="12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b w:val="1"/>
                <w:bCs w:val="1"/>
                <w:color w:val="auto"/>
              </w:rPr>
              <w:t>BALANCES -</w:t>
            </w:r>
          </w:p>
        </w:tc>
        <w:tc>
          <w:tcPr>
            <w:tcW w:w="60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8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49,17</w:t>
            </w:r>
          </w:p>
        </w:tc>
        <w:tc>
          <w:tcPr>
            <w:tcW w:w="120" w:type="dxa"/>
            <w:vAlign w:val="bottom"/>
            <w:shd w:val="clear" w:color="auto" w:fill="CFF0FC"/>
          </w:tcPr>
          <w:p>
            <w:pPr>
              <w:spacing w:after="0"/>
              <w:rPr>
                <w:sz w:val="8"/>
                <w:szCs w:val="8"/>
                <w:color w:val="auto"/>
              </w:rPr>
            </w:pPr>
          </w:p>
        </w:tc>
        <w:tc>
          <w:tcPr>
            <w:tcW w:w="48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25,208,</w:t>
            </w: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8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35,37</w:t>
            </w:r>
          </w:p>
        </w:tc>
        <w:tc>
          <w:tcPr>
            <w:tcW w:w="120" w:type="dxa"/>
            <w:vAlign w:val="bottom"/>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239,016,01</w:t>
            </w:r>
          </w:p>
        </w:tc>
        <w:tc>
          <w:tcPr>
            <w:tcW w:w="1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32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w w:val="99"/>
              </w:rPr>
              <w:t>174,49</w:t>
            </w:r>
          </w:p>
        </w:tc>
        <w:tc>
          <w:tcPr>
            <w:tcW w:w="120" w:type="dxa"/>
            <w:vAlign w:val="bottom"/>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20,316,35</w:t>
            </w:r>
          </w:p>
        </w:tc>
        <w:tc>
          <w:tcPr>
            <w:tcW w:w="1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26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13,4</w:t>
            </w:r>
          </w:p>
        </w:tc>
        <w:tc>
          <w:tcPr>
            <w:tcW w:w="100" w:type="dxa"/>
            <w:vAlign w:val="bottom"/>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126,036,3</w:t>
            </w:r>
          </w:p>
        </w:tc>
        <w:tc>
          <w:tcPr>
            <w:tcW w:w="1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99,7</w:t>
            </w: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right w:val="single" w:sz="8" w:color="auto"/>
            </w:tcBorders>
            <w:shd w:val="clear" w:color="auto" w:fill="CFF0FC"/>
          </w:tcPr>
          <w:p>
            <w:pPr>
              <w:spacing w:after="0"/>
              <w:rPr>
                <w:sz w:val="8"/>
                <w:szCs w:val="8"/>
                <w:color w:val="auto"/>
              </w:rPr>
            </w:pPr>
          </w:p>
        </w:tc>
        <w:tc>
          <w:tcPr>
            <w:tcW w:w="620" w:type="dxa"/>
            <w:vAlign w:val="bottom"/>
            <w:tcBorders>
              <w:top w:val="single" w:sz="8" w:color="auto"/>
            </w:tcBorders>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1,232,44</w:t>
            </w:r>
          </w:p>
        </w:tc>
        <w:tc>
          <w:tcPr>
            <w:tcW w:w="10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160" w:type="dxa"/>
            <w:vAlign w:val="bottom"/>
            <w:tcBorders>
              <w:top w:val="single" w:sz="8" w:color="auto"/>
            </w:tcBorders>
            <w:shd w:val="clear" w:color="auto" w:fill="CFF0FC"/>
          </w:tcPr>
          <w:p>
            <w:pPr>
              <w:spacing w:after="0"/>
              <w:rPr>
                <w:sz w:val="8"/>
                <w:szCs w:val="8"/>
                <w:color w:val="auto"/>
              </w:rPr>
            </w:pPr>
          </w:p>
        </w:tc>
        <w:tc>
          <w:tcPr>
            <w:tcW w:w="24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320" w:type="dxa"/>
            <w:vAlign w:val="bottom"/>
            <w:tcBorders>
              <w:top w:val="single" w:sz="8" w:color="auto"/>
            </w:tcBorders>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27,95</w:t>
            </w:r>
          </w:p>
        </w:tc>
        <w:tc>
          <w:tcPr>
            <w:tcW w:w="1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580" w:type="dxa"/>
            <w:vAlign w:val="bottom"/>
            <w:tcBorders>
              <w:top w:val="single" w:sz="8" w:color="auto"/>
              <w:right w:val="single" w:sz="8" w:color="CFF0FC"/>
            </w:tcBorders>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1240" w:type="dxa"/>
            <w:vAlign w:val="bottom"/>
            <w:vMerge w:val="continue"/>
            <w:shd w:val="clear" w:color="auto" w:fill="CFF0FC"/>
          </w:tcPr>
          <w:p>
            <w:pPr>
              <w:spacing w:after="0"/>
              <w:rPr>
                <w:sz w:val="3"/>
                <w:szCs w:val="3"/>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49,651,129</w:t>
            </w:r>
          </w:p>
        </w:tc>
        <w:tc>
          <w:tcPr>
            <w:tcW w:w="20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6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502</w:t>
            </w:r>
          </w:p>
        </w:tc>
        <w:tc>
          <w:tcPr>
            <w:tcW w:w="20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7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00" w:type="dxa"/>
            <w:vAlign w:val="bottom"/>
            <w:gridSpan w:val="2"/>
            <w:vMerge w:val="restart"/>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7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6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20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69</w:t>
            </w:r>
          </w:p>
        </w:tc>
        <w:tc>
          <w:tcPr>
            <w:tcW w:w="100" w:type="dxa"/>
            <w:vAlign w:val="bottom"/>
            <w:shd w:val="clear" w:color="auto" w:fill="CFF0FC"/>
          </w:tcPr>
          <w:p>
            <w:pPr>
              <w:spacing w:after="0"/>
              <w:rPr>
                <w:sz w:val="3"/>
                <w:szCs w:val="3"/>
                <w:color w:val="auto"/>
              </w:rPr>
            </w:pPr>
          </w:p>
        </w:tc>
        <w:tc>
          <w:tcPr>
            <w:tcW w:w="120" w:type="dxa"/>
            <w:vAlign w:val="bottom"/>
            <w:tcBorders>
              <w:right w:val="single" w:sz="8" w:color="auto"/>
            </w:tcBorders>
            <w:shd w:val="clear" w:color="auto" w:fill="CFF0FC"/>
          </w:tcPr>
          <w:p>
            <w:pPr>
              <w:spacing w:after="0"/>
              <w:rPr>
                <w:sz w:val="3"/>
                <w:szCs w:val="3"/>
                <w:color w:val="auto"/>
              </w:rPr>
            </w:pPr>
          </w:p>
        </w:tc>
        <w:tc>
          <w:tcPr>
            <w:tcW w:w="6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FF0FC"/>
          </w:tcPr>
          <w:p>
            <w:pPr>
              <w:spacing w:after="0"/>
              <w:rPr>
                <w:sz w:val="3"/>
                <w:szCs w:val="3"/>
                <w:color w:val="auto"/>
              </w:rPr>
            </w:pPr>
          </w:p>
        </w:tc>
        <w:tc>
          <w:tcPr>
            <w:tcW w:w="120" w:type="dxa"/>
            <w:vAlign w:val="bottom"/>
            <w:shd w:val="clear" w:color="auto" w:fill="CFF0FC"/>
          </w:tcPr>
          <w:p>
            <w:pPr>
              <w:spacing w:after="0"/>
              <w:rPr>
                <w:sz w:val="3"/>
                <w:szCs w:val="3"/>
                <w:color w:val="auto"/>
              </w:rPr>
            </w:pPr>
          </w:p>
        </w:tc>
        <w:tc>
          <w:tcPr>
            <w:tcW w:w="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shd w:val="clear" w:color="auto" w:fill="CFF0FC"/>
          </w:tcPr>
          <w:p>
            <w:pPr>
              <w:spacing w:after="0"/>
              <w:rPr>
                <w:sz w:val="3"/>
                <w:szCs w:val="3"/>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right w:val="single" w:sz="8" w:color="CFF0FC"/>
            </w:tcBorders>
            <w:vMerge w:val="restart"/>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(292,231 )</w:t>
            </w: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(264,245)</w:t>
            </w:r>
          </w:p>
        </w:tc>
        <w:tc>
          <w:tcPr>
            <w:tcW w:w="0" w:type="dxa"/>
            <w:vAlign w:val="bottom"/>
          </w:tcPr>
          <w:p>
            <w:pPr>
              <w:spacing w:after="0" w:line="20" w:lineRule="exact"/>
              <w:rPr>
                <w:sz w:val="1"/>
                <w:szCs w:val="1"/>
                <w:color w:val="auto"/>
              </w:rPr>
            </w:pPr>
          </w:p>
        </w:tc>
      </w:tr>
      <w:tr>
        <w:trPr>
          <w:trHeight w:val="137"/>
        </w:trPr>
        <w:tc>
          <w:tcPr>
            <w:tcW w:w="1240" w:type="dxa"/>
            <w:vAlign w:val="bottom"/>
            <w:shd w:val="clear" w:color="auto" w:fill="CFF0FC"/>
          </w:tcPr>
          <w:p>
            <w:pPr>
              <w:ind w:left="80"/>
              <w:spacing w:after="0" w:line="91" w:lineRule="exact"/>
              <w:rPr>
                <w:sz w:val="20"/>
                <w:szCs w:val="20"/>
                <w:color w:val="auto"/>
              </w:rPr>
            </w:pPr>
            <w:r>
              <w:rPr>
                <w:rFonts w:ascii="Times New Roman" w:cs="Times New Roman" w:eastAsia="Times New Roman" w:hAnsi="Times New Roman"/>
                <w:sz w:val="10"/>
                <w:szCs w:val="10"/>
                <w:b w:val="1"/>
                <w:bCs w:val="1"/>
                <w:color w:val="auto"/>
              </w:rPr>
              <w:t>March 31, 2026</w:t>
            </w:r>
          </w:p>
        </w:tc>
        <w:tc>
          <w:tcPr>
            <w:tcW w:w="600" w:type="dxa"/>
            <w:vAlign w:val="bottom"/>
            <w:vMerge w:val="continue"/>
            <w:shd w:val="clear" w:color="auto" w:fill="CFF0FC"/>
          </w:tcPr>
          <w:p>
            <w:pPr>
              <w:spacing w:after="0"/>
              <w:rPr>
                <w:sz w:val="11"/>
                <w:szCs w:val="11"/>
                <w:color w:val="auto"/>
              </w:rPr>
            </w:pPr>
          </w:p>
        </w:tc>
        <w:tc>
          <w:tcPr>
            <w:tcW w:w="200" w:type="dxa"/>
            <w:vAlign w:val="bottom"/>
            <w:gridSpan w:val="2"/>
            <w:vMerge w:val="continue"/>
            <w:shd w:val="clear" w:color="auto" w:fill="CFF0FC"/>
          </w:tcPr>
          <w:p>
            <w:pPr>
              <w:spacing w:after="0"/>
              <w:rPr>
                <w:sz w:val="11"/>
                <w:szCs w:val="11"/>
                <w:color w:val="auto"/>
              </w:rPr>
            </w:pPr>
          </w:p>
        </w:tc>
        <w:tc>
          <w:tcPr>
            <w:tcW w:w="280" w:type="dxa"/>
            <w:vAlign w:val="bottom"/>
            <w:vMerge w:val="continue"/>
            <w:shd w:val="clear" w:color="auto" w:fill="CFF0FC"/>
          </w:tcPr>
          <w:p>
            <w:pPr>
              <w:spacing w:after="0"/>
              <w:rPr>
                <w:sz w:val="11"/>
                <w:szCs w:val="11"/>
                <w:color w:val="auto"/>
              </w:rPr>
            </w:pPr>
          </w:p>
        </w:tc>
        <w:tc>
          <w:tcPr>
            <w:tcW w:w="600" w:type="dxa"/>
            <w:vAlign w:val="bottom"/>
            <w:gridSpan w:val="2"/>
            <w:vMerge w:val="continue"/>
            <w:shd w:val="clear" w:color="auto" w:fill="CFF0FC"/>
          </w:tcPr>
          <w:p>
            <w:pPr>
              <w:spacing w:after="0"/>
              <w:rPr>
                <w:sz w:val="11"/>
                <w:szCs w:val="11"/>
                <w:color w:val="auto"/>
              </w:rPr>
            </w:pPr>
          </w:p>
        </w:tc>
        <w:tc>
          <w:tcPr>
            <w:tcW w:w="200" w:type="dxa"/>
            <w:vAlign w:val="bottom"/>
            <w:gridSpan w:val="2"/>
            <w:vMerge w:val="continue"/>
            <w:shd w:val="clear" w:color="auto" w:fill="CFF0FC"/>
          </w:tcPr>
          <w:p>
            <w:pPr>
              <w:spacing w:after="0"/>
              <w:rPr>
                <w:sz w:val="11"/>
                <w:szCs w:val="11"/>
                <w:color w:val="auto"/>
              </w:rPr>
            </w:pPr>
          </w:p>
        </w:tc>
        <w:tc>
          <w:tcPr>
            <w:tcW w:w="280" w:type="dxa"/>
            <w:vAlign w:val="bottom"/>
            <w:vMerge w:val="continue"/>
            <w:shd w:val="clear" w:color="auto" w:fill="CFF0FC"/>
          </w:tcPr>
          <w:p>
            <w:pPr>
              <w:spacing w:after="0"/>
              <w:rPr>
                <w:sz w:val="11"/>
                <w:szCs w:val="11"/>
                <w:color w:val="auto"/>
              </w:rPr>
            </w:pPr>
          </w:p>
        </w:tc>
        <w:tc>
          <w:tcPr>
            <w:tcW w:w="740" w:type="dxa"/>
            <w:vAlign w:val="bottom"/>
            <w:gridSpan w:val="2"/>
            <w:vMerge w:val="continue"/>
            <w:shd w:val="clear" w:color="auto" w:fill="CFF0FC"/>
          </w:tcPr>
          <w:p>
            <w:pPr>
              <w:spacing w:after="0"/>
              <w:rPr>
                <w:sz w:val="11"/>
                <w:szCs w:val="11"/>
                <w:color w:val="auto"/>
              </w:rPr>
            </w:pPr>
          </w:p>
        </w:tc>
        <w:tc>
          <w:tcPr>
            <w:tcW w:w="200" w:type="dxa"/>
            <w:vAlign w:val="bottom"/>
            <w:gridSpan w:val="2"/>
            <w:vMerge w:val="continue"/>
            <w:shd w:val="clear" w:color="auto" w:fill="CFF0FC"/>
          </w:tcPr>
          <w:p>
            <w:pPr>
              <w:spacing w:after="0"/>
              <w:rPr>
                <w:sz w:val="11"/>
                <w:szCs w:val="11"/>
                <w:color w:val="auto"/>
              </w:rPr>
            </w:pPr>
          </w:p>
        </w:tc>
        <w:tc>
          <w:tcPr>
            <w:tcW w:w="320" w:type="dxa"/>
            <w:vAlign w:val="bottom"/>
            <w:vMerge w:val="continue"/>
            <w:shd w:val="clear" w:color="auto" w:fill="CFF0FC"/>
          </w:tcPr>
          <w:p>
            <w:pPr>
              <w:spacing w:after="0"/>
              <w:rPr>
                <w:sz w:val="11"/>
                <w:szCs w:val="11"/>
                <w:color w:val="auto"/>
              </w:rPr>
            </w:pPr>
          </w:p>
        </w:tc>
        <w:tc>
          <w:tcPr>
            <w:tcW w:w="700" w:type="dxa"/>
            <w:vAlign w:val="bottom"/>
            <w:gridSpan w:val="2"/>
            <w:vMerge w:val="continue"/>
            <w:shd w:val="clear" w:color="auto" w:fill="CFF0FC"/>
          </w:tcPr>
          <w:p>
            <w:pPr>
              <w:spacing w:after="0"/>
              <w:rPr>
                <w:sz w:val="11"/>
                <w:szCs w:val="11"/>
                <w:color w:val="auto"/>
              </w:rPr>
            </w:pPr>
          </w:p>
        </w:tc>
        <w:tc>
          <w:tcPr>
            <w:tcW w:w="200" w:type="dxa"/>
            <w:vAlign w:val="bottom"/>
            <w:gridSpan w:val="2"/>
            <w:vMerge w:val="continue"/>
            <w:shd w:val="clear" w:color="auto" w:fill="CFF0FC"/>
          </w:tcPr>
          <w:p>
            <w:pPr>
              <w:spacing w:after="0"/>
              <w:rPr>
                <w:sz w:val="11"/>
                <w:szCs w:val="11"/>
                <w:color w:val="auto"/>
              </w:rPr>
            </w:pPr>
          </w:p>
        </w:tc>
        <w:tc>
          <w:tcPr>
            <w:tcW w:w="260" w:type="dxa"/>
            <w:vAlign w:val="bottom"/>
            <w:vMerge w:val="continue"/>
            <w:shd w:val="clear" w:color="auto" w:fill="CFF0FC"/>
          </w:tcPr>
          <w:p>
            <w:pPr>
              <w:spacing w:after="0"/>
              <w:rPr>
                <w:sz w:val="11"/>
                <w:szCs w:val="11"/>
                <w:color w:val="auto"/>
              </w:rPr>
            </w:pPr>
          </w:p>
        </w:tc>
        <w:tc>
          <w:tcPr>
            <w:tcW w:w="660" w:type="dxa"/>
            <w:vAlign w:val="bottom"/>
            <w:gridSpan w:val="2"/>
            <w:vMerge w:val="continue"/>
            <w:shd w:val="clear" w:color="auto" w:fill="CFF0FC"/>
          </w:tcPr>
          <w:p>
            <w:pPr>
              <w:spacing w:after="0"/>
              <w:rPr>
                <w:sz w:val="11"/>
                <w:szCs w:val="11"/>
                <w:color w:val="auto"/>
              </w:rPr>
            </w:pPr>
          </w:p>
        </w:tc>
        <w:tc>
          <w:tcPr>
            <w:tcW w:w="200" w:type="dxa"/>
            <w:vAlign w:val="bottom"/>
            <w:gridSpan w:val="2"/>
            <w:vMerge w:val="continue"/>
            <w:shd w:val="clear" w:color="auto" w:fill="CFF0FC"/>
          </w:tcPr>
          <w:p>
            <w:pPr>
              <w:spacing w:after="0"/>
              <w:rPr>
                <w:sz w:val="11"/>
                <w:szCs w:val="11"/>
                <w:color w:val="auto"/>
              </w:rPr>
            </w:pPr>
          </w:p>
        </w:tc>
        <w:tc>
          <w:tcPr>
            <w:tcW w:w="240" w:type="dxa"/>
            <w:vAlign w:val="bottom"/>
            <w:vMerge w:val="continue"/>
            <w:shd w:val="clear" w:color="auto" w:fill="CFF0FC"/>
          </w:tcPr>
          <w:p>
            <w:pPr>
              <w:spacing w:after="0"/>
              <w:rPr>
                <w:sz w:val="11"/>
                <w:szCs w:val="11"/>
                <w:color w:val="auto"/>
              </w:rPr>
            </w:pPr>
          </w:p>
        </w:tc>
        <w:tc>
          <w:tcPr>
            <w:tcW w:w="220" w:type="dxa"/>
            <w:vAlign w:val="bottom"/>
            <w:tcBorders>
              <w:right w:val="single" w:sz="8" w:color="auto"/>
            </w:tcBorders>
            <w:gridSpan w:val="2"/>
            <w:shd w:val="clear" w:color="auto" w:fill="CFF0FC"/>
          </w:tcPr>
          <w:p>
            <w:pPr>
              <w:spacing w:after="0"/>
              <w:rPr>
                <w:sz w:val="11"/>
                <w:szCs w:val="11"/>
                <w:color w:val="auto"/>
              </w:rPr>
            </w:pPr>
          </w:p>
        </w:tc>
        <w:tc>
          <w:tcPr>
            <w:tcW w:w="620" w:type="dxa"/>
            <w:vAlign w:val="bottom"/>
            <w:gridSpan w:val="2"/>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vMerge w:val="continue"/>
            <w:shd w:val="clear" w:color="auto" w:fill="CFF0FC"/>
          </w:tcPr>
          <w:p>
            <w:pPr>
              <w:spacing w:after="0"/>
              <w:rPr>
                <w:sz w:val="11"/>
                <w:szCs w:val="11"/>
                <w:color w:val="auto"/>
              </w:rPr>
            </w:pPr>
          </w:p>
        </w:tc>
        <w:tc>
          <w:tcPr>
            <w:tcW w:w="240" w:type="dxa"/>
            <w:vAlign w:val="bottom"/>
            <w:vMerge w:val="continue"/>
            <w:shd w:val="clear" w:color="auto" w:fill="CFF0FC"/>
          </w:tcPr>
          <w:p>
            <w:pPr>
              <w:spacing w:after="0"/>
              <w:rPr>
                <w:sz w:val="11"/>
                <w:szCs w:val="11"/>
                <w:color w:val="auto"/>
              </w:rPr>
            </w:pPr>
          </w:p>
        </w:tc>
        <w:tc>
          <w:tcPr>
            <w:tcW w:w="200" w:type="dxa"/>
            <w:vAlign w:val="bottom"/>
            <w:gridSpan w:val="2"/>
            <w:vMerge w:val="continue"/>
            <w:shd w:val="clear" w:color="auto" w:fill="CFF0FC"/>
          </w:tcPr>
          <w:p>
            <w:pPr>
              <w:spacing w:after="0"/>
              <w:rPr>
                <w:sz w:val="11"/>
                <w:szCs w:val="11"/>
                <w:color w:val="auto"/>
              </w:rPr>
            </w:pPr>
          </w:p>
        </w:tc>
        <w:tc>
          <w:tcPr>
            <w:tcW w:w="320" w:type="dxa"/>
            <w:vAlign w:val="bottom"/>
            <w:vMerge w:val="continue"/>
            <w:shd w:val="clear" w:color="auto" w:fill="CFF0FC"/>
          </w:tcPr>
          <w:p>
            <w:pPr>
              <w:spacing w:after="0"/>
              <w:rPr>
                <w:sz w:val="11"/>
                <w:szCs w:val="11"/>
                <w:color w:val="auto"/>
              </w:rPr>
            </w:pPr>
          </w:p>
        </w:tc>
        <w:tc>
          <w:tcPr>
            <w:tcW w:w="200" w:type="dxa"/>
            <w:vAlign w:val="bottom"/>
            <w:gridSpan w:val="2"/>
            <w:vMerge w:val="continue"/>
            <w:shd w:val="clear" w:color="auto" w:fill="CFF0FC"/>
          </w:tcPr>
          <w:p>
            <w:pPr>
              <w:spacing w:after="0"/>
              <w:rPr>
                <w:sz w:val="11"/>
                <w:szCs w:val="11"/>
                <w:color w:val="auto"/>
              </w:rPr>
            </w:pPr>
          </w:p>
        </w:tc>
        <w:tc>
          <w:tcPr>
            <w:tcW w:w="580" w:type="dxa"/>
            <w:vAlign w:val="bottom"/>
            <w:vMerge w:val="continue"/>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vMerge w:val="continue"/>
            <w:shd w:val="clear" w:color="auto" w:fill="CFF0FC"/>
          </w:tcPr>
          <w:p>
            <w:pPr>
              <w:spacing w:after="0"/>
              <w:rPr>
                <w:sz w:val="11"/>
                <w:szCs w:val="11"/>
                <w:color w:val="auto"/>
              </w:rPr>
            </w:pPr>
          </w:p>
        </w:tc>
        <w:tc>
          <w:tcPr>
            <w:tcW w:w="580" w:type="dxa"/>
            <w:vAlign w:val="bottom"/>
            <w:tcBorders>
              <w:right w:val="single" w:sz="8" w:color="CFF0FC"/>
            </w:tcBorders>
            <w:vMerge w:val="continue"/>
            <w:shd w:val="clear" w:color="auto" w:fill="CFF0FC"/>
          </w:tcPr>
          <w:p>
            <w:pPr>
              <w:spacing w:after="0"/>
              <w:rPr>
                <w:sz w:val="11"/>
                <w:szCs w:val="11"/>
                <w:color w:val="auto"/>
              </w:rPr>
            </w:pPr>
          </w:p>
        </w:tc>
        <w:tc>
          <w:tcPr>
            <w:tcW w:w="120" w:type="dxa"/>
            <w:vAlign w:val="bottom"/>
            <w:vMerge w:val="continue"/>
            <w:shd w:val="clear" w:color="auto" w:fill="CFF0FC"/>
          </w:tcPr>
          <w:p>
            <w:pPr>
              <w:spacing w:after="0"/>
              <w:rPr>
                <w:sz w:val="11"/>
                <w:szCs w:val="11"/>
                <w:color w:val="auto"/>
              </w:rPr>
            </w:pPr>
          </w:p>
        </w:tc>
        <w:tc>
          <w:tcPr>
            <w:tcW w:w="68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24"/>
        </w:trPr>
        <w:tc>
          <w:tcPr>
            <w:tcW w:w="1240" w:type="dxa"/>
            <w:vAlign w:val="bottom"/>
            <w:tcBorders>
              <w:top w:val="single" w:sz="8" w:color="CFF0FC"/>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Additio</w:t>
            </w:r>
          </w:p>
        </w:tc>
        <w:tc>
          <w:tcPr>
            <w:tcW w:w="100" w:type="dxa"/>
            <w:vAlign w:val="bottom"/>
            <w:tcBorders>
              <w:top w:val="single" w:sz="8" w:color="CFF0FC"/>
            </w:tcBorders>
          </w:tcPr>
          <w:p>
            <w:pPr>
              <w:spacing w:after="0"/>
              <w:rPr>
                <w:sz w:val="19"/>
                <w:szCs w:val="19"/>
                <w:color w:val="auto"/>
              </w:rPr>
            </w:pPr>
          </w:p>
        </w:tc>
        <w:tc>
          <w:tcPr>
            <w:tcW w:w="68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Borders>
              <w:top w:val="single" w:sz="8" w:color="CFF0FC"/>
            </w:tcBorders>
            <w:vMerge w:val="restart"/>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1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800" w:type="dxa"/>
            <w:vAlign w:val="bottom"/>
            <w:gridSpan w:val="3"/>
          </w:tcPr>
          <w:p>
            <w:pPr>
              <w:jc w:val="center"/>
              <w:ind w:left="206"/>
              <w:spacing w:after="0" w:line="122" w:lineRule="exact"/>
              <w:rPr>
                <w:sz w:val="20"/>
                <w:szCs w:val="20"/>
                <w:color w:val="auto"/>
              </w:rPr>
            </w:pPr>
            <w:r>
              <w:rPr>
                <w:rFonts w:ascii="Times New Roman" w:cs="Times New Roman" w:eastAsia="Times New Roman" w:hAnsi="Times New Roman"/>
                <w:sz w:val="11"/>
                <w:szCs w:val="11"/>
                <w:b w:val="1"/>
                <w:bCs w:val="1"/>
                <w:color w:val="auto"/>
                <w:w w:val="97"/>
              </w:rPr>
              <w:t>Series A</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3"/>
          </w:tcPr>
          <w:p>
            <w:pPr>
              <w:jc w:val="center"/>
              <w:ind w:left="226"/>
              <w:spacing w:after="0" w:line="122" w:lineRule="exact"/>
              <w:rPr>
                <w:sz w:val="20"/>
                <w:szCs w:val="20"/>
                <w:color w:val="auto"/>
              </w:rPr>
            </w:pPr>
            <w:r>
              <w:rPr>
                <w:rFonts w:ascii="Times New Roman" w:cs="Times New Roman" w:eastAsia="Times New Roman" w:hAnsi="Times New Roman"/>
                <w:sz w:val="11"/>
                <w:szCs w:val="11"/>
                <w:b w:val="1"/>
                <w:bCs w:val="1"/>
                <w:color w:val="auto"/>
                <w:w w:val="94"/>
              </w:rPr>
              <w:t>Series B</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3"/>
          </w:tcPr>
          <w:p>
            <w:pPr>
              <w:jc w:val="center"/>
              <w:ind w:left="2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Series C-1</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Series C-2</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ind w:left="300"/>
              <w:spacing w:after="0" w:line="122" w:lineRule="exact"/>
              <w:rPr>
                <w:sz w:val="20"/>
                <w:szCs w:val="20"/>
                <w:color w:val="auto"/>
              </w:rPr>
            </w:pPr>
            <w:r>
              <w:rPr>
                <w:rFonts w:ascii="Times New Roman" w:cs="Times New Roman" w:eastAsia="Times New Roman" w:hAnsi="Times New Roman"/>
                <w:sz w:val="11"/>
                <w:szCs w:val="11"/>
                <w:b w:val="1"/>
                <w:bCs w:val="1"/>
                <w:color w:val="auto"/>
              </w:rPr>
              <w:t>Series 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4"/>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5"/>
              </w:rPr>
              <w:t>nal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2"/>
        </w:trPr>
        <w:tc>
          <w:tcPr>
            <w:tcW w:w="1240" w:type="dxa"/>
            <w:vAlign w:val="bottom"/>
          </w:tcPr>
          <w:p>
            <w:pPr>
              <w:spacing w:after="0"/>
              <w:rPr>
                <w:sz w:val="10"/>
                <w:szCs w:val="10"/>
                <w:color w:val="auto"/>
              </w:rPr>
            </w:pPr>
          </w:p>
        </w:tc>
        <w:tc>
          <w:tcPr>
            <w:tcW w:w="10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20" w:type="dxa"/>
            <w:vAlign w:val="bottom"/>
          </w:tcPr>
          <w:p>
            <w:pPr>
              <w:spacing w:after="0"/>
              <w:rPr>
                <w:sz w:val="10"/>
                <w:szCs w:val="10"/>
                <w:color w:val="auto"/>
              </w:rPr>
            </w:pPr>
          </w:p>
        </w:tc>
        <w:tc>
          <w:tcPr>
            <w:tcW w:w="9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20" w:type="dxa"/>
            <w:vAlign w:val="bottom"/>
          </w:tcPr>
          <w:p>
            <w:pPr>
              <w:spacing w:after="0"/>
              <w:rPr>
                <w:sz w:val="10"/>
                <w:szCs w:val="10"/>
                <w:color w:val="auto"/>
              </w:rPr>
            </w:pPr>
          </w:p>
        </w:tc>
        <w:tc>
          <w:tcPr>
            <w:tcW w:w="11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Preferred Stock</w:t>
            </w:r>
          </w:p>
        </w:tc>
        <w:tc>
          <w:tcPr>
            <w:tcW w:w="120" w:type="dxa"/>
            <w:vAlign w:val="bottom"/>
          </w:tcPr>
          <w:p>
            <w:pPr>
              <w:spacing w:after="0"/>
              <w:rPr>
                <w:sz w:val="10"/>
                <w:szCs w:val="10"/>
                <w:color w:val="auto"/>
              </w:rPr>
            </w:pPr>
          </w:p>
        </w:tc>
        <w:tc>
          <w:tcPr>
            <w:tcW w:w="10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00" w:type="dxa"/>
            <w:vAlign w:val="bottom"/>
          </w:tcPr>
          <w:p>
            <w:pPr>
              <w:spacing w:after="0"/>
              <w:rPr>
                <w:sz w:val="10"/>
                <w:szCs w:val="10"/>
                <w:color w:val="auto"/>
              </w:rPr>
            </w:pPr>
          </w:p>
        </w:tc>
        <w:tc>
          <w:tcPr>
            <w:tcW w:w="10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center"/>
              <w:ind w:left="346"/>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w:t>
            </w:r>
          </w:p>
        </w:tc>
        <w:tc>
          <w:tcPr>
            <w:tcW w:w="660" w:type="dxa"/>
            <w:vAlign w:val="bottom"/>
            <w:gridSpan w:val="2"/>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7"/>
              </w:rPr>
              <w:t>Accumulat</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240" w:type="dxa"/>
            <w:vAlign w:val="bottom"/>
          </w:tcPr>
          <w:p>
            <w:pPr>
              <w:spacing w:after="0"/>
              <w:rPr>
                <w:sz w:val="10"/>
                <w:szCs w:val="10"/>
                <w:color w:val="auto"/>
              </w:rPr>
            </w:pPr>
          </w:p>
        </w:tc>
        <w:tc>
          <w:tcPr>
            <w:tcW w:w="108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bottom w:val="single" w:sz="8" w:color="auto"/>
            </w:tcBorders>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Borders>
              <w:bottom w:val="single" w:sz="8" w:color="auto"/>
            </w:tcBorders>
            <w:gridSpan w:val="3"/>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gridSpan w:val="2"/>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1"/>
                <w:szCs w:val="11"/>
                <w:b w:val="1"/>
                <w:bCs w:val="1"/>
                <w:color w:val="auto"/>
                <w:w w:val="95"/>
              </w:rPr>
              <w:t>ve</w:t>
            </w:r>
          </w:p>
        </w:tc>
        <w:tc>
          <w:tcPr>
            <w:tcW w:w="80" w:type="dxa"/>
            <w:vAlign w:val="bottom"/>
          </w:tcPr>
          <w:p>
            <w:pPr>
              <w:spacing w:after="0"/>
              <w:rPr>
                <w:sz w:val="10"/>
                <w:szCs w:val="10"/>
                <w:color w:val="auto"/>
              </w:rPr>
            </w:pPr>
          </w:p>
        </w:tc>
        <w:tc>
          <w:tcPr>
            <w:tcW w:w="580" w:type="dxa"/>
            <w:vAlign w:val="bottom"/>
          </w:tcPr>
          <w:p>
            <w:pPr>
              <w:jc w:val="center"/>
              <w:ind w:right="146"/>
              <w:spacing w:after="0" w:line="124" w:lineRule="exact"/>
              <w:rPr>
                <w:sz w:val="20"/>
                <w:szCs w:val="20"/>
                <w:color w:val="auto"/>
              </w:rPr>
            </w:pPr>
            <w:r>
              <w:rPr>
                <w:rFonts w:ascii="Times New Roman" w:cs="Times New Roman" w:eastAsia="Times New Roman" w:hAnsi="Times New Roman"/>
                <w:sz w:val="11"/>
                <w:szCs w:val="11"/>
                <w:b w:val="1"/>
                <w:bCs w:val="1"/>
                <w:color w:val="auto"/>
                <w:w w:val="90"/>
              </w:rPr>
              <w:t>ed</w:t>
            </w:r>
          </w:p>
        </w:tc>
        <w:tc>
          <w:tcPr>
            <w:tcW w:w="800" w:type="dxa"/>
            <w:vAlign w:val="bottom"/>
            <w:gridSpan w:val="3"/>
          </w:tcPr>
          <w:p>
            <w:pPr>
              <w:ind w:left="20"/>
              <w:spacing w:after="0" w:line="124"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99"/>
        </w:trPr>
        <w:tc>
          <w:tcPr>
            <w:tcW w:w="1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Amoun</w:t>
            </w: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w w:val="97"/>
              </w:rPr>
              <w:t>Amoun</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gridSpan w:val="2"/>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Amou</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2"/>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Amou</w:t>
            </w:r>
          </w:p>
        </w:tc>
        <w:tc>
          <w:tcPr>
            <w:tcW w:w="10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240" w:type="dxa"/>
            <w:vAlign w:val="bottom"/>
          </w:tcPr>
          <w:p>
            <w:pPr>
              <w:spacing w:after="0"/>
              <w:rPr>
                <w:sz w:val="11"/>
                <w:szCs w:val="11"/>
                <w:color w:val="auto"/>
              </w:rPr>
            </w:pPr>
          </w:p>
        </w:tc>
        <w:tc>
          <w:tcPr>
            <w:tcW w:w="60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t</w:t>
            </w:r>
          </w:p>
        </w:tc>
        <w:tc>
          <w:tcPr>
            <w:tcW w:w="120" w:type="dxa"/>
            <w:vAlign w:val="bottom"/>
          </w:tcPr>
          <w:p>
            <w:pPr>
              <w:spacing w:after="0"/>
              <w:rPr>
                <w:sz w:val="11"/>
                <w:szCs w:val="11"/>
                <w:color w:val="auto"/>
              </w:rPr>
            </w:pPr>
          </w:p>
        </w:tc>
        <w:tc>
          <w:tcPr>
            <w:tcW w:w="4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t</w:t>
            </w:r>
          </w:p>
        </w:tc>
        <w:tc>
          <w:tcPr>
            <w:tcW w:w="120" w:type="dxa"/>
            <w:vAlign w:val="bottom"/>
          </w:tcPr>
          <w:p>
            <w:pPr>
              <w:spacing w:after="0"/>
              <w:rPr>
                <w:sz w:val="11"/>
                <w:szCs w:val="11"/>
                <w:color w:val="auto"/>
              </w:rPr>
            </w:pPr>
          </w:p>
        </w:tc>
        <w:tc>
          <w:tcPr>
            <w:tcW w:w="6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20" w:type="dxa"/>
            <w:vAlign w:val="bottom"/>
          </w:tcPr>
          <w:p>
            <w:pPr>
              <w:spacing w:after="0"/>
              <w:rPr>
                <w:sz w:val="11"/>
                <w:szCs w:val="11"/>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nt</w:t>
            </w:r>
          </w:p>
        </w:tc>
        <w:tc>
          <w:tcPr>
            <w:tcW w:w="100" w:type="dxa"/>
            <w:vAlign w:val="bottom"/>
          </w:tcPr>
          <w:p>
            <w:pPr>
              <w:spacing w:after="0"/>
              <w:rPr>
                <w:sz w:val="11"/>
                <w:szCs w:val="11"/>
                <w:color w:val="auto"/>
              </w:rPr>
            </w:pP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nt</w:t>
            </w:r>
          </w:p>
        </w:tc>
        <w:tc>
          <w:tcPr>
            <w:tcW w:w="1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20" w:type="dxa"/>
            <w:vAlign w:val="bottom"/>
            <w:gridSpan w:val="2"/>
          </w:tcPr>
          <w:p>
            <w:pPr>
              <w:spacing w:after="0"/>
              <w:rPr>
                <w:sz w:val="11"/>
                <w:szCs w:val="11"/>
                <w:color w:val="auto"/>
              </w:rPr>
            </w:pPr>
          </w:p>
        </w:tc>
        <w:tc>
          <w:tcPr>
            <w:tcW w:w="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11"/>
                <w:szCs w:val="11"/>
                <w:color w:val="auto"/>
              </w:rPr>
            </w:pPr>
          </w:p>
        </w:tc>
        <w:tc>
          <w:tcPr>
            <w:tcW w:w="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7"/>
              </w:rPr>
              <w:t>Income</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40" w:type="dxa"/>
            <w:vAlign w:val="bottom"/>
            <w:shd w:val="clear" w:color="auto" w:fill="CFF0FC"/>
          </w:tcPr>
          <w:p>
            <w:pPr>
              <w:spacing w:after="0" w:line="100" w:lineRule="exact"/>
              <w:rPr>
                <w:sz w:val="20"/>
                <w:szCs w:val="20"/>
                <w:color w:val="auto"/>
              </w:rPr>
            </w:pPr>
            <w:r>
              <w:rPr>
                <w:rFonts w:ascii="Times New Roman" w:cs="Times New Roman" w:eastAsia="Times New Roman" w:hAnsi="Times New Roman"/>
                <w:sz w:val="11"/>
                <w:szCs w:val="11"/>
                <w:b w:val="1"/>
                <w:bCs w:val="1"/>
                <w:color w:val="auto"/>
              </w:rPr>
              <w:t>BALANCES -</w:t>
            </w:r>
          </w:p>
        </w:tc>
        <w:tc>
          <w:tcPr>
            <w:tcW w:w="6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8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64,73</w:t>
            </w:r>
          </w:p>
        </w:tc>
        <w:tc>
          <w:tcPr>
            <w:tcW w:w="60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25,210,</w:t>
            </w: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8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35,37</w:t>
            </w:r>
          </w:p>
        </w:tc>
        <w:tc>
          <w:tcPr>
            <w:tcW w:w="74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239,016,01</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w w:val="99"/>
              </w:rPr>
              <w:t>174,49</w:t>
            </w:r>
          </w:p>
        </w:tc>
        <w:tc>
          <w:tcPr>
            <w:tcW w:w="700" w:type="dxa"/>
            <w:vAlign w:val="bottom"/>
            <w:gridSpan w:val="2"/>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24,207,78</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60" w:type="dxa"/>
            <w:vAlign w:val="bottom"/>
            <w:shd w:val="clear" w:color="auto" w:fill="CFF0FC"/>
          </w:tcPr>
          <w:p>
            <w:pPr>
              <w:jc w:val="right"/>
              <w:spacing w:after="0" w:line="100" w:lineRule="exact"/>
              <w:rPr>
                <w:sz w:val="20"/>
                <w:szCs w:val="20"/>
                <w:color w:val="auto"/>
              </w:rPr>
            </w:pPr>
            <w:r>
              <w:rPr>
                <w:rFonts w:ascii="Times New Roman" w:cs="Times New Roman" w:eastAsia="Times New Roman" w:hAnsi="Times New Roman"/>
                <w:sz w:val="11"/>
                <w:szCs w:val="11"/>
                <w:color w:val="auto"/>
              </w:rPr>
              <w:t>15,6</w:t>
            </w:r>
          </w:p>
        </w:tc>
        <w:tc>
          <w:tcPr>
            <w:tcW w:w="10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tcBorders>
              <w:right w:val="single" w:sz="8" w:color="auto"/>
            </w:tcBorders>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80" w:type="dxa"/>
            <w:vAlign w:val="bottom"/>
            <w:tcBorders>
              <w:right w:val="single" w:sz="8" w:color="CFF0FC"/>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1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65,213,004</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789</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gridSpan w:val="2"/>
            <w:shd w:val="clear" w:color="auto" w:fill="CFF0FC"/>
          </w:tcPr>
          <w:p>
            <w:pPr>
              <w:spacing w:after="0"/>
              <w:rPr>
                <w:sz w:val="11"/>
                <w:szCs w:val="11"/>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276,792</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5,429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(180,158)</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(174,522)</w:t>
            </w:r>
          </w:p>
        </w:tc>
        <w:tc>
          <w:tcPr>
            <w:tcW w:w="0" w:type="dxa"/>
            <w:vAlign w:val="bottom"/>
          </w:tcPr>
          <w:p>
            <w:pPr>
              <w:spacing w:after="0"/>
              <w:rPr>
                <w:sz w:val="1"/>
                <w:szCs w:val="1"/>
                <w:color w:val="auto"/>
              </w:rPr>
            </w:pPr>
          </w:p>
        </w:tc>
      </w:tr>
      <w:tr>
        <w:trPr>
          <w:trHeight w:val="108"/>
        </w:trPr>
        <w:tc>
          <w:tcPr>
            <w:tcW w:w="12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Stock-based</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20"/>
                <w:szCs w:val="20"/>
                <w:color w:val="auto"/>
              </w:rPr>
            </w:pPr>
            <w:r>
              <w:rPr>
                <w:rFonts w:ascii="Times New Roman" w:cs="Times New Roman" w:eastAsia="Times New Roman" w:hAnsi="Times New Roman"/>
                <w:sz w:val="11"/>
                <w:szCs w:val="11"/>
                <w:color w:val="auto"/>
              </w:rPr>
              <w:t>compensation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4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Other comprehensive</w:t>
            </w: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tcBorders>
              <w:right w:val="single" w:sz="8" w:color="CFF0FC"/>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24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loss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tcBorders>
              <w:right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(88)</w:t>
            </w:r>
          </w:p>
        </w:tc>
        <w:tc>
          <w:tcPr>
            <w:tcW w:w="80" w:type="dxa"/>
            <w:vAlign w:val="bottom"/>
            <w:shd w:val="clear" w:color="auto" w:fill="CFF0FC"/>
          </w:tcPr>
          <w:p>
            <w:pPr>
              <w:spacing w:after="0"/>
              <w:rPr>
                <w:sz w:val="11"/>
                <w:szCs w:val="11"/>
                <w:color w:val="auto"/>
              </w:rPr>
            </w:pPr>
          </w:p>
        </w:tc>
        <w:tc>
          <w:tcPr>
            <w:tcW w:w="580" w:type="dxa"/>
            <w:vAlign w:val="bottom"/>
            <w:tcBorders>
              <w:right w:val="single" w:sz="8" w:color="CFF0FC"/>
            </w:tcBorders>
            <w:shd w:val="clear" w:color="auto" w:fill="CFF0FC"/>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(88)</w:t>
            </w:r>
          </w:p>
        </w:tc>
        <w:tc>
          <w:tcPr>
            <w:tcW w:w="0" w:type="dxa"/>
            <w:vAlign w:val="bottom"/>
          </w:tcPr>
          <w:p>
            <w:pPr>
              <w:spacing w:after="0"/>
              <w:rPr>
                <w:sz w:val="1"/>
                <w:szCs w:val="1"/>
                <w:color w:val="auto"/>
              </w:rPr>
            </w:pPr>
          </w:p>
        </w:tc>
      </w:tr>
      <w:tr>
        <w:trPr>
          <w:trHeight w:val="122"/>
        </w:trPr>
        <w:tc>
          <w:tcPr>
            <w:tcW w:w="1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6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580" w:type="dxa"/>
            <w:vAlign w:val="bottom"/>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(17,503)</w:t>
            </w:r>
          </w:p>
        </w:tc>
        <w:tc>
          <w:tcPr>
            <w:tcW w:w="120" w:type="dxa"/>
            <w:vAlign w:val="bottom"/>
          </w:tcPr>
          <w:p>
            <w:pPr>
              <w:spacing w:after="0"/>
              <w:rPr>
                <w:sz w:val="10"/>
                <w:szCs w:val="10"/>
                <w:color w:val="auto"/>
              </w:rPr>
            </w:pPr>
          </w:p>
        </w:tc>
        <w:tc>
          <w:tcPr>
            <w:tcW w:w="6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(17,503)</w:t>
            </w:r>
          </w:p>
        </w:tc>
        <w:tc>
          <w:tcPr>
            <w:tcW w:w="0" w:type="dxa"/>
            <w:vAlign w:val="bottom"/>
          </w:tcPr>
          <w:p>
            <w:pPr>
              <w:spacing w:after="0"/>
              <w:rPr>
                <w:sz w:val="1"/>
                <w:szCs w:val="1"/>
                <w:color w:val="auto"/>
              </w:rPr>
            </w:pPr>
          </w:p>
        </w:tc>
      </w:tr>
      <w:tr>
        <w:trPr>
          <w:trHeight w:val="88"/>
        </w:trPr>
        <w:tc>
          <w:tcPr>
            <w:tcW w:w="1240" w:type="dxa"/>
            <w:vAlign w:val="bottom"/>
            <w:tcBorders>
              <w:top w:val="single" w:sz="8" w:color="CFF0FC"/>
            </w:tcBorders>
            <w:shd w:val="clear" w:color="auto" w:fill="CFF0FC"/>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BALANCES -</w:t>
            </w:r>
          </w:p>
        </w:tc>
        <w:tc>
          <w:tcPr>
            <w:tcW w:w="60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28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64,73</w:t>
            </w:r>
          </w:p>
        </w:tc>
        <w:tc>
          <w:tcPr>
            <w:tcW w:w="120" w:type="dxa"/>
            <w:vAlign w:val="bottom"/>
            <w:tcBorders>
              <w:top w:val="single" w:sz="8" w:color="CFF0FC"/>
            </w:tcBorders>
            <w:shd w:val="clear" w:color="auto" w:fill="CFF0FC"/>
          </w:tcPr>
          <w:p>
            <w:pPr>
              <w:spacing w:after="0"/>
              <w:rPr>
                <w:sz w:val="7"/>
                <w:szCs w:val="7"/>
                <w:color w:val="auto"/>
              </w:rPr>
            </w:pPr>
          </w:p>
        </w:tc>
        <w:tc>
          <w:tcPr>
            <w:tcW w:w="48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25,210,</w:t>
            </w:r>
          </w:p>
        </w:tc>
        <w:tc>
          <w:tcPr>
            <w:tcW w:w="12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28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35,37</w:t>
            </w:r>
          </w:p>
        </w:tc>
        <w:tc>
          <w:tcPr>
            <w:tcW w:w="120" w:type="dxa"/>
            <w:vAlign w:val="bottom"/>
            <w:tcBorders>
              <w:top w:val="single" w:sz="8" w:color="CFF0FC"/>
            </w:tcBorders>
            <w:shd w:val="clear" w:color="auto" w:fill="CFF0FC"/>
          </w:tcPr>
          <w:p>
            <w:pPr>
              <w:spacing w:after="0"/>
              <w:rPr>
                <w:sz w:val="7"/>
                <w:szCs w:val="7"/>
                <w:color w:val="auto"/>
              </w:rPr>
            </w:pPr>
          </w:p>
        </w:tc>
        <w:tc>
          <w:tcPr>
            <w:tcW w:w="62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239,016,01</w:t>
            </w:r>
          </w:p>
        </w:tc>
        <w:tc>
          <w:tcPr>
            <w:tcW w:w="10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spacing w:after="0"/>
              <w:rPr>
                <w:sz w:val="7"/>
                <w:szCs w:val="7"/>
                <w:color w:val="auto"/>
              </w:rPr>
            </w:pPr>
          </w:p>
        </w:tc>
        <w:tc>
          <w:tcPr>
            <w:tcW w:w="32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174,49</w:t>
            </w:r>
          </w:p>
        </w:tc>
        <w:tc>
          <w:tcPr>
            <w:tcW w:w="120" w:type="dxa"/>
            <w:vAlign w:val="bottom"/>
            <w:tcBorders>
              <w:top w:val="single" w:sz="8" w:color="CFF0FC"/>
            </w:tcBorders>
            <w:shd w:val="clear" w:color="auto" w:fill="CFF0FC"/>
          </w:tcPr>
          <w:p>
            <w:pPr>
              <w:spacing w:after="0"/>
              <w:rPr>
                <w:sz w:val="7"/>
                <w:szCs w:val="7"/>
                <w:color w:val="auto"/>
              </w:rPr>
            </w:pPr>
          </w:p>
        </w:tc>
        <w:tc>
          <w:tcPr>
            <w:tcW w:w="58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24,207,78</w:t>
            </w:r>
          </w:p>
        </w:tc>
        <w:tc>
          <w:tcPr>
            <w:tcW w:w="10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spacing w:after="0"/>
              <w:rPr>
                <w:sz w:val="7"/>
                <w:szCs w:val="7"/>
                <w:color w:val="auto"/>
              </w:rPr>
            </w:pPr>
          </w:p>
        </w:tc>
        <w:tc>
          <w:tcPr>
            <w:tcW w:w="260" w:type="dxa"/>
            <w:vAlign w:val="bottom"/>
            <w:tcBorders>
              <w:top w:val="single" w:sz="8" w:color="auto"/>
            </w:tcBorders>
            <w:shd w:val="clear" w:color="auto" w:fill="CFF0FC"/>
          </w:tcPr>
          <w:p>
            <w:pPr>
              <w:jc w:val="right"/>
              <w:spacing w:after="0" w:line="88" w:lineRule="exact"/>
              <w:rPr>
                <w:sz w:val="20"/>
                <w:szCs w:val="20"/>
                <w:color w:val="auto"/>
              </w:rPr>
            </w:pPr>
            <w:r>
              <w:rPr>
                <w:rFonts w:ascii="Times New Roman" w:cs="Times New Roman" w:eastAsia="Times New Roman" w:hAnsi="Times New Roman"/>
                <w:sz w:val="10"/>
                <w:szCs w:val="10"/>
                <w:color w:val="auto"/>
              </w:rPr>
              <w:t>15,6</w:t>
            </w:r>
          </w:p>
        </w:tc>
        <w:tc>
          <w:tcPr>
            <w:tcW w:w="100" w:type="dxa"/>
            <w:vAlign w:val="bottom"/>
            <w:tcBorders>
              <w:top w:val="single" w:sz="8" w:color="CFF0FC"/>
            </w:tcBorders>
            <w:shd w:val="clear" w:color="auto" w:fill="CFF0FC"/>
          </w:tcPr>
          <w:p>
            <w:pPr>
              <w:spacing w:after="0"/>
              <w:rPr>
                <w:sz w:val="7"/>
                <w:szCs w:val="7"/>
                <w:color w:val="auto"/>
              </w:rPr>
            </w:pPr>
          </w:p>
        </w:tc>
        <w:tc>
          <w:tcPr>
            <w:tcW w:w="56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240" w:type="dxa"/>
            <w:vAlign w:val="bottom"/>
            <w:tcBorders>
              <w:top w:val="single" w:sz="8" w:color="auto"/>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right w:val="single" w:sz="8" w:color="auto"/>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520" w:type="dxa"/>
            <w:vAlign w:val="bottom"/>
            <w:tcBorders>
              <w:top w:val="single" w:sz="8" w:color="auto"/>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160" w:type="dxa"/>
            <w:vAlign w:val="bottom"/>
            <w:tcBorders>
              <w:top w:val="single" w:sz="8" w:color="auto"/>
            </w:tcBorders>
            <w:shd w:val="clear" w:color="auto" w:fill="CFF0FC"/>
          </w:tcPr>
          <w:p>
            <w:pPr>
              <w:spacing w:after="0"/>
              <w:rPr>
                <w:sz w:val="7"/>
                <w:szCs w:val="7"/>
                <w:color w:val="auto"/>
              </w:rPr>
            </w:pPr>
          </w:p>
        </w:tc>
        <w:tc>
          <w:tcPr>
            <w:tcW w:w="240" w:type="dxa"/>
            <w:vAlign w:val="bottom"/>
            <w:tcBorders>
              <w:top w:val="single" w:sz="8" w:color="auto"/>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spacing w:after="0"/>
              <w:rPr>
                <w:sz w:val="7"/>
                <w:szCs w:val="7"/>
                <w:color w:val="auto"/>
              </w:rPr>
            </w:pPr>
          </w:p>
        </w:tc>
        <w:tc>
          <w:tcPr>
            <w:tcW w:w="320" w:type="dxa"/>
            <w:vAlign w:val="bottom"/>
            <w:tcBorders>
              <w:top w:val="single" w:sz="8" w:color="auto"/>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100" w:type="dxa"/>
            <w:vAlign w:val="bottom"/>
            <w:tcBorders>
              <w:top w:val="single" w:sz="8" w:color="auto"/>
            </w:tcBorders>
            <w:shd w:val="clear" w:color="auto" w:fill="CFF0FC"/>
          </w:tcPr>
          <w:p>
            <w:pPr>
              <w:spacing w:after="0"/>
              <w:rPr>
                <w:sz w:val="7"/>
                <w:szCs w:val="7"/>
                <w:color w:val="auto"/>
              </w:rPr>
            </w:pPr>
          </w:p>
        </w:tc>
        <w:tc>
          <w:tcPr>
            <w:tcW w:w="580" w:type="dxa"/>
            <w:vAlign w:val="bottom"/>
            <w:tcBorders>
              <w:top w:val="single" w:sz="8" w:color="auto"/>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80" w:type="dxa"/>
            <w:vAlign w:val="bottom"/>
            <w:tcBorders>
              <w:top w:val="single" w:sz="8" w:color="auto"/>
            </w:tcBorders>
            <w:shd w:val="clear" w:color="auto" w:fill="CFF0FC"/>
          </w:tcPr>
          <w:p>
            <w:pPr>
              <w:spacing w:after="0"/>
              <w:rPr>
                <w:sz w:val="7"/>
                <w:szCs w:val="7"/>
                <w:color w:val="auto"/>
              </w:rPr>
            </w:pPr>
          </w:p>
        </w:tc>
        <w:tc>
          <w:tcPr>
            <w:tcW w:w="580" w:type="dxa"/>
            <w:vAlign w:val="bottom"/>
            <w:tcBorders>
              <w:top w:val="single" w:sz="8" w:color="auto"/>
              <w:right w:val="single" w:sz="8" w:color="CFF0FC"/>
            </w:tcBorders>
            <w:shd w:val="clear" w:color="auto" w:fill="CFF0FC"/>
          </w:tcPr>
          <w:p>
            <w:pPr>
              <w:spacing w:after="0"/>
              <w:rPr>
                <w:sz w:val="7"/>
                <w:szCs w:val="7"/>
                <w:color w:val="auto"/>
              </w:rPr>
            </w:pPr>
          </w:p>
        </w:tc>
        <w:tc>
          <w:tcPr>
            <w:tcW w:w="120" w:type="dxa"/>
            <w:vAlign w:val="bottom"/>
            <w:tcBorders>
              <w:top w:val="single" w:sz="8" w:color="auto"/>
            </w:tcBorders>
            <w:shd w:val="clear" w:color="auto" w:fill="CFF0FC"/>
          </w:tcPr>
          <w:p>
            <w:pPr>
              <w:spacing w:after="0"/>
              <w:rPr>
                <w:sz w:val="7"/>
                <w:szCs w:val="7"/>
                <w:color w:val="auto"/>
              </w:rPr>
            </w:pPr>
          </w:p>
        </w:tc>
        <w:tc>
          <w:tcPr>
            <w:tcW w:w="560" w:type="dxa"/>
            <w:vAlign w:val="bottom"/>
            <w:tcBorders>
              <w:top w:val="single" w:sz="8" w:color="auto"/>
            </w:tcBorders>
            <w:shd w:val="clear" w:color="auto" w:fill="CFF0FC"/>
          </w:tcPr>
          <w:p>
            <w:pPr>
              <w:spacing w:after="0"/>
              <w:rPr>
                <w:sz w:val="7"/>
                <w:szCs w:val="7"/>
                <w:color w:val="auto"/>
              </w:rPr>
            </w:pPr>
          </w:p>
        </w:tc>
        <w:tc>
          <w:tcPr>
            <w:tcW w:w="120" w:type="dxa"/>
            <w:vAlign w:val="bottom"/>
            <w:tcBorders>
              <w:top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b w:val="1"/>
                <w:bCs w:val="1"/>
                <w:color w:val="auto"/>
              </w:rPr>
              <w:t>March 31, 2025</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65,213,004</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789</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gridSpan w:val="2"/>
            <w:shd w:val="clear" w:color="auto" w:fill="CFF0FC"/>
          </w:tcPr>
          <w:p>
            <w:pPr>
              <w:spacing w:after="0"/>
              <w:rPr>
                <w:sz w:val="14"/>
                <w:szCs w:val="14"/>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276,792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5,972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right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(197,661 )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(191,570)</w:t>
            </w:r>
          </w:p>
        </w:tc>
        <w:tc>
          <w:tcPr>
            <w:tcW w:w="0" w:type="dxa"/>
            <w:vAlign w:val="bottom"/>
          </w:tcPr>
          <w:p>
            <w:pPr>
              <w:spacing w:after="0"/>
              <w:rPr>
                <w:sz w:val="1"/>
                <w:szCs w:val="1"/>
                <w:color w:val="auto"/>
              </w:rPr>
            </w:pPr>
          </w:p>
        </w:tc>
      </w:tr>
      <w:tr>
        <w:trPr>
          <w:trHeight w:val="20"/>
        </w:trPr>
        <w:tc>
          <w:tcPr>
            <w:tcW w:w="124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-1379220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-1362710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-1379220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-1362710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-1379220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-1362710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-1379220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-1362710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-1379220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-1362710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-1379220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-1362710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-1379220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-1362710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-1379220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-1362710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-1379220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-1362710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-1379220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-1362710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-1379220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-1362710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-1379220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-1362710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-1379220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-1362710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-1379220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-1362710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-1379220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-1362710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-1379220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-1362710</wp:posOffset>
            </wp:positionV>
            <wp:extent cx="7747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-25400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-187960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-25400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-187960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-25400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-187960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-187960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-25400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-187960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-187960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-25400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-187960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-25400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-187960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-25400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-187960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-25400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-187960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-187960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-187960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-187960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-25400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-187960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-187960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AVALYN PHARMA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0"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(26,869)</w:t>
            </w:r>
          </w:p>
        </w:tc>
        <w:tc>
          <w:tcPr>
            <w:tcW w:w="5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(17,503)</w:t>
            </w:r>
          </w:p>
        </w:tc>
      </w:tr>
      <w:tr>
        <w:trPr>
          <w:trHeight w:val="216"/>
        </w:trPr>
        <w:tc>
          <w:tcPr>
            <w:tcW w:w="77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r>
      <w:tr>
        <w:trPr>
          <w:trHeight w:val="216"/>
        </w:trPr>
        <w:tc>
          <w:tcPr>
            <w:tcW w:w="77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tcPr>
          <w:p>
            <w:pPr>
              <w:spacing w:after="0"/>
              <w:rPr>
                <w:sz w:val="18"/>
                <w:szCs w:val="18"/>
                <w:color w:val="auto"/>
              </w:rPr>
            </w:pPr>
          </w:p>
        </w:tc>
      </w:tr>
      <w:tr>
        <w:trPr>
          <w:trHeight w:val="216"/>
        </w:trPr>
        <w:tc>
          <w:tcPr>
            <w:tcW w:w="77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and accretion of premiums/discounts on marketable securities</w:t>
            </w: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(558)</w:t>
            </w:r>
          </w:p>
        </w:tc>
      </w:tr>
      <w:tr>
        <w:trPr>
          <w:trHeight w:val="216"/>
        </w:trPr>
        <w:tc>
          <w:tcPr>
            <w:tcW w:w="7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Amortization of debt discount and deferred financing costs</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770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(1,010)</w:t>
            </w:r>
          </w:p>
        </w:tc>
      </w:tr>
      <w:tr>
        <w:trPr>
          <w:trHeight w:val="216"/>
        </w:trPr>
        <w:tc>
          <w:tcPr>
            <w:tcW w:w="770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Accrued liabilities</w:t>
            </w: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(2,464)</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7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70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(29,891)</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(19,275)</w:t>
            </w:r>
          </w:p>
        </w:tc>
      </w:tr>
      <w:tr>
        <w:trPr>
          <w:trHeight w:val="209"/>
        </w:trPr>
        <w:tc>
          <w:tcPr>
            <w:tcW w:w="77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77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(2,873)</w:t>
            </w:r>
          </w:p>
        </w:tc>
      </w:tr>
      <w:tr>
        <w:trPr>
          <w:trHeight w:val="216"/>
        </w:trPr>
        <w:tc>
          <w:tcPr>
            <w:tcW w:w="77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26,342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120" w:type="dxa"/>
            <w:vAlign w:val="bottom"/>
          </w:tcPr>
          <w:p>
            <w:pPr>
              <w:spacing w:after="0"/>
              <w:rPr>
                <w:sz w:val="18"/>
                <w:szCs w:val="18"/>
                <w:color w:val="auto"/>
              </w:rPr>
            </w:pPr>
          </w:p>
        </w:tc>
      </w:tr>
      <w:tr>
        <w:trPr>
          <w:trHeight w:val="210"/>
        </w:trPr>
        <w:tc>
          <w:tcPr>
            <w:tcW w:w="7700" w:type="dxa"/>
            <w:vAlign w:val="bottom"/>
            <w:tcBorders>
              <w:bottom w:val="single" w:sz="8" w:color="CFF0FC"/>
            </w:tcBorders>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55,024</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Proceeds from Term loan</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 of issuance costs associated with Term loan</w:t>
            </w:r>
          </w:p>
        </w:tc>
        <w:tc>
          <w:tcPr>
            <w:tcW w:w="9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00" w:type="dxa"/>
            <w:vAlign w:val="bottom"/>
            <w:tcBorders>
              <w:top w:val="single" w:sz="8" w:color="CFF0FC"/>
            </w:tcBorders>
            <w:gridSpan w:val="2"/>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14,862</w:t>
            </w:r>
          </w:p>
        </w:tc>
        <w:tc>
          <w:tcPr>
            <w:tcW w:w="1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18"/>
                <w:szCs w:val="18"/>
                <w:color w:val="auto"/>
              </w:rPr>
            </w:pPr>
          </w:p>
        </w:tc>
      </w:tr>
      <w:tr>
        <w:trPr>
          <w:trHeight w:val="210"/>
        </w:trPr>
        <w:tc>
          <w:tcPr>
            <w:tcW w:w="7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39,995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Beginning of period</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52,315</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End of period</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92,310</w:t>
            </w:r>
          </w:p>
        </w:tc>
        <w:tc>
          <w:tcPr>
            <w:tcW w:w="100" w:type="dxa"/>
            <w:vAlign w:val="bottom"/>
          </w:tcPr>
          <w:p>
            <w:pPr>
              <w:spacing w:after="0"/>
              <w:rPr>
                <w:sz w:val="18"/>
                <w:szCs w:val="18"/>
                <w:color w:val="auto"/>
              </w:rPr>
            </w:pPr>
          </w:p>
        </w:tc>
        <w:tc>
          <w:tcPr>
            <w:tcW w:w="5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28,799</w:t>
            </w:r>
          </w:p>
        </w:tc>
        <w:tc>
          <w:tcPr>
            <w:tcW w:w="120" w:type="dxa"/>
            <w:vAlign w:val="bottom"/>
          </w:tcPr>
          <w:p>
            <w:pPr>
              <w:spacing w:after="0"/>
              <w:rPr>
                <w:sz w:val="18"/>
                <w:szCs w:val="18"/>
                <w:color w:val="auto"/>
              </w:rPr>
            </w:pPr>
          </w:p>
        </w:tc>
      </w:tr>
      <w:tr>
        <w:trPr>
          <w:trHeight w:val="20"/>
        </w:trPr>
        <w:tc>
          <w:tcPr>
            <w:tcW w:w="7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70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9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Warrant value issued as part of Term loan</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c>
          <w:tcPr>
            <w:tcW w:w="5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offering costs included in accounts payable and accrued expenses</w:t>
            </w:r>
          </w:p>
        </w:tc>
        <w:tc>
          <w:tcPr>
            <w:tcW w:w="180" w:type="dxa"/>
            <w:vAlign w:val="bottom"/>
            <w:shd w:val="clear" w:color="auto" w:fill="CAEEFB"/>
          </w:tcPr>
          <w:p>
            <w:pPr>
              <w:spacing w:after="0"/>
              <w:rPr>
                <w:sz w:val="18"/>
                <w:szCs w:val="18"/>
                <w:color w:val="auto"/>
              </w:rPr>
            </w:pPr>
          </w:p>
        </w:tc>
        <w:tc>
          <w:tcPr>
            <w:tcW w:w="960" w:type="dxa"/>
            <w:vAlign w:val="bottom"/>
            <w:shd w:val="clear" w:color="auto" w:fill="CFF0FC"/>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shd w:val="clear" w:color="auto" w:fill="CFF0FC"/>
          </w:tcPr>
          <w:p>
            <w:pPr>
              <w:spacing w:after="0"/>
              <w:rPr>
                <w:sz w:val="18"/>
                <w:szCs w:val="18"/>
                <w:color w:val="auto"/>
              </w:rPr>
            </w:pPr>
          </w:p>
        </w:tc>
        <w:tc>
          <w:tcPr>
            <w:tcW w:w="200" w:type="dxa"/>
            <w:vAlign w:val="bottom"/>
            <w:shd w:val="clear" w:color="auto" w:fill="CAEEFB"/>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Purchases of property and equipment included in accounts payable and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7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0"/>
                <w:szCs w:val="20"/>
                <w:color w:val="auto"/>
              </w:rPr>
            </w:pPr>
          </w:p>
        </w:tc>
        <w:tc>
          <w:tcPr>
            <w:tcW w:w="5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-2819400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-2819400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-1979295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-1979295</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-1422400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-1422400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-856615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-856615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AVALYN PHARMA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 MARCH 31, 2026 AND 2025 (UNAUDITED)</w:t>
      </w:r>
    </w:p>
    <w:p>
      <w:pPr>
        <w:spacing w:after="0" w:line="311"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Avalyn Pharma Inc., or the Company or Avalyn, is a clinical-stage biopharmaceutical company developing inhaled medicines to treat rare respiratory diseases, including progressive pulmonary fibrosis, idiopathic pulmonary fibrosis, and other interstitial lung diseases. The Company was incorporated in the state of Delaware on May 27, 2011, and has its headquarters in Boston, Massachusetts.</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used in these consolidated financial statements, unless the context otherwise requires, references to the “Company” or “Avalyn,” refer to Avalyn Pharma Inc. and its wholly owned subsidiary, Avalyn Pharma Pty. Ltd.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subject to the risks and challenges associated with other biopharmaceutical companies at a similar stage of development, including dependence on key individuals, successful development of its products and services, dependence on key vendors, compliance with government regulations, protection of proprietary technology, competition from substitute products and services and larger companies which have greater financial resources, technical management, and the ability to secure adequate financing to support future growth. There can be no assurance that any future products or services can be developed or manufactured at an acceptable cost and with appropriate performance characteristics, or that such products or services will be successfully marketed, if at all. These factors could have a material adverse effect on the Company’s future operating results, financial position and cash flow.</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Existing or future products developed by the Company will require approvals or clearances from the U.S. Food and Drug Administration or the FDA, or other similar international regulatory agencies prior to commercial sales. If the Company were denied or delayed in receiving such approvals or clearances, it would have a material adverse effect on the Company.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Board approved a 1-for-19.2417 reverse stock split of its issued and outstanding common stock, which also resulted in a proportional adjustment to the conversion price for each series of its preferred stock, and to the exercise prices and number of outstanding stock options, and warrants, which became effective on April 22, 2026. Accordingly, all shares of common stock, stock options, warrants, and per share information presented in the accompanying financial statements and notes thereto have been retroactively adjusted, where applicable, to reflect the reverse stock split. The per share par value and authorized number of both common and preferred shares were not adjusted as a result of the split.</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May 1, 2026, the Company completed its initial public offering, or IPO, in which the Company sold an aggregate of 19,166,667 shares of its common stock at a public offering price of $18.00 per share, which included 2,500,000 shares of its common stock sold to the underwriters pursuant to the full exercise of their option to purchase additional shares, resulting in aggregate net proceeds of approximately $316.1 million, after deducting underwriter discounts, commissions and other offering expenses. Immediately prior to the closing of the IPO, the Company's outstanding redeemable convertible preferred stock automatically converted into 23,918,194 shares of common stock. Following the closing of the IPO, no shares of redeemable convertible preferred stock were outstanding. In connection with the closing of the IPO, the Company's certificate of incorporation was amended and restated to authorize 700,000,000 shares of common stock, par value $0.001 per share, including 500,000,000 shares of voting common stock and 200,000,000 shares of non-voting common stock; to eliminate all references to the previously-existing series of preferred stock, and authorize 10,000,000 shares of preferred stock, par value $0.001 per share.</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evaluated whether there are conditions and events, considered in the aggregate, that raise substantial doubt about the Company’s ability to continue as a going concern within one year after the date that the consolidated financial statements are issued.</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its inception, the Company has funded its operations with proceeds from convertible notes, its IPO, and with proceeds from the issuance of Series A, Series B, Series C-1, Series C-2 and Series D preferred stock. The Company has incurred net losses, and utilized cash, cash equivalents, and marketable securities in operations since inception, has an accumulated deficit as of March 31, 2026 of $292.2 million, and expects to incur future additional losses. As of March 31, 2026, the Company had cash, cash equivalents,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8"/>
          <w:szCs w:val="18"/>
          <w:color w:val="auto"/>
        </w:rPr>
        <w:t>marketable securities of $123.1 million. The Company has determined that its existing cash, cash equivalents, and marketable securities, together with the additional proceeds received from the IPO, will be sufficient to fund the Company’s operating expenses and capital expenditures requirements for at least 12 months from the issuance date of these consolidated financial statements. The consolidated financial statements do not include any adjustments that might result from the outcome of these uncertainties.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March 31, 2026, and the condensed consolidated statements of comprehensive loss, consolidated statements of changes in redeemable convertible preferred stock and stockholders' deficit, and consolidated statements of cash flows for the three months ended March 31, 2026 and 2025, are unaudited. The condensed consolidated interim financial statements have been prepared on the same basis as the audited annual financial statements and, in the opinion of management, reflect all adjustments, which include only normal recurring adjustments necessary for the fair presentation of the Company’s financial position as of March 31, 2026, and the results of its operations and its cash flows for the three months ended March 31, 2026 and 2025. The financial data and other information disclosed in these notes related to the three months ended March 31, 2026 and 2025, are also unaudited. The results for the three months ended March 31, 2026 are not necessarily indicative of results to be expected for the year ending December 31, 2026, or for any other subsequent period.</w:t>
      </w:r>
    </w:p>
    <w:p>
      <w:pPr>
        <w:spacing w:after="0" w:line="296"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from the significant accounting policies and estimates disclosed in Note 2 of the “Notes to Consolidated Financial Statements” in the audited consolidated financial statements for the year ended December 31, 2025 and notes thereto, included in the Company’s registration statement on Form S-1.</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494"/>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or U.S. GAAP, and applicable rules and regulations of the U.S. Securities and Exchange Commission, or the SEC, regarding interim financial reporting. Accordingly, they do not include all disclosures normally required in annual consolidated financial statements prepared in accordance with U.S. GAAP. Any reference in these notes to applicable guidance is meant to refer to the authoritative GAAP as found in the Accounting Standards Codification, or ASC, and ASUs of the Financial Accounting Standards Board, or FASB.</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right="20" w:firstLine="49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Avalyn Pharma Inc. and its wholly owned subsidiary, Avalyn Pharma Pty. Ltd. All intercompany accounts and transactions have been eliminated in consolidation. The consolidated financial statements have been prepared in conformity with U.S. GAAP.</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U.S. GAAP requires management to make estimates and assumptions that affect the reported amounts of assets and liabilities and disclosure of contingent assets and liabilities at the date of the financial statements and the reported amounts of income and expense during the reporting period. The Company bases its estimates on historical experience and various other assumptions that management believes to be reasonable under the circumstances. Management evaluates its estimates and assumptions on an ongoing basis. Changes in estimates are recorded in the period in which they become known. Significant estimates and assumptions relied upon in preparing these financial statements include, but are not limited to, research and development expenses and related prepaid or accrued costs, and the valuation of common stock and related stock-based compensation expense. The Company’s actual results may differ from these estimates under different assumptions or conditions.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capitalizes certain legal, professional accounting, and other third-party fees that are incremental costs and directly associated with in-process equity and debt financings as deferred offering costs within non-current assets on the consolidated balance sheets until such time the equity and debt financings are consummated. After consummation of an equity financing, these costs are recorded as a reduction of the proceeds from the offering, either as a reduction to the carrying value of the preferred stock or, for the issuances of common stock, in stockholders’ deficit as a reduction of additional paid-in capital generated as a result of the offering. Should the in-process equity financing be abandoned, the deferred offering costs will be expensed immediately as a charge to operating expenses in the consolidated statements of comprehensive loss. As of March 31, 2026 and December 31, 2025, there were deferred offering costs of $2.7 million and $0.3 million, respectively.</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or ASU 2024-03, which requires disclosures about specific types of expenses included in the expense captions presented on the face of the income statement as well as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jc w:val="both"/>
        <w:spacing w:after="0" w:line="266" w:lineRule="auto"/>
        <w:rPr>
          <w:sz w:val="20"/>
          <w:szCs w:val="20"/>
          <w:color w:val="auto"/>
        </w:rPr>
      </w:pPr>
      <w:r>
        <w:rPr>
          <w:rFonts w:ascii="Times New Roman" w:cs="Times New Roman" w:eastAsia="Times New Roman" w:hAnsi="Times New Roman"/>
          <w:sz w:val="18"/>
          <w:szCs w:val="18"/>
          <w:color w:val="auto"/>
        </w:rPr>
        <w:t>disclosures about selling expenses. The requirements of ASU 2024-03 are effective for annual periods beginning after December 15, 2026, and for interim periods beginning after December 15, 2027, with early adoption permitted. The requirements will be applied prospectively with the option for retrospective application. The Company is currently in the process of evaluating the effects of this pronouncement on its related disclosures.</w:t>
      </w:r>
    </w:p>
    <w:p>
      <w:pPr>
        <w:spacing w:after="0" w:line="280"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amortized cost and estimated fair value of the Company’s marketable securities, which are considered to be available-for-sale investments (in thousands):</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5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right"/>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0"/>
                <w:szCs w:val="10"/>
                <w:color w:val="auto"/>
              </w:rPr>
            </w:pPr>
          </w:p>
        </w:tc>
        <w:tc>
          <w:tcPr>
            <w:tcW w:w="880" w:type="dxa"/>
            <w:vAlign w:val="bottom"/>
          </w:tcPr>
          <w:p>
            <w:pPr>
              <w:jc w:val="center"/>
              <w:ind w:left="12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jc w:val="center"/>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r>
      <w:tr>
        <w:trPr>
          <w:trHeight w:val="173"/>
        </w:trPr>
        <w:tc>
          <w:tcPr>
            <w:tcW w:w="5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Gain</w:t>
            </w:r>
          </w:p>
        </w:tc>
        <w:tc>
          <w:tcPr>
            <w:tcW w:w="200" w:type="dxa"/>
            <w:vAlign w:val="bottom"/>
          </w:tcPr>
          <w:p>
            <w:pPr>
              <w:spacing w:after="0"/>
              <w:rPr>
                <w:sz w:val="15"/>
                <w:szCs w:val="15"/>
                <w:color w:val="auto"/>
              </w:rPr>
            </w:pPr>
          </w:p>
        </w:tc>
        <w:tc>
          <w:tcPr>
            <w:tcW w:w="88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9"/>
        </w:trPr>
        <w:tc>
          <w:tcPr>
            <w:tcW w:w="55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11,016</w:t>
            </w:r>
          </w:p>
        </w:tc>
        <w:tc>
          <w:tcPr>
            <w:tcW w:w="100" w:type="dxa"/>
            <w:vAlign w:val="bottom"/>
          </w:tcPr>
          <w:p>
            <w:pPr>
              <w:spacing w:after="0"/>
              <w:rPr>
                <w:sz w:val="18"/>
                <w:szCs w:val="18"/>
                <w:color w:val="auto"/>
              </w:rPr>
            </w:pPr>
          </w:p>
        </w:tc>
      </w:tr>
      <w:tr>
        <w:trPr>
          <w:trHeight w:val="216"/>
        </w:trPr>
        <w:tc>
          <w:tcPr>
            <w:tcW w:w="55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14,332</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14,332</w:t>
            </w:r>
          </w:p>
        </w:tc>
        <w:tc>
          <w:tcPr>
            <w:tcW w:w="100" w:type="dxa"/>
            <w:vAlign w:val="bottom"/>
          </w:tcPr>
          <w:p>
            <w:pPr>
              <w:spacing w:after="0"/>
              <w:rPr>
                <w:sz w:val="18"/>
                <w:szCs w:val="18"/>
                <w:color w:val="auto"/>
              </w:rPr>
            </w:pPr>
          </w:p>
        </w:tc>
      </w:tr>
      <w:tr>
        <w:trPr>
          <w:trHeight w:val="230"/>
        </w:trPr>
        <w:tc>
          <w:tcPr>
            <w:tcW w:w="552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30,805</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30,817</w:t>
            </w:r>
          </w:p>
        </w:tc>
        <w:tc>
          <w:tcPr>
            <w:tcW w:w="100" w:type="dxa"/>
            <w:vAlign w:val="bottom"/>
            <w:shd w:val="clear" w:color="auto" w:fill="CFF0FC"/>
          </w:tcPr>
          <w:p>
            <w:pPr>
              <w:spacing w:after="0"/>
              <w:rPr>
                <w:sz w:val="19"/>
                <w:szCs w:val="19"/>
                <w:color w:val="auto"/>
              </w:rPr>
            </w:pPr>
          </w:p>
        </w:tc>
      </w:tr>
      <w:tr>
        <w:trPr>
          <w:trHeight w:val="20"/>
        </w:trPr>
        <w:tc>
          <w:tcPr>
            <w:tcW w:w="55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72"/>
        </w:trPr>
        <w:tc>
          <w:tcPr>
            <w:tcW w:w="5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7"/>
        </w:trPr>
        <w:tc>
          <w:tcPr>
            <w:tcW w:w="5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right"/>
              <w:ind w:right="197"/>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0"/>
                <w:szCs w:val="10"/>
                <w:color w:val="auto"/>
              </w:rPr>
            </w:pPr>
          </w:p>
        </w:tc>
        <w:tc>
          <w:tcPr>
            <w:tcW w:w="880" w:type="dxa"/>
            <w:vAlign w:val="bottom"/>
          </w:tcPr>
          <w:p>
            <w:pPr>
              <w:jc w:val="center"/>
              <w:ind w:left="108"/>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jc w:val="center"/>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r>
      <w:tr>
        <w:trPr>
          <w:trHeight w:val="173"/>
        </w:trPr>
        <w:tc>
          <w:tcPr>
            <w:tcW w:w="5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Gain</w:t>
            </w:r>
          </w:p>
        </w:tc>
        <w:tc>
          <w:tcPr>
            <w:tcW w:w="200" w:type="dxa"/>
            <w:vAlign w:val="bottom"/>
          </w:tcPr>
          <w:p>
            <w:pPr>
              <w:spacing w:after="0"/>
              <w:rPr>
                <w:sz w:val="15"/>
                <w:szCs w:val="15"/>
                <w:color w:val="auto"/>
              </w:rPr>
            </w:pPr>
          </w:p>
        </w:tc>
        <w:tc>
          <w:tcPr>
            <w:tcW w:w="88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09"/>
        </w:trPr>
        <w:tc>
          <w:tcPr>
            <w:tcW w:w="5520" w:type="dxa"/>
            <w:vAlign w:val="bottom"/>
            <w:tcBorders>
              <w:right w:val="single" w:sz="8" w:color="CAEEFB"/>
            </w:tcBorders>
            <w:shd w:val="clear" w:color="auto" w:fill="CAEEFB"/>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140" w:type="dxa"/>
            <w:vAlign w:val="bottom"/>
            <w:tcBorders>
              <w:top w:val="single" w:sz="8" w:color="auto"/>
            </w:tcBorders>
            <w:shd w:val="clear" w:color="auto" w:fill="CAEEFB"/>
          </w:tcPr>
          <w:p>
            <w:pPr>
              <w:spacing w:after="0"/>
              <w:rPr>
                <w:sz w:val="18"/>
                <w:szCs w:val="18"/>
                <w:color w:val="auto"/>
              </w:rPr>
            </w:pPr>
          </w:p>
        </w:tc>
        <w:tc>
          <w:tcPr>
            <w:tcW w:w="980" w:type="dxa"/>
            <w:vAlign w:val="bottom"/>
            <w:tcBorders>
              <w:top w:val="single" w:sz="8" w:color="auto"/>
              <w:right w:val="single" w:sz="8" w:color="CAEEFB"/>
            </w:tcBorders>
            <w:shd w:val="clear" w:color="auto" w:fill="CAEEFB"/>
          </w:tcPr>
          <w:p>
            <w:pPr>
              <w:spacing w:after="0"/>
              <w:rPr>
                <w:sz w:val="18"/>
                <w:szCs w:val="18"/>
                <w:color w:val="auto"/>
              </w:rPr>
            </w:pPr>
          </w:p>
        </w:tc>
        <w:tc>
          <w:tcPr>
            <w:tcW w:w="220" w:type="dxa"/>
            <w:vAlign w:val="bottom"/>
            <w:shd w:val="clear" w:color="auto" w:fill="CAEEFB"/>
          </w:tcPr>
          <w:p>
            <w:pPr>
              <w:spacing w:after="0"/>
              <w:rPr>
                <w:sz w:val="18"/>
                <w:szCs w:val="18"/>
                <w:color w:val="auto"/>
              </w:rPr>
            </w:pPr>
          </w:p>
        </w:tc>
        <w:tc>
          <w:tcPr>
            <w:tcW w:w="140" w:type="dxa"/>
            <w:vAlign w:val="bottom"/>
            <w:tcBorders>
              <w:top w:val="single" w:sz="8" w:color="auto"/>
            </w:tcBorders>
            <w:shd w:val="clear" w:color="auto" w:fill="CAEEFB"/>
          </w:tcPr>
          <w:p>
            <w:pPr>
              <w:spacing w:after="0"/>
              <w:rPr>
                <w:sz w:val="18"/>
                <w:szCs w:val="18"/>
                <w:color w:val="auto"/>
              </w:rPr>
            </w:pPr>
          </w:p>
        </w:tc>
        <w:tc>
          <w:tcPr>
            <w:tcW w:w="980" w:type="dxa"/>
            <w:vAlign w:val="bottom"/>
            <w:tcBorders>
              <w:top w:val="single" w:sz="8" w:color="auto"/>
              <w:right w:val="single" w:sz="8" w:color="CAEEFB"/>
            </w:tcBorders>
            <w:shd w:val="clear" w:color="auto" w:fill="CAEEFB"/>
          </w:tcPr>
          <w:p>
            <w:pPr>
              <w:spacing w:after="0"/>
              <w:rPr>
                <w:sz w:val="18"/>
                <w:szCs w:val="18"/>
                <w:color w:val="auto"/>
              </w:rPr>
            </w:pPr>
          </w:p>
        </w:tc>
        <w:tc>
          <w:tcPr>
            <w:tcW w:w="200" w:type="dxa"/>
            <w:vAlign w:val="bottom"/>
            <w:shd w:val="clear" w:color="auto" w:fill="CAEEFB"/>
          </w:tcPr>
          <w:p>
            <w:pPr>
              <w:spacing w:after="0"/>
              <w:rPr>
                <w:sz w:val="18"/>
                <w:szCs w:val="18"/>
                <w:color w:val="auto"/>
              </w:rPr>
            </w:pPr>
          </w:p>
        </w:tc>
        <w:tc>
          <w:tcPr>
            <w:tcW w:w="880" w:type="dxa"/>
            <w:vAlign w:val="bottom"/>
            <w:tcBorders>
              <w:top w:val="single" w:sz="8" w:color="auto"/>
            </w:tcBorders>
            <w:shd w:val="clear" w:color="auto" w:fill="CAEEFB"/>
          </w:tcPr>
          <w:p>
            <w:pPr>
              <w:spacing w:after="0"/>
              <w:rPr>
                <w:sz w:val="18"/>
                <w:szCs w:val="18"/>
                <w:color w:val="auto"/>
              </w:rPr>
            </w:pPr>
          </w:p>
        </w:tc>
        <w:tc>
          <w:tcPr>
            <w:tcW w:w="200" w:type="dxa"/>
            <w:vAlign w:val="bottom"/>
            <w:tcBorders>
              <w:top w:val="single" w:sz="8" w:color="auto"/>
            </w:tcBorders>
            <w:shd w:val="clear" w:color="auto" w:fill="CAEEFB"/>
          </w:tcPr>
          <w:p>
            <w:pPr>
              <w:spacing w:after="0"/>
              <w:rPr>
                <w:sz w:val="18"/>
                <w:szCs w:val="18"/>
                <w:color w:val="auto"/>
              </w:rPr>
            </w:pPr>
          </w:p>
        </w:tc>
        <w:tc>
          <w:tcPr>
            <w:tcW w:w="240" w:type="dxa"/>
            <w:vAlign w:val="bottom"/>
            <w:tcBorders>
              <w:right w:val="single" w:sz="8" w:color="CAEEFB"/>
            </w:tcBorders>
            <w:shd w:val="clear" w:color="auto" w:fill="CAEEFB"/>
          </w:tcPr>
          <w:p>
            <w:pPr>
              <w:spacing w:after="0"/>
              <w:rPr>
                <w:sz w:val="18"/>
                <w:szCs w:val="18"/>
                <w:color w:val="auto"/>
              </w:rPr>
            </w:pPr>
          </w:p>
        </w:tc>
        <w:tc>
          <w:tcPr>
            <w:tcW w:w="200" w:type="dxa"/>
            <w:vAlign w:val="bottom"/>
            <w:tcBorders>
              <w:top w:val="single" w:sz="8" w:color="auto"/>
            </w:tcBorders>
            <w:shd w:val="clear" w:color="auto" w:fill="CAEEFB"/>
          </w:tcPr>
          <w:p>
            <w:pPr>
              <w:spacing w:after="0"/>
              <w:rPr>
                <w:sz w:val="18"/>
                <w:szCs w:val="18"/>
                <w:color w:val="auto"/>
              </w:rPr>
            </w:pPr>
          </w:p>
        </w:tc>
        <w:tc>
          <w:tcPr>
            <w:tcW w:w="860" w:type="dxa"/>
            <w:vAlign w:val="bottom"/>
            <w:tcBorders>
              <w:top w:val="single" w:sz="8" w:color="auto"/>
            </w:tcBorders>
            <w:shd w:val="clear" w:color="auto" w:fill="CAEEFB"/>
          </w:tcPr>
          <w:p>
            <w:pPr>
              <w:spacing w:after="0"/>
              <w:rPr>
                <w:sz w:val="18"/>
                <w:szCs w:val="18"/>
                <w:color w:val="auto"/>
              </w:rPr>
            </w:pPr>
          </w:p>
        </w:tc>
        <w:tc>
          <w:tcPr>
            <w:tcW w:w="100" w:type="dxa"/>
            <w:vAlign w:val="bottom"/>
            <w:shd w:val="clear" w:color="auto" w:fill="CAEEFB"/>
          </w:tcPr>
          <w:p>
            <w:pPr>
              <w:spacing w:after="0"/>
              <w:rPr>
                <w:sz w:val="18"/>
                <w:szCs w:val="18"/>
                <w:color w:val="auto"/>
              </w:rPr>
            </w:pPr>
          </w:p>
        </w:tc>
      </w:tr>
      <w:tr>
        <w:trPr>
          <w:trHeight w:val="216"/>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140" w:type="dxa"/>
            <w:vAlign w:val="bottom"/>
          </w:tcPr>
          <w:p>
            <w:pPr>
              <w:jc w:val="right"/>
              <w:ind w:right="10"/>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8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30,124</w:t>
            </w:r>
          </w:p>
        </w:tc>
        <w:tc>
          <w:tcPr>
            <w:tcW w:w="100" w:type="dxa"/>
            <w:vAlign w:val="bottom"/>
          </w:tcPr>
          <w:p>
            <w:pPr>
              <w:spacing w:after="0"/>
              <w:rPr>
                <w:sz w:val="18"/>
                <w:szCs w:val="18"/>
                <w:color w:val="auto"/>
              </w:rPr>
            </w:pPr>
          </w:p>
        </w:tc>
      </w:tr>
      <w:tr>
        <w:trPr>
          <w:trHeight w:val="216"/>
        </w:trPr>
        <w:tc>
          <w:tcPr>
            <w:tcW w:w="5520" w:type="dxa"/>
            <w:vAlign w:val="bottom"/>
            <w:tcBorders>
              <w:right w:val="single" w:sz="8" w:color="CAEEFB"/>
            </w:tcBorders>
            <w:shd w:val="clear" w:color="auto" w:fill="CAEEFB"/>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shd w:val="clear" w:color="auto" w:fill="CAEEFB"/>
          </w:tcPr>
          <w:p>
            <w:pPr>
              <w:spacing w:after="0"/>
              <w:rPr>
                <w:sz w:val="18"/>
                <w:szCs w:val="18"/>
                <w:color w:val="auto"/>
              </w:rPr>
            </w:pPr>
          </w:p>
        </w:tc>
        <w:tc>
          <w:tcPr>
            <w:tcW w:w="980" w:type="dxa"/>
            <w:vAlign w:val="bottom"/>
            <w:tcBorders>
              <w:right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30,699</w:t>
            </w:r>
          </w:p>
        </w:tc>
        <w:tc>
          <w:tcPr>
            <w:tcW w:w="220" w:type="dxa"/>
            <w:vAlign w:val="bottom"/>
            <w:shd w:val="clear" w:color="auto" w:fill="CAEEFB"/>
          </w:tcPr>
          <w:p>
            <w:pPr>
              <w:spacing w:after="0"/>
              <w:rPr>
                <w:sz w:val="18"/>
                <w:szCs w:val="18"/>
                <w:color w:val="auto"/>
              </w:rPr>
            </w:pPr>
          </w:p>
        </w:tc>
        <w:tc>
          <w:tcPr>
            <w:tcW w:w="140" w:type="dxa"/>
            <w:vAlign w:val="bottom"/>
            <w:shd w:val="clear" w:color="auto" w:fill="CAEEFB"/>
          </w:tcPr>
          <w:p>
            <w:pPr>
              <w:spacing w:after="0"/>
              <w:rPr>
                <w:sz w:val="18"/>
                <w:szCs w:val="18"/>
                <w:color w:val="auto"/>
              </w:rPr>
            </w:pPr>
          </w:p>
        </w:tc>
        <w:tc>
          <w:tcPr>
            <w:tcW w:w="980" w:type="dxa"/>
            <w:vAlign w:val="bottom"/>
            <w:tcBorders>
              <w:right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AEEFB"/>
          </w:tcPr>
          <w:p>
            <w:pPr>
              <w:spacing w:after="0"/>
              <w:rPr>
                <w:sz w:val="18"/>
                <w:szCs w:val="18"/>
                <w:color w:val="auto"/>
              </w:rPr>
            </w:pPr>
          </w:p>
        </w:tc>
        <w:tc>
          <w:tcPr>
            <w:tcW w:w="880" w:type="dxa"/>
            <w:vAlign w:val="bottom"/>
            <w:shd w:val="clear" w:color="auto" w:fill="CAEEFB"/>
          </w:tcPr>
          <w:p>
            <w:pPr>
              <w:spacing w:after="0"/>
              <w:rPr>
                <w:sz w:val="18"/>
                <w:szCs w:val="18"/>
                <w:color w:val="auto"/>
              </w:rPr>
            </w:pPr>
          </w:p>
        </w:tc>
        <w:tc>
          <w:tcPr>
            <w:tcW w:w="20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right w:val="single" w:sz="8" w:color="CAEEFB"/>
            </w:tcBorders>
            <w:shd w:val="clear" w:color="auto" w:fill="CAEEFB"/>
          </w:tcPr>
          <w:p>
            <w:pPr>
              <w:spacing w:after="0"/>
              <w:rPr>
                <w:sz w:val="18"/>
                <w:szCs w:val="18"/>
                <w:color w:val="auto"/>
              </w:rPr>
            </w:pPr>
          </w:p>
        </w:tc>
        <w:tc>
          <w:tcPr>
            <w:tcW w:w="200" w:type="dxa"/>
            <w:vAlign w:val="bottom"/>
            <w:shd w:val="clear" w:color="auto" w:fill="CAEEFB"/>
          </w:tcPr>
          <w:p>
            <w:pPr>
              <w:spacing w:after="0"/>
              <w:rPr>
                <w:sz w:val="18"/>
                <w:szCs w:val="18"/>
                <w:color w:val="auto"/>
              </w:rPr>
            </w:pPr>
          </w:p>
        </w:tc>
        <w:tc>
          <w:tcPr>
            <w:tcW w:w="8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30,725</w:t>
            </w:r>
          </w:p>
        </w:tc>
        <w:tc>
          <w:tcPr>
            <w:tcW w:w="100" w:type="dxa"/>
            <w:vAlign w:val="bottom"/>
            <w:shd w:val="clear" w:color="auto" w:fill="CAEEFB"/>
          </w:tcPr>
          <w:p>
            <w:pPr>
              <w:spacing w:after="0"/>
              <w:rPr>
                <w:sz w:val="18"/>
                <w:szCs w:val="18"/>
                <w:color w:val="auto"/>
              </w:rPr>
            </w:pPr>
          </w:p>
        </w:tc>
      </w:tr>
      <w:tr>
        <w:trPr>
          <w:trHeight w:val="216"/>
        </w:trPr>
        <w:tc>
          <w:tcPr>
            <w:tcW w:w="5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25,162</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25,195</w:t>
            </w:r>
          </w:p>
        </w:tc>
        <w:tc>
          <w:tcPr>
            <w:tcW w:w="100" w:type="dxa"/>
            <w:vAlign w:val="bottom"/>
          </w:tcPr>
          <w:p>
            <w:pPr>
              <w:spacing w:after="0"/>
              <w:rPr>
                <w:sz w:val="18"/>
                <w:szCs w:val="18"/>
                <w:color w:val="auto"/>
              </w:rPr>
            </w:pPr>
          </w:p>
        </w:tc>
      </w:tr>
      <w:tr>
        <w:trPr>
          <w:trHeight w:val="249"/>
        </w:trPr>
        <w:tc>
          <w:tcPr>
            <w:tcW w:w="5520" w:type="dxa"/>
            <w:vAlign w:val="bottom"/>
            <w:tcBorders>
              <w:bottom w:val="single" w:sz="8" w:color="CAEEFB"/>
              <w:right w:val="single" w:sz="8" w:color="CFF0FC"/>
            </w:tcBorders>
            <w:shd w:val="clear" w:color="auto" w:fill="CAEEFB"/>
          </w:tcPr>
          <w:p>
            <w:pPr>
              <w:ind w:left="2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85,910</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728"/>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right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86,044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-1199515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-1182370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-1199515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-1182370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-1199515</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-1182370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-1199515</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-1182370</wp:posOffset>
            </wp:positionV>
            <wp:extent cx="596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-25400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-8255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-25400</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-8255</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03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-25400</wp:posOffset>
            </wp:positionV>
            <wp:extent cx="596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-8255</wp:posOffset>
            </wp:positionV>
            <wp:extent cx="596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and December 31, 2025, all marketable securities held by the Company had remaining contractual maturities of one year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determined that there were no material changes in the credit risk, therefore, no impairment was recognized on its debt securities.</w:t>
      </w:r>
    </w:p>
    <w:p>
      <w:pPr>
        <w:spacing w:after="0" w:line="329"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instruments that are measured at fair value on a recurring basis and indicates the fair value hierarchy of the inputs the Company utilized to determine such fair value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54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color w:val="auto"/>
              </w:rPr>
              <w:t>Assets</w:t>
            </w:r>
          </w:p>
        </w:tc>
        <w:tc>
          <w:tcPr>
            <w:tcW w:w="1980" w:type="dxa"/>
            <w:vAlign w:val="bottom"/>
            <w:shd w:val="clear" w:color="auto" w:fill="CAEEFB"/>
          </w:tcPr>
          <w:p>
            <w:pPr>
              <w:spacing w:after="0"/>
              <w:rPr>
                <w:sz w:val="18"/>
                <w:szCs w:val="18"/>
                <w:color w:val="auto"/>
              </w:rPr>
            </w:pPr>
          </w:p>
        </w:tc>
        <w:tc>
          <w:tcPr>
            <w:tcW w:w="200" w:type="dxa"/>
            <w:vAlign w:val="bottom"/>
            <w:shd w:val="clear" w:color="auto" w:fill="CAEEFB"/>
          </w:tcPr>
          <w:p>
            <w:pPr>
              <w:spacing w:after="0"/>
              <w:rPr>
                <w:sz w:val="18"/>
                <w:szCs w:val="18"/>
                <w:color w:val="auto"/>
              </w:rPr>
            </w:pPr>
          </w:p>
        </w:tc>
        <w:tc>
          <w:tcPr>
            <w:tcW w:w="920" w:type="dxa"/>
            <w:vAlign w:val="bottom"/>
            <w:shd w:val="clear" w:color="auto" w:fill="CAEEFB"/>
          </w:tcPr>
          <w:p>
            <w:pPr>
              <w:spacing w:after="0"/>
              <w:rPr>
                <w:sz w:val="18"/>
                <w:szCs w:val="18"/>
                <w:color w:val="auto"/>
              </w:rPr>
            </w:pPr>
          </w:p>
        </w:tc>
        <w:tc>
          <w:tcPr>
            <w:tcW w:w="220" w:type="dxa"/>
            <w:vAlign w:val="bottom"/>
            <w:shd w:val="clear" w:color="auto" w:fill="CAEEFB"/>
          </w:tcPr>
          <w:p>
            <w:pPr>
              <w:spacing w:after="0"/>
              <w:rPr>
                <w:sz w:val="18"/>
                <w:szCs w:val="18"/>
                <w:color w:val="auto"/>
              </w:rPr>
            </w:pPr>
          </w:p>
        </w:tc>
        <w:tc>
          <w:tcPr>
            <w:tcW w:w="220" w:type="dxa"/>
            <w:vAlign w:val="bottom"/>
            <w:shd w:val="clear" w:color="auto" w:fill="CAEEFB"/>
          </w:tcPr>
          <w:p>
            <w:pPr>
              <w:spacing w:after="0"/>
              <w:rPr>
                <w:sz w:val="18"/>
                <w:szCs w:val="18"/>
                <w:color w:val="auto"/>
              </w:rPr>
            </w:pPr>
          </w:p>
        </w:tc>
        <w:tc>
          <w:tcPr>
            <w:tcW w:w="900" w:type="dxa"/>
            <w:vAlign w:val="bottom"/>
            <w:shd w:val="clear" w:color="auto" w:fill="CAEEFB"/>
          </w:tcPr>
          <w:p>
            <w:pPr>
              <w:spacing w:after="0"/>
              <w:rPr>
                <w:sz w:val="18"/>
                <w:szCs w:val="18"/>
                <w:color w:val="auto"/>
              </w:rPr>
            </w:pPr>
          </w:p>
        </w:tc>
        <w:tc>
          <w:tcPr>
            <w:tcW w:w="200" w:type="dxa"/>
            <w:vAlign w:val="bottom"/>
            <w:shd w:val="clear" w:color="auto" w:fill="CAEEFB"/>
          </w:tcPr>
          <w:p>
            <w:pPr>
              <w:spacing w:after="0"/>
              <w:rPr>
                <w:sz w:val="18"/>
                <w:szCs w:val="18"/>
                <w:color w:val="auto"/>
              </w:rPr>
            </w:pPr>
          </w:p>
        </w:tc>
        <w:tc>
          <w:tcPr>
            <w:tcW w:w="820" w:type="dxa"/>
            <w:vAlign w:val="bottom"/>
            <w:shd w:val="clear" w:color="auto" w:fill="CAEEFB"/>
          </w:tcPr>
          <w:p>
            <w:pPr>
              <w:spacing w:after="0"/>
              <w:rPr>
                <w:sz w:val="18"/>
                <w:szCs w:val="18"/>
                <w:color w:val="auto"/>
              </w:rPr>
            </w:pPr>
          </w:p>
        </w:tc>
        <w:tc>
          <w:tcPr>
            <w:tcW w:w="260" w:type="dxa"/>
            <w:vAlign w:val="bottom"/>
            <w:shd w:val="clear" w:color="auto" w:fill="CAEEFB"/>
          </w:tcPr>
          <w:p>
            <w:pPr>
              <w:spacing w:after="0"/>
              <w:rPr>
                <w:sz w:val="18"/>
                <w:szCs w:val="18"/>
                <w:color w:val="auto"/>
              </w:rPr>
            </w:pPr>
          </w:p>
        </w:tc>
        <w:tc>
          <w:tcPr>
            <w:tcW w:w="220" w:type="dxa"/>
            <w:vAlign w:val="bottom"/>
            <w:shd w:val="clear" w:color="auto" w:fill="CAEEFB"/>
          </w:tcPr>
          <w:p>
            <w:pPr>
              <w:spacing w:after="0"/>
              <w:rPr>
                <w:sz w:val="18"/>
                <w:szCs w:val="18"/>
                <w:color w:val="auto"/>
              </w:rPr>
            </w:pPr>
          </w:p>
        </w:tc>
        <w:tc>
          <w:tcPr>
            <w:tcW w:w="220" w:type="dxa"/>
            <w:vAlign w:val="bottom"/>
            <w:shd w:val="clear" w:color="auto" w:fill="CAEEFB"/>
          </w:tcPr>
          <w:p>
            <w:pPr>
              <w:spacing w:after="0"/>
              <w:rPr>
                <w:sz w:val="18"/>
                <w:szCs w:val="18"/>
                <w:color w:val="auto"/>
              </w:rPr>
            </w:pPr>
          </w:p>
        </w:tc>
        <w:tc>
          <w:tcPr>
            <w:tcW w:w="860" w:type="dxa"/>
            <w:vAlign w:val="bottom"/>
            <w:shd w:val="clear" w:color="auto" w:fill="CAEEFB"/>
          </w:tcPr>
          <w:p>
            <w:pPr>
              <w:spacing w:after="0"/>
              <w:rPr>
                <w:sz w:val="18"/>
                <w:szCs w:val="18"/>
                <w:color w:val="auto"/>
              </w:rPr>
            </w:pPr>
          </w:p>
        </w:tc>
        <w:tc>
          <w:tcPr>
            <w:tcW w:w="100" w:type="dxa"/>
            <w:vAlign w:val="bottom"/>
            <w:shd w:val="clear" w:color="auto" w:fill="CAEEFB"/>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540" w:type="dxa"/>
            <w:vAlign w:val="bottom"/>
            <w:shd w:val="clear" w:color="auto" w:fill="CAEEFB"/>
          </w:tcPr>
          <w:p>
            <w:pPr>
              <w:ind w:left="200"/>
              <w:spacing w:after="0"/>
              <w:rPr>
                <w:sz w:val="20"/>
                <w:szCs w:val="20"/>
                <w:color w:val="auto"/>
              </w:rPr>
            </w:pPr>
            <w:r>
              <w:rPr>
                <w:rFonts w:ascii="Times New Roman" w:cs="Times New Roman" w:eastAsia="Times New Roman" w:hAnsi="Times New Roman"/>
                <w:sz w:val="18"/>
                <w:szCs w:val="18"/>
                <w:color w:val="auto"/>
              </w:rPr>
              <w:t>Money market accounts</w:t>
            </w:r>
          </w:p>
        </w:tc>
        <w:tc>
          <w:tcPr>
            <w:tcW w:w="2180" w:type="dxa"/>
            <w:vAlign w:val="bottom"/>
            <w:gridSpan w:val="2"/>
            <w:shd w:val="clear" w:color="auto" w:fill="CAEEFB"/>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19,892</w:t>
            </w:r>
          </w:p>
        </w:tc>
        <w:tc>
          <w:tcPr>
            <w:tcW w:w="440" w:type="dxa"/>
            <w:vAlign w:val="bottom"/>
            <w:gridSpan w:val="2"/>
            <w:shd w:val="clear" w:color="auto" w:fill="CAEEFB"/>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AEEFB"/>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AEEFB"/>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AEEFB"/>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19,892</w:t>
            </w:r>
          </w:p>
        </w:tc>
        <w:tc>
          <w:tcPr>
            <w:tcW w:w="100" w:type="dxa"/>
            <w:vAlign w:val="bottom"/>
            <w:shd w:val="clear" w:color="auto" w:fill="CAEEFB"/>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540" w:type="dxa"/>
            <w:vAlign w:val="bottom"/>
            <w:shd w:val="clear" w:color="auto" w:fill="CAEEFB"/>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1980" w:type="dxa"/>
            <w:vAlign w:val="bottom"/>
            <w:shd w:val="clear" w:color="auto" w:fill="CAEEFB"/>
          </w:tcPr>
          <w:p>
            <w:pPr>
              <w:spacing w:after="0"/>
              <w:rPr>
                <w:sz w:val="18"/>
                <w:szCs w:val="18"/>
                <w:color w:val="auto"/>
              </w:rPr>
            </w:pPr>
          </w:p>
        </w:tc>
        <w:tc>
          <w:tcPr>
            <w:tcW w:w="200" w:type="dxa"/>
            <w:vAlign w:val="bottom"/>
            <w:shd w:val="clear" w:color="auto" w:fill="CAEEFB"/>
          </w:tcPr>
          <w:p>
            <w:pPr>
              <w:spacing w:after="0"/>
              <w:rPr>
                <w:sz w:val="18"/>
                <w:szCs w:val="18"/>
                <w:color w:val="auto"/>
              </w:rPr>
            </w:pPr>
          </w:p>
        </w:tc>
        <w:tc>
          <w:tcPr>
            <w:tcW w:w="9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AEEFB"/>
          </w:tcPr>
          <w:p>
            <w:pPr>
              <w:spacing w:after="0"/>
              <w:rPr>
                <w:sz w:val="18"/>
                <w:szCs w:val="18"/>
                <w:color w:val="auto"/>
              </w:rPr>
            </w:pPr>
          </w:p>
        </w:tc>
        <w:tc>
          <w:tcPr>
            <w:tcW w:w="220" w:type="dxa"/>
            <w:vAlign w:val="bottom"/>
            <w:shd w:val="clear" w:color="auto" w:fill="CAEEFB"/>
          </w:tcPr>
          <w:p>
            <w:pPr>
              <w:spacing w:after="0"/>
              <w:rPr>
                <w:sz w:val="18"/>
                <w:szCs w:val="18"/>
                <w:color w:val="auto"/>
              </w:rPr>
            </w:pPr>
          </w:p>
        </w:tc>
        <w:tc>
          <w:tcPr>
            <w:tcW w:w="9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11,016</w:t>
            </w:r>
          </w:p>
        </w:tc>
        <w:tc>
          <w:tcPr>
            <w:tcW w:w="200" w:type="dxa"/>
            <w:vAlign w:val="bottom"/>
            <w:shd w:val="clear" w:color="auto" w:fill="CAEEFB"/>
          </w:tcPr>
          <w:p>
            <w:pPr>
              <w:spacing w:after="0"/>
              <w:rPr>
                <w:sz w:val="18"/>
                <w:szCs w:val="18"/>
                <w:color w:val="auto"/>
              </w:rPr>
            </w:pPr>
          </w:p>
        </w:tc>
        <w:tc>
          <w:tcPr>
            <w:tcW w:w="820" w:type="dxa"/>
            <w:vAlign w:val="bottom"/>
            <w:shd w:val="clear" w:color="auto" w:fill="CAEEFB"/>
          </w:tcPr>
          <w:p>
            <w:pPr>
              <w:spacing w:after="0"/>
              <w:rPr>
                <w:sz w:val="18"/>
                <w:szCs w:val="18"/>
                <w:color w:val="auto"/>
              </w:rPr>
            </w:pPr>
          </w:p>
        </w:tc>
        <w:tc>
          <w:tcPr>
            <w:tcW w:w="260" w:type="dxa"/>
            <w:vAlign w:val="bottom"/>
            <w:shd w:val="clear" w:color="auto" w:fill="CAEEFB"/>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AEEFB"/>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11,016</w:t>
            </w:r>
          </w:p>
        </w:tc>
        <w:tc>
          <w:tcPr>
            <w:tcW w:w="100" w:type="dxa"/>
            <w:vAlign w:val="bottom"/>
            <w:shd w:val="clear" w:color="auto" w:fill="CAEEFB"/>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540" w:type="dxa"/>
            <w:vAlign w:val="bottom"/>
            <w:shd w:val="clear" w:color="auto" w:fill="CAEEFB"/>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980" w:type="dxa"/>
            <w:vAlign w:val="bottom"/>
            <w:shd w:val="clear" w:color="auto" w:fill="CAEEFB"/>
          </w:tcPr>
          <w:p>
            <w:pPr>
              <w:spacing w:after="0"/>
              <w:rPr>
                <w:sz w:val="18"/>
                <w:szCs w:val="18"/>
                <w:color w:val="auto"/>
              </w:rPr>
            </w:pPr>
          </w:p>
        </w:tc>
        <w:tc>
          <w:tcPr>
            <w:tcW w:w="200" w:type="dxa"/>
            <w:vAlign w:val="bottom"/>
            <w:shd w:val="clear" w:color="auto" w:fill="CAEEFB"/>
          </w:tcPr>
          <w:p>
            <w:pPr>
              <w:spacing w:after="0"/>
              <w:rPr>
                <w:sz w:val="18"/>
                <w:szCs w:val="18"/>
                <w:color w:val="auto"/>
              </w:rPr>
            </w:pPr>
          </w:p>
        </w:tc>
        <w:tc>
          <w:tcPr>
            <w:tcW w:w="9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AEEFB"/>
          </w:tcPr>
          <w:p>
            <w:pPr>
              <w:spacing w:after="0"/>
              <w:rPr>
                <w:sz w:val="18"/>
                <w:szCs w:val="18"/>
                <w:color w:val="auto"/>
              </w:rPr>
            </w:pPr>
          </w:p>
        </w:tc>
        <w:tc>
          <w:tcPr>
            <w:tcW w:w="220" w:type="dxa"/>
            <w:vAlign w:val="bottom"/>
            <w:shd w:val="clear" w:color="auto" w:fill="CAEEFB"/>
          </w:tcPr>
          <w:p>
            <w:pPr>
              <w:spacing w:after="0"/>
              <w:rPr>
                <w:sz w:val="18"/>
                <w:szCs w:val="18"/>
                <w:color w:val="auto"/>
              </w:rPr>
            </w:pPr>
          </w:p>
        </w:tc>
        <w:tc>
          <w:tcPr>
            <w:tcW w:w="9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14,332</w:t>
            </w:r>
          </w:p>
        </w:tc>
        <w:tc>
          <w:tcPr>
            <w:tcW w:w="200" w:type="dxa"/>
            <w:vAlign w:val="bottom"/>
            <w:shd w:val="clear" w:color="auto" w:fill="CAEEFB"/>
          </w:tcPr>
          <w:p>
            <w:pPr>
              <w:spacing w:after="0"/>
              <w:rPr>
                <w:sz w:val="18"/>
                <w:szCs w:val="18"/>
                <w:color w:val="auto"/>
              </w:rPr>
            </w:pPr>
          </w:p>
        </w:tc>
        <w:tc>
          <w:tcPr>
            <w:tcW w:w="820" w:type="dxa"/>
            <w:vAlign w:val="bottom"/>
            <w:shd w:val="clear" w:color="auto" w:fill="CAEEFB"/>
          </w:tcPr>
          <w:p>
            <w:pPr>
              <w:spacing w:after="0"/>
              <w:rPr>
                <w:sz w:val="18"/>
                <w:szCs w:val="18"/>
                <w:color w:val="auto"/>
              </w:rPr>
            </w:pPr>
          </w:p>
        </w:tc>
        <w:tc>
          <w:tcPr>
            <w:tcW w:w="260" w:type="dxa"/>
            <w:vAlign w:val="bottom"/>
            <w:shd w:val="clear" w:color="auto" w:fill="CAEEFB"/>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AEEFB"/>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14,332</w:t>
            </w:r>
          </w:p>
        </w:tc>
        <w:tc>
          <w:tcPr>
            <w:tcW w:w="100" w:type="dxa"/>
            <w:vAlign w:val="bottom"/>
            <w:shd w:val="clear" w:color="auto" w:fill="CAEEFB"/>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540" w:type="dxa"/>
            <w:vAlign w:val="bottom"/>
            <w:shd w:val="clear" w:color="auto" w:fill="CAEEFB"/>
          </w:tcPr>
          <w:p>
            <w:pPr>
              <w:spacing w:after="0" w:line="20" w:lineRule="exact"/>
              <w:rPr>
                <w:sz w:val="1"/>
                <w:szCs w:val="1"/>
                <w:color w:val="auto"/>
              </w:rPr>
            </w:pPr>
          </w:p>
        </w:tc>
        <w:tc>
          <w:tcPr>
            <w:tcW w:w="1980" w:type="dxa"/>
            <w:vAlign w:val="bottom"/>
            <w:shd w:val="clear" w:color="auto" w:fill="CAEEFB"/>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AEEFB"/>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AEEFB"/>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AEEFB"/>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AEEFB"/>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3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19,892</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30,817</w:t>
            </w:r>
          </w:p>
        </w:tc>
        <w:tc>
          <w:tcPr>
            <w:tcW w:w="10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9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-1079500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-1079500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-1079500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-1079500</wp:posOffset>
            </wp:positionV>
            <wp:extent cx="596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tbl>
      <w:tblPr>
        <w:tblLayout w:type="fixed"/>
        <w:tblInd w:w="46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4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209"/>
        </w:trPr>
        <w:tc>
          <w:tcPr>
            <w:tcW w:w="548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AEEFB"/>
          </w:tcPr>
          <w:p>
            <w:pPr>
              <w:spacing w:after="0"/>
              <w:rPr>
                <w:sz w:val="18"/>
                <w:szCs w:val="18"/>
                <w:color w:val="auto"/>
              </w:rPr>
            </w:pPr>
          </w:p>
        </w:tc>
        <w:tc>
          <w:tcPr>
            <w:tcW w:w="900" w:type="dxa"/>
            <w:vAlign w:val="bottom"/>
            <w:shd w:val="clear" w:color="auto" w:fill="CAEEFB"/>
          </w:tcPr>
          <w:p>
            <w:pPr>
              <w:spacing w:after="0"/>
              <w:rPr>
                <w:sz w:val="18"/>
                <w:szCs w:val="18"/>
                <w:color w:val="auto"/>
              </w:rPr>
            </w:pPr>
          </w:p>
        </w:tc>
        <w:tc>
          <w:tcPr>
            <w:tcW w:w="260" w:type="dxa"/>
            <w:vAlign w:val="bottom"/>
            <w:shd w:val="clear" w:color="auto" w:fill="CAEEFB"/>
          </w:tcPr>
          <w:p>
            <w:pPr>
              <w:spacing w:after="0"/>
              <w:rPr>
                <w:sz w:val="18"/>
                <w:szCs w:val="18"/>
                <w:color w:val="auto"/>
              </w:rPr>
            </w:pPr>
          </w:p>
        </w:tc>
        <w:tc>
          <w:tcPr>
            <w:tcW w:w="200" w:type="dxa"/>
            <w:vAlign w:val="bottom"/>
            <w:shd w:val="clear" w:color="auto" w:fill="CAEEFB"/>
          </w:tcPr>
          <w:p>
            <w:pPr>
              <w:spacing w:after="0"/>
              <w:rPr>
                <w:sz w:val="18"/>
                <w:szCs w:val="18"/>
                <w:color w:val="auto"/>
              </w:rPr>
            </w:pPr>
          </w:p>
        </w:tc>
        <w:tc>
          <w:tcPr>
            <w:tcW w:w="880" w:type="dxa"/>
            <w:vAlign w:val="bottom"/>
            <w:shd w:val="clear" w:color="auto" w:fill="CAEEFB"/>
          </w:tcPr>
          <w:p>
            <w:pPr>
              <w:spacing w:after="0"/>
              <w:rPr>
                <w:sz w:val="18"/>
                <w:szCs w:val="18"/>
                <w:color w:val="auto"/>
              </w:rPr>
            </w:pPr>
          </w:p>
        </w:tc>
        <w:tc>
          <w:tcPr>
            <w:tcW w:w="240" w:type="dxa"/>
            <w:vAlign w:val="bottom"/>
            <w:shd w:val="clear" w:color="auto" w:fill="CAEEFB"/>
          </w:tcPr>
          <w:p>
            <w:pPr>
              <w:spacing w:after="0"/>
              <w:rPr>
                <w:sz w:val="18"/>
                <w:szCs w:val="18"/>
                <w:color w:val="auto"/>
              </w:rPr>
            </w:pPr>
          </w:p>
        </w:tc>
        <w:tc>
          <w:tcPr>
            <w:tcW w:w="820" w:type="dxa"/>
            <w:vAlign w:val="bottom"/>
            <w:shd w:val="clear" w:color="auto" w:fill="CAEEFB"/>
          </w:tcPr>
          <w:p>
            <w:pPr>
              <w:spacing w:after="0"/>
              <w:rPr>
                <w:sz w:val="18"/>
                <w:szCs w:val="18"/>
                <w:color w:val="auto"/>
              </w:rPr>
            </w:pPr>
          </w:p>
        </w:tc>
        <w:tc>
          <w:tcPr>
            <w:tcW w:w="260" w:type="dxa"/>
            <w:vAlign w:val="bottom"/>
            <w:shd w:val="clear" w:color="auto" w:fill="CAEEFB"/>
          </w:tcPr>
          <w:p>
            <w:pPr>
              <w:spacing w:after="0"/>
              <w:rPr>
                <w:sz w:val="18"/>
                <w:szCs w:val="18"/>
                <w:color w:val="auto"/>
              </w:rPr>
            </w:pPr>
          </w:p>
        </w:tc>
        <w:tc>
          <w:tcPr>
            <w:tcW w:w="220" w:type="dxa"/>
            <w:vAlign w:val="bottom"/>
            <w:shd w:val="clear" w:color="auto" w:fill="CAEEFB"/>
          </w:tcPr>
          <w:p>
            <w:pPr>
              <w:spacing w:after="0"/>
              <w:rPr>
                <w:sz w:val="18"/>
                <w:szCs w:val="18"/>
                <w:color w:val="auto"/>
              </w:rPr>
            </w:pPr>
          </w:p>
        </w:tc>
        <w:tc>
          <w:tcPr>
            <w:tcW w:w="240" w:type="dxa"/>
            <w:vAlign w:val="bottom"/>
            <w:shd w:val="clear" w:color="auto" w:fill="CAEEFB"/>
          </w:tcPr>
          <w:p>
            <w:pPr>
              <w:spacing w:after="0"/>
              <w:rPr>
                <w:sz w:val="18"/>
                <w:szCs w:val="18"/>
                <w:color w:val="auto"/>
              </w:rPr>
            </w:pPr>
          </w:p>
        </w:tc>
        <w:tc>
          <w:tcPr>
            <w:tcW w:w="840" w:type="dxa"/>
            <w:vAlign w:val="bottom"/>
            <w:shd w:val="clear" w:color="auto" w:fill="CAEEFB"/>
          </w:tcPr>
          <w:p>
            <w:pPr>
              <w:spacing w:after="0"/>
              <w:rPr>
                <w:sz w:val="18"/>
                <w:szCs w:val="18"/>
                <w:color w:val="auto"/>
              </w:rPr>
            </w:pPr>
          </w:p>
        </w:tc>
        <w:tc>
          <w:tcPr>
            <w:tcW w:w="100" w:type="dxa"/>
            <w:vAlign w:val="bottom"/>
            <w:shd w:val="clear" w:color="auto" w:fill="CAEEFB"/>
          </w:tcPr>
          <w:p>
            <w:pPr>
              <w:spacing w:after="0"/>
              <w:rPr>
                <w:sz w:val="18"/>
                <w:szCs w:val="18"/>
                <w:color w:val="auto"/>
              </w:rPr>
            </w:pPr>
          </w:p>
        </w:tc>
      </w:tr>
      <w:tr>
        <w:trPr>
          <w:trHeight w:val="216"/>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AEEFB"/>
          </w:tcPr>
          <w:p>
            <w:pPr>
              <w:ind w:left="200"/>
              <w:spacing w:after="0"/>
              <w:rPr>
                <w:sz w:val="20"/>
                <w:szCs w:val="20"/>
                <w:color w:val="auto"/>
              </w:rPr>
            </w:pPr>
            <w:r>
              <w:rPr>
                <w:rFonts w:ascii="Times New Roman" w:cs="Times New Roman" w:eastAsia="Times New Roman" w:hAnsi="Times New Roman"/>
                <w:sz w:val="18"/>
                <w:szCs w:val="18"/>
                <w:color w:val="auto"/>
              </w:rPr>
              <w:t>Money market accounts</w:t>
            </w:r>
          </w:p>
        </w:tc>
        <w:tc>
          <w:tcPr>
            <w:tcW w:w="220" w:type="dxa"/>
            <w:vAlign w:val="bottom"/>
            <w:shd w:val="clear" w:color="auto" w:fill="CAEEFB"/>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16,245</w:t>
            </w:r>
          </w:p>
        </w:tc>
        <w:tc>
          <w:tcPr>
            <w:tcW w:w="460" w:type="dxa"/>
            <w:vAlign w:val="bottom"/>
            <w:gridSpan w:val="2"/>
            <w:shd w:val="clear" w:color="auto" w:fill="CAEEFB"/>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AEEFB"/>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AEEFB"/>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AEEFB"/>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16,245</w:t>
            </w:r>
          </w:p>
        </w:tc>
        <w:tc>
          <w:tcPr>
            <w:tcW w:w="100" w:type="dxa"/>
            <w:vAlign w:val="bottom"/>
            <w:shd w:val="clear" w:color="auto" w:fill="CAEEFB"/>
          </w:tcPr>
          <w:p>
            <w:pPr>
              <w:spacing w:after="0"/>
              <w:rPr>
                <w:sz w:val="18"/>
                <w:szCs w:val="18"/>
                <w:color w:val="auto"/>
              </w:rPr>
            </w:pPr>
          </w:p>
        </w:tc>
      </w:tr>
      <w:tr>
        <w:trPr>
          <w:trHeight w:val="216"/>
        </w:trPr>
        <w:tc>
          <w:tcPr>
            <w:tcW w:w="5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80" w:type="dxa"/>
            <w:vAlign w:val="bottom"/>
            <w:shd w:val="clear" w:color="auto" w:fill="CAEEFB"/>
          </w:tcPr>
          <w:p>
            <w:pPr>
              <w:ind w:left="20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AEEFB"/>
          </w:tcPr>
          <w:p>
            <w:pPr>
              <w:spacing w:after="0"/>
              <w:rPr>
                <w:sz w:val="18"/>
                <w:szCs w:val="18"/>
                <w:color w:val="auto"/>
              </w:rPr>
            </w:pPr>
          </w:p>
        </w:tc>
        <w:tc>
          <w:tcPr>
            <w:tcW w:w="90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AEEFB"/>
          </w:tcPr>
          <w:p>
            <w:pPr>
              <w:spacing w:after="0"/>
              <w:rPr>
                <w:sz w:val="18"/>
                <w:szCs w:val="18"/>
                <w:color w:val="auto"/>
              </w:rPr>
            </w:pPr>
          </w:p>
        </w:tc>
        <w:tc>
          <w:tcPr>
            <w:tcW w:w="200" w:type="dxa"/>
            <w:vAlign w:val="bottom"/>
            <w:shd w:val="clear" w:color="auto" w:fill="CAEEFB"/>
          </w:tcPr>
          <w:p>
            <w:pPr>
              <w:spacing w:after="0"/>
              <w:rPr>
                <w:sz w:val="18"/>
                <w:szCs w:val="18"/>
                <w:color w:val="auto"/>
              </w:rPr>
            </w:pPr>
          </w:p>
        </w:tc>
        <w:tc>
          <w:tcPr>
            <w:tcW w:w="88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30,124</w:t>
            </w:r>
          </w:p>
        </w:tc>
        <w:tc>
          <w:tcPr>
            <w:tcW w:w="240" w:type="dxa"/>
            <w:vAlign w:val="bottom"/>
            <w:shd w:val="clear" w:color="auto" w:fill="CAEEFB"/>
          </w:tcPr>
          <w:p>
            <w:pPr>
              <w:spacing w:after="0"/>
              <w:rPr>
                <w:sz w:val="18"/>
                <w:szCs w:val="18"/>
                <w:color w:val="auto"/>
              </w:rPr>
            </w:pPr>
          </w:p>
        </w:tc>
        <w:tc>
          <w:tcPr>
            <w:tcW w:w="820" w:type="dxa"/>
            <w:vAlign w:val="bottom"/>
            <w:shd w:val="clear" w:color="auto" w:fill="CAEEFB"/>
          </w:tcPr>
          <w:p>
            <w:pPr>
              <w:spacing w:after="0"/>
              <w:rPr>
                <w:sz w:val="18"/>
                <w:szCs w:val="18"/>
                <w:color w:val="auto"/>
              </w:rPr>
            </w:pPr>
          </w:p>
        </w:tc>
        <w:tc>
          <w:tcPr>
            <w:tcW w:w="260" w:type="dxa"/>
            <w:vAlign w:val="bottom"/>
            <w:shd w:val="clear" w:color="auto" w:fill="CAEEFB"/>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AEEFB"/>
          </w:tcPr>
          <w:p>
            <w:pPr>
              <w:spacing w:after="0"/>
              <w:rPr>
                <w:sz w:val="18"/>
                <w:szCs w:val="18"/>
                <w:color w:val="auto"/>
              </w:rPr>
            </w:pPr>
          </w:p>
        </w:tc>
        <w:tc>
          <w:tcPr>
            <w:tcW w:w="240" w:type="dxa"/>
            <w:vAlign w:val="bottom"/>
            <w:shd w:val="clear" w:color="auto" w:fill="CAEEFB"/>
          </w:tcPr>
          <w:p>
            <w:pPr>
              <w:spacing w:after="0"/>
              <w:rPr>
                <w:sz w:val="18"/>
                <w:szCs w:val="18"/>
                <w:color w:val="auto"/>
              </w:rPr>
            </w:pPr>
          </w:p>
        </w:tc>
        <w:tc>
          <w:tcPr>
            <w:tcW w:w="8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30,124</w:t>
            </w:r>
          </w:p>
        </w:tc>
        <w:tc>
          <w:tcPr>
            <w:tcW w:w="100" w:type="dxa"/>
            <w:vAlign w:val="bottom"/>
            <w:shd w:val="clear" w:color="auto" w:fill="CAEEFB"/>
          </w:tcPr>
          <w:p>
            <w:pPr>
              <w:spacing w:after="0"/>
              <w:rPr>
                <w:sz w:val="18"/>
                <w:szCs w:val="18"/>
                <w:color w:val="auto"/>
              </w:rPr>
            </w:pPr>
          </w:p>
        </w:tc>
      </w:tr>
      <w:tr>
        <w:trPr>
          <w:trHeight w:val="216"/>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30,725</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30,725</w:t>
            </w:r>
          </w:p>
        </w:tc>
        <w:tc>
          <w:tcPr>
            <w:tcW w:w="100" w:type="dxa"/>
            <w:vAlign w:val="bottom"/>
          </w:tcPr>
          <w:p>
            <w:pPr>
              <w:spacing w:after="0"/>
              <w:rPr>
                <w:sz w:val="18"/>
                <w:szCs w:val="18"/>
                <w:color w:val="auto"/>
              </w:rPr>
            </w:pPr>
          </w:p>
        </w:tc>
      </w:tr>
      <w:tr>
        <w:trPr>
          <w:trHeight w:val="216"/>
        </w:trPr>
        <w:tc>
          <w:tcPr>
            <w:tcW w:w="5480" w:type="dxa"/>
            <w:vAlign w:val="bottom"/>
            <w:tcBorders>
              <w:bottom w:val="single" w:sz="8" w:color="CAEEFB"/>
            </w:tcBorders>
            <w:shd w:val="clear" w:color="auto" w:fill="CAEEFB"/>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bottom w:val="single" w:sz="8" w:color="auto"/>
            </w:tcBorders>
            <w:shd w:val="clear" w:color="auto" w:fill="CAEEFB"/>
          </w:tcPr>
          <w:p>
            <w:pPr>
              <w:spacing w:after="0"/>
              <w:rPr>
                <w:sz w:val="18"/>
                <w:szCs w:val="18"/>
                <w:color w:val="auto"/>
              </w:rPr>
            </w:pPr>
          </w:p>
        </w:tc>
        <w:tc>
          <w:tcPr>
            <w:tcW w:w="90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AEEFB"/>
            </w:tcBorders>
            <w:shd w:val="clear" w:color="auto" w:fill="CAEEFB"/>
          </w:tcPr>
          <w:p>
            <w:pPr>
              <w:spacing w:after="0"/>
              <w:rPr>
                <w:sz w:val="18"/>
                <w:szCs w:val="18"/>
                <w:color w:val="auto"/>
              </w:rPr>
            </w:pPr>
          </w:p>
        </w:tc>
        <w:tc>
          <w:tcPr>
            <w:tcW w:w="200" w:type="dxa"/>
            <w:vAlign w:val="bottom"/>
            <w:tcBorders>
              <w:bottom w:val="single" w:sz="8" w:color="auto"/>
            </w:tcBorders>
            <w:shd w:val="clear" w:color="auto" w:fill="CAEEFB"/>
          </w:tcPr>
          <w:p>
            <w:pPr>
              <w:spacing w:after="0"/>
              <w:rPr>
                <w:sz w:val="18"/>
                <w:szCs w:val="18"/>
                <w:color w:val="auto"/>
              </w:rPr>
            </w:pPr>
          </w:p>
        </w:tc>
        <w:tc>
          <w:tcPr>
            <w:tcW w:w="88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25,195</w:t>
            </w:r>
          </w:p>
        </w:tc>
        <w:tc>
          <w:tcPr>
            <w:tcW w:w="240" w:type="dxa"/>
            <w:vAlign w:val="bottom"/>
            <w:tcBorders>
              <w:bottom w:val="single" w:sz="8" w:color="CAEEFB"/>
            </w:tcBorders>
            <w:shd w:val="clear" w:color="auto" w:fill="CAEEFB"/>
          </w:tcPr>
          <w:p>
            <w:pPr>
              <w:spacing w:after="0"/>
              <w:rPr>
                <w:sz w:val="18"/>
                <w:szCs w:val="18"/>
                <w:color w:val="auto"/>
              </w:rPr>
            </w:pPr>
          </w:p>
        </w:tc>
        <w:tc>
          <w:tcPr>
            <w:tcW w:w="820" w:type="dxa"/>
            <w:vAlign w:val="bottom"/>
            <w:tcBorders>
              <w:bottom w:val="single" w:sz="8" w:color="auto"/>
            </w:tcBorders>
            <w:shd w:val="clear" w:color="auto" w:fill="CAEEFB"/>
          </w:tcPr>
          <w:p>
            <w:pPr>
              <w:spacing w:after="0"/>
              <w:rPr>
                <w:sz w:val="18"/>
                <w:szCs w:val="18"/>
                <w:color w:val="auto"/>
              </w:rPr>
            </w:pPr>
          </w:p>
        </w:tc>
        <w:tc>
          <w:tcPr>
            <w:tcW w:w="260" w:type="dxa"/>
            <w:vAlign w:val="bottom"/>
            <w:tcBorders>
              <w:bottom w:val="single" w:sz="8" w:color="auto"/>
            </w:tcBorders>
            <w:shd w:val="clear" w:color="auto" w:fill="CAEEFB"/>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AEEFB"/>
            </w:tcBorders>
            <w:shd w:val="clear" w:color="auto" w:fill="CAEEFB"/>
          </w:tcPr>
          <w:p>
            <w:pPr>
              <w:spacing w:after="0"/>
              <w:rPr>
                <w:sz w:val="18"/>
                <w:szCs w:val="18"/>
                <w:color w:val="auto"/>
              </w:rPr>
            </w:pPr>
          </w:p>
        </w:tc>
        <w:tc>
          <w:tcPr>
            <w:tcW w:w="240" w:type="dxa"/>
            <w:vAlign w:val="bottom"/>
            <w:tcBorders>
              <w:bottom w:val="single" w:sz="8" w:color="auto"/>
            </w:tcBorders>
            <w:shd w:val="clear" w:color="auto" w:fill="CAEEFB"/>
          </w:tcPr>
          <w:p>
            <w:pPr>
              <w:spacing w:after="0"/>
              <w:rPr>
                <w:sz w:val="18"/>
                <w:szCs w:val="18"/>
                <w:color w:val="auto"/>
              </w:rPr>
            </w:pPr>
          </w:p>
        </w:tc>
        <w:tc>
          <w:tcPr>
            <w:tcW w:w="84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25,195</w:t>
            </w:r>
          </w:p>
        </w:tc>
        <w:tc>
          <w:tcPr>
            <w:tcW w:w="100" w:type="dxa"/>
            <w:vAlign w:val="bottom"/>
            <w:tcBorders>
              <w:bottom w:val="single" w:sz="8" w:color="CAEEFB"/>
            </w:tcBorders>
            <w:shd w:val="clear" w:color="auto" w:fill="CAEEFB"/>
          </w:tcPr>
          <w:p>
            <w:pPr>
              <w:spacing w:after="0"/>
              <w:rPr>
                <w:sz w:val="18"/>
                <w:szCs w:val="18"/>
                <w:color w:val="auto"/>
              </w:rPr>
            </w:pPr>
          </w:p>
        </w:tc>
      </w:tr>
      <w:tr>
        <w:trPr>
          <w:trHeight w:val="210"/>
        </w:trPr>
        <w:tc>
          <w:tcPr>
            <w:tcW w:w="5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16,245</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86,044</w:t>
            </w:r>
          </w:p>
        </w:tc>
        <w:tc>
          <w:tcPr>
            <w:tcW w:w="106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102,289</w:t>
            </w:r>
          </w:p>
        </w:tc>
        <w:tc>
          <w:tcPr>
            <w:tcW w:w="100" w:type="dxa"/>
            <w:vAlign w:val="bottom"/>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-170815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-170815</wp:posOffset>
            </wp:positionV>
            <wp:extent cx="603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-170815</wp:posOffset>
            </wp:positionV>
            <wp:extent cx="59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March 31, 2026 and December 31, 2025, the Company had cash equivalents consisting of money market accounts classified as Level 1 financial assets, as these assets are valued using quoted market prices in active markets without any valuation adjustments. The Company classifies its investments in U.S. Treasury securities (Treasury bills, Treasury notes, and Treasury bonds), commercial paper, and corporate debt securities as Level 2 instruments. The Company estimates the fair value of these marketable securities by taking into consideration valuations obtained from third-party pricing sources. These pricing sources utilize standard industry valuation models, including both income and market-based approaches, for which all significant inputs are observable, either directly or indirectly to estimate fair value. These inputs include market pricing based on real time trade data for the same or similar securities, issuer credit spreads, benchmark yields, and other observable inputs.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periods ended March 31, 2026 and December 31, 2025, there were no transfers or reclassifications between fair value measurement levels of financial assets or liabilities.</w:t>
      </w:r>
    </w:p>
    <w:p>
      <w:pPr>
        <w:spacing w:after="0" w:line="266"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300" w:type="dxa"/>
            <w:vAlign w:val="bottom"/>
          </w:tcPr>
          <w:p>
            <w:pPr>
              <w:spacing w:after="0"/>
              <w:rPr>
                <w:sz w:val="15"/>
                <w:szCs w:val="15"/>
                <w:color w:val="auto"/>
              </w:rPr>
            </w:pPr>
          </w:p>
        </w:tc>
        <w:tc>
          <w:tcPr>
            <w:tcW w:w="10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3,018</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0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financing costs</w:t>
            </w:r>
          </w:p>
        </w:tc>
        <w:tc>
          <w:tcPr>
            <w:tcW w:w="10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2,725</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10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8"/>
                <w:szCs w:val="18"/>
                <w:color w:val="auto"/>
              </w:rPr>
            </w:pPr>
          </w:p>
        </w:tc>
      </w:tr>
      <w:tr>
        <w:trPr>
          <w:trHeight w:val="230"/>
        </w:trPr>
        <w:tc>
          <w:tcPr>
            <w:tcW w:w="7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6,860</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shd w:val="clear" w:color="auto" w:fill="CFF0FC"/>
          </w:tcPr>
          <w:p>
            <w:pPr>
              <w:spacing w:after="0"/>
              <w:rPr>
                <w:sz w:val="19"/>
                <w:szCs w:val="19"/>
                <w:color w:val="auto"/>
              </w:rPr>
            </w:pPr>
          </w:p>
        </w:tc>
      </w:tr>
      <w:tr>
        <w:trPr>
          <w:trHeight w:val="20"/>
        </w:trPr>
        <w:tc>
          <w:tcPr>
            <w:tcW w:w="73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consist of the following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300" w:type="dxa"/>
            <w:vAlign w:val="bottom"/>
          </w:tcPr>
          <w:p>
            <w:pPr>
              <w:spacing w:after="0"/>
              <w:rPr>
                <w:sz w:val="15"/>
                <w:szCs w:val="15"/>
                <w:color w:val="auto"/>
              </w:rPr>
            </w:pPr>
          </w:p>
        </w:tc>
        <w:tc>
          <w:tcPr>
            <w:tcW w:w="10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software, and office equipment</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0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1,373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10"/>
        </w:trPr>
        <w:tc>
          <w:tcPr>
            <w:tcW w:w="7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1,256</w:t>
            </w: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Borders>
              <w:top w:val="single" w:sz="8" w:color="CFF0FC"/>
            </w:tcBorders>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-454025</wp:posOffset>
            </wp:positionV>
            <wp:extent cx="603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-454025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depreciation expense for the three months ended March 31, 2026 and 2025 was $63 thousand and $10 thousand,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4" w:name="page15"/>
    <w:bookmarkEnd w:id="14"/>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liabilities consist of the following (in thousands):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300" w:type="dxa"/>
            <w:vAlign w:val="bottom"/>
          </w:tcPr>
          <w:p>
            <w:pPr>
              <w:spacing w:after="0"/>
              <w:rPr>
                <w:sz w:val="15"/>
                <w:szCs w:val="15"/>
                <w:color w:val="auto"/>
              </w:rPr>
            </w:pPr>
          </w:p>
        </w:tc>
        <w:tc>
          <w:tcPr>
            <w:tcW w:w="10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compensation and vacation accrual</w:t>
            </w:r>
          </w:p>
        </w:tc>
        <w:tc>
          <w:tcPr>
            <w:tcW w:w="106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1,840</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and professional fees</w:t>
            </w:r>
          </w:p>
        </w:tc>
        <w:tc>
          <w:tcPr>
            <w:tcW w:w="1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1,203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8"/>
                <w:szCs w:val="18"/>
                <w:color w:val="auto"/>
              </w:rPr>
            </w:pPr>
          </w:p>
        </w:tc>
      </w:tr>
      <w:tr>
        <w:trPr>
          <w:trHeight w:val="216"/>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10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5,090</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8,133</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9,889</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-170815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ind w:left="520" w:right="8140" w:hanging="512"/>
        <w:spacing w:after="0" w:line="377" w:lineRule="auto"/>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Leases</w:t>
      </w:r>
    </w:p>
    <w:p>
      <w:pPr>
        <w:spacing w:after="0" w:line="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September 2025, the Company entered into a non-cancelable operating sublease in Boston, Massachusetts, or the Boston Sublease, to rent out 8,774 square feet of office space and relocated its headquarters to Boston in September 2025. The lease commenced on September 2, 2025, at which time the Company recognized a right-of-use, or ROU, asset and corresponding lease liability of $1.7 million. The lease term is 41 months with rental payments beginning four months after the lease commencement. In addition to base rent, the Company will reimburse the landlord for certain operating expenses under the terms of the lease. The Company has the option to extend the lease one time for an additional 3-year period, subject to the terms therein; however, the exercise of the option to extend the lease term was not determined to be reasonably certain, and the Company will therefore recognize lease expense through the expiration of the initial lease term ending in January 2029.</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Lease liabilities are measured by calculating the present value of remaining lease payments under the lease arrangement. Since the rates implicit in our leases are not readily determinable, the Company uses estimated incremental borrowing rates in determining the discount rate used to calculate the present value of remaining lease payments. The incremental borrowing rate is the rate of interest that the Company would have to pay to borrow, on a collateralized basis, an amount equal to the lease payments over a similar term equal to the lease term in a similar economic environment. The incremental borrowing rate is based on the information available at commencement date. As the Company has no recent external borrowings, the incremental borrowing is a hypothetical rate based on our understanding of what our credit rating would be and adjusted to reflect a collateralized borrowing.</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presentation in the Company’s consolidated balance sheets of its operating leases (in thousands):</w:t>
      </w:r>
    </w:p>
    <w:tbl>
      <w:tblPr>
        <w:tblLayout w:type="fixed"/>
        <w:tblInd w:w="1300" w:type="dxa"/>
        <w:tblCellMar>
          <w:top w:w="0" w:type="dxa"/>
          <w:left w:w="0" w:type="dxa"/>
          <w:bottom w:w="0" w:type="dxa"/>
          <w:right w:w="0" w:type="dxa"/>
        </w:tblCellMar>
      </w:tblPr>
      <w:tr>
        <w:trPr>
          <w:trHeight w:val="151"/>
        </w:trPr>
        <w:tc>
          <w:tcPr>
            <w:tcW w:w="4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jc w:val="center"/>
              <w:ind w:left="388"/>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 noncurrent</w:t>
            </w:r>
          </w:p>
        </w:tc>
        <w:tc>
          <w:tcPr>
            <w:tcW w:w="216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8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18"/>
                <w:szCs w:val="18"/>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9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80" w:type="dxa"/>
            <w:vAlign w:val="bottom"/>
            <w:shd w:val="clear" w:color="auto" w:fill="CFF0FC"/>
          </w:tcPr>
          <w:p>
            <w:pPr>
              <w:spacing w:after="0"/>
              <w:rPr>
                <w:sz w:val="18"/>
                <w:szCs w:val="18"/>
                <w:color w:val="auto"/>
              </w:rPr>
            </w:pPr>
          </w:p>
        </w:tc>
      </w:tr>
    </w:tbl>
    <w:p>
      <w:pPr>
        <w:spacing w:after="0" w:line="200" w:lineRule="exact"/>
        <w:rPr>
          <w:sz w:val="20"/>
          <w:szCs w:val="20"/>
          <w:color w:val="auto"/>
        </w:rPr>
      </w:pPr>
    </w:p>
    <w:p>
      <w:pPr>
        <w:spacing w:after="0" w:line="32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incurred total operating lease expenses of $146 thousand and zero, respectively. The Company incurred an immaterial amount of expense related to variable lease costs during the three months ended March 31, 2026 and no expense related to variable lease costs during three months ended March 31, 2025.</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were as detailed below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14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10"/>
        </w:trPr>
        <w:tc>
          <w:tcPr>
            <w:tcW w:w="1480" w:type="dxa"/>
            <w:vAlign w:val="bottom"/>
          </w:tcPr>
          <w:p>
            <w:pPr>
              <w:spacing w:after="0"/>
              <w:rPr>
                <w:sz w:val="18"/>
                <w:szCs w:val="18"/>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shd w:val="clear" w:color="auto" w:fill="CFF0FC"/>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shd w:val="clear" w:color="auto" w:fill="CFF0FC"/>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0"/>
        </w:trPr>
        <w:tc>
          <w:tcPr>
            <w:tcW w:w="1480" w:type="dxa"/>
            <w:vAlign w:val="bottom"/>
          </w:tcPr>
          <w:p>
            <w:pPr>
              <w:spacing w:after="0"/>
              <w:rPr>
                <w:sz w:val="18"/>
                <w:szCs w:val="18"/>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28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tcBorders>
              <w:bottom w:val="single" w:sz="8" w:color="CFF0FC"/>
            </w:tcBorders>
            <w:shd w:val="clear" w:color="auto" w:fill="CFF0FC"/>
          </w:tcPr>
          <w:p>
            <w:pPr>
              <w:spacing w:after="0"/>
              <w:rPr>
                <w:sz w:val="18"/>
                <w:szCs w:val="18"/>
                <w:color w:val="auto"/>
              </w:rPr>
            </w:pPr>
          </w:p>
        </w:tc>
        <w:tc>
          <w:tcPr>
            <w:tcW w:w="1460" w:type="dxa"/>
            <w:vAlign w:val="bottom"/>
          </w:tcPr>
          <w:p>
            <w:pPr>
              <w:spacing w:after="0"/>
              <w:rPr>
                <w:sz w:val="18"/>
                <w:szCs w:val="18"/>
                <w:color w:val="auto"/>
              </w:rPr>
            </w:pPr>
          </w:p>
        </w:tc>
      </w:tr>
      <w:tr>
        <w:trPr>
          <w:trHeight w:val="209"/>
        </w:trPr>
        <w:tc>
          <w:tcPr>
            <w:tcW w:w="148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w:t>
            </w:r>
          </w:p>
        </w:tc>
        <w:tc>
          <w:tcPr>
            <w:tcW w:w="1460" w:type="dxa"/>
            <w:vAlign w:val="bottom"/>
          </w:tcPr>
          <w:p>
            <w:pPr>
              <w:spacing w:after="0"/>
              <w:rPr>
                <w:sz w:val="18"/>
                <w:szCs w:val="18"/>
                <w:color w:val="auto"/>
              </w:rPr>
            </w:pPr>
          </w:p>
        </w:tc>
      </w:tr>
      <w:tr>
        <w:trPr>
          <w:trHeight w:val="256"/>
        </w:trPr>
        <w:tc>
          <w:tcPr>
            <w:tcW w:w="1480" w:type="dxa"/>
            <w:vAlign w:val="bottom"/>
          </w:tcPr>
          <w:p>
            <w:pPr>
              <w:spacing w:after="0"/>
              <w:rPr>
                <w:sz w:val="22"/>
                <w:szCs w:val="22"/>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80" w:type="dxa"/>
            <w:vAlign w:val="bottom"/>
            <w:shd w:val="clear" w:color="auto" w:fill="CFF0FC"/>
          </w:tcPr>
          <w:p>
            <w:pPr>
              <w:spacing w:after="0"/>
              <w:rPr>
                <w:sz w:val="22"/>
                <w:szCs w:val="22"/>
                <w:color w:val="auto"/>
              </w:rPr>
            </w:pPr>
          </w:p>
        </w:tc>
        <w:tc>
          <w:tcPr>
            <w:tcW w:w="1460" w:type="dxa"/>
            <w:vAlign w:val="bottom"/>
          </w:tcPr>
          <w:p>
            <w:pPr>
              <w:spacing w:after="0"/>
              <w:rPr>
                <w:sz w:val="22"/>
                <w:szCs w:val="22"/>
                <w:color w:val="auto"/>
              </w:rPr>
            </w:pPr>
          </w:p>
        </w:tc>
      </w:tr>
      <w:tr>
        <w:trPr>
          <w:trHeight w:val="628"/>
        </w:trPr>
        <w:tc>
          <w:tcPr>
            <w:tcW w:w="1480" w:type="dxa"/>
            <w:vAlign w:val="bottom"/>
          </w:tcPr>
          <w:p>
            <w:pPr>
              <w:spacing w:after="0"/>
              <w:rPr>
                <w:sz w:val="24"/>
                <w:szCs w:val="24"/>
                <w:color w:val="auto"/>
              </w:rPr>
            </w:pPr>
          </w:p>
        </w:tc>
        <w:tc>
          <w:tcPr>
            <w:tcW w:w="3900" w:type="dxa"/>
            <w:vAlign w:val="bottom"/>
            <w:tcBorders>
              <w:top w:val="single" w:sz="8" w:color="CFF0FC"/>
            </w:tcBorders>
          </w:tcPr>
          <w:p>
            <w:pPr>
              <w:spacing w:after="0"/>
              <w:rPr>
                <w:sz w:val="24"/>
                <w:szCs w:val="24"/>
                <w:color w:val="auto"/>
              </w:rPr>
            </w:pPr>
          </w:p>
        </w:tc>
        <w:tc>
          <w:tcPr>
            <w:tcW w:w="2800" w:type="dxa"/>
            <w:vAlign w:val="bottom"/>
            <w:tcBorders>
              <w:top w:val="single" w:sz="8" w:color="CFF0FC"/>
            </w:tcBorders>
          </w:tcPr>
          <w:p>
            <w:pPr>
              <w:jc w:val="right"/>
              <w:ind w:right="237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460" w:type="dxa"/>
            <w:vAlign w:val="bottom"/>
          </w:tcPr>
          <w:p>
            <w:pPr>
              <w:spacing w:after="0"/>
              <w:rPr>
                <w:sz w:val="24"/>
                <w:szCs w:val="24"/>
                <w:color w:val="auto"/>
              </w:rPr>
            </w:pPr>
          </w:p>
        </w:tc>
      </w:tr>
      <w:tr>
        <w:trPr>
          <w:trHeight w:val="763"/>
        </w:trPr>
        <w:tc>
          <w:tcPr>
            <w:tcW w:w="148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-1216660</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-933450</wp:posOffset>
            </wp:positionV>
            <wp:extent cx="5143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-916940</wp:posOffset>
            </wp:positionV>
            <wp:extent cx="51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for the three months ended March 31, 2026 and 2025 were $102 thousand and zero, respectively.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periods presented, the Company did not recognize any impairment losses on its ROU assets.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subject to various claims that arise in the ordinary course of business. Management believes that any liability of the Company that may arise out of or with respect to these matters will not materially adversely affect the financial position, results of operations, or cash flows of the Company.</w:t>
      </w:r>
    </w:p>
    <w:p>
      <w:pPr>
        <w:spacing w:after="0" w:line="280"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Convertible Preferred Stock</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amended and restated its Certificate of Incorporation in April 2025, in order to, among other things, (i) increase the total authorized shares of common stock to 575,000,000, (ii) increase the total authorized shares of preferred stock to 462,178,988 shares, (iii) designate 51,213,004 shares of the authorized preferred stock as “Series A Preferred Stock,” designate 25,210,789 shares of the authorized preferred stock as “Series B Preferred Stock,” designate 239,092,424 shares of the authorized preferred stock as “Series C-1 Preferred Stock,” designate 20,316,359 shares of the authorized preferred stock as “Series C-2 Preferred Stock,” and designate 126,346,412 shares of the authorized preferred stock as “Series D Preferred Stock,” and (iv) the addition of a special mandatory conversion provision as described below.</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April 2025, certain investors voluntarily converted shares of Series A and Series C-2 preferred stock into common stock. Pursuant to the voluntary conversion terms of the associated preferred stock agreements, the investors received one (1) share of common stock for every one (1) share of preferred stock converted. As a result of the voluntary conversion, 17,891,429 shares of preferred stock were converted into 17,891,429 shares of common stock. As these investors converted on a one-to-one basis, pursuant to the original terms of the associated preferred stock agreements, the common stock issued is recognized at an amount equal to the net carrying amount of the preferred stock, as such, no gain or loss was recognized upon conversion.</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Also, in April 2025, the Company entered into the Series D Preferred Stock Purchase Agreement with multiple investors, pursuant to which it agreed to issue up to 126,346,412 shares of Series D Preferred Stock at a price of $0.7963 per share, for aggregate gross proceeds of $100.4 million, or the Series D Financing. The Company incurred $0.6 million of issuance costs in connection with the Series D Financing.</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event that any existing holder of shares of preferred stock did not participate in the Series D Financing by purchasing such holder’s pro rata share, the portion of the shares of preferred stock held by such holder were mandatorily converted into shares of common stock. Upon such conversion, five (5) shares of preferred stock were converted into one (1) share of common stock. Upon the closing of the Series D Financing, 1,564,162 shares of Series A and Series B preferred stock were mandatorily converted into 312,824 shares of common stock.</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determined that the mandatory preferred stock conversion was an extinguishment of the preferred stock through issuance of common stock. As such, the Company has recorded the difference of $1.6 million between the fair value of the common stock issued and the carrying value of the extinguished preferred stock to additional paid-in capital, or APIC. The amount recognized in APIC was not included as a deemed contribution within basic loss per share given the transaction resulted in a transfer of value between preferred shareholder groups.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Series D Preferred Stock, the requisite holders of the Series A Preferred Stock and Series B Preferred Stock waived the application of their anti-dilution provisions with respect to such issuance and any common stock issued upon conversion. Accordingly, the issuance of the Series D Preferred Stock did not result in any adjustment to the conversion prices of the Series A and Series B Preferred Stock.</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and December 31, 2025, the Company’s preferred stock, consisted of the following (in thousands, except share amounts):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6" w:name="page17"/>
    <w:bookmarkEnd w:id="16"/>
    <w:tbl>
      <w:tblPr>
        <w:tblLayout w:type="fixed"/>
        <w:tblInd w:w="46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Issued</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2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51,213,004</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49,651,129</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49,176</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25,210,789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25,208,502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C-1</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239,092,424</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239,016,017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174,494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Series C-2</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20,316,359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20,316,359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D</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126,346,412</w:t>
            </w: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126,036,334</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99,769</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100,363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462,178,988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460,228,341</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372,221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-170815</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-170815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596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-170815</wp:posOffset>
            </wp:positionV>
            <wp:extent cx="596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terms for the preferred stock:</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Each share of preferred stock has voting rights equal to an equivalent number of shares of common stock into which it is convertible and votes together as one class with the common stock, except as below:</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holders of record of the shares of Series A preferred stock and Series B preferred stock, voting together as a single separate class, are entitled to elect three directors of the Company.</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holders of record of the shares of Series C preferred stock, exclusively and as a single separate class, are entitled to elect two directors of the Company.</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holders of record of the shares of Series D preferred stock, exclusively and as a single separate class, are entitled to elect one director of the Company.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holders of preferred stock are entitled to receive, when, as and if declared by the Board, out of funds legally available, noncumulative dividends prior and in preference to any dividends paid on the common stock, at the rate of 8% per annum for each share of preferred stock at the original issue price, as adjusted for stock splits, stock dividends, combinations, or other similar recapitalizations. To date, no dividends have been declared or paid on the Company’s preferred stock.</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corporation, or upon the occurrence of a Deemed Liquidation Event (defined below), the holders of preferred stock are entitled to be paid out of the assets of the Company available for distribution to its stockholders before any payment is made to holders of common stock, an amount per share equal to the issuance price of $1.00 with respect to the Series A, $1.4159 for Series B, $0.7323 for Series C-1, and $0.5859 for Series C-2, and $0.7963 per share for Series D, plus any dividends declared but unpaid. If upon any such liquidation, dissolution, or winding-up of the Company, the assets of the Company available for distribution to its stockholders is insufficient to pay the preferred stockholders the full amount they are entitled, the holders of preferred stock shall share ratably in any distribution of the assets available for distribution in proportion to the respective amounts which would otherwise be entitled to receive. After the payment of all preferential amounts required to be paid to holders of shares of preferred stock, the remaining assets available for distribution shall be distributed among the holders of shares of preferred stock and common stock, pro rata based on the number of common stock (on an as converted basis) held by each such holder.</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Unless the holders of a majority in voting power of the then outstanding shares of preferred stock elect otherwise, a Deemed Liquidation Event shall include a merger or consolidation (other than one in which stockholders of the Company own a majority by voting power of the outstanding shares of the surviving or acquiring corporation) or sale, lease, transfer, exclusive license or other disposition of all or substantially all of the Company’s assets.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preferred stock does not contain any mandatory redemption features and the preferred stock is not currently redeemable. In accordance with ASC Topic 480, Distinguishing Liabilities from Equity, or ASC 480, preferred stock issued with redemption provisions that are outside of the control of the Company, including a deemed liquidation event, is required to be presented outside of stockholders’ deficit on the face of the consolidated balance sheet. The Company’s preferred stock contains redemption provisions that require it to be presented outside of stockholders’ deficit in temporary equity. The Company did not accrete the carrying values of the preferred stock to the redemption values since a Deemed Liquidation Event was not considered probable during the three months ended March 31, 2026 and 2025. Subsequent adjustments of the carrying values to the ultimate redemption values will be made only when it becomes probable that such a Deemed Liquidation Event will occur.</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Each share of preferred stock is convertible at the option of the holder, at any time and from time to time, and without the payment of additional consideration by the holder, into shares of common stock as is determined by dividing the original purchase issue price of preferred stock by the conversion price in effect at the time of conversion. The conversion price per share shall be $19.24 with respect to the Series A, $27.24 for Series B, $14.09 for Series C-1, and $11.27 for Series C-2, and $15.32 for Series D, as defined by the Company’s certificate of incorporation, as amended. As of March 31, 2026, the conversion ratio for preferred stock was one-to-one basis.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All outstanding shares of preferred stock shall automatically be converted into shares of common stock on a one-to-one basis, at the then-effective conversion rate upon either (a) the closing of the sale of shares of common stock to the public at a price at least equal to $45.99 per share in a firm-commitment underwritten public offering pursuant to an effective registration statement under the Securities Act of 1933, as amended, resulting in at least $50 million of net proceeds to the Company or (b) the date and time, or the occurrence of an event specified by vote or written consent of (i) the holders of a majority of the outstanding shares of preferred stock voting together as a single separate class and on as-converted to common stock basis and (ii) the holders of a majority of the outstanding shares of Series C and Series D preferred stock voting together as a single separate class and on as-converted to common stock basis.</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All shares of Preferred Stock automatically converted into shares of common stock on a 1-to-19.2417 basis in connection with the Company's IPO completed in May 2026 (see Note 1).</w:t>
      </w:r>
    </w:p>
    <w:p>
      <w:pPr>
        <w:spacing w:after="0" w:line="266"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certificate of incorporation, as amended and restated, authorizes the Company to issue 585,000,000 shares of common stock, par value $0.001, as of March 31, 2026. The holders of common stock are entitled to one vote for each share of common stock held.</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number of shares of common stock that have been reserved for the potential conversion of preferred stock, exercise of outstanding stock options granted, warrants, and stock options available for grant under the Company’s 2022 Equity Incentive Plan, or the Plan, as of March 31, 2026 and December 31, 2025,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150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3"/>
                <w:szCs w:val="13"/>
                <w:color w:val="auto"/>
              </w:rPr>
            </w:pPr>
          </w:p>
        </w:tc>
        <w:tc>
          <w:tcPr>
            <w:tcW w:w="174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5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Pr>
          <w:p>
            <w:pPr>
              <w:spacing w:after="0"/>
              <w:rPr>
                <w:sz w:val="15"/>
                <w:szCs w:val="15"/>
                <w:color w:val="auto"/>
              </w:rPr>
            </w:pPr>
          </w:p>
        </w:tc>
        <w:tc>
          <w:tcPr>
            <w:tcW w:w="15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0"/>
        </w:trPr>
        <w:tc>
          <w:tcPr>
            <w:tcW w:w="46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of Series A</w:t>
            </w:r>
          </w:p>
        </w:tc>
        <w:tc>
          <w:tcPr>
            <w:tcW w:w="4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2,580,370</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2,580,370</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Series B</w:t>
            </w: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1,310,082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1,310,082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of Series C-1</w:t>
            </w:r>
          </w:p>
        </w:tc>
        <w:tc>
          <w:tcPr>
            <w:tcW w:w="4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12,421,759</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12,421,759</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Series C-2</w:t>
            </w: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1,055,847</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1,055,847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of Series D</w:t>
            </w:r>
          </w:p>
        </w:tc>
        <w:tc>
          <w:tcPr>
            <w:tcW w:w="4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6,550,136</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6,550,136</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common stock options</w:t>
            </w: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4,346,622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4,088,900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common stock warrants</w:t>
            </w:r>
          </w:p>
        </w:tc>
        <w:tc>
          <w:tcPr>
            <w:tcW w:w="4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245,330</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222,830</w:t>
            </w: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 available for grant</w:t>
            </w:r>
          </w:p>
        </w:tc>
        <w:tc>
          <w:tcPr>
            <w:tcW w:w="324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257,247</w:t>
            </w:r>
          </w:p>
        </w:tc>
        <w:tc>
          <w:tcPr>
            <w:tcW w:w="24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0"/>
        </w:trPr>
        <w:tc>
          <w:tcPr>
            <w:tcW w:w="460" w:type="dxa"/>
            <w:vAlign w:val="bottom"/>
          </w:tcPr>
          <w:p>
            <w:pPr>
              <w:spacing w:after="0"/>
              <w:rPr>
                <w:sz w:val="21"/>
                <w:szCs w:val="21"/>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4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28,767,393</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28,278,835</w:t>
            </w:r>
          </w:p>
        </w:tc>
        <w:tc>
          <w:tcPr>
            <w:tcW w:w="10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r>
      <w:tr>
        <w:trPr>
          <w:trHeight w:val="628"/>
        </w:trPr>
        <w:tc>
          <w:tcPr>
            <w:tcW w:w="460" w:type="dxa"/>
            <w:vAlign w:val="bottom"/>
          </w:tcPr>
          <w:p>
            <w:pPr>
              <w:spacing w:after="0"/>
              <w:rPr>
                <w:sz w:val="24"/>
                <w:szCs w:val="24"/>
                <w:color w:val="auto"/>
              </w:rPr>
            </w:pPr>
          </w:p>
        </w:tc>
        <w:tc>
          <w:tcPr>
            <w:tcW w:w="4060" w:type="dxa"/>
            <w:vAlign w:val="bottom"/>
            <w:tcBorders>
              <w:top w:val="single" w:sz="8" w:color="CFF0FC"/>
            </w:tcBorders>
          </w:tcPr>
          <w:p>
            <w:pPr>
              <w:spacing w:after="0"/>
              <w:rPr>
                <w:sz w:val="24"/>
                <w:szCs w:val="24"/>
                <w:color w:val="auto"/>
              </w:rPr>
            </w:pPr>
          </w:p>
        </w:tc>
        <w:tc>
          <w:tcPr>
            <w:tcW w:w="3240" w:type="dxa"/>
            <w:vAlign w:val="bottom"/>
            <w:tcBorders>
              <w:top w:val="single" w:sz="8" w:color="CFF0FC"/>
            </w:tcBorders>
          </w:tcPr>
          <w:p>
            <w:pPr>
              <w:jc w:val="right"/>
              <w:ind w:right="1950"/>
              <w:spacing w:after="0"/>
              <w:rPr>
                <w:sz w:val="20"/>
                <w:szCs w:val="20"/>
                <w:color w:val="auto"/>
              </w:rPr>
            </w:pPr>
            <w:r>
              <w:rPr>
                <w:rFonts w:ascii="Times New Roman" w:cs="Times New Roman" w:eastAsia="Times New Roman" w:hAnsi="Times New Roman"/>
                <w:sz w:val="18"/>
                <w:szCs w:val="18"/>
                <w:color w:val="auto"/>
              </w:rPr>
              <w:t>17</w:t>
            </w:r>
          </w:p>
        </w:tc>
        <w:tc>
          <w:tcPr>
            <w:tcW w:w="15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-933450</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-916305</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-933450</wp:posOffset>
            </wp:positionV>
            <wp:extent cx="596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-916305</wp:posOffset>
            </wp:positionV>
            <wp:extent cx="596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jc w:val="both"/>
        <w:ind w:left="520" w:right="9300" w:hanging="512"/>
        <w:spacing w:after="0" w:line="400" w:lineRule="auto"/>
        <w:tabs>
          <w:tab w:leader="none" w:pos="52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 Option Plan </w:t>
      </w:r>
      <w:r>
        <w:rPr>
          <w:rFonts w:ascii="Times New Roman" w:cs="Times New Roman" w:eastAsia="Times New Roman" w:hAnsi="Times New Roman"/>
          <w:sz w:val="17"/>
          <w:szCs w:val="17"/>
          <w:b w:val="1"/>
          <w:bCs w:val="1"/>
          <w:i w:val="1"/>
          <w:iCs w:val="1"/>
          <w:color w:val="auto"/>
        </w:rPr>
        <w:t>Stock Option Plans</w:t>
      </w: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February 10, 2022, the Company adopted the 2022 Plan, which has been subsequently amended (the “Plan”). The Plan provides for the issuance of incentive and nonqualified common stock options to employees, directors, and certain consultants. The Plan is administered by the Board which determines the awards to be granted, including the number of common shares subject to the awards, the exercise price and the vesting schedule. The total number of common shares reserved and available for grant and issuance under the Plan is 3,418,162 shares plus (a) shares that are subject to issuance under the Company’s 2012 Equity Incentive Plan (the “Prior Plan”) but cease to be subject to an award for any reason other than exercise of stock option or settlement of such award and (b) shares that were issued under the Prior Plan which are repurchased or which are forfeited, used to pay withholding obligations with respect to any award granted under the Prior Plan or pay the exercise price of a stock option granted under the Prior Plan.</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Stock options must be granted with an exercise price equal to the common stock’s fair market value at the date of grant. Stock options generally have 10-year terms and vest over a four-year period starting from the date specified in each agreement. Certain stock options are subject to accelerated vesting upon a change in control, as defined in the respective grant agreements. As of March 31, 2026, there were 257,247 common stock options available for the Company to grant under the Plan.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2026 Equity Plans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April 2026, the Board and the Company's stockholders adopted and approved the 2026 Stock Option and Incentive Plan, or the 2026 Plan, which became effective on April 28, 2026, the date immediately preceding the date that the registration statement on Form S-1 for the Company's IPO was declared effective by the SEC. The 2026 Plan initially reserved 4,160,000 shares of common stock for future issuances and is subject to automatic increases in the number of shares of common stock reserved for future issuances in accordance with the evergreen provisions in the 2026 Plan. The shares reserved for future issuance under the 2022 Plan ceased to be available for issuance at the time the 2026 Plan became effective. Any shares underlying outstanding stock awards granted under the 2022 Plan that subsequently expire or are repurchased, forfeited, cancelled, or withheld will return to the 2026 Plan and be reserved and available for issuance. The Company granted 2,387,705 of common stock options subject to service-based vesting to certain executive officers, directors, and employees at the time of effectiveness of the 2026 Plan with an exercise price equal to $18.00 per share.</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April 2026, the Board and the Company's stockholders adopted and approved the 2026 Employee Stock Purchase Plan, or the 2026 ESPP, which became effective on April 28, 2026, the date immediately preceding the date that the registration statement on Form S-1 for the Company's IPO was declared effective by the SEC. The 2026 ESPP initially reserved 370,000 shares of common stock for future issuance and is subject to automatic increases in the number of shares of common stock reserved for future issuances in accordance with the evergreen provisions in the 2026 ESPP.</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Options Valuation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stock options on the date of grant using the Black-Scholes option-pricing model. The Black-Scholes option-pricing model requires estimates of highly subjective assumptions, which affect the fair value of each stock option. The assumptions used to determine the fair values of stock options granted to employees, directors, and certain consultants are as follows: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8640" w:type="dxa"/>
            <w:vAlign w:val="bottom"/>
          </w:tcPr>
          <w:p>
            <w:pPr>
              <w:spacing w:after="0"/>
              <w:rPr>
                <w:sz w:val="15"/>
                <w:szCs w:val="15"/>
                <w:color w:val="auto"/>
              </w:rPr>
            </w:pPr>
          </w:p>
        </w:tc>
        <w:tc>
          <w:tcPr>
            <w:tcW w:w="20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2"/>
        </w:trPr>
        <w:tc>
          <w:tcPr>
            <w:tcW w:w="8640" w:type="dxa"/>
            <w:vAlign w:val="bottom"/>
          </w:tcPr>
          <w:p>
            <w:pPr>
              <w:spacing w:after="0"/>
              <w:rPr>
                <w:sz w:val="12"/>
                <w:szCs w:val="12"/>
                <w:color w:val="auto"/>
              </w:rPr>
            </w:pPr>
          </w:p>
        </w:tc>
        <w:tc>
          <w:tcPr>
            <w:tcW w:w="184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2"/>
                <w:szCs w:val="12"/>
                <w:color w:val="auto"/>
              </w:rPr>
            </w:pPr>
          </w:p>
        </w:tc>
      </w:tr>
      <w:tr>
        <w:trPr>
          <w:trHeight w:val="210"/>
        </w:trPr>
        <w:tc>
          <w:tcPr>
            <w:tcW w:w="8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 -3.9 %</w:t>
            </w:r>
          </w:p>
        </w:tc>
        <w:tc>
          <w:tcPr>
            <w:tcW w:w="180" w:type="dxa"/>
            <w:vAlign w:val="bottom"/>
            <w:shd w:val="clear" w:color="auto" w:fill="CFF0FC"/>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180" w:type="dxa"/>
            <w:vAlign w:val="bottom"/>
          </w:tcPr>
          <w:p>
            <w:pPr>
              <w:spacing w:after="0"/>
              <w:rPr>
                <w:sz w:val="18"/>
                <w:szCs w:val="18"/>
                <w:color w:val="auto"/>
              </w:rPr>
            </w:pPr>
          </w:p>
        </w:tc>
      </w:tr>
      <w:tr>
        <w:trPr>
          <w:trHeight w:val="216"/>
        </w:trPr>
        <w:tc>
          <w:tcPr>
            <w:tcW w:w="8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of underlying stock</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 -79.7 %</w:t>
            </w:r>
          </w:p>
        </w:tc>
        <w:tc>
          <w:tcPr>
            <w:tcW w:w="180" w:type="dxa"/>
            <w:vAlign w:val="bottom"/>
            <w:shd w:val="clear" w:color="auto" w:fill="CFF0FC"/>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underlying common stock</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$2.89-$8.27</w:t>
            </w:r>
          </w:p>
        </w:tc>
        <w:tc>
          <w:tcPr>
            <w:tcW w:w="180" w:type="dxa"/>
            <w:vAlign w:val="bottom"/>
          </w:tcPr>
          <w:p>
            <w:pPr>
              <w:spacing w:after="0"/>
              <w:rPr>
                <w:sz w:val="18"/>
                <w:szCs w:val="18"/>
                <w:color w:val="auto"/>
              </w:rPr>
            </w:pPr>
          </w:p>
        </w:tc>
      </w:tr>
      <w:tr>
        <w:trPr>
          <w:trHeight w:val="216"/>
        </w:trPr>
        <w:tc>
          <w:tcPr>
            <w:tcW w:w="8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020" w:type="dxa"/>
            <w:vAlign w:val="bottom"/>
            <w:gridSpan w:val="2"/>
            <w:shd w:val="clear" w:color="auto" w:fill="CFF0FC"/>
          </w:tcPr>
          <w:p>
            <w:pPr>
              <w:ind w:left="166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options granted during the three months ended March 31, 2025.</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40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9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400" w:type="dxa"/>
            <w:vAlign w:val="bottom"/>
            <w:gridSpan w:val="2"/>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160" w:type="dxa"/>
            <w:vAlign w:val="bottom"/>
          </w:tcPr>
          <w:p>
            <w:pPr>
              <w:spacing w:after="0"/>
              <w:rPr>
                <w:sz w:val="12"/>
                <w:szCs w:val="12"/>
                <w:color w:val="auto"/>
              </w:rPr>
            </w:pPr>
          </w:p>
        </w:tc>
        <w:tc>
          <w:tcPr>
            <w:tcW w:w="94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11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4,088,900</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307,792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(5,256)</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(42,316)</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(2,498)</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4,346,622</w:t>
            </w: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34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9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28,825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Options exercisable as of March 31, 2026</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1,860,689</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5.05</w:t>
            </w:r>
          </w:p>
        </w:tc>
        <w:tc>
          <w:tcPr>
            <w:tcW w:w="22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6.63</w:t>
            </w: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12,452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-334010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-334010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-24765</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-7620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-24765</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-7620</wp:posOffset>
            </wp:positionV>
            <wp:extent cx="596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in the three months ended March 31, 2026 and 2025 was $5.00 and zero, respectively. The total intrinsic value of stock options exercised during the three months ended March 31, 2026 and 2025 was $22.0 thousand and zero, respectively. As of March 31, 2026, total stock-based compensation cost not yet recognized related to unvested stock options was $7.4 million, which is expected to be recognized over a weighted-average period of 2.73 years. Stock-based compensation expense recognized in the accompanying consolidated statements of comprehensive loss for the three months ended March 31, 2026 and 2025, included the following (in thousands):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730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300" w:type="dxa"/>
            <w:vAlign w:val="bottom"/>
          </w:tcPr>
          <w:p>
            <w:pPr>
              <w:spacing w:after="0"/>
              <w:rPr>
                <w:sz w:val="12"/>
                <w:szCs w:val="12"/>
                <w:color w:val="auto"/>
              </w:rPr>
            </w:pPr>
          </w:p>
        </w:tc>
        <w:tc>
          <w:tcPr>
            <w:tcW w:w="98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32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8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r>
      <w:tr>
        <w:trPr>
          <w:trHeight w:val="23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32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shd w:val="clear" w:color="auto" w:fill="CFF0FC"/>
          </w:tcPr>
          <w:p>
            <w:pPr>
              <w:spacing w:after="0"/>
              <w:rPr>
                <w:sz w:val="19"/>
                <w:szCs w:val="19"/>
                <w:color w:val="auto"/>
              </w:rPr>
            </w:pPr>
          </w:p>
        </w:tc>
      </w:tr>
      <w:tr>
        <w:trPr>
          <w:trHeight w:val="20"/>
        </w:trPr>
        <w:tc>
          <w:tcPr>
            <w:tcW w:w="730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-24765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-8255</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-8255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its business as one operating segment and one reportable segment, which is focused on developing targeted therapies to treat rare lung diseases. The CODM manages the Company’s operations on a consolidated basis, assesses performance for the operating segment and decides how to allocate resources based on consolidated operating results, which is reported on the consolidated statements of comprehensive loss.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monitoring of budgeted versus actual results is used in assessing the performance of the operating segment and in establishing resource allocation across the organization. Depreciation expense, amortization expense, stock-based compensation expense, and non-cash lease expense are significant noncash items included in net loss and reported on the consolidated statements of cash flows. The measure of segment assets is reported on the consolidated balance sheets as total assets. Expenditures for additions to long-lived assets, which include purchases of property and equipment, are included in total assets, reviewed by the CODM, and are reported on the consolidated statements of cash flows.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color w:val="auto"/>
        </w:rPr>
        <w:t>The following table represents information about segment loss and significant segment expenses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2"/>
                <w:szCs w:val="12"/>
                <w:color w:val="auto"/>
              </w:rPr>
            </w:pPr>
          </w:p>
        </w:tc>
        <w:tc>
          <w:tcPr>
            <w:tcW w:w="12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460" w:type="dxa"/>
            <w:vAlign w:val="bottom"/>
          </w:tcPr>
          <w:p>
            <w:pPr>
              <w:spacing w:after="0"/>
              <w:rPr>
                <w:sz w:val="18"/>
                <w:szCs w:val="18"/>
                <w:color w:val="auto"/>
              </w:rPr>
            </w:pPr>
          </w:p>
        </w:tc>
        <w:tc>
          <w:tcPr>
            <w:tcW w:w="7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9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AP01</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13,155</w:t>
            </w:r>
          </w:p>
        </w:tc>
        <w:tc>
          <w:tcPr>
            <w:tcW w:w="122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10,939</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AP02</w:t>
            </w:r>
          </w:p>
        </w:tc>
        <w:tc>
          <w:tcPr>
            <w:tcW w:w="9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AP03</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9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Personnel-related (excluding stock-based compensation)</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00" w:type="dxa"/>
            <w:vAlign w:val="bottom"/>
          </w:tcPr>
          <w:p>
            <w:pPr>
              <w:spacing w:after="0"/>
              <w:rPr>
                <w:sz w:val="18"/>
                <w:szCs w:val="18"/>
                <w:color w:val="auto"/>
              </w:rPr>
            </w:pPr>
          </w:p>
        </w:tc>
      </w:tr>
      <w:tr>
        <w:trPr>
          <w:trHeight w:val="198"/>
        </w:trPr>
        <w:tc>
          <w:tcPr>
            <w:tcW w:w="460" w:type="dxa"/>
            <w:vAlign w:val="bottom"/>
          </w:tcPr>
          <w:p>
            <w:pPr>
              <w:spacing w:after="0"/>
              <w:rPr>
                <w:sz w:val="17"/>
                <w:szCs w:val="17"/>
                <w:color w:val="auto"/>
              </w:rPr>
            </w:pPr>
          </w:p>
        </w:tc>
        <w:tc>
          <w:tcPr>
            <w:tcW w:w="730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Facility and information technology allocated expenses</w:t>
            </w:r>
          </w:p>
        </w:tc>
        <w:tc>
          <w:tcPr>
            <w:tcW w:w="9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60" w:type="dxa"/>
            <w:vAlign w:val="bottom"/>
          </w:tcPr>
          <w:p>
            <w:pPr>
              <w:spacing w:after="0"/>
              <w:rPr>
                <w:sz w:val="20"/>
                <w:szCs w:val="20"/>
                <w:color w:val="auto"/>
              </w:rPr>
            </w:pPr>
          </w:p>
        </w:tc>
        <w:tc>
          <w:tcPr>
            <w:tcW w:w="73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and other research and development costs</w:t>
            </w:r>
          </w:p>
        </w:tc>
        <w:tc>
          <w:tcPr>
            <w:tcW w:w="9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FF0FC"/>
          </w:tcPr>
          <w:p>
            <w:pPr>
              <w:spacing w:after="0"/>
              <w:rPr>
                <w:sz w:val="20"/>
                <w:szCs w:val="20"/>
                <w:color w:val="auto"/>
              </w:rPr>
            </w:pPr>
          </w:p>
        </w:tc>
      </w:tr>
      <w:tr>
        <w:trPr>
          <w:trHeight w:val="216"/>
        </w:trPr>
        <w:tc>
          <w:tcPr>
            <w:tcW w:w="46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Personnel-related (excluding stock-based compensation)</w:t>
            </w:r>
          </w:p>
        </w:tc>
        <w:tc>
          <w:tcPr>
            <w:tcW w:w="9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Facility expenses and information technology</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3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corporate expenses and professional fees</w:t>
            </w:r>
          </w:p>
        </w:tc>
        <w:tc>
          <w:tcPr>
            <w:tcW w:w="9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shd w:val="clear" w:color="auto" w:fill="CFF0FC"/>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30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4"/>
                <w:szCs w:val="24"/>
                <w:color w:val="auto"/>
                <w:vertAlign w:val="superscript"/>
              </w:rPr>
              <w:t>(1)</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w:t>
            </w:r>
          </w:p>
        </w:tc>
      </w:tr>
      <w:tr>
        <w:trPr>
          <w:trHeight w:val="20"/>
        </w:trPr>
        <w:tc>
          <w:tcPr>
            <w:tcW w:w="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60" w:type="dxa"/>
            <w:vAlign w:val="bottom"/>
          </w:tcPr>
          <w:p>
            <w:pPr>
              <w:spacing w:after="0"/>
              <w:rPr>
                <w:sz w:val="21"/>
                <w:szCs w:val="21"/>
                <w:color w:val="auto"/>
              </w:rPr>
            </w:pPr>
          </w:p>
        </w:tc>
        <w:tc>
          <w:tcPr>
            <w:tcW w:w="7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26,869</w:t>
            </w:r>
          </w:p>
        </w:tc>
        <w:tc>
          <w:tcPr>
            <w:tcW w:w="122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17,503</w:t>
            </w:r>
          </w:p>
        </w:tc>
        <w:tc>
          <w:tcPr>
            <w:tcW w:w="100" w:type="dxa"/>
            <w:vAlign w:val="bottom"/>
            <w:shd w:val="clear" w:color="auto" w:fill="CFF0FC"/>
          </w:tcPr>
          <w:p>
            <w:pPr>
              <w:spacing w:after="0"/>
              <w:rPr>
                <w:sz w:val="21"/>
                <w:szCs w:val="21"/>
                <w:color w:val="auto"/>
              </w:rPr>
            </w:pPr>
          </w:p>
        </w:tc>
      </w:tr>
      <w:tr>
        <w:trPr>
          <w:trHeight w:val="115"/>
        </w:trPr>
        <w:tc>
          <w:tcPr>
            <w:tcW w:w="460" w:type="dxa"/>
            <w:vAlign w:val="bottom"/>
            <w:tcBorders>
              <w:bottom w:val="single" w:sz="8" w:color="auto"/>
            </w:tcBorders>
          </w:tcPr>
          <w:p>
            <w:pPr>
              <w:spacing w:after="0"/>
              <w:rPr>
                <w:sz w:val="10"/>
                <w:szCs w:val="10"/>
                <w:color w:val="auto"/>
              </w:rPr>
            </w:pPr>
          </w:p>
        </w:tc>
        <w:tc>
          <w:tcPr>
            <w:tcW w:w="2540" w:type="dxa"/>
            <w:vAlign w:val="bottom"/>
            <w:tcBorders>
              <w:top w:val="single" w:sz="8" w:color="CFF0FC"/>
              <w:bottom w:val="single" w:sz="8" w:color="auto"/>
            </w:tcBorders>
          </w:tcPr>
          <w:p>
            <w:pPr>
              <w:spacing w:after="0"/>
              <w:rPr>
                <w:sz w:val="10"/>
                <w:szCs w:val="10"/>
                <w:color w:val="auto"/>
              </w:rPr>
            </w:pPr>
          </w:p>
        </w:tc>
        <w:tc>
          <w:tcPr>
            <w:tcW w:w="4760" w:type="dxa"/>
            <w:vAlign w:val="bottom"/>
            <w:tcBorders>
              <w:top w:val="single" w:sz="8" w:color="CFF0FC"/>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-119380</wp:posOffset>
            </wp:positionV>
            <wp:extent cx="603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-102235</wp:posOffset>
            </wp:positionV>
            <wp:extent cx="603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-119380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-102235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jc w:val="both"/>
        <w:ind w:left="520" w:hanging="512"/>
        <w:spacing w:after="0" w:line="258"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March 31, 2026, other segment items consist of $0.9 million of interest income, $0.2 million accretion of marketable securities, $1.2 million of stock-based compensation expense, $0.1 million of interest expense and less than $0.1 million of depreciation expense and other expenses. For the three months ended March 31, 2025, other segment items consist of $0.7 million of interest income, $0.6 million accretion of marketable securities, $0.5 million of stock-based compensation expense, and less than $0.1 million of depreciation expense and other expenses.</w:t>
      </w:r>
    </w:p>
    <w:p>
      <w:pPr>
        <w:spacing w:after="0" w:line="183"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Direct research and development expenses by program consist primarily of costs paid to third-parties including CROs, CMOs, consultants, advisors, and other clinical study-related vendors.</w:t>
      </w:r>
    </w:p>
    <w:p>
      <w:pPr>
        <w:spacing w:after="0" w:line="162" w:lineRule="exact"/>
        <w:rPr>
          <w:sz w:val="20"/>
          <w:szCs w:val="20"/>
          <w:color w:val="auto"/>
        </w:rPr>
      </w:pPr>
    </w:p>
    <w:p>
      <w:pPr>
        <w:jc w:val="both"/>
        <w:ind w:firstLine="494"/>
        <w:spacing w:after="0" w:line="282" w:lineRule="auto"/>
        <w:rPr>
          <w:sz w:val="20"/>
          <w:szCs w:val="20"/>
          <w:color w:val="auto"/>
        </w:rPr>
      </w:pPr>
      <w:r>
        <w:rPr>
          <w:rFonts w:ascii="Times New Roman" w:cs="Times New Roman" w:eastAsia="Times New Roman" w:hAnsi="Times New Roman"/>
          <w:sz w:val="18"/>
          <w:szCs w:val="18"/>
          <w:color w:val="auto"/>
        </w:rPr>
        <w:t>Unallocated research and development expenses consist primarily of personnel-rated expenses and allocated information technology and facility expenses and other research and development related costs, excluding non-cash items, such as stock-based compensation and depreciation.</w:t>
      </w:r>
    </w:p>
    <w:p>
      <w:pPr>
        <w:spacing w:after="0" w:line="162"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personnel-rated expenses, including salaries, payroll tax, bonuses, and benefits, and professional services fees for legal, finance, human resources, in addition to information technology expenses, rent expense, and other administrative functions, excluding non-cash expenses such as stock-based compensation and depreciation.</w:t>
      </w:r>
    </w:p>
    <w:p>
      <w:pPr>
        <w:spacing w:after="0" w:line="176" w:lineRule="exact"/>
        <w:rPr>
          <w:sz w:val="20"/>
          <w:szCs w:val="20"/>
          <w:color w:val="auto"/>
        </w:rPr>
      </w:pPr>
    </w:p>
    <w:p>
      <w:pPr>
        <w:jc w:val="both"/>
        <w:ind w:right="20" w:firstLine="494"/>
        <w:spacing w:after="0" w:line="282" w:lineRule="auto"/>
        <w:rPr>
          <w:sz w:val="20"/>
          <w:szCs w:val="20"/>
          <w:color w:val="auto"/>
        </w:rPr>
      </w:pPr>
      <w:r>
        <w:rPr>
          <w:rFonts w:ascii="Times New Roman" w:cs="Times New Roman" w:eastAsia="Times New Roman" w:hAnsi="Times New Roman"/>
          <w:sz w:val="18"/>
          <w:szCs w:val="18"/>
          <w:color w:val="auto"/>
        </w:rPr>
        <w:t>Other segment items consist primarily of interest income on cash and cash equivalents, partially offset by non-cash expenses, such as stock-based compensation and depreciation, and amortization of discounts and premiums on marketable securities.</w:t>
      </w:r>
    </w:p>
    <w:p>
      <w:pPr>
        <w:spacing w:after="0" w:line="266"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5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5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(26,869)</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472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loss attributable to common stockholders, basic and</w:t>
            </w:r>
          </w:p>
        </w:tc>
        <w:tc>
          <w:tcPr>
            <w:tcW w:w="2580" w:type="dxa"/>
            <w:vAlign w:val="bottom"/>
            <w:vMerge w:val="restart"/>
            <w:shd w:val="clear" w:color="auto" w:fill="CFF0FC"/>
          </w:tcPr>
          <w:p>
            <w:pPr>
              <w:spacing w:after="0"/>
              <w:rPr>
                <w:sz w:val="16"/>
                <w:szCs w:val="16"/>
                <w:color w:val="auto"/>
              </w:rPr>
            </w:pPr>
          </w:p>
        </w:tc>
        <w:tc>
          <w:tcPr>
            <w:tcW w:w="34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(26,869)</w:t>
            </w:r>
          </w:p>
        </w:tc>
        <w:tc>
          <w:tcPr>
            <w:tcW w:w="340" w:type="dxa"/>
            <w:vAlign w:val="bottom"/>
            <w:vMerge w:val="restart"/>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(17,503)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4720" w:type="dxa"/>
            <w:vAlign w:val="bottom"/>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2580" w:type="dxa"/>
            <w:vAlign w:val="bottom"/>
            <w:vMerge w:val="continue"/>
            <w:shd w:val="clear" w:color="auto" w:fill="CFF0FC"/>
          </w:tcPr>
          <w:p>
            <w:pPr>
              <w:spacing w:after="0"/>
              <w:rPr>
                <w:sz w:val="20"/>
                <w:szCs w:val="20"/>
                <w:color w:val="auto"/>
              </w:rPr>
            </w:pPr>
          </w:p>
        </w:tc>
        <w:tc>
          <w:tcPr>
            <w:tcW w:w="340" w:type="dxa"/>
            <w:vAlign w:val="bottom"/>
            <w:vMerge w:val="continue"/>
            <w:shd w:val="clear" w:color="auto" w:fill="CFF0FC"/>
          </w:tcPr>
          <w:p>
            <w:pPr>
              <w:spacing w:after="0"/>
              <w:rPr>
                <w:sz w:val="20"/>
                <w:szCs w:val="20"/>
                <w:color w:val="auto"/>
              </w:rPr>
            </w:pPr>
          </w:p>
        </w:tc>
        <w:tc>
          <w:tcPr>
            <w:tcW w:w="1420" w:type="dxa"/>
            <w:vAlign w:val="bottom"/>
            <w:gridSpan w:val="2"/>
            <w:vMerge w:val="continue"/>
            <w:shd w:val="clear" w:color="auto" w:fill="CFF0FC"/>
          </w:tcPr>
          <w:p>
            <w:pPr>
              <w:spacing w:after="0"/>
              <w:rPr>
                <w:sz w:val="20"/>
                <w:szCs w:val="20"/>
                <w:color w:val="auto"/>
              </w:rPr>
            </w:pPr>
          </w:p>
        </w:tc>
        <w:tc>
          <w:tcPr>
            <w:tcW w:w="340" w:type="dxa"/>
            <w:vAlign w:val="bottom"/>
            <w:vMerge w:val="continue"/>
            <w:shd w:val="clear" w:color="auto" w:fill="CFF0FC"/>
          </w:tcPr>
          <w:p>
            <w:pPr>
              <w:spacing w:after="0"/>
              <w:rPr>
                <w:sz w:val="20"/>
                <w:szCs w:val="20"/>
                <w:color w:val="auto"/>
              </w:rPr>
            </w:pPr>
          </w:p>
        </w:tc>
        <w:tc>
          <w:tcPr>
            <w:tcW w:w="1260" w:type="dxa"/>
            <w:vAlign w:val="bottom"/>
            <w:gridSpan w:val="2"/>
            <w:vMerge w:val="continue"/>
            <w:shd w:val="clear" w:color="auto" w:fill="CFF0FC"/>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72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58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47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stock used in net loss</w:t>
            </w:r>
          </w:p>
        </w:tc>
        <w:tc>
          <w:tcPr>
            <w:tcW w:w="25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1,230,698</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276,792</w:t>
            </w:r>
          </w:p>
        </w:tc>
        <w:tc>
          <w:tcPr>
            <w:tcW w:w="100" w:type="dxa"/>
            <w:vAlign w:val="bottom"/>
            <w:shd w:val="clear" w:color="auto" w:fill="CFF0FC"/>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47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 share, basic and diluted</w:t>
            </w:r>
          </w:p>
        </w:tc>
        <w:tc>
          <w:tcPr>
            <w:tcW w:w="25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29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(21.83)</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580" w:type="dxa"/>
            <w:vAlign w:val="bottom"/>
            <w:vMerge w:val="restart"/>
          </w:tcPr>
          <w:p>
            <w:pPr>
              <w:jc w:val="right"/>
              <w:ind w:right="195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6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-1508125</wp:posOffset>
            </wp:positionV>
            <wp:extent cx="603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-1490980</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-1508125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-1490980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-1079500</wp:posOffset>
            </wp:positionV>
            <wp:extent cx="60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-1079500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potentially dilutive securities, which include preferred stock, stock options, and warrants, have been excluded from the computation of diluted net loss per share as the effect is anti-dilutive since they would reduce basic net loss per share. Therefore, the weighted-average number of common stock outstanding used to calculate both basic and diluted net loss per share attributable to common stockholders is the same. The following table summarizes the potentially dilutive common shares excluded from the computation of diluted net loss per share attributable to common stockholders: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7300" w:type="dxa"/>
            <w:vAlign w:val="bottom"/>
          </w:tcPr>
          <w:p>
            <w:pPr>
              <w:spacing w:after="0"/>
              <w:rPr>
                <w:sz w:val="15"/>
                <w:szCs w:val="15"/>
                <w:color w:val="auto"/>
              </w:rPr>
            </w:pPr>
          </w:p>
        </w:tc>
        <w:tc>
          <w:tcPr>
            <w:tcW w:w="336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300" w:type="dxa"/>
            <w:vAlign w:val="bottom"/>
          </w:tcPr>
          <w:p>
            <w:pPr>
              <w:spacing w:after="0"/>
              <w:rPr>
                <w:sz w:val="12"/>
                <w:szCs w:val="12"/>
                <w:color w:val="auto"/>
              </w:rPr>
            </w:pPr>
          </w:p>
        </w:tc>
        <w:tc>
          <w:tcPr>
            <w:tcW w:w="1500" w:type="dxa"/>
            <w:vAlign w:val="bottom"/>
            <w:tcBorders>
              <w:top w:val="single" w:sz="8" w:color="auto"/>
              <w:bottom w:val="single" w:sz="8" w:color="auto"/>
            </w:tcBorders>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40" w:type="dxa"/>
            <w:vAlign w:val="bottom"/>
            <w:tcBorders>
              <w:top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23,918,194</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18,379,154</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4,346,622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2,504,351</w:t>
            </w:r>
          </w:p>
        </w:tc>
        <w:tc>
          <w:tcPr>
            <w:tcW w:w="100" w:type="dxa"/>
            <w:vAlign w:val="bottom"/>
          </w:tcPr>
          <w:p>
            <w:pPr>
              <w:spacing w:after="0"/>
              <w:rPr>
                <w:sz w:val="18"/>
                <w:szCs w:val="18"/>
                <w:color w:val="auto"/>
              </w:rPr>
            </w:pPr>
          </w:p>
        </w:tc>
      </w:tr>
      <w:tr>
        <w:trPr>
          <w:trHeight w:val="216"/>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245,330</w:t>
            </w:r>
          </w:p>
        </w:tc>
        <w:tc>
          <w:tcPr>
            <w:tcW w:w="24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28,510,146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21,106,335</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-170815</wp:posOffset>
            </wp:positionV>
            <wp:extent cx="603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-170815</wp:posOffset>
            </wp:positionV>
            <wp:extent cx="596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09" w:lineRule="exact"/>
        <w:rPr>
          <w:sz w:val="20"/>
          <w:szCs w:val="20"/>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Loan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February 2026, the Company entered into a Loan and Security Agreement (the “LSA) with Banc of California (the Lender) for the issuance of a term loan facility with an aggregate principal amount of up to $30.0 million (the "Term Loan"). The Term Loan bears interest at an annual rate equal to the greater of the prime rate then in effect or 5%, payable monthly. The prime rate in effect as of March 31, 2026 was 6.75%. The maturity date of the Term Loan is June 30, 2030. In February 2026, the Company borrowed $15.0 million under the facility and the additional $15.0 million is available for draw down through December 31, 2027.</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LSA, the Company granted the Lender a senior security interest in the Company’s property and other assets, which has priority over any existing or future indebtedness and related security interests, subject to limited exceptions, including the Company’s intellectual property. The LSA contains negative covenants that, among other things and subject to certain exceptions, could restrict the Company's ability to incur additional liens, incur additional indebtedness, sell or dispose of assets that constitute collateral, including certain intellectual property, and make payments of certain subordinated indebtedness. The LSA also contains certain events of default, including in the event of a material adverse change, and representations and warranties from the Company. Upon the occurrence of an event of default, Banc of California may declare all outstanding obligations immediately due and payable, take such other actions as set forth in the LSA, and increase the interest rate otherwise applicable to the amount outstanding under the LSA by an additional 3.00%. The Company is in compliance with the such covenants at March 31, 2026.</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paid debt issuance costs of approximately $0.2 million in connection with the term loan facility. In addition, the Company issued a warrant to the Lender to purchase 22,500 shares of the Company’s common stock with the exercise price of $9.81 per share. The Company estimated the fair value of the warrant to be approximately $8.08 per share using a Black-Scholes option pricing model. The warrant will expire ten years from the date of issuance. The fair value of the warrant at issuance was $0.2 million and was recorded in Stockholders' Deficit.</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issuance costs, which includes the amounts paid and the fair value of the warrant, that are directly attributable to the funded portion of the loan have been presented as a direct deduction from the carrying value of the debt and are being amortized to interest expense over the term of the facility using the effective interest method. Issuance costs attributable to the undrawn portion of the facility of $0.2 million have been capitalized within other assets.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the carrying value of the term loans consisted of the following (in thousands):</w:t>
      </w:r>
    </w:p>
    <w:p>
      <w:pPr>
        <w:spacing w:after="0" w:line="270" w:lineRule="exact"/>
        <w:rPr>
          <w:sz w:val="20"/>
          <w:szCs w:val="20"/>
          <w:color w:val="auto"/>
        </w:rPr>
      </w:pPr>
    </w:p>
    <w:tbl>
      <w:tblPr>
        <w:tblLayout w:type="fixed"/>
        <w:tblInd w:w="2080" w:type="dxa"/>
        <w:tblCellMar>
          <w:top w:w="0" w:type="dxa"/>
          <w:left w:w="0" w:type="dxa"/>
          <w:bottom w:w="0" w:type="dxa"/>
          <w:right w:w="0" w:type="dxa"/>
        </w:tblCellMar>
      </w:tblPr>
      <w:tr>
        <w:trPr>
          <w:trHeight w:val="216"/>
        </w:trPr>
        <w:tc>
          <w:tcPr>
            <w:tcW w:w="338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color w:val="auto"/>
              </w:rPr>
              <w:t>Term loan</w:t>
            </w:r>
          </w:p>
        </w:tc>
        <w:tc>
          <w:tcPr>
            <w:tcW w:w="2180" w:type="dxa"/>
            <w:vAlign w:val="bottom"/>
            <w:gridSpan w:val="2"/>
            <w:shd w:val="clear" w:color="auto" w:fill="CAEEFB"/>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AEEFB"/>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Debt discount, net of accretion</w:t>
            </w:r>
          </w:p>
        </w:tc>
        <w:tc>
          <w:tcPr>
            <w:tcW w:w="218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r>
      <w:tr>
        <w:trPr>
          <w:trHeight w:val="20"/>
        </w:trPr>
        <w:tc>
          <w:tcPr>
            <w:tcW w:w="3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380" w:type="dxa"/>
            <w:vAlign w:val="bottom"/>
            <w:shd w:val="clear" w:color="auto" w:fill="CAEEFB"/>
          </w:tcPr>
          <w:p>
            <w:pPr>
              <w:spacing w:after="0"/>
              <w:rPr>
                <w:sz w:val="20"/>
                <w:szCs w:val="20"/>
                <w:color w:val="auto"/>
              </w:rPr>
            </w:pPr>
            <w:r>
              <w:rPr>
                <w:rFonts w:ascii="Times New Roman" w:cs="Times New Roman" w:eastAsia="Times New Roman" w:hAnsi="Times New Roman"/>
                <w:sz w:val="18"/>
                <w:szCs w:val="18"/>
                <w:color w:val="auto"/>
              </w:rPr>
              <w:t>Term loan, net of discount</w:t>
            </w:r>
          </w:p>
        </w:tc>
        <w:tc>
          <w:tcPr>
            <w:tcW w:w="2180" w:type="dxa"/>
            <w:vAlign w:val="bottom"/>
            <w:gridSpan w:val="2"/>
            <w:shd w:val="clear" w:color="auto" w:fill="CAEEFB"/>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80" w:type="dxa"/>
            <w:vAlign w:val="bottom"/>
            <w:shd w:val="clear" w:color="auto" w:fill="CAEEFB"/>
          </w:tcPr>
          <w:p>
            <w:pPr>
              <w:spacing w:after="0"/>
              <w:rPr>
                <w:sz w:val="19"/>
                <w:szCs w:val="19"/>
                <w:color w:val="auto"/>
              </w:rPr>
            </w:pPr>
          </w:p>
        </w:tc>
      </w:tr>
      <w:tr>
        <w:trPr>
          <w:trHeight w:val="20"/>
        </w:trPr>
        <w:tc>
          <w:tcPr>
            <w:tcW w:w="3380" w:type="dxa"/>
            <w:vAlign w:val="bottom"/>
            <w:tcBorders>
              <w:top w:val="single" w:sz="8" w:color="CAEEFB"/>
            </w:tcBorders>
            <w:shd w:val="clear" w:color="auto" w:fill="CAEEFB"/>
          </w:tcPr>
          <w:p>
            <w:pPr>
              <w:spacing w:after="0" w:line="20" w:lineRule="exact"/>
              <w:rPr>
                <w:sz w:val="1"/>
                <w:szCs w:val="1"/>
                <w:color w:val="auto"/>
              </w:rPr>
            </w:pPr>
          </w:p>
        </w:tc>
        <w:tc>
          <w:tcPr>
            <w:tcW w:w="1180" w:type="dxa"/>
            <w:vAlign w:val="bottom"/>
            <w:tcBorders>
              <w:top w:val="single" w:sz="8" w:color="CAEEFB"/>
            </w:tcBorders>
            <w:shd w:val="clear" w:color="auto" w:fill="CAEEFB"/>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AEEFB"/>
            </w:tcBorders>
            <w:shd w:val="clear" w:color="auto" w:fill="CAEEFB"/>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5143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514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the $15.0 million borrowed under the facility is recorded in non-current liabilities as no principal payments were due in the next 12 months. During the three months ended March 31, 2026, the Company recorded $98 thousand of interest expense related to the term loan, of which $5 thousand were related to the amortization of the debt discounts.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Estimated future principal payments due under the Term Loan are as follows as of March 31, 2026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tbl>
      <w:tblPr>
        <w:tblLayout w:type="fixed"/>
        <w:tblInd w:w="282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Term Loan</w:t>
            </w:r>
          </w:p>
        </w:tc>
        <w:tc>
          <w:tcPr>
            <w:tcW w:w="0" w:type="dxa"/>
            <w:vAlign w:val="bottom"/>
          </w:tcPr>
          <w:p>
            <w:pPr>
              <w:spacing w:after="0"/>
              <w:rPr>
                <w:sz w:val="1"/>
                <w:szCs w:val="1"/>
                <w:color w:val="auto"/>
              </w:rPr>
            </w:pPr>
          </w:p>
        </w:tc>
      </w:tr>
      <w:tr>
        <w:trPr>
          <w:trHeight w:val="148"/>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73"/>
        </w:trPr>
        <w:tc>
          <w:tcPr>
            <w:tcW w:w="42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Total principal payments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-170815</wp:posOffset>
            </wp:positionV>
            <wp:extent cx="431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 did not record a provision or benefit for income taxes during the three months ended March 31, 2026 and 2025. The Company continues to maintain a full valuation allowance against its U.S. federal and state deferred tax assets as it is more likely than not that such assets will not be realized in the future.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had no uncertain tax positions relevant to the jurisdictions where it is required to file income tax returns requiring recognition in the consolidated financial statements. As of March 31, 2026 and December 31, 2025, the Company had no accrued interest or penalties related to uncertain tax positions.</w:t>
      </w:r>
    </w:p>
    <w:p>
      <w:pPr>
        <w:spacing w:after="0" w:line="280" w:lineRule="exact"/>
        <w:rPr>
          <w:sz w:val="20"/>
          <w:szCs w:val="20"/>
          <w:color w:val="auto"/>
        </w:rPr>
      </w:pPr>
    </w:p>
    <w:p>
      <w:pPr>
        <w:ind w:left="520" w:hanging="512"/>
        <w:spacing w:after="0"/>
        <w:tabs>
          <w:tab w:leader="none" w:pos="5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April 2017, the Company entered into a license agreement, or the PARI License Agreement, with PARI Pharma GmbH, or PARI. Pursuant to the PARI License Agreement, PARI granted the Company an exclusive, sublicensable license to use its nebulizer devices for the development and commercialization of certain inhalant drug products as outlined in the PARI License Agreement. PARI additionally granted the Company a non-exclusive, sublicensable license to use certain proprietary accessories owned or controlled by PARI with the nebulizer devices for development of the drug products, as well as a non-sublicensable, exclusive sublicense to use certain Novartis patent rights which PARI licensed from Novartis for use with the nebulizer devices. PARI also granted the Company certain options to expand the licenses granted which would separately require amendments to the PARI License Agreement.</w:t>
      </w:r>
    </w:p>
    <w:p>
      <w:pPr>
        <w:spacing w:after="0" w:line="81" w:lineRule="exact"/>
        <w:rPr>
          <w:sz w:val="20"/>
          <w:szCs w:val="20"/>
          <w:color w:val="auto"/>
        </w:rPr>
      </w:pPr>
    </w:p>
    <w:p>
      <w:pPr>
        <w:jc w:val="both"/>
        <w:ind w:firstLine="509"/>
        <w:spacing w:after="0" w:line="218" w:lineRule="exact"/>
        <w:rPr>
          <w:sz w:val="20"/>
          <w:szCs w:val="20"/>
          <w:color w:val="auto"/>
        </w:rPr>
      </w:pPr>
      <w:r>
        <w:rPr>
          <w:rFonts w:ascii="Times New Roman" w:cs="Times New Roman" w:eastAsia="Times New Roman" w:hAnsi="Times New Roman"/>
          <w:sz w:val="18"/>
          <w:szCs w:val="18"/>
          <w:color w:val="auto"/>
        </w:rPr>
        <w:t>As consideration for the PARI License Agreement, the Company paid a non-refundable up-front initial payment of 400 thousand EUR ($0.4 million). In addition, the Company agreed to make payments upon the achievement of certain developmental and regulatory milestones as it relates to its Drug Product, including initiation of Phase 2 and Phase 3 clinical trials, acceptance for filing by either the FDA or the European Medicines Agency, or the EMA, and approval by either the FDA or the EMA. Upon the achievement of these development and regulatory milestones, the Company is required to make payments up to, in aggregate, a low-mid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digit million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euro amount for products using the device. The Company is additionally required to pay a mid six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figure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euro amount in the event that the Company consolidates or merges in a transaction in which 50% of the voting power of the Company is sold. After approval occurs, the Company is also required to pay PARI royalties equal to mid-single-digit percentage of net sales over a certain period. Further, following the first year of commercial sales in a major market, the Company shall pay a minimum annual royalty equal to a mid-single-digit percentage through the end of the relevant royalty term. Through March 31, 2026, the Company has met one developmental milestone, for which the payment was expensed to research and development when incurred. There were no regulatory milestones achieved during the three months ended March 31, 2026 and 2025.</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unaudited condensed consolidated financial statements and related notes and other financial information included elsewhere in this Quarterly Report and our audited consolidated financial statements for the years ended December 31, 2025 and 2024,and related notes included in our final prospectus for our initial public offering, or the IPO, filed with the SEC pursuant to Rule 424(b)(4) under the Securities Act of 1933, as amended, or the Securities Act, on April 30, 2026, or the IPO Prospectus. References to the "Company," “Avalyn,” “Avalyn Pharma” “we,” “our,” “us,” or similar terms refer to Avalyn Pharma Inc. and its wholly owned subsidiaries, or either or all of them as the context may require. This discussion and analysis and other parts of this Quarterly Report contain forward-looking statements based upon our current plans and expectations that involve risks, uncertainties and assumptions, such as statements regarding our plans, strategies, objectives, expectations, intentions, and beliefs. The historical results are not necessarily indicative of results that may be expected in the future. Our actual results and the timing of events could differ materially from those anticipated in these forward-looking statements as a result of various factors, including those set forth under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“Special Note Regarding Forward-Looking Statements.” Our historical results are not necessarily indicative of the results that may be expected for any period in the future.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on a mission to revolutionize the current treatment landscape for rare respiratory diseases, including progressive pulmonary fibrosis, or PPF, idiopathic pulmonary fibrosis, or IPF, and other interstitial lung diseases, or ILDs.</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in 2011, we have incurred significant operating losses and have not generated any revenue. On May 1, 2026, we completed our IPO, pursuant to which we issued and sold 19,166,667 shares of common stock, which included 2,500,000 shares of common stock sold pursuant to the underwriters' exercise of their option to purchase additional shares. The aggregate net proceeds received by us from the IPO were approximately $316.1 million, after deducting underwriter discounts and commissions, as well as other estimated offering costs of $4.8 million. To date, we have funded our operations primarily with aggregate gross proceeds of $733.8 million from the sale and issuance of our common stock, preferred stock, and convertible notes, as well as the proceeds from our IPO and Term Loan (as hereinafter defined).</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Due to our significant research, development, and manufacturing expenditures related to the clinical trials, we have accumulated substantial losses and negative cash flows since our inception, including net losses of $26.9 million and $17.5 million for the three months ended March 31, 2026 and 2025, respectively. As of March 31, 2026, we had an accumulated deficit of $292.2 million.</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and operating losses will increase substantially as we:</w:t>
      </w:r>
    </w:p>
    <w:p>
      <w:pPr>
        <w:spacing w:after="0" w:line="117" w:lineRule="exact"/>
        <w:rPr>
          <w:sz w:val="20"/>
          <w:szCs w:val="20"/>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clinical development of our lead candidates, AP01 and AP02, and other current and future product candidates, including conducting our ongoing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research activities and seek to discover and develop additional product candidates to expand our pipeline;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approvals for any current or future product candidates, including our lead PPF product candidate, that successfully complete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utilize third parties to manufacture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maintain, expand, enforce, defend, and protect our intellectual property portfolio (including intellectual property obtained through license agreements) and provide reimbursement of third-party expenses related to our intellectual property portfolio;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qualified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operational, financial, and management information systems;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pre-commercial activities, and scale-up external commercial-scale manufacturing capabilities, to commercialize any current or future product candidates which may receive regulatory approval;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ind w:left="10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current or future product candidates which may receive regulatory approval;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audit, legal, regulatory, tax, and other expenses associated with being a public company.</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we have several clinical development, regulatory, and commercial milestones, as well as royalty payment obligations under our licensing arrangement and other agreements. Our net losses may fluctuate significantly from quarter to quarter and year to year, depending on the timing of our ongoing and planned clinical trials and our expenditures on other research and development activities.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do not have any products approved for sale and have not generated any revenue from product sales. We will not generate revenue from product sales unless and until we successfully complete clinical development and obtain regulatory approval for our current and any future product candidates, which we expect will take a number of years or may never occur. 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or other capital sources, potentially including collaborations, licenses, or other strategic arrangements. See the section titled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Due to the numerous risks and uncertainties associated with drug development, we are unable to accurately predict the timing or amount of increased expenses or the timing of when, or if, we will be able to achieve or maintain profitability. Even if we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March 31, 2026, we had cash, cash equivalents, and marketable securities of $123.1 million. We believe, based on our current operating plans, that our cash, cash equivalents and investments in marketable securities, including the net proceeds from our IPO, will enable us to fund our operating expenses and capital expenditures into 2029. We have based this estimate on assumptions that may prove to be wrong, and we could exhaust our available capital resources sooner than we expect. See the sections titled “—Liquidity and Capital Resources” and “</w:t>
      </w:r>
      <w:r>
        <w:rPr>
          <w:rFonts w:ascii="Times New Roman" w:cs="Times New Roman" w:eastAsia="Times New Roman" w:hAnsi="Times New Roman"/>
          <w:sz w:val="18"/>
          <w:szCs w:val="18"/>
          <w:i w:val="1"/>
          <w:iCs w:val="1"/>
          <w:color w:val="auto"/>
        </w:rPr>
        <w:t>Risk Factors—Risks Related to Our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Need for Additional Capital</w:t>
      </w:r>
      <w:r>
        <w:rPr>
          <w:rFonts w:ascii="Times New Roman" w:cs="Times New Roman" w:eastAsia="Times New Roman" w:hAnsi="Times New Roman"/>
          <w:sz w:val="18"/>
          <w:szCs w:val="18"/>
          <w:color w:val="auto"/>
        </w:rPr>
        <w:t>” included elsewhere in this Quarterly Report.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Agreement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is a summary of the key terms for our material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PARI License Agreement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April 2017, the Company entered into a license agreement, or the PARI License Agreement, with PARI Pharma GmbH, or PARI. Pursuant to the PARI License Agreement, PARI granted the Company an exclusive, sublicensable license to use its nebulizer devices for the development and commercialization of certain inhalant drug products as outlined in the PARI License Agreement. PARI additionally granted the Company a non-exclusive, sublicensable license to use certain proprietary accessories owned or controlled by PARI with the nebulizer devices for development of the drug products, as well as a non-sublicensable, exclusive sublicense to use certain Novartis patent rights which PARI licensed from Novartis for use with the nebulizer devices. PARI also granted the Company certain options to expand the licenses granted which would separately require amendments to the PARI License Agreement.</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consideration for the PARI License Agreement, we paid a non-refundable up-front initial payment of 400 thousand EUR ($0.4 million). To date, we have met one developmental milestone, for which the payment of 500 thousand EUR ($0.6 million) was expensed to research and development when the milestone was met. There were no regulatory milestones achieved during the year ended December 31, 2025, nor the three months ended March 31, 2026 .</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associated with the preclinical and clinical development of our current and potential future product candidates. Our research and development expenses include direct costs specifically attributable to our programs including external expenses incurred under arrangements with third parties, such as contract research organizations, or CROs, contract manufacturing organizations, or CMOs, consultants and our scientific advisors, and manufacturing expenditures, including costs for laboratory supplies, research materials and reagents, as well as indirect costs that are not directly attributable to a specific program such as:</w:t>
      </w:r>
    </w:p>
    <w:p>
      <w:pPr>
        <w:spacing w:after="0" w:line="75" w:lineRule="exact"/>
        <w:rPr>
          <w:sz w:val="20"/>
          <w:szCs w:val="20"/>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costs, including salaries, payroll tax, bonuses, benefits, and stock-based compensation for employees engaged in research and development functions,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depreciation, and other expenses.</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recognize research and development costs in the periods in which they are incurred. Most of our research and development expenses have been related to identifying and developing our product candidates. Typically, external expenses are recognized based on an evaluation of the progress to completion of specific tasks using information provided to us by our service providers as of each reporting date. Advance payments that we make for goods or services to be received in the future for use in research and development activities are recorded as prepaid expenses, which are expensed as the related goods are delivered or the services are performed, or when it is no longer expected that the goods will be delivered, or the services rendered. Significant judgments and estimates are made in determining the accrued, or prepaid expense balances at the end of any reporting period.</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External costs represent a significant portion of our research and development expenses, which we track on a program-by-program basis following the nomination of a product candidate. Our internal research and development expenses consist primarily of personnel-related expenses, including stock-based compensation expenses and allocated expenses. We do not track our internal research and development expenses on a program-by-program basis as they relate to costs that are deployed across multiple programs.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Product candidates in later stages of development generally have higher development costs than those in earlier stages resulting from larger and more complex clinical trials, manufacturing scale-up and an increase in research and development headcount to oversee these activities. As a result, management expects that our research and development expenses will increase substantially over the next several years as we potentially advance our product candidates into later-stage development efforts.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payroll tax, bonuses, benefits, and stock-based compensation charges for those individuals in executive, legal, finance, human resources, information technology, and other administrative functions. Other significant costs include professional service fees, including legal fees relating to intellectual property and corporate matters, and auditing, accounting, tax, and consulting services, as well as facilities and depreciation expense, and other general and administrative expenses that are allocated. We recognize general and administrative expenses in the periods in which they are incurred.</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as we operate as a public company, as a result of increased personnel costs, including salaries, benefits and stock-based compensation expense, patent costs for our product candidates, expanded infrastructure, and higher legal, consulting and accounting services associated with maintaining compliance with the listing requirements of the Nasdaq Stock Market LLC and rules and regulations promulgated under the Exchange Act, investor relations costs and director and officer insurance premiums associated with being a public company.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primarily of interest earned and the amortization or accretion of discounts or premiums on our cash equivalents and investments in marketable securities.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consists of interest paid on our Term Loan, as well as non-cash interest expense for amortization of our debt discounts.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expense consists of realized and unrealized foreign currency gains and losses, as well as gains and losses on disposals of fixed assets.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or expenses for the net losses we have incurred in each period or for our earned research and development tax credits, as we believe, based upon the weight of available evidence, that it is more likely than not that all of our NOLs and tax credits will not be realized. As of December 31, 2025, we had NOLs for federal and state income tax purposes of $190.3 million and $58.8 million, respectively. Of this amount, $9.9 million of the NOLs begin to expire in 2031, and the remainder are indefinite lived. The net state operating loss carryforwards will begin to expire in 2043. These loss carryforwards are available to reduce future federal taxable income, if any. As of December 31, 2025, we have recorded a full valuation allowance against our net deferred tax assets.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22,889</w:t>
            </w:r>
          </w:p>
        </w:tc>
        <w:tc>
          <w:tcPr>
            <w:tcW w:w="1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15,319</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(27,909)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(18,716)</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(9,193)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(26,869)</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(17,503)</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(9,366)</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-599440</wp:posOffset>
            </wp:positionV>
            <wp:extent cx="768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-599440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920" w:type="dxa"/>
            <w:vAlign w:val="bottom"/>
            <w:tcBorders>
              <w:bottom w:val="single" w:sz="8" w:color="auto"/>
            </w:tcBorders>
            <w:gridSpan w:val="5"/>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research and development expenses by program:</w:t>
            </w:r>
          </w:p>
        </w:tc>
        <w:tc>
          <w:tcPr>
            <w:tcW w:w="124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AP01</w:t>
            </w:r>
          </w:p>
        </w:tc>
        <w:tc>
          <w:tcPr>
            <w:tcW w:w="206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13,155</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10,939</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AP02</w:t>
            </w:r>
          </w:p>
        </w:tc>
        <w:tc>
          <w:tcPr>
            <w:tcW w:w="1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AP03</w:t>
            </w: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Facility and depreciation</w:t>
            </w:r>
          </w:p>
        </w:tc>
        <w:tc>
          <w:tcPr>
            <w:tcW w:w="1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research and development related costs</w:t>
            </w:r>
          </w:p>
        </w:tc>
        <w:tc>
          <w:tcPr>
            <w:tcW w:w="12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6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22,889</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15,319</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$7.6 million to $22.9 million for the three months ended March 31, 2026, from $15.3 million for the three months ended March 31, 2025. The increase in research and development expenses was primarily attributed to:</w:t>
      </w:r>
    </w:p>
    <w:p>
      <w:pPr>
        <w:spacing w:after="0" w:line="54" w:lineRule="exact"/>
        <w:rPr>
          <w:sz w:val="20"/>
          <w:szCs w:val="20"/>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million increase of direct costs associated with our AP01 program costs driven by the progression of the Phase 2b clinical trial and ongoing OLE trial;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7" w:name="page28"/>
    <w:bookmarkEnd w:id="27"/>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increase of direct costs associated with our AP02 program costs driven by the progression of the Phase 2 clinical trial;</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unallocated research and development expenses, primarily attributable to a $1.5 million increase in personnel-related expenses as a result of an increase in headcount, facility and depreciation expense, and other research and development related costs, driven by an increase in general research and development costs related to conference and scientific communication activities, as well as patient advocacy initiatives; and was partially offset by</w:t>
      </w:r>
    </w:p>
    <w:p>
      <w:pPr>
        <w:spacing w:after="0" w:line="7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million decrease of direct costs associated with our AP03 program, primarily due to the timing of expenses related to IND-enabling activities and scale-up activities.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general and administrative expenses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(including stock-based compensation)</w:t>
            </w:r>
          </w:p>
        </w:tc>
        <w:tc>
          <w:tcPr>
            <w:tcW w:w="86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14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 &amp; fees</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r>
      <w:tr>
        <w:trPr>
          <w:trHeight w:val="216"/>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Facility expenses</w:t>
            </w:r>
          </w:p>
        </w:tc>
        <w:tc>
          <w:tcPr>
            <w:tcW w:w="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8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860" w:type="dxa"/>
            <w:vAlign w:val="bottom"/>
            <w:gridSpan w:val="2"/>
          </w:tcPr>
          <w:p>
            <w:pPr>
              <w:jc w:val="right"/>
              <w:ind w:right="708"/>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114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-170815</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-170815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$1.6 million to $5.0 million for the three months ended March 31, 2026, from $3.4 million for the three months ended March 31, 2025. The increase in general and administrative expenses was primarily attributable to:</w:t>
      </w:r>
    </w:p>
    <w:p>
      <w:pPr>
        <w:spacing w:after="0" w:line="54" w:lineRule="exact"/>
        <w:rPr>
          <w:sz w:val="20"/>
          <w:szCs w:val="20"/>
          <w:color w:val="auto"/>
        </w:rPr>
      </w:pPr>
    </w:p>
    <w:p>
      <w:pPr>
        <w:ind w:left="10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increase in personnel-related expenses, including stock-based compensation, driven by the increase of G&amp;A headcount to support expanded research and development activities and overall corporate operations;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increase in professional services and fees primarily driven by external legal and general G&amp;A consulting costs;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$0.2 million increase in facility expenses primarily associated with our office sublease entered in September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decreased by $0.2 million for the three months ended March 31, 2026, to $1.0 million from $1.2 million, primarily driven by decreases in interest income from marketable securities related to a lower federal funds rate.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product sales and have incurred significant operating losses and negative cash flows from operations. We expect to continue to incur significant expenses and operating losses for the foreseeable future as we advance the clinical development of our product candidates and any future product candidates. Further, we expect to continue to incur costs with operating as a public company. As such, we expect our research and development and general and administrative costs will continue to increase significantly.</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date, we have funded our operations primarily from the sale of proceeds of preferred stock, convertible notes, and common stock as a result of our IPO, as well as through proceeds received from our Term Loan. As of March 31, 2026, we had $123.1 million in cash, cash equivalents, and marketable securities. In February 2026, we entered into a loan and security agreement with Banc of California, or the Lender, for the issuance of a term loan facility with an aggregate principal amount of up to $30.0 million. The interest rate on amounts borrowed will be equal to the greater of the prime rate then in effect, or 5.00%. The maturity date for the loan is June 30, 2030. To date, $15.0 million has been borrowed under the Term Loan Facility. In connection with the LSA, we issued warrants to the Lender to purchase 22,500 shares of our common stock. On May 1, 2026, we completed our IPO, pursuant to which we issued and sold 19,166,667 shares of common stock, resulting in net proceeds of approximately $316.1 million. To date, we have received aggregate gross proceeds of $733.8 million from the sale of our preferred stock, convertible notes, and common stock.</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Due to the inherently unpredictable nature of preclinical and clinical development and given the early stage of our programs and product candidates, we cannot reasonably estimate the costs we will incur and the timelines that will be required to complete development, obtain any marketing approval, and commercialize our products, if and when approved.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products, if approved, may be subject to future collaborations, when such arrangements will be secured, if at all, and to what degree such arrangements would affect our development plans and capital requirements. We will need to raise substantial additional capital in the future.</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Based upon our current operating plans, we believe that our existing cash, cash equivalents and investments in marketable securities, including the net proceeds from our IPO, will be sufficient to fund our operations into 2029. Our primary uses of capital are to fund research and development activities, compensation and related expenses, and general overhead costs. We expect our expenses to increase substantially in connection with our ongoing activities, particularly as we advance our current and future product candidates through discovery, preclinical studies, and clinical trials.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future funding requirements will depend largely on:</w:t>
      </w:r>
    </w:p>
    <w:p>
      <w:pPr>
        <w:spacing w:after="0" w:line="117" w:lineRule="exact"/>
        <w:rPr>
          <w:sz w:val="20"/>
          <w:szCs w:val="20"/>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number, scope, progress, expansions, results, costs and timing of, discovery, preclinical studies, and clinical trials of our current and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our current and future product candidates and commercial manufacturing;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current and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milestones, royalties, or other payments we may be required to make to third parties, including PARI, and the terms and timing of establishing and maintaining any other similar arrangements we may enter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costs of obtaining, maintaining, and enforcing our patents and other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clinical activities increase;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establishing or securing sales and marketing capabilities if any current or future product candidate is approved;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terms of any such agreement that we may enter into, including if we in-license or acquire additional product candidates or intellectual property;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add additional operational, financial, clinical, quality, and management information systems.</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no committed sources of capital other than the $30.0 million loan facility. Until such time, if ever, as we can generate substantial product revenue to support our cost structure, we expect to finance our cash needs through equity offerings, debt financings, or other capital sources, potentially including collaborations, licenses, or other strategic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existing common stockholders. In addition, debt financing and equity financing, if available, may involve agreements that include covenants limiting or restricting our ability to take specific actions, such as incurring additional debt, making capital expenditures, or declaring dividends. If we raise additional funds through a strategic agreement, we may have to grant rights to develop and market our current and future product candidates even if we would otherwise prefer to develop and market such product candidates ourselves. Our failure to raise capital or enter into such other arrangements when needed could have a negative impact on our financial condition and on our ability to pursue our business plans and strategies.</w:t>
      </w:r>
    </w:p>
    <w:p>
      <w:pPr>
        <w:spacing w:after="0" w:line="1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raise additional funds, we may be required to delay, limit, reduce or terminate our product development or future commercialization efforts. See “</w:t>
      </w:r>
      <w:r>
        <w:rPr>
          <w:rFonts w:ascii="Times New Roman" w:cs="Times New Roman" w:eastAsia="Times New Roman" w:hAnsi="Times New Roman"/>
          <w:sz w:val="18"/>
          <w:szCs w:val="18"/>
          <w:i w:val="1"/>
          <w:iCs w:val="1"/>
          <w:color w:val="auto"/>
        </w:rPr>
        <w:t>Risk Factors—We will need substantial additional funding. We may be unable to raise capital on acceptable terms, if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all, and, as a result, we may be required to delay, reduce, or eliminate our product development programs or commercialization efforts.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the net cash flow activity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36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r>
      <w:tr>
        <w:trPr>
          <w:trHeight w:val="209"/>
        </w:trPr>
        <w:tc>
          <w:tcPr>
            <w:tcW w:w="7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0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(29,841)</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(19,275)</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55,024</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24,119</w:t>
            </w:r>
          </w:p>
        </w:tc>
        <w:tc>
          <w:tcPr>
            <w:tcW w:w="220" w:type="dxa"/>
            <w:vAlign w:val="bottom"/>
          </w:tcPr>
          <w:p>
            <w:pPr>
              <w:spacing w:after="0"/>
              <w:rPr>
                <w:sz w:val="18"/>
                <w:szCs w:val="18"/>
                <w:color w:val="auto"/>
              </w:rPr>
            </w:pPr>
          </w:p>
        </w:tc>
      </w:tr>
      <w:tr>
        <w:trPr>
          <w:trHeight w:val="216"/>
        </w:trPr>
        <w:tc>
          <w:tcPr>
            <w:tcW w:w="7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14,812</w:t>
            </w:r>
          </w:p>
        </w:tc>
        <w:tc>
          <w:tcPr>
            <w:tcW w:w="3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r>
      <w:tr>
        <w:trPr>
          <w:trHeight w:val="210"/>
        </w:trPr>
        <w:tc>
          <w:tcPr>
            <w:tcW w:w="7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00" w:type="dxa"/>
            <w:vAlign w:val="bottom"/>
            <w:tcBorders>
              <w:bottom w:val="single" w:sz="8" w:color="auto"/>
            </w:tcBorders>
            <w:gridSpan w:val="2"/>
          </w:tcPr>
          <w:p>
            <w:pPr>
              <w:jc w:val="right"/>
              <w:ind w:right="74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39,995</w:t>
            </w:r>
          </w:p>
        </w:tc>
        <w:tc>
          <w:tcPr>
            <w:tcW w:w="3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220" w:type="dxa"/>
            <w:vAlign w:val="bottom"/>
          </w:tcPr>
          <w:p>
            <w:pPr>
              <w:spacing w:after="0"/>
              <w:rPr>
                <w:sz w:val="18"/>
                <w:szCs w:val="18"/>
                <w:color w:val="auto"/>
              </w:rPr>
            </w:pPr>
          </w:p>
        </w:tc>
      </w:tr>
      <w:tr>
        <w:trPr>
          <w:trHeight w:val="20"/>
        </w:trPr>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-170815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cash used in operating activities was $29.8 million, which was primarily due to our net loss of $26.9 million, changes in our operating assets and liabilities of $4.1 million, and $1.1 million of non-cash charges related to stock-based compensation, depreciation, non-cash operating lease expense, and accretion of premiums on marketable securities.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net cash used in operating activities was $19.3 million, which was primarily due to our net loss of $17.5 million, changes in our operating assets and liabilities of $1.8 million, and $5 thousand of non-cash charges related to stock-based compensation, depreciation, non-cash operating lease expense, and accretion of premiums on marketable securities.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$55.0 million for the three months ended March 31, 2026, which was primarily driven by sales and maturities of marketable securities of $55.3 million, partially offset by purchases of property and equipment of $0.3 million.</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$24.1 million for the three months ended March 31, 2025, which was primarily driven by net purchases and maturities of marketable securities of $24.1 million, partially offset by purchases of property and equipment of $8 thousand.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$14.8 million for the three months ended March 31, 2026, which was related to the drawdown of the term loan facility, net of debt issuance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than discussed below, there have been no material changes to the contractual obligations and commitments described under Management’s Discussion and Analysis of Financial Condition and Results of Operations from our most recently filed registration statement on Form S-1 for the year ended December 31, 2025 Annual Report.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2026, the we entered into a debt facility with Banc of California. $15.0 million has been borrowed under the facility and the additional $15.0 million is available for draw down through December 31, 2027. For more information on the Company's Term Loan facility, refer to Note 14, Term Loan, in our unaudited condensed consolidated financial statements included elsewhere in this Quarterly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September 2025, we relocated our headquarters and executed a non-cancelable operating sublease in Boston, Massachusetts, or the Boston Sublease. Total fixed payments in connection with the Boston Sublease will be $1.9 million over the term of the agreement ending in 2029. This includes our share of facility operating expenses, real-estate taxes, but excludes our share of property management fees that are reimbursable to the landlord under the lease.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Agreements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agreements with certain third parties to license intellectual property include potential milestone fees, sublicense fees, and royalty fees. The milestone fees are dependent upon the development of our drug products using the intellectual property licensed under the arrangements and contingent upon the achievement of development or regulatory approval milestones, as well as commercial milestones. These potential obligations are contingent upon the occurrence of future events and the timing and likelihood of such potential obligations are not known with certainty. For further information regarding these agreements, please see “</w:t>
      </w:r>
      <w:r>
        <w:rPr>
          <w:rFonts w:ascii="Times New Roman" w:cs="Times New Roman" w:eastAsia="Times New Roman" w:hAnsi="Times New Roman"/>
          <w:sz w:val="18"/>
          <w:szCs w:val="18"/>
          <w:i w:val="1"/>
          <w:iCs w:val="1"/>
          <w:color w:val="auto"/>
        </w:rPr>
        <w:t>Management’s Discussion and Analysis of Financial Condition and Results of Operations—Overview—Material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these financial statements in accordance with U.S. GAAP requires us to make judgments and estimates that affect the reported amounts of assets, liabilities and expenses, as well as related disclosures during the reported periods. We evaluate our estimates and judgments on an ongoing basis. We base our estimates on historical experience, known trends and events, and various other factors that we believe are reasonable under the circumstances. Actual results may differ from these estimates under different assumptions or conditions. For a description of critical accounting estimates used in the preparation of our consolidated financial statements, refer to our registration statement on Form S-1 for the year ended December 31, 2025. There have been no material changes to our critical accounting estimates.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audited consolidated financial statements and unaudited interim condensed consolidated financial statements included elsewhere in this Quarterly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and Smaller Reporting Company Status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consolidated financial statements may not be comparable to companies that comply with public company effective dates. We may take advantage of these exemptions up until the time that we are no longer an “emerging growth company.”</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the fifth anniversary of the completion of our IPO, (b) in which we have total annual gross revenue of at least $1.235 billion or (c) in which we are deemed to be a “large accelerated filer” under the rules of the SEC, which means, among other things, the market value of our common stock that is held by non-affiliates exceeds $700.0 million as of the last business day of our most recently completed second fiscal quarter and (2) the date on which we have issued more than $1.0 billion in non-convertible debt during the prior three-year period.</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for so long as either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Exchange Act and are not required to provide the information otherwise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Management's Evaluation of Disclosure Controls and Procedures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our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Quarterly Report. Based on the foregoing, our principal executive officer and principal financial officer concluded that our disclosure controls and procedures were effective as of the end of the period covered by this Quarterly Report at the reasonable assurance level.</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2" w:name="page33"/>
    <w:bookmarkEnd w:id="3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probable to have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3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981" w:right="6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and read carefully all of the risks and uncertainties described below, as well as the other information in this Quarterly Report, including our consolidated financial statements and the related notes and “Management’s Discussion and Analysis of Financial Condition and Results of Operations” included elsewhere in this Quarterly Report and our audited consolidated financial statements and related notes included in the IPO Prospectus, before deciding whether to invest in our common stock. The risks described below are not the only ones facing us. The following risks or additional risks and uncertainties not presently known to us or that we currently believe to be immaterial could materially and adversely affect our business, financial condition, results of operations and growth prospects. In such an event, the trading price of our common stock could decline, and you may lose all or part of your investment. This Quarterly Report also contains forward-looking statements and estimates that involve risks and uncertainties not presently known to us or that we currently deem immaterial that also may impair our business operations. Our actual results could differ materially from those anticipated in our forward-looking statements as a result of specific factors, including the risks and uncertainties described below.</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Condition and Need for Additional Capital</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and have incurred significant operating losses since inception and anticipate that we will continue to incur significant operating losses for the foreseeable future.</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clinical-stage biopharmaceutical company and have incurred operating losses in each year since our inception. Our net losses were $26.9 million and $17.5 million for the three months ended March 31, 2026 and 2025, respectively. We had an accumulated deficit of $292.2 million and $265.4 million as of March 31, 2026 and December 31, 2025, respectively. Substantially all of our operating losses have resulted from costs incurred in connection with our research and development programs and from general and administrative costs associated with our operations. Our prior losses, combined with expected future losses, have had and will continue to have an adverse effect on our stockholders’ deficit and working capital.</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Since our inception in 2011, we have devoted substantially all of our efforts and financial resources to the development of our product candidates, the continuation of ongoing clinical trials, the commencement of new clinical trials and ongoing manufacturing to support our product candidates. Biopharmaceutical product development is a highly speculative undertaking and involves a substantial degree of risk. We have not yet demonstrated an ability to conduct later-stage clinical trials, obtain regulatory approval, manufacture any product on a commercial scale or conduct sales and marketing activities necessary for successful product commercialization, and there is no assurance that we will accomplish any of these abilities in the future. Our operating history makes any assessment of our future success and viability subject to significant uncertainty. In addition, if we obtain marketing approval for any of our product candidates, we will incur significant sales, marketing, and manufacturing expenses. Once we are a public company, we will incur additional costs associated with operating as a public company. As a result, we expect to continue to incur significant expenses and increasing operating losses for the foreseeable future. Because of the numerous risks and uncertainties associated with developing pharmaceutical products, we are unable to predict the extent of any future losses or when we will become profitable, if at all. Even if we become profitable, we may not be able to sustain or increase our profitability on a quarterly or annual basis.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amount of our future losses is uncertain, and our quarterly operating results may fluctuate significantly or may fall below the expectations of investors or securities analysts, each of which may cause our stock price to fluctuate or decline. Our operating losses may fluctuate significantly from quarter to quarter and from year to year. We anticipate that our expenses will increase substantially if, and as, we:</w:t>
      </w:r>
    </w:p>
    <w:p>
      <w:pPr>
        <w:spacing w:after="0" w:line="68" w:lineRule="exact"/>
        <w:rPr>
          <w:sz w:val="20"/>
          <w:szCs w:val="20"/>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clinical development of our lead candidates, AP01 (inhaled pirfenidone), or AP01, and AP02 (inhaled nintedanib), or AP02, and our other current and future product candidates, including conducting our ongoing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research and preclinical activities and seek to discover and develop additional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utilize third parties to manufacture our product candidates and ensure sufficient supply of our manufacturing of drug substances, drug products and related medical devices;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maintain, expand and protect our intellectual property portfolio (including intellectual property obtained through license agreements) and provide reimbursement of third-party expenses related to our patent portfolio;</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additional qualified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current or future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potential milestones, royalties or other payments due under any current or future in-license, collaboration or other agreements;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any pre-commercial activities and scale up external commercial-scale manufacturing capabilities;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product candidates for which we may obtain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operational, financial, clinical, quality and management information systems;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audit, legal, regulatory, tax and other expenses with being a public company.</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Given the numerous risks and uncertainties associated with pharmaceutical product development, it is not certain if any of our current or future product candidates will advance through late-stage development or be approved for commercial sale; therefore, we are unable to predict if or when we will generate product revenue or achieve or maintain profitability.</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Even if we successfully complete development and obtain the necessary regulatory approval for commercialization for any of our product candidates, we anticipate incurring significant costs associated with launching and commercializing such products. If we fail to become profitable or do not sustain profitability on a continuing basis, we may be unable to continue our operations at planned levels and be forced to reduce or cease operations.</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We may be unable to raise capital on acceptable terms, if at all, and, as a result, we may be required to delay, reduce, or eliminate our product development programs or commercialization efforts.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Identifying potential product candidates and conducting preclinical testing and clinical trials is a time-consuming, expensive and uncertain process that takes years to complete, and we may never generate the necessary data or results required to obtain regulatory approvals and achieve product sales. We expect to continue to incur significant and increasing expenses and operating losses for the foreseeable future as we initiate and conduct clinical trials of our current and future product candidates, scale-up and manufacture our product candidates, advance our preclinical programs, seek marketing and regulatory approvals for any product candidates that successfully complete clinical trials and commercialize our products, if approved. Because the outcome of any clinical trial or preclinical study is highly uncertain, we cannot reliably estimate the actual amount of financing necessary to successfully complete the development and commercialization of any of our product candidates.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believe that the net proceeds from our IPO, together with our existing cash, cash equivalents and marketable securities, inclusive of the $15.0 million borrowed under Term Loan Facility, will be sufficient to fund our operating expenses and capital requirements into 2029. This estimate is based on assumptions that may prove to be wrong, and we could use our available capital resources sooner than we expect. Changes may occur beyond our control that would cause us to consume our available capital before that time, including but not limited to changes in progress of our development activities, acquisitions of additional product candidates, and changes in regulation. Our future capital requirements will depend on many factors, including:</w:t>
      </w:r>
    </w:p>
    <w:p>
      <w:pPr>
        <w:spacing w:after="0" w:line="75" w:lineRule="exact"/>
        <w:rPr>
          <w:sz w:val="20"/>
          <w:szCs w:val="20"/>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costs, complexity and results of discovery, preclinical development and clinical trials for our current or future product candidates, including our ongoing clinical trials of our lead candidates, AP01 and AP02;</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trials required for regulatory approvals of our current or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in our pipeline;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process development and manufacturing scale-up activities associated with our product candidates and other programs as we advance them through preclinical and clinical development and, if approved, commercialization;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the milestone, royalty or other payments we must make to PARI, pursuant to the PARI License Agreement (as defined below), and any other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royalty payments we must make pursuant to the terms of a confidential settlement agreement;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5" w:name="page36"/>
    <w:bookmarkEnd w:id="35"/>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(or patients’ willingness to pay out-of-pocket for any approved products in the absence of such coverage) and adequate market share and revenue for any approved products;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any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trends including inflation, tariffs and interest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potential supply chain interruptions or delays, which may be due in part to international tariffs;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will require additional capital to achieve our business objectives. Additional funds may not be available on a timely basis, on favorable terms or at all, and such funds, if raised, may not be sufficient to enable us to continue implementing our long-term business strategy. Further, our ability to raise additional capital may be adversely impacted by global economic conditions and disruptions to and volatility in the credit and financial markets in the United States, or the U.S., and worldwide resulting from factors that include but are not limited to, inflation, tariffs, global conflicts, diminished liquidity and credit availability, declines in consumer confidence, declines in economic growth, increases in unemployment rates, uncertainty about economic stability and other factors. If the equity and credit markets deteriorate, it may make any necessary debt or equity financing more difficult to obtain, more costly and more dilutive. If we are unable to raise sufficient additional capital, we could be forced to curtail our planned operations and the pursuit of our growth strategy, or even cease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product candidates.</w:t>
      </w:r>
    </w:p>
    <w:p>
      <w:pPr>
        <w:spacing w:after="0" w:line="121" w:lineRule="exact"/>
        <w:rPr>
          <w:sz w:val="20"/>
          <w:szCs w:val="20"/>
          <w:color w:val="auto"/>
        </w:rPr>
      </w:pPr>
    </w:p>
    <w:p>
      <w:pPr>
        <w:jc w:val="both"/>
        <w:ind w:firstLine="494"/>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revenues from product sales, we expect to finance our cash needs through a combination of equity offerings, debt financings or other capital sources, such as grants, collaborations, licenses or other similar arrangements. We do not currently have any committed external source of funds other than the $30 million loan facility. To the extent that we raise additional capital through the sale of equity or convertible debt securities, our stockholders' ownership interest may be diluted, and the terms of these securities may include liquidation or other preferences that adversely affect our stockholders' rights as a common stockholder. Debt financing and preferred equity financing may involve agreements that include covenants limiting or restricting our ability to take specific actions, such as incurring additional debt or making capital expenditures. Such restrictions could adversely impact our ability to conduct our operations and execute our business plan. If we raise additional funds through grants, collaborations, licenses or other similar arrangements with third parties, we may be required to relinquish valuable rights to our future revenue streams, intellectual property or product candidates, grant licenses on terms that may not be favorable to us and/or that may reduce the value of our common stock or commit us to future payment streams. If we are unable to raise additional funds through equity or debt financings when needed or on terms acceptable to us, we may be required to delay, limit, reduce or terminate our product development or future commercialization efforts or grant rights to develop and market product candidates that we would otherwise prefer to develop and market ourselves, or on less favorable terms than we would otherwise choose.</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major U.S. and multi-national financial institutions, and our deposits at certain of these institutions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loan and security agreement place restrictions on our operating and financial flexibility. If we raise additional capital through debt financing, the terms of any new debt could further restrict our ability to operate our business.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Loan and Security Agreement, or the LSA, with Banc of California provides us with up to $30.0 million of borrowing capacity, of which we have borrowed $15.0 million as of March 31, 2026. Our overall leverage, certain obligations and affirmative and negative covenants contained in the related documentation could adversely affect our financial health and business and future operations by limiting our ability to, among other things, satisfy our obligations under the LSA, refinance our debt on terms acceptable to us or at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18"/>
          <w:szCs w:val="18"/>
          <w:color w:val="auto"/>
        </w:rPr>
        <w:t>all, plan for and adjust to changing business, industry and market conditions, use our available cash flow to fund future acquisitions and make dividend payments, and obtain additional financing for working capital, to fund growth or for general corporate purposes, even when necessary to maintain adequate liquidity. With certain exceptions, the LSA prohibits us from taking certain actions without Banc of California’s prior consent, including, but not limited to any material transfers of our assets, changes in our business, management, directorship (in certain circumstances), ownership, or business locations; certain mergers or consolidations; incurring any indebtedness, other than permitted indebtedness; granting or permitting liens against our assets, other than permitted liens; making certain capitalized expenditures; entering into any material transaction with any affiliate, other than in the ordinary course of business; or making any payments in respect of any subordinated debt.</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cash and cash equivalents and short-term investments and funds from external sources. However, we may not have sufficient funds or may be unable to arrange for additional financing to pay the amounts due under our existing debt. Funds from external sources may not be available on acceptable terms, if at all. Additionally, if we raise any additional debt financing, the terms of such additional debt could further restrict our operating and financial flexibility. In the event of an acceleration of amounts due as a result of an event of default, we may not have sufficient funds and may be unable to arrange for additional financing to repay our indebtedness, and our lender could seek to enforce security interests in the collateral securing such indebtedness. Any declaration by the lender of an event of default could significantly harm our business and prospects and could cause the price of our common stock to decline. Further, if we are liquidated, the lenders’ right to repayment would be senior to the rights of the holders of our common stock to receive any proceeds from the liquidation.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the success of our lead candidates, AP01 and AP02. If we are unable to advance such product candidates into later-stage clinical development or unable to obtain regulatory approval and commercialize a therapy for the treatment of pulmonary fibrosis, or PF, or experience significant delays in doing so, our business will be materially harmed.</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date, as an organization, we have not completed the development of any product candidates. We are substantially dependent on the success of at least one of our product candidates, including AP01, which is currently in Phase 2b clinical development for the treatment of PPF and AP02, which is currently in Phase 2 clinical development for the treatment of IPF.</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success of AP01, AP02, and our other current and any future product candidates will depend on several factors, including the following:</w:t>
      </w:r>
    </w:p>
    <w:p>
      <w:pPr>
        <w:spacing w:after="0" w:line="117"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and timely initiation and enrollment of clinical trials and completion of clinical trials with favorable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tolerability and PK profile of our product candidates observed in clinical trials;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regulatory submissions by the FDA and/or comparable foreign regulatory authorities for the conduct of clinical trials of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safety findings in nonclinical studies and AEs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preclinical studies, including toxicology studies and in vitro dose projection studies in animals, where applicable;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approved, by PF patients, the medical community and third-party payors, and their perspective on the cost, safety, tolerability and efficacy and perceived advantages of alternative therapies for PF, including the current standard of care;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relationships with contract research organizations, or CROs, and clinical sites for the clinical development of our product candidates and ability of such CROs and clinical sites to comply with clinical trial protocols, Good Clinical Practices, or GCPs, and other applicable requirements;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the safety and efficacy of our product candidates to the satisfaction of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and maintenance of marketing approvals from applicable regulatory authorities for our initial target indication and label expansions to include new populations;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relationships with our third-party manufacturers and their ability to comply with current good manufacturing practices, or cGMPs, as well as making arrangements with our third-party manufacturers for commercial manufacturing capabilities at a cost and scale sufficient to support commercialization;</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 candidates, if and when approved, whether alone or in collaboration with others;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establishing, maintaining and enforcing patent and any potential trade secret protection or regulatory exclusivity for our product candidates;</w:t>
      </w:r>
    </w:p>
    <w:p>
      <w:pPr>
        <w:spacing w:after="0" w:line="60" w:lineRule="exact"/>
        <w:rPr>
          <w:rFonts w:ascii="Times New Roman" w:cs="Times New Roman" w:eastAsia="Times New Roman" w:hAnsi="Times New Roman"/>
          <w:sz w:val="18"/>
          <w:szCs w:val="18"/>
          <w:color w:val="auto"/>
        </w:rPr>
      </w:pPr>
    </w:p>
    <w:p>
      <w:pPr>
        <w:ind w:left="1020" w:hanging="503"/>
        <w:spacing w:after="0" w:line="246"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our arrangement with PARI pursuant to the PARI License Agreement for the exclusive license to PARI’s eFlow</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Technology and eRapid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Nebulizer System;</w:t>
      </w:r>
    </w:p>
    <w:p>
      <w:pPr>
        <w:spacing w:after="0" w:line="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our product candidates following regulatory approvals,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financial resources to fund our operations;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people who can develop and, if approved, commercialize, market and sell our current or future product candidates.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develop, receive marketing approval for and successfully commercialize our product candidates, or if we experience delays as a result of any of the above factors or otherwise, our business would be significantly harmed.</w:t>
      </w:r>
    </w:p>
    <w:p>
      <w:pPr>
        <w:spacing w:after="0" w:line="2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If we are unable to successfully develop, receive regulatory approval for and commercialize any product candidate or successfully develop any other product candidate or experience significant delays in doing so, our business will be substantially harmed.</w:t>
      </w:r>
    </w:p>
    <w:p>
      <w:pPr>
        <w:spacing w:after="0" w:line="5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are early in our development efforts. Each of our product candidates will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assumptions about the development potential of AP01 and AP02 are based on the data generated from our clinical trials and from preclinical studies. We may also observe materially and adversely different safety results as we continue to conduct our clinical trials.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substantial additional investment, clinical development, regulatory review, approval in one or more jurisdictions and significant marketing efforts before we could generate any revenue from product sales, if ever. Given our stage of development, it will take additional clinical development before we can demonstrate the safety and efficacy of a product candidate sufficient to warrant approval for commercialization, if we can do so at all.</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our product candidates or any future product candidate we develop or if we experience delays in such approvals, we may not be able to continue our operations.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are currently doing, presents additional risks that may delay completion of our clinical trials. These risks include the failure of enrolled patients in foreign countries to adhere to clinical protocol as a result of differences in healthcare services or cultural customs, failure to properly translate or interpret patient-reported outcome endpoints, managing additional administrative burdens associated with foreign regulatory schemes as well as political and economic risks relevant to such foreign countries.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foregoing makes our ability to successfully and timely complete development of our product candidates and obtain regulatory approval for them less certain. If we are unable to develop, or obtain marketing approval for, or, if approved, successfully commercialize our product candidates, our business, financial condition, results of operations and prospects could be materially harmed.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time may be required to obtain marketing authorizations for product candidates that we develop as drug-device combination products.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nebulizer-delivered product candidates, AP01 and AP02, are subject to combination product development and approval regulatory requirements. Development of a product candidate as a combination product candidate requires close coordination with the FDA and comparable foreign regulatory authorities for review of each of the drug and device components that comprise the product. Although the FDA and comparable foreign regulatory authorities have or may have systems in place for the review and approval of such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combination products, we may experience additional delays in the development and commercialization of such product candidates due to regulatory timing constraints and uncertainties in the product development and approval process.</w:t>
      </w:r>
    </w:p>
    <w:p>
      <w:pPr>
        <w:spacing w:after="0" w:line="26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European Medicines Agency, or EMA, and comparable foreign authorities are lengthy, time-consuming and inherently unpredictable. If we are not able to obtain the required regulatory approval for any product candidate, our business will be substantially harmed.</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not permitted to market, commercialize, sell, or promote any product candidate in the U.S. until we receive regulatory approval of a new drug application, or NDA, for such product candidate in a specific indication from the FDA. Our business is dependent on our ability to successfully complete preclinical and clinical development of, obtain regulatory approval for, and, if approved, successfully commercialize our product candidates and any future product candidates in a timely manner.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w:t>
      </w:r>
    </w:p>
    <w:p>
      <w:pPr>
        <w:spacing w:after="0" w:line="18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Prior to obtaining approval to commercialize any product candidate in the U.S. or abroad, we must demonstrate with substantial evidence from well-controlled clinical trials, to the satisfaction of the FDA, EMA or comparable foreign regulatory authorities, that such product candidates are safe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EMA, and other regulatory authorities. For example, certain of our trials did not include a placebo or an oral antifibrotic comparator arm, and interpretability of the findings and whether these findings are robust enough to warrant approval will be reviewed closely by the FDA, EMA, or other regulatory authorities. Such authorities may ultimately determine that our data are insufficient for approval and may require that we conduct additional clinical trials, or nonclinical or other studies, before our candidates can be approved. The FDA may also require us to conduct additional preclinical studies or clinical trials for our product candidates either prior to or after approval, or it may object to elements of our clinical development programs. For example, in July 2025, in our pre-IND discussions for AP02, the FDA, but no other regulatory agency, asked us to complete an additional device compatibility study (which we have since successfully completed) and also commented on a nonclinical rat toxicology study that showed findings that were considered non-adverse and/or species-specific. Due to this and our desire for a faster start-up time, we proceeded to initiate our Phase 2 clinical trial outside of the U.S. We intend to submit such IND with the safety and efficacy clinical data from our Phase 2 trial, if successful, to potentially enable a future Phase 3 clinical trial that includes U.S. sites. We believe that the data package including our Phase 2 trial, if successful, will provide compelling support to open an IND in the U.S. while enabling an efficient use of our resources.</w:t>
      </w:r>
    </w:p>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and future product candidates could fail to receive regulatory approval for many reasons, including the following:</w:t>
      </w:r>
    </w:p>
    <w:p>
      <w:pPr>
        <w:spacing w:after="0" w:line="117" w:lineRule="exact"/>
        <w:rPr>
          <w:sz w:val="20"/>
          <w:szCs w:val="20"/>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as to the design or implementation of our clinical trials and interpretation of data from clinical trials or preclinical studies;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to the FDA or other submission to obtain regulatory approval in the European Union or elsewhere;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accept device validation data or to approve the manufacturing processes or facilities of third-party manufacturers with which we contract for clinical and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Of the large number of products in development, only a small percentage successfully complete the FDA or foreign regulatory approval processes and are commercialized. The lengthy approval and marketing authorization process as well as the unpredictability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jc w:val="both"/>
        <w:spacing w:after="0" w:line="255" w:lineRule="auto"/>
        <w:rPr>
          <w:sz w:val="20"/>
          <w:szCs w:val="20"/>
          <w:color w:val="auto"/>
        </w:rPr>
      </w:pPr>
      <w:r>
        <w:rPr>
          <w:rFonts w:ascii="Times New Roman" w:cs="Times New Roman" w:eastAsia="Times New Roman" w:hAnsi="Times New Roman"/>
          <w:sz w:val="18"/>
          <w:szCs w:val="18"/>
          <w:color w:val="auto"/>
        </w:rPr>
        <w:t>of future clinical trial results may result in our failing to obtain regulatory approval to market our product candidates, which would significantly harm our business, financial condition, results of operations and prospects. The FDA, EMA and comparable foreign authorities have substantial discretion in the approval process and determining when or whether regulatory approval will be granted for any product candidate that we develop. The U.S. Supreme Court’s July 2024 decision to overturn prior established case law giving deference to regulatory agencies’ interpretations of ambiguous statutory language has introduced uncertainty regarding the extent to which the FDA’s regulations, policies and decisions may become subject to increasing legal challenges, delays or changes. Even if we believe the data collected from future clinical trials of our product candidates are promising, such data may not be sufficient to support approval by the FDA, EMA or any other regulatory authority.</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Even if we complete clinical testing and receive approval of a NDA or foreign marketing application for our current or future product candidates, the FDA, EMA or the applicable foreign regulatory agency may grant approval or other marketing authorization contingent on the performance of costly additional clinical trials, including post-marketing clinical trials. The FDA, EMA or the applicable foreign regulatory agency also may approve or authorize for marketing a product candidate for a more limited indication or patient population than we originally request, and the FDA, EMA or applicable foreign regulatory authority may not approve or authorize the labeling that we believe is necessary or desirable for the successful commercialization of a product candidate. Any delay in obtaining, or inability to obtain, applicable regulatory approval or other marketing authorization, or failure to obtain our desired product label, would delay or prevent commercialization of that product candidate and would materially adversely impact our business and prospects.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FDA, EMA and other regulatory authorities may change their policies, issue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Further, macroeconomic and other global conditions have impacted and could in the future impact the ability of the FDA, EMA and comparable foreign regulatory authorities to provide any required approvals or marketing authorizations for our product candidates or result in the delay of such approvals or authorizations.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Preclinical and clinical product development involves a lengthy and expensive process, with an uncertain outcome.</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current assumptions about our product candidates’ development potential are based on the data generated from preclinical studies and clinical trials; however, we may observe materially and adversely different safety results as we continue to conduct our clinical trials. In order to obtain FDA, EMA or other comparable foreign regulatory authorities approval to market a new drug product, we must demonstrate the safety and efficacy of the drug in humans in a manner that satisfies the applicable authority’s standards. It is impossible to predict when or if any of our product candidates will prove effective or safe in humans or will receive regulatory approval. Before obtaining marketing approval from regulatory authorities, including the FDA, EMA and comparable foreign regulatory authorities, we must complete preclinical development and then conduct extensive clinical trials to demonstrate the safety, potency and efficacy of our product candidates in humans. A failure of one or more clinical trials can occur at any stage of testing or at any time during the trial process. The outcome of preclinical testing and early clinical trials may not be predictive of the results of later clinical trials as to safety or efficacy, particularly if later clinical trials have a materially different trial design. The historical failure rate for product candidates in our industry is high, particularly in the earlier stages of development.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9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not completed all of the clinical trials required for the approval of any of our product candidates. We cannot assure you that any preclinical study or clinical trial that we are conducting, or may conduct in the future, will demonstrate consistent or adequate efficacy and safety to obtain regulatory approval to market our product candidates in the United States or in any other jurisdiction.</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Additionally, we have in the past and intend in the future to utilize an “open-label” clinical trial design for certain of our clinical trials.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and experience delays in completing, or ultimately be unable to complete, the development and commercialization of our product candidates.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incur additional costs and experience delays in ongoing clinical trials for our product candidates, and we do not know whether future clinical trials, if any, will begin on time, need to be redesigned, enroll an adequate number of patients on time or be completed on schedule, if at all. We may experience numerous unforeseen events during or as a result of preclinical studies or clinical trials that could delay or prevent our ability to continue or complete clinical development, receive marketing approval or commercialize our product candidates, including:</w:t>
      </w:r>
    </w:p>
    <w:p>
      <w:pPr>
        <w:spacing w:after="0" w:line="72" w:lineRule="exact"/>
        <w:rPr>
          <w:sz w:val="20"/>
          <w:szCs w:val="20"/>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not authorizing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experiencing delays in reaching, or failing to reach, agreement on acceptable clinical trial contracts or clinical trial protocols with prospective trial sites or prospective CROs, the terms of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including failure to demonstrate statistical significance, and we may decide, or regulators may require us, to conduct additional clinical trials or abandon product development programs;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failing to demonstrate statistical significance in clinical trials of our product candidates, which may impact the timing and design of late-stage clinical trials for such product candidates, or failing to demonstrate statistical significance in late-stage trials despite promising early stage results;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being larger than we anticipate; enrollment in these clinical trials being slower than we anticipate, for example, due to the availability of standard of care therapy, changes to standard of care therapy, and the reluctance of patients to discontinue standard of care therapy in order to participate in certain of our future clinical trials; or participants dropping out of these clinical trials or failing to return for post-treatment follow-up at a higher rate than we anticipate;</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having undesirable side effects (including drug-drug interactions), unexpected toxicology findings, or other unexpected characteristics, causing us or our investigators, regulators or institutional review boards to suspend or terminate the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failing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collaborators, if any, may conduct clinical trials in ways they view as advantageous to them but that are suboptimal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including comparator drug, to conduct clinical trials of our product candidates being insufficient, inadequate or too costly.</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favorable or if there are safety concerns, we may, among other things:</w:t>
      </w:r>
    </w:p>
    <w:p>
      <w:pPr>
        <w:spacing w:after="0" w:line="68"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1" w:name="page42"/>
    <w:bookmarkEnd w:id="41"/>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principal investigators for our current and future clinical trials have in the past and may in the future serve as scientific advisors or consultants to us from time to time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a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a comparable foreign regulatory authority, as the case may be, and may ultimately lead to the denial of marketing approval.</w:t>
      </w:r>
    </w:p>
    <w:p>
      <w:pPr>
        <w:spacing w:after="0" w:line="2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not yet completed all testing of any product candidate in clinical trials. Preclinical, interim, topline, and preliminary results from our preclinical studies or clinical trials are not necessarily predictive of the results or analyses of such results of later clinical trials. If we cannot replicate the positive results from any preclinical studies or clinical trials of our current or potential future product candidates that have positive results, or if we suffer any other significant setbacks in our later clinical trials, we may be unable to successfully develop, obtain regulatory approval for and commercialize our current or potential future product candidates.</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Success in preclinical testing and early clinical trials does not ensure that later clinical trials will generate the same results or otherwise provide adequate data to demonstrate the efficacy and safety of a product candidate. Preclinical studies, Phase 1 and Phase 2a clinical trials are primarily designed to test safety, to study pharmacokinetics and pharmacodynamics, and to understand the side effects of product candidates at various doses and dosing schedules. Success in preclinical or animal studies and early clinical trials does not ensure that later large-scale efficacy trials will be successful, nor does it predict final results. Our product candidates may fail to show the desired safety, tolerability, PK profile, and efficacy in clinical development despite positive results in preclinical studies or having successfully advanced through initial clinical trials, particularly because of our product candidates leveraging an inhalation approach.</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even after achieving promising results in preclinical testing and earlier-stage clinical trials. Such setbacks have occurred and may occur for many reasons, including: clinical sites and investigators may deviate from clinical trial protocols, whether due to lack of training or otherwise, and we may fail to detect any such deviations in a timely manner; patients may fail to adhere to any required clinical trial procedures, including post-treatment follow-up; our product candidates may fail to demonstrate effectiveness or safety in certain patient subpopulations or at all; or our clinical trials may not adequately represent the patient populations we intend to treat, whether due to limitations in our trial designs or otherwise.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Similarly, from time to time, we may publish interim, topline, or preliminary results from our preclinical studies and clinical trials, which are based on a preliminary analysis of then-available data. We also make assumptions, estimations, calculations and conclusions as part of our preliminary analyses of data, and we may not have received or had the opportunity to fully and carefully evaluate all data. As a result, the results and related findings and conclusions are subject to change following a more comprehensive review of the data related to the particular study or trial.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Adverse differences between interim, topline, or preliminary data and final data could significantly harm our business prospects and may cause the trading price of our common stock to fluctuate significantly.</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investors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Targeting PF with inhaled formulations of antifibrotic therapies is novel, and we do not know whether we will be able to successfully develop any inhaled products.</w:t>
      </w:r>
    </w:p>
    <w:p>
      <w:pPr>
        <w:spacing w:after="0" w:line="51" w:lineRule="exact"/>
        <w:rPr>
          <w:sz w:val="20"/>
          <w:szCs w:val="20"/>
          <w:color w:val="auto"/>
        </w:rPr>
      </w:pPr>
    </w:p>
    <w:p>
      <w:pPr>
        <w:jc w:val="both"/>
        <w:ind w:firstLine="509"/>
        <w:spacing w:after="0" w:line="274" w:lineRule="auto"/>
        <w:rPr>
          <w:sz w:val="20"/>
          <w:szCs w:val="20"/>
          <w:color w:val="auto"/>
        </w:rPr>
      </w:pPr>
      <w:r>
        <w:rPr>
          <w:rFonts w:ascii="Times New Roman" w:cs="Times New Roman" w:eastAsia="Times New Roman" w:hAnsi="Times New Roman"/>
          <w:sz w:val="18"/>
          <w:szCs w:val="18"/>
          <w:color w:val="auto"/>
        </w:rPr>
        <w:t>Our product candidates target PF with an inhaled formulation approach. Other companies have discontinued programs targeting PF as they were unable to develop compounds that could demonstrate safety or efficacy or whose dosing regimens were commercially unviable. Given our approach, we may not be able to successfully develop any products.</w:t>
      </w:r>
    </w:p>
    <w:p>
      <w:pPr>
        <w:spacing w:after="0" w:line="16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PF market currently relies on oral systemic medications: nintedanib, pirfenidone, and nerandomilast. We aim to optimize inhaled formulations of the current oral antifibrotic medicines, as with AP01 and AP02, inhaled formulations of pirfenidone or nintedanib, for potentially improved safety and efficacy. While products for the treatment of PF have been approved by the FDA and comparable foreign regulatory authorities, to date, no inhaled antifibrotic therapy of pirfenidone or nintedanib, or combination of pirfenidone and nintedanib, has been approved, and to our knowledge, no product candidate combining these agents in an inhaled formulation is currently in clinical development. As a result, it is difficult to predict the developmental challenges we may encounter as our lead product candidates proceed through clinical trials, including our planned future clinical trials. It is also difficult for us to predict the time and cost of development, whether any of our clinical trials will be successful, whether any unexpected side effects that have not been associated with oral nintedanib and pirfenidone will be identified in our product development activities and whether our novel approach will result in the successful development and regulatory approval of any product candidates. For example, although we have not observed this to date in clinical trials, airway irritation is a potential risk for inhaled administration, which can be manifested by coughing, increased secretions, or bronchospasm. Any development problems we experience in the future related to our lead product candidates may cause significant delays or unanticipated costs, and such development problems may not be able to be solved. The novelty of our approach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For example, the FDA could require additional studies that may be difficult or impossible to perform, or prohibitively costly. Any of these factors may prevent us from completing clinical trials that we may initiate, and obtaining regulatory approval of or commercializing any product candidates we may develop, on a timely or profitable basis, if at all.</w:t>
      </w:r>
    </w:p>
    <w:p>
      <w:pPr>
        <w:spacing w:after="0" w:line="2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preclinical studies and clinical trials may fail to demonstrate the safety and efficacy of our product candidates, or serious or unacceptable adverse side effects or unexpected toxicology findings may be identified during the development of our product candidates, which could prevent or delay further clinical development, regulatory approvals and commercialization, impact the product’s labeling, if approved, increase our costs or necessitate the abandonment or limitation of the development of some of our product candidates.</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Clinical trials often fail to demonstrate safety or efficacy of the product candidate studied for the target indication. If our product candidates are associated with serious or significant adverse side effects in clinical trials or have adverse safety findings in nonclinical studies, we may need to abandon their development or limit development to more narrow uses in which the side effects or other characteristics are less prevalent, less severe or more acceptable from a benefit-risk perspective. The FDA, EMA or other comparable foreign regulatory authority or an institutional review board or ethics committee may also require that we suspend, discontinue or limit our clinical trials based on safety information, or that we conduct additional animal or human studies regarding the safety and efficacy of our product candidates, which we have not planned or anticipated. For example, in July 2025, in our pre-IND discussions for AP02, the FDA, but no other regulatory agency, asked us to complete an additional device compatibility study (which we have since successfully completed) and also commented on a nonclinical rat toxicology study that showed findings that were considered non-adverse and/or species-specific. Due to this and our desire for a faster start-up time, we proceeded to initiate our Phase 2 clinical trial outside of the U.S. We intend to submit such IND with the safety and efficacy clinical data from our Phase 2 trial, if successful, to potentially enable a future Phase 3 clinical trial that includes U.S. sites. We believe that the data package from our Phase 2 trial, if successful, will provide compelling support to open an IND in the U.S. while enabling an efficient use of our resources. If we are unable to obtain IND clearance from the FDA for AP02, our market opportunity may be adversely affected, and we may have to expend additional resources to complete additional preclinical testing if required by the FDA. There is no guarantee that our efforts or further testing, if required, will be successful or will enable the clearance of an IND by the FDA.</w:t>
      </w:r>
    </w:p>
    <w:p>
      <w:pPr>
        <w:spacing w:after="0" w:line="19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Such findings could further result in regulatory authorities failing to provide marketing authorization for our product candidates or limiting the scope of the indication, if approved. Many product candidates that initially showed promise in early-stage testing have later been found to cause adverse side effects that prevented further development of the product candidate. For example, the long-term safety impacts of our product candidates are unknown and may not be discoverable in preclinical studies or clinical trials that we may conduct. Additionally, if one or more of our product candidates receives marketing approval, and we or others subsequently identify undesirable side effects caused by such products a number of potentially significant negative consequences could result, including:</w:t>
      </w:r>
    </w:p>
    <w:p>
      <w:pPr>
        <w:spacing w:after="0" w:line="79" w:lineRule="exact"/>
        <w:rPr>
          <w:sz w:val="20"/>
          <w:szCs w:val="20"/>
          <w:color w:val="auto"/>
        </w:rPr>
      </w:pPr>
    </w:p>
    <w:p>
      <w:pPr>
        <w:ind w:left="5540" w:right="60" w:hanging="5023"/>
        <w:spacing w:after="0" w:line="532" w:lineRule="auto"/>
        <w:tabs>
          <w:tab w:leader="none" w:pos="103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suspend or limit approvals of such product or seek an injunction against its manufacture or distribution;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3" w:name="page44"/>
    <w:bookmarkEnd w:id="43"/>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labels, such as a boxed warning or a contraindication;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distributed or administered, conduct additional clinical trials or change the labeling of a product or be required to conduct additional post-marketing studies or surveillance;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 or the product could become less competitive;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third-party payor coverage and adequate reimbursement;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resolve any issues related to any product-related AEs to the satisfaction of the FDA, EMA or comparable foreign regulatory authorities in a timely manner or at all. Moreover, any of these events could prevent us from achieving or maintaining market acceptance of a particular product candidate, if approved, and could significantly harm our business, results of operations and prospects.</w:t>
      </w:r>
    </w:p>
    <w:p>
      <w:pPr>
        <w:spacing w:after="0" w:line="2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obtained orphan designation for AP01 for the treatment of IPF and may in the future seek orphan drug designation for additional product candidates. Even if we obtain designation, we may be unable to maintain the benefits associated with orphan drug designation, including the potential for market exclusivity.</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July 2014, we obtained orphan drug designation from the FDA for AP01 for the treatment of IPF. We may seek orphan drug designation or exclusivity in the indications targeted by our current or future product candidates. Regulatory authorities in some jurisdictions, including the United States and Europe, may designate drugs for relatively small patient populations as orphan drugs. For example, under the Orphan Drug Act, the FDA may designate a product candidate as an orphan drug if it is intended to treat a rare disease or condition. In order for the FDA to grant orphan drug exclusivity to one of our product candidates, the agency must find that the product candidate is indicated for the treatment of a condition or disease that affects fewer than 200,000 individuals in the U.S. or that affects 200,000 or more individuals in the U.S. and for which there is no reasonable expectation that the cost of developing and making the product candidate available for the disease or condition will be recovered from sales of the product in the U.S. Orphan drug designation must be requested before submitting an NDA. The FDA may conclude that the condition or disease for which we seek orphan drug exclusivity does not meet the required standard.</w:t>
      </w:r>
    </w:p>
    <w:p>
      <w:pPr>
        <w:spacing w:after="0" w:line="1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a particular drug for the disease for which it has such designation, the product is entitled to orphan product exclusivity, which means that the FDA may not approve any other applications to market the same drug for the same indication for seven years, except in limited circumstances such as if the FDA finds that the holder of the orphan drug exclusivity has not shown that it can assure the availability of sufficient quantities of the orphan drug to meet the needs of patients with the disease or condition for which the drug was designated.</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even after an orphan drug is approved, the FDA can subsequently approve the same product candidate for the same condition if the FDA concludes that the later product candidate is clinically superior in that it is shown to be safer, more effective or makes a major contribution to patient care compared with the product that has orphan exclusivity. In the U.S., orphan drug designation entitles a party to financial incentives such as opportunities for grant funding towards clinical trial costs, tax advantages, and user-fee waivers. After the FDA grants orphan drug designation, the generic identity of the drug or biologic and its potential orphan use are disclosed publicly by the FDA. Orphan drug designation does not convey any advantage in, or shorten the duration of, the regulatory review and approval process.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4" w:name="page45"/>
    <w:bookmarkEnd w:id="44"/>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similar regulatory scheme governs approval of orphan product candidates by the EMA in the European Union. Generally, if a product with an orphan drug designation subsequently receives the first marketing approval for the indication for which it has such designation, the product is entitled to a period of marketing exclusivity, which precludes the FDA or the EMA (as applicable) from approving another marketing application for the same or another similar product candidate for the same orphan therapeutic indication for that time period. The applicable period is seven years in the U.S. and ten years in the European Union. The exclusivity period in the European Union can be reduced to six years if at the end of the fifth year it is determined that a product no longer meets the criteria for orphan designation, including if the product is sufficiently profitable so that market exclusivity is no longer justified.</w:t>
      </w:r>
    </w:p>
    <w:p>
      <w:pPr>
        <w:spacing w:after="0" w:line="29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While we may in the future seek designations for our product candidates with the FDA, EMA and comparable foreign regulatory authorities that are intended to confer benefits such as a faster development process, an accelerated regulatory pathway or priority review, there can be no assurance that we will successfully obtain such designations. In addition, even if one or more of our product candidates are granted such designations, we may not be able to realize the intended benefits of such designations.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FDA, EMA and comparable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of the marketing application(s). However, there can be no assurance that we will successfully obtain such designations for our product candidates. In addition, while such designations could expedite the development or approval process, they generally do not change the standards of product quality, safety or efficacy required to be demonstrated in support of approval. Even if we obtain such designations for our product candidates, there can be no assurance that we will realize their intended benefits.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example, we may seek a Fast Track Designation for one or more of our product candidates.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Further, the receipt of Breakthrough Therapy Designation for a product candidate may not result in a faster development process, review or approval compared to conventional FDA procedures and does not assure approval by the FDA. In addition, even if any product candidate we develop qualifies for Breakthrough Therapy Designation, the FDA may later decide that the drug no longer meets the conditions for qualification and rescind the designation.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from FDA’s acceptance of the application for review. Priority review designation may be rescinded if a product no longer meets the qualifying criteria.</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submit investigational new drug, or IND, applications or IND amendments to commence clinical trials on the timelines we expect, and even if we are able to, the FDA may not permit us to proceed.</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may not be able to submit INDs, including the IND for our lead product candidates, on the timelines we expect. We may experience manufacturing delays or other delays with IND-enabling studies or it may require time to align with the FDA or comparable regulatory authorities on data packages. For example, in July 2025, in our pre-IND discussions for AP02, the FDA, but no other regulatory agency, asked us to complete an additional device compatibility study (which we have since successfully completed) and also commented on a nonclinical rat toxicology study that showed findings that were considered non-adverse and/or species-specific. Due to this and our desire for a faster start-up time, we proceeded to initiate our Phase 2 clinical trial outside of the U.S. We intend to submit such IND with the safety and efficacy clinical data from our Phase 2 trial, if successful, to potentially enable a future Phase 3 clinical trial that includes U.S. sites. We believe that the data package from our Phase 2 trial, if successful, will provide compelling support to open an IND in the U.S. while enabling an efficient use of our resources. If we are unable to obtain IND clearance from the FDA for AP02, our market opportunity may be adversely affected, and we may have to expend additional resources to complete additional preclinical testing if required by the FDA. There is no guarantee that our efforts or further testing, if required, will be successful or will enable the clearance of an IND by the FDA. Moreover, we cannot be sure that submission of an IND will result in the FDA allowing clinical trials to begin, or that,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w:t>
      </w:r>
    </w:p>
    <w:p>
      <w:pPr>
        <w:spacing w:after="0" w:line="30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intend to deliver AP01 and AP02 and our other product candidates via a drug delivery device that will have its own regulatory, development, supply and other risks.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intend to deliver AP01 and AP02 and our other product candidates via a drug delivery device, a nebulizer, and there may be unforeseen technical complications related to the development activities required to bring such a product to market, including container compatibility and/or dose volume requirements. AP01 and AP02 and our other product candidates which may be delivered via drug delivery devices may not be approved or may be substantially delayed in receiving approval if the devices do not gain and/or maintain their own regulatory approvals or clearances. Where approval of the drug product and device is sought under a single application, the increased complexity of the review process may delay approval.</w:t>
      </w:r>
    </w:p>
    <w:p>
      <w:pPr>
        <w:spacing w:after="0" w:line="82" w:lineRule="exact"/>
        <w:rPr>
          <w:sz w:val="20"/>
          <w:szCs w:val="20"/>
          <w:color w:val="auto"/>
        </w:rPr>
      </w:pPr>
    </w:p>
    <w:p>
      <w:pPr>
        <w:jc w:val="both"/>
        <w:ind w:firstLine="509"/>
        <w:spacing w:after="0" w:line="233" w:lineRule="auto"/>
        <w:rPr>
          <w:sz w:val="20"/>
          <w:szCs w:val="20"/>
          <w:color w:val="auto"/>
        </w:rPr>
      </w:pPr>
      <w:r>
        <w:rPr>
          <w:rFonts w:ascii="Times New Roman" w:cs="Times New Roman" w:eastAsia="Times New Roman" w:hAnsi="Times New Roman"/>
          <w:sz w:val="18"/>
          <w:szCs w:val="18"/>
          <w:color w:val="auto"/>
        </w:rPr>
        <w:t>We benefit from an exclusive license to PARI’s eRapid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Nebulizer System with eFlow</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Technology for AP01’s delivery, and we retain an exclusive right to negotiate a separate license agreement with respect to AP02 and AP03 for exclusive licenses for PARI’s eRapid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Nebulizer System with eFlow</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Technology. This exclusivity offers a key competitive advantage, as the proprietary device would be included in any potential U.S. FDA-approved product labels, however, we cannot guarantee that we will maintain preferable commercial terms for such license. We are dependent on the sustained cooperation and effort of PARI both to supply the device and, in some cases, to conduct the studies required for approval or other regulatory clearance of the device, and if received, we expect we will be dependent on PARI for continuing to maintain such approvals or clearances. Failure of PARI to supply the device, to successfully complete studies on the device or for any future devices we may utilize for any of our product candidates in a timely manner, or to obtain or maintain required approvals or clearances of the devices could result in increased development costs, delays in or failure to obtain regulatory approval, and delays in our product candidates reaching the market initially and/or expanding to new indications. For more information on the PARI Agreement, see “</w:t>
      </w:r>
      <w:r>
        <w:rPr>
          <w:rFonts w:ascii="Times New Roman" w:cs="Times New Roman" w:eastAsia="Times New Roman" w:hAnsi="Times New Roman"/>
          <w:sz w:val="18"/>
          <w:szCs w:val="18"/>
          <w:i w:val="1"/>
          <w:iCs w:val="1"/>
          <w:color w:val="auto"/>
        </w:rPr>
        <w:t>Management’s Discussion and Analysis of Financial Condition and Results of Operations—Overview—Material Agreement</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restrictions or withdrawal from the market, and we may be subject to substantial penalties if we fail to comply with regulatory requirements or if we experience unanticipated problems with our products, when and if any of them are approved.</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part of its decision to approve or grant marketing authorization for one or more of our product candidates, the FDA, European Commission, or EC, or other regulatory agencies may require us to perform certain post-marketing activities, such as completion of ongoing or planned studies, initiation of new studies or post-marketing clinical trials (including to assess safety risks), or additional analyses of existing data. Typically, we are required to provide annual updates on the progress of such required activities and to complete the activities by the assigned completion dates. Later discovery of previously unknown problems with our product candidates, including AEs of unanticipated severity or frequency, or with our third-party manufacturers or manufacturing processes, or failure to comply with regulatory requirements, may result in, among other things:</w:t>
      </w:r>
    </w:p>
    <w:p>
      <w:pPr>
        <w:spacing w:after="0" w:line="79" w:lineRule="exact"/>
        <w:rPr>
          <w:sz w:val="20"/>
          <w:szCs w:val="20"/>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such products,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or revisions to the labeling or marketing of a medicine;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distribution or use of a medicine, including under a risk evaluation and mitigation strategy, or REMS, program;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receipt of warning or untitled letters or suspension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EC or other regulatory agencies to approve pending applications or supplements to approved applications filed by us or suspension or withdrawal of marketing approvals;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Additionally, the FDA, EC and other regulatory agencies closely regulate the post-approval marketing and promotion of medicines to ensure that they are marketed only for the approved indications and in accordance with the provisions of the approved labeling. Although physicians may prescribe products for uses not described in the product’s labeling, known as off-label uses, in their professional medical judgment, the FDA, EMA and comparable foreign regulatory agencies impose stringent restrictions on manufacturers’ communications regarding off-label use, and if we market our products, if approved, in a manner inconsistent with their approved labeling, we may be subject to enforcement action for off-label marketing by the FDA and other federal and state enforcement agencies, including the Department of Justice and other comparable foreign regulatory agencies.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state consumer protection laws and laws of other comparable foreign regulatory agencies.</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develop and adversely affect our business, financial condition, results of operations and prospects.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and/or retention of patients in clinical trials, our clinical development activities could be delayed or otherwise adversely affected, and our receipt of necessary regulatory approvals could be delayed or prevented.</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identify and enroll a sufficient number of patients. Patient enrollment, a significant factor in the timing of clinical trials, is affected by many factors, including the size and nature of the patient population and competition for patients with other trials. 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EMA or comparable foreign regulatory authorities, or if a large number of patients withdraw.</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example, we are initially developing AP02 for the treatment of IPF, which is an orphan indication. In the United States, IPF is estimated to affect approximately 120,000 patients. As a result, we may encounter difficulties enrolling subjects in our clinical trials due, in part, to the small size of the patient population. If our target patient population is smaller than expected, we are unable to successfully enroll and retain patients in our clinical trials, or experience significant delays in doing so, we may not satisfy the FDA or other applicable regulatory authorities standards for number of patients enrolled due to enrollment being too 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7" w:name="page48"/>
    <w:bookmarkEnd w:id="47"/>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how successful we will be at enrolling subjects in future clinical trials. We may conduct clinical trials that would require patients to discontinue standard of care therapy, and we may experience challenges finding, enrolling and retaining PF patients in our planned clinical trials who are willing to discontinue their current treatment regimens to participate in our trials. Subject enrollment is affected by other factors including:</w:t>
      </w:r>
    </w:p>
    <w:p>
      <w:pPr>
        <w:spacing w:after="0" w:line="68"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as defined in the applicable protocol;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 and the process for identifying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risks and benefits of the product candidate in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global health crises, such as those related to COVID-19, on enrollment and/or completion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and risks of the product candidate being studied in relation to other available therapies, including the current standard of care and any new drugs that may be approved for PF, which may vary across the jurisdictions where we plan to conduct our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be enrolled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informed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our clinical trials will drop out of the trials prior to completion;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or lack of adequate compensation for, prospective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to prospective patients.</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would result in significant delays and could require us to abandon one or more clinical trials altogether. For example, although enrollment for our Phase 2b MIST clinical trial was initially slower than anticipated, due to higher-than-expected screen failure rates and site activation delays, we have since addressed such factors and currently remain on track for our expected enrollment timeline.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even if we are able to enroll a sufficient number of patients for our clinical trials, we may have difficulty maintaining enrollment of such patients. We cannot assure you that our assumptions used in determining expected clinical trial timelines are correct or that we will not experience delays or difficulties in enrollment, or be required by the FDA or comparable foreign regulatory authorities to increase our enrollment, which would result in the delay of completion of such trials beyond our expected timelines.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clinical trials conducted at clinical trial sites outside the U.S. might not be accepted by the FDA, and data developed outside of a foreign jurisdiction similarly might not be accepted by such foreign regulatory authority.</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currently conducting our Phase 2 clinical trial for AP01 in the United Kingdom, Spain, France, Germany, Italy, Turkey, Argentina, United States and other EU countries, and AP02 in Australia, Canada, Germany, Italy, New Zealand, Spain, Argentina, and the United Kingdom, and may conduct additional clinical trials outside of the U.S. in the future. Clinical trials conducted in Australia using “unapproved therapeutic goods,” or those that have not yet been evaluated by the Therapeutic Goods Association, or TGA, for quality, safety and efficacy, must occur pursuant to either the Clinical Trial Notification Scheme or the Clinical Trial Approval Scheme. In each case, the trial is supervised by a Human Research Ethics Committee, or HREC, an independent review committee set up under the guidelines of the Australian National Health and Medical Research Council that reviews, approves and provides continuing oversight of trial protocols and amendments, and of the methods and material to be used in obtaining and documenting informed consent of the trial subjects. Although the FDA, EMA or comparable foreign regulatory authorities may accept data from clinical trials conducted outside the relevant jurisdiction, acceptance of these data is subject to certain conditions. For example, the FDA requires that the clinical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jc w:val="both"/>
        <w:spacing w:after="0" w:line="253" w:lineRule="auto"/>
        <w:rPr>
          <w:sz w:val="20"/>
          <w:szCs w:val="20"/>
          <w:color w:val="auto"/>
        </w:rPr>
      </w:pPr>
      <w:r>
        <w:rPr>
          <w:rFonts w:ascii="Times New Roman" w:cs="Times New Roman" w:eastAsia="Times New Roman" w:hAnsi="Times New Roman"/>
          <w:sz w:val="18"/>
          <w:szCs w:val="18"/>
          <w:color w:val="auto"/>
        </w:rPr>
        <w:t>trial must be well-designed and conducted and performed by qualified investigators in accordance with ethical principles such as institutional review board or ethics committee approval and informed consent, the trial population must adequately represent the U.S. population and the data must be applicable to the U.S. population and U.S. medical practice in ways that the FDA deems clinically meaningful. Further, the FDA may consider an on-site inspection to be necessary in which case they must be able to validate the data through such an inspection or other appropriate means. In addition, while these clinical trials are subject to the applicable local laws, acceptance of the data by the FDA will be dependent upon its determination that the trials were conducted consistent with all applicable U.S. laws and regulations. There can be no assurance that the FDA will accept data from trials conducted outside of the U.S. as adequate support of a marketing application. Similarly, any data submitted to foreign regulatory authorities may not adhere to their standards and requirements for clinical trials and data from trials conducted outside of such jurisdiction may not be accepted. Moreover, cultural and population differences across populations participating in trials conducted with sites outside the U.S. could introduce confounding factors that impact interpretation of the results from foreign clinical trial sites.</w:t>
      </w:r>
    </w:p>
    <w:p>
      <w:pPr>
        <w:spacing w:after="0" w:line="19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the FDA, EMA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In addition, such foreign trials would be subject to the applicable local laws and ethics committee requirements of the foreign jurisdictions where the trials are conducted, which may increase costs or time required to complete the clinical trial.</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Conducting clinical trials outside the U.S. also exposes us to additional risks, including risks associated with:</w:t>
      </w:r>
    </w:p>
    <w:p>
      <w:pPr>
        <w:spacing w:after="0" w:line="117"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foreign regulatory and ethics committee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foreign manufacturing, customs, shipment and storage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inconsistent standards for reporting and evaluating clinical data and AEs;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standards or availability of PF care, resulting in data that may differ from patients who have received the U.S. standard of care therapy;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proposals that, if enacted, could require additional fees or other compliance requirements for inclusion of foreign data in marketing applications;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pandemic, epidemic or public health emergencies;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civil unrest, war or similar events that may jeopardize our ability to commence, conduct or complete a clinical trial and evaluate resulting data.</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third-party manufacturer of our product candidates is unable to increase the scale of its production of our product candidates or increase the product yield of its manufacturing, then our manufacturing costs may increase and commercialization may be delayed.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order to produce sufficient quantities to meet the demand for clinical trials and, if approved, subsequent commercialization of our product candidates, our third-party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and results of operations. Additionally, if any such third-party manufacturer cannot achieve compliance with import and export requirements or build a sufficient network of partners for the storage and distribution of our product candidates, our future global commercialization prospects could be materially harmed.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various aspects of the development program, such as manufacturing methods and formulation, may be altered in an effort to optimize processes and product characteristics, and such optimization may not be achieved. Any of these changes could cause our product candidates to perform differently and affect the results of our current or future clinical trials. Such changes may also require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9" w:name="page50"/>
    <w:bookmarkEnd w:id="49"/>
    <w:p>
      <w:pPr>
        <w:jc w:val="both"/>
        <w:spacing w:after="0" w:line="266" w:lineRule="auto"/>
        <w:rPr>
          <w:sz w:val="20"/>
          <w:szCs w:val="20"/>
          <w:color w:val="auto"/>
        </w:rPr>
      </w:pPr>
      <w:r>
        <w:rPr>
          <w:rFonts w:ascii="Times New Roman" w:cs="Times New Roman" w:eastAsia="Times New Roman" w:hAnsi="Times New Roman"/>
          <w:sz w:val="18"/>
          <w:szCs w:val="18"/>
          <w:color w:val="auto"/>
        </w:rPr>
        <w:t>additional testing, or notification to or approval by the FDA, EMA or another comparable regulatory authority.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are initially focused on IPF and PPF, and we focus our research and development efforts on certain selected development programs and product candidates. We are currently primarily focused on the development of AP01, AP02 and AP03. As a result, we may forego or delay pursuit of opportunities with other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intend to develop AP03 as a fixed-dose combination of pirfenidone and nintedanib. Developing combination treatments increases complexity and risk, including risks of drug-drug interactions, unforeseen side effects or failures in our clinical trials that could delay or prevent their regulatory approval or limit the commercial profile of an approved label. Additionally, certain regulatory authorities may require a demonstration that each component makes a contribution to the claimed effects in addition to demonstrating that the combination is safe and effective for the intended population.</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the FDA’s combination rule, the FDA generally will not file or approve an NDA for a fixed-dose combination product unless each component of a proposed drug product is shown to make a contribution to the claimed effects and the dosage of each component (amount, frequency, duration) is safe and effective for the intended population. If the FDA or other comparable foreign regulatory authorities require us to conduct one or more clinical trials to support such a demonstration, such as a factorial study, the design, duration, and scope of such clinical trials will be decided upon after further discussions with those agencies and other comparable foreign regulatory authorities. As a result, we are unable to predict with certainty the estimated timing or scope of any future clinical trials of AP03 we may be required to conduct to satisfy these requirements governing fixed dose combination products in various jurisdictions.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development of AP03 as a combination of pirfenidone and nintedanib in an inhaled formulation may subject us to risks that we would not face if AP03 was being developed as a monotherapy. For example, combining pirfenidone and nintedanib with each other in oral formulation has not been feasible due to their additive side effect profiles. Combination of the two molecules in an inhaled formulation may result in adverse side effects or toxicities that pirfenidone and nintedanib do not produce when used alone (orally or in an inhaled formulation). In addition, pirfenidone and nintedanib may interact with each other in undesirable ways that could negatively impact the efficacy of AP03. Testing products in combination with each other may increase the risk of significant adverse effects or failed clinical trials.</w:t>
      </w:r>
    </w:p>
    <w:p>
      <w:pPr>
        <w:spacing w:after="0" w:line="2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FDA does not conclude that certain of our product candidates satisfy the requirements for the Section 505(b)(2) regulatory approval pathway, or if the requirements for such product candidates under Section 505(b)(2) are not as we expect, the approval pathway for those product candidates will likely take significantly longer, cost significantly more, and entail significantly greater complications and risks than currently anticipated, and in either case may not be successful.</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plan to seek FDA approval through the Section 505(b)(2) regulatory pathway for certain of our product candidates. The Drug Price Competition and Patent Term Restoration Act of 1984, also known as the Hatch-Waxman Act, added Section 505(b)(2) to the FDCA. Section 505(b)(2) permits the filing of an NDA where at least some of the information required for approval comes from studies that were not conducted by or for the applicant and for which the applicant has not obtained a right of reference. Section 505(b)(2), if applicable to us under the FDCA, would allow an NDA we submit to the FDA for our product candidates to rely in part on data in the public domain or the FDA’s prior conclusions regarding the safety and effectiveness of approved compounds, which could expedite the development program for our product candidates by potentially decreasing the amount of clinical data that we would need to generate in order to obtain FDA approval. We intend to rely on the Section 505(b)(2) pathway and FDA’s prior determination of safety and efficacy for pirfenidone and nintedanib. If the FDA does not allow us to pursue the Section 505(b)(2) regulatory pathway as anticipated, or if we are unable to successfully bridge our product candidates to approved pirfenidone and nintedanib products, we may need to conduct additional clinical trials, provide additional data and information, and meet additional standards for regulatory approval. If this were to occur, the time and financial resources required to obtain FDA approval for these product candidates, and complications and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0" w:name="page51"/>
    <w:bookmarkEnd w:id="50"/>
    <w:p>
      <w:pPr>
        <w:jc w:val="both"/>
        <w:spacing w:after="0" w:line="256" w:lineRule="auto"/>
        <w:rPr>
          <w:sz w:val="20"/>
          <w:szCs w:val="20"/>
          <w:color w:val="auto"/>
        </w:rPr>
      </w:pPr>
      <w:r>
        <w:rPr>
          <w:rFonts w:ascii="Times New Roman" w:cs="Times New Roman" w:eastAsia="Times New Roman" w:hAnsi="Times New Roman"/>
          <w:sz w:val="18"/>
          <w:szCs w:val="18"/>
          <w:color w:val="auto"/>
        </w:rPr>
        <w:t>risks associated with these product candidates, would likely substantially increase. We could need to obtain more additional funding, which could result in significant dilution to the ownership interests of our then existing stockholders to the extent we issue equity securities or convertible debt. We cannot assure you that we would be able to obtain such additional financing on terms acceptable to us, if at all. Moreover, inability to pursue the Section 505(b)(2) regulatory pathway would likely result in new competitive products reaching the market more quickly than our product candidates, which would likely adversely impact our competitive position and prospects. Even if we are allowed to pursue the Section 505(b)(2) regulatory pathway, we cannot assure you that our product candidates will receive the requisite approvals for commercialization.</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notwithstanding the approval of a number of products by the FDA under Section 505(b)(2) over the last few years, certain brand-name pharmaceutical companies and others have objected to the FDA’s interpretation of Section 505(b)(2). If the FDA’s interpretation of Section 505(b)(2) is successfully challenged, the FDA may change its Section 505(b)(2) policies and practices, which could delay or even prevent the FDA from approving any NDA that we submit under Section 505(b)(2).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NDAs for up to 30 months or longer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there is no guarantee this would ultimately lead to faster product development or earlier approval. Moreover, even if our product candidates are approved under Section 505(b)(2),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Dependence on Third Parties</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licensed intellectual property rights pursuant to the PARI Agreement relating to the PARI eFlow</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Technology and eRapid</w:t>
      </w:r>
      <w:r>
        <w:rPr>
          <w:rFonts w:ascii="Times New Roman" w:cs="Times New Roman" w:eastAsia="Times New Roman" w:hAnsi="Times New Roman"/>
          <w:sz w:val="24"/>
          <w:szCs w:val="24"/>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Nebulizer System and we may in the future enter into additional intellectual property licensing agreements on which we could similarly become dependent. If we were to lose our rights to licensed intellectual property, we may not be able to continue developing or commercializing our product candidates, if approved, on the intended timeline. If we breach the PARI Agreement or any other future agreements in which we license the use, development and commercialization rights to our product candidates from third parties or, in certain cases, we fail to meet certain deadlines, we could lose license rights that are important to our business.</w:t>
      </w:r>
    </w:p>
    <w:p>
      <w:pPr>
        <w:spacing w:after="0" w:line="87" w:lineRule="exact"/>
        <w:rPr>
          <w:sz w:val="20"/>
          <w:szCs w:val="20"/>
          <w:color w:val="auto"/>
        </w:rPr>
      </w:pPr>
    </w:p>
    <w:p>
      <w:pPr>
        <w:jc w:val="both"/>
        <w:ind w:firstLine="509"/>
        <w:spacing w:after="0" w:line="246" w:lineRule="auto"/>
        <w:rPr>
          <w:sz w:val="20"/>
          <w:szCs w:val="20"/>
          <w:color w:val="auto"/>
        </w:rPr>
      </w:pPr>
      <w:r>
        <w:rPr>
          <w:rFonts w:ascii="Times New Roman" w:cs="Times New Roman" w:eastAsia="Times New Roman" w:hAnsi="Times New Roman"/>
          <w:sz w:val="18"/>
          <w:szCs w:val="18"/>
          <w:color w:val="auto"/>
        </w:rPr>
        <w:t>We are a party to the PARI License Agreement under which we are granted rights to intellectual property that are important to our business and we may enter into additional license agreements in the future with PARI or other third parties. Pursuant to the PARI License Agreement, we have secured an exclusive license to develop and commercialize our inhaled candidates with PARI’s eFlow</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Technology and eRapid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Nebulizer System. The PARI License Agreement imposes, and we expect that future license agreements will impose on us, various development, regulatory and/or commercial diligence obligations, payment of milestones and/or royalties and other obligations. If we fail to comply with our obligations under such agreements, or we are subject to a bankruptcy, the licensor may have the right to terminate the license, in which event we would not be able to market products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w:t>
      </w:r>
      <w:r>
        <w:rPr>
          <w:rFonts w:ascii="Times New Roman" w:cs="Times New Roman" w:eastAsia="Times New Roman" w:hAnsi="Times New Roman"/>
          <w:sz w:val="18"/>
          <w:szCs w:val="18"/>
          <w:i w:val="1"/>
          <w:iCs w:val="1"/>
          <w:color w:val="auto"/>
        </w:rPr>
        <w:t>Management’s Discussion and Analysis of Financial Condition and Results of Operations—Overview—Material Agreement</w:t>
      </w:r>
      <w:r>
        <w:rPr>
          <w:rFonts w:ascii="Times New Roman" w:cs="Times New Roman" w:eastAsia="Times New Roman" w:hAnsi="Times New Roman"/>
          <w:sz w:val="18"/>
          <w:szCs w:val="18"/>
          <w:color w:val="auto"/>
        </w:rPr>
        <w:t>” for additional information on the PARI License Agreement.</w:t>
      </w:r>
    </w:p>
    <w:p>
      <w:pPr>
        <w:spacing w:after="0" w:line="19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intellectual property licensed to us. In that event, we may be required to expend significant time and resources to develop or license replacement intellectual property.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1" w:name="page52"/>
    <w:bookmarkEnd w:id="51"/>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some circumstances, we may not have the right to control the maintenance, prosecution, preparation, filing, enforcement, defense or litigation of patents and patent applications that we license from or license to third parties and may be reliant on our licensors or licensees to do so. We thus cannot be certain that activities such as patent maintenance and prosecution by our licensors have been or will be conducted consistent with our best interests or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 If our licensors fail to maintain such patents or patent applications, or lose rights to those patents or patent applications, the rights we have licensed may be reduced or eliminated, and our right to develop and commercialize any product candidates that are the subject of such licensed rights and our right to exclude third parties from commercializing competing products could be adversely affected.</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Disputes may arise between us and our licensors regarding intellectual property subject to a license agreement, including:</w:t>
      </w:r>
    </w:p>
    <w:p>
      <w:pPr>
        <w:spacing w:after="0" w:line="117"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product candidates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under collaborative development relationships;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intellectual property in relation to our development and commercialization of our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or other obligations under the licensing agreement;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 candidates.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Furthermore, if our licenses are terminated, or if the underlying patents fail to provide the intended exclusivity, competitors or other third parties would have the freedom to seek regulatory approval of, and to market, products identical or competitive to ours and we may be required to cease our development and commercialization of certain of our product candidates. Moreover, if disputes over intellectual property that we license prevent or impair our ability to maintain other licensing arrangements on commercially acceptable terms, we may be unable to successfully develop and commercialize the affected product candidates. In addition, certain of these license agreements, may not be assignable by us without the consent of the respective licensor, which may have an adverse effect on our ability to engage in certain transactions.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PARI License Agreement is, and future license agreements that we enter into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and in the future intend to rely on, third parties to conduct a significant portion of our clinical trials and potential future clinical trials for product candidates, and those third parties may not perform satisfactorily, including failing to meet deadlines for the completion of such trials.</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currently engage CROs and other vendors to conduct our ongoing clinical trials, including our ongoing Phase 2 clinical trials of AP01 and AP02, and similarly expect to engage CROs and other vendors for future clinical trials for these and other product candidates that we may progress to clinical development. We expect to continue to rely on third parties, including but not limited to clinical data management organizations, healthcare institutions operating as clinical sites and clinical investigators, to conduct those clinical trials. Any of these third parties may terminate their engagements with us, some in the event of an uncured material breach and some at any time for convenience. If any of our relationships with these third parties terminate, we may not be able to timely enter into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jc w:val="both"/>
        <w:spacing w:after="0" w:line="261" w:lineRule="auto"/>
        <w:rPr>
          <w:sz w:val="20"/>
          <w:szCs w:val="20"/>
          <w:color w:val="auto"/>
        </w:rPr>
      </w:pPr>
      <w:r>
        <w:rPr>
          <w:rFonts w:ascii="Times New Roman" w:cs="Times New Roman" w:eastAsia="Times New Roman" w:hAnsi="Times New Roman"/>
          <w:sz w:val="18"/>
          <w:szCs w:val="18"/>
          <w:color w:val="auto"/>
        </w:rPr>
        <w:t>arrangements with alternative third parties or to do so on commercially reasonable terms, if at all. Switching or adding CROs or other vendors involves substantial cost and requires management time and focus. In addition, there is a natural transition period when a new CRO or vendor commences work. As a result, delays may occur, which can materially impact our ability to meet our desired clinical development timelines. We may encounter challenges or delays in our CRO/vendor relationships in the future which may cause a material adverse impact on our business, financial condition and prospects.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any third parties conducting our clinical trials will not be our employees, and, except for including contractual obligations and remedies for breach of such obligations in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approvals for or successfully commercialize our product candidates. Consequently, our results of operations and the commercial prospects for our product candidates would be harmed, our costs could increase substantially and our ability to generate revenue could be delayed significantly. In addition, many of the third parties with whom we contract may also have relationships with other commercial entities, including our competitors, for whom they may also be conducting clinical trials or other development activities that could harm our competitive position.</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rely on these parties for execution of our preclinical studies and clinical trials, and generally do not directly control their businesses or related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certain ongoing clinical trials and post the results of completed clinical trials on a government-sponsored database,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or comparable foreign regulatory authorities may require us to perform additional clinical trials before approving our marketing applications. Further, upon inspection by a given regulatory authority, such regulatory authority may not agree with our determination that any of our clinical trials complies with GCP requirements. In addition, our clinical trials must be conducted with product produced under cGMP conditions. Our failure to comply with these requirements may require us to repeat clinical trials, which would delay the regulatory approval process.</w:t>
      </w:r>
    </w:p>
    <w:p>
      <w:pPr>
        <w:spacing w:after="0" w:line="19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28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clinical drug and device supply and expect to continue to do so for commercialization, if our product candidates are approved. This reliance on third parties increases the risk that we will not have sufficient quantities of our product candidates or such quantities at an acceptable cost or quality, which could delay, prevent or impair our development or commercialization efforts.</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do not have any cGMP manufacturing facilities and have no plans to develop our own clinical or commercial-scale manufacturing capabilities. We currently rely, and expect to continue to rely, on contract development and manufacturing organizations, or CDMOs, for the cGMP manufacture of our product candidates and related raw materials for clinical development. In addition, we expect to rely on CDMOs for the commercial supply of any products for which we receive marketing approval. This reliance increases the risk that we will not have sufficient quantities of our product candidates or products, if approved, or such quantities at an acceptable cost or quality, which could delay, prevent or impair our development or commercialization efforts. For example, any of these third parties may terminate their engagements with us at any time or may face production shortages or other supply interruptions or otherwise be unable to secure the requisite raw materials to support our planned clinical activities. In addition, the availability of CDMOs to manufacture our product candidates/drugs may depend in part on the CDMOs’ schedules for manufacturing other companies’ products or product candidates. If we need to modify our development plans or enter into alternative arrangements, which may not be readily available or available on acceptable terms, it could delay our product development activities and increase our expenses.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3" w:name="page54"/>
    <w:bookmarkEnd w:id="53"/>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reliance on CDMOs for manufacturing activities will reduce our control over these activities, but will not relieve us of our responsibility to ensure compliance with all required regulations. In particular, we do not have control over a supplier’s or manufacturer’s compliance with laws, regulations and applicable cGMP standards or similar regulatory requirements and other laws and regulations, such as those related to environmental health and safety matters. If our CDMOs cannot successfully manufacture material that conforms to our specifications and the strict regulatory requirements of the FDA or comparable foreign regulatory authorities, we may be unable to obtain regulatory approval of our potential future marketing applications. In addition, although we conduct routine qualification audits and have quality agreements in place with our CDMOs, we have no direct operational control over their ability to maintain adequate quality control, quality assurance and qualified personnel. Our CDMOs may face manufacturing or quality control problems causing production and shipment delays, or CDMOs may fail to maintain compliance with the applicable cGMP requirements. The facilities used by our CDMOs are subject to continual review and periodic inspections by the FDA and comparable foreign regulatory authorities. If the FDA or a comparable foreign regulatory authority finds deficiencies with or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supply of our products.</w:t>
      </w:r>
    </w:p>
    <w:p>
      <w:pPr>
        <w:spacing w:after="0" w:line="19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use of foreign CROs and CDMOs in some jurisdictions may be or may become subject to U.S. legislation, including sanctions, trade restrictions and other regulatory requirements, which may increase the cost of and cause delays in the procurement or supply of materials for, or manufacture of, our product candidates or have an adverse effect on our ability to secure significant commitments from governments to purchase its potential therapies.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Moreover, we rely on sole suppliers for certain steps in the manufacturing supply chain of pirfenidone and nintedanib. If these sole suppliers are unable to supply to us in the quantities we require, or at all, or otherwise defaults on their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If our current CDMOs cannot perform as agreed, we may be required to replace such manufacturers. We may incur added costs and delays in identifying and qualifying any such replacement. In addition, our current and anticipated dependence upon others for the manufacture of our product candidates may adversely affect our future profit margins and our ability to commercialize any products that receive marketing approval on a timely and competitive basis.</w:t>
      </w:r>
    </w:p>
    <w:p>
      <w:pPr>
        <w:spacing w:after="0" w:line="2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license agreements and other similar arrangements with third parties for the development or commercialization of our product candidates. If we are not able to establish them on commercially reasonable terms, or if those arrangements are not successful, we may have to alter our development and commercialization plans.</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development and potential commercialization of our product candidates will require substantial additional funding. For some of our product candidates, we may seek to collaborate with other pharmaceutical and biotechnology companies for the development and potential commercialization of our product candidates, including for the commercialization of any of our product candidates that are approved for marketing outside the U.S. If we enter into any such additional arrangements with any third parties, we will likely have limited control over the amount and timing of resources that our future collaborators dedicate to the development or commercialization of our product candidates. Collaboration agreements may not lead to development or commercialization of product candidates in the most efficient manner or at all. If any future collaborator of ours is involved in a business combination, it could decide to delay, diminish or terminate the development or commercialization of any product candidate licensed to it by us.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and the negotiation process is time-consuming and complex.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our product candidate from competing product candidates, the design or results of clinical trials, the likelihood of approval by the FDA or comparable foreign regulatory authorities outside the U.S., the potential market for the subject product candidate, the costs and complexities of manufacturing and delivering such product candidate to patients, and industry and market conditions generally. The collaborator may also consider alternative product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jc w:val="both"/>
        <w:spacing w:after="0" w:line="266" w:lineRule="auto"/>
        <w:rPr>
          <w:sz w:val="20"/>
          <w:szCs w:val="20"/>
          <w:color w:val="auto"/>
        </w:rPr>
      </w:pPr>
      <w:r>
        <w:rPr>
          <w:rFonts w:ascii="Times New Roman" w:cs="Times New Roman" w:eastAsia="Times New Roman" w:hAnsi="Times New Roman"/>
          <w:sz w:val="18"/>
          <w:szCs w:val="18"/>
          <w:color w:val="auto"/>
        </w:rPr>
        <w:t>candidates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 candidates would pose the following risks to us:</w:t>
      </w:r>
    </w:p>
    <w:p>
      <w:pPr>
        <w:spacing w:after="0" w:line="117"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 or at all;</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including for the convenience of the collaborator and, if terminated, we could be required to raise additional capital to pursue further development or commercialization of the applicable product candidates;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invest resources and attention into such collaboration, which could distract from other business objectives.</w:t>
      </w:r>
    </w:p>
    <w:p>
      <w:pPr>
        <w:spacing w:after="0" w:line="22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not be able to negotiate future collaborations on a timely basis, on acceptable terms, or at all. If we are unable to do so, we may have to curtail the development of any product candidate that we planned to collaborate on,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which could have a material adverse effect on our business, financial condition, results of operations and prospects.</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any future collaborations that we enter into may not be successful. The success of our future collaboration arrangements will depend heavily on the efforts and activities of our future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If conflicts arise between any future collaborators and us, the other party may act in a manner adverse to us and could limit our ability to implement our strategies. For example, our future collaborators could conduct multiple product development efforts and could develop, either alone or with others,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spacing w:after="0" w:line="266" w:lineRule="auto"/>
        <w:rPr>
          <w:sz w:val="20"/>
          <w:szCs w:val="20"/>
          <w:color w:val="auto"/>
        </w:rPr>
      </w:pPr>
      <w:r>
        <w:rPr>
          <w:rFonts w:ascii="Times New Roman" w:cs="Times New Roman" w:eastAsia="Times New Roman" w:hAnsi="Times New Roman"/>
          <w:sz w:val="18"/>
          <w:szCs w:val="18"/>
          <w:color w:val="auto"/>
        </w:rPr>
        <w:t>products in related fields that are competitive with the product candidates we may develop. In addition, collaborations with pharmaceutical or biotechnology companies and other third parties often are terminated or allowed to expire by the other party, and any such termination or expiration may adversely affect us financially or harm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Intellectual Property</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any products we develop and for our technology, or if the scope of the patent protection obtained is not sufficiently broad, our competitors or other third parties could develop and commercialize products and technology similar or identical to ours, and our ability to commercialize any product candidates we may develop, and our technology may be adversely affected.</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for our product candidates and their uses, as well as our ability to operate without infringing, misappropriating, or otherwise violating the proprietary rights of others. We seek to protect our proprietary position by filing patent applications in the United States and abroad related to our novel discoveries and technologies that are important to our business. Although we own issued patents, our pending and future patent applications, may not result in issued patents. Even if our owned or licensed patent applications result in issued patents, we cannot assure you that such issued patents will afford sufficient protection of our product candidates or their intended uses against competitors, nor can there be any assurance that the patents issued will not be infringed, designed around, or invalidated by third parties, or that they will effectively prevent others from commercializing competing technologies, products, or product candidates.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Obtaining and enforcing patents is expensive, complex, and time-consuming, and we may not be able to file, prosecute, maintain, enforce, or license all necessary or desirable patent applications or maintain and/or enforce patents that may issue based on our owned or licensed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may have the right to have some input in connection with such activities, we may not have the right to control the preparation, filing, and prosecution of patent applications that are licensed to us by third parties, or to control prosecution and maintenance of patents that we out-license to third parties. For example, we do not control the prosecution or enforcement of certain intellectual property licensed from PARI. Therefore, patents and applications that are relevant to our product candidates may not be prosecuted and enforced in a manner consistent with the best interests of our business.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 Consequently, we may not be able to prevent any third parties from using any of our technology that is in the public domain to compete with our technologies or product candidates.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Composition of matter patents for pharmaceutical product candidates often provide a strong form of intellectual property protection for those types of products, as such patents provide protection without regard to any method of use. Similarly, patents for pharmaceutical formulations containing pharmaceutical product candidates may provide an additional form of intellectual property protection, as such patents provide protection without regard to any method of use. However, we cannot be certain that the claims in our pending patent applications directed to the pharmaceutical formulations of our product candidates will be considered patentable by the USPTO or by patent offices in foreign countries, or that such claims in any of our issued patents will be considered valid and enforceable by courts in the United States or foreign countries. In addition, we cannot be certain that the claims of such patents, and applications if granted, will be sufficiently broad to effectively prevent competitors from working around our claimed inventions by developing an alternative formulation and thereby competing with us without infringing our patent rights. Method of use patents protect the use of a product for the specified method or indication. In the absence of separate composition of matter protection, this type of patent does not prevent a competitor from making and marketing a product that is identical to our product candidates for an indication that is outside methods of use included in our owned or licensed patents. Moreover, even if competitor products are not approved for use in our patented indications, and our competitors do not actively promote their product for indications that are covered by our owned or licensed patents, clinicians may prescribe these competitor products “off-label.” Although off-label prescriptions may infringe or contribute to the infringement of method of use patents, such infringement is difficult to prevent or prosecute.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issued patents we own or license that cover our pharmaceutical product candidates may expire at such a date that such patents may not prevent competitors from developing, making and marketing a product that is identical to our product candidates after expiration of any applicable regulatory exclusivities.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As a result, the issuance, scope, validity, enforceability, and commercial value of any patent rights are highly uncertain. Our pending and future owned and in-licensed patent applications may not result in patents being issued that protect our technologies or product candidates, effectively prevent others from commercializing our technologies or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United States, or vice versa.</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will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If a third party can establish that we were not the first to make or the first to file for patent protection of such inventions, our owned patent applications may not issue as patents and even if issued, may be challenged and invalidated or rendered unenforceable. As a result, the issuance, inventorship, scope, validity, enforceability, and commercial value of our patent rights are highly uncertain.</w:t>
      </w:r>
    </w:p>
    <w:p>
      <w:pPr>
        <w:spacing w:after="0" w:line="19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issuance of a patent is not conclusive as to its inventorship, scope, validity, or enforceability, and our owned or licensed patents and pending patent applications may be challenged in patent offices in the United States and abroad. Even issued patents may later be found invalid or unenforceable or may be modified or revoked in proceedings instituted by third parties before various patent offices or in courts. For example, our owned or licensed pending patent applications may be subject to third-party pre-issuance submissions of prior art to the USPTO, and our issued patents may be subject to post-grant review proceedings, oppositions, derivations, reexaminations, interferences,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or other similar proceedings, in the United States or elsewhere, challenging our patent rights or the patent rights of others. Such submissions may also be made prior to a patent’s issuance, precluding the granting of a patent based on one or more of our owned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p>
    <w:p>
      <w:pPr>
        <w:spacing w:after="0" w:line="19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third party may also claim that our owned patent rights are invalid or unenforceable in a litigation. The outcome following legal assertions of invalidity and unenforceability is unpredictable. An adverse result in any legal proceeding could put one or more of our owned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given the amount of time required for the development, testing, and regulatory review of new product candidates, patents protecting such candidates might expire before or shortly after such candidates are commercialized. Further, if we encounter delays in our clinical trials, the period of time during which we could market our product candidates under patent protection would be reduced.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efforts to protect the proprietary nature of the intellectual property related to our technologies are not adequate, we may not be able to compete effectively in our market.</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rely upon a combination of patents, confidentiality agreements, and trade secret protection to protect the intellectual property related to our technologies. Any disclosure to or misappropriation by third parties of our confidential proprietary information could enable competitors to quickly duplicate or surpass our technological achievements, thus eroding our competitive position in our market. We, or any future partners, collaborators, licensors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It is possible that defects of form in the preparation or filing of our owned or licensed patents or patent applications may exist, or may arise in the future, for example with respect to proper priority claims, inventorship, claim scope, or requests for patent term adjustments. If we or our future partners, collaborators, licensees or licensors fail to establish, maintain or protect such patents and other intellectual property rights, such rights may be reduced or eliminated. If our future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owned or 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anticipate additional patent applications will be filed both in the United States and in other countries, as appropriate. However, we cannot predict:</w:t>
      </w:r>
    </w:p>
    <w:p>
      <w:pPr>
        <w:spacing w:after="0" w:line="54"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additional patent applications covering new technologies related to our product candidates will be filed;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will issue;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range of protection any issued patents will afford us against competitors, including whether third parties will find ways to invalidate or otherwise circumvent our owned or licensed patents;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intellectual property will provide any competitive advantage;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owned or licensed patents that may be issued may be challenged, invalidated, modified, revoked, circumvented, found to be unenforceable or otherwise may not provide any competitive advantage;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owned or licensed patents and patent applications;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or defend litigation or administrative proceedings which may be costly regardless of whether we win or lose.</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we cannot be certain that the claims in our pending and future patent applications covering our product candidates will be considered patentable by the USPTO, or by patent offices in foreign countries, or that the claims in any of our issued patents will be considered valid or patentable by courts in the United States or foreign countries.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Patents are of national or regional effect. Filing, prosecuting, and defending patents on all of our research programs and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or our licensors do pursue patent protection, or from selling or importing products made using our inventions in and into the United States or other jurisdictions. In some cases, we or our licensors may not be able to obtain patent protection for certain technology outside the United States. Competitors may use our technologies in jurisdictions where we and our licensors have not obtained patent protection to develop their own products and, further, may export otherwise infringing products to territories where we have patent protection, but enforcement is not as strong as that in the United States. These competitor products may compete with our product candidates, and our owned or licensed patents or other intellectual property rights may not be effective or sufficient to prevent them from competing.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8" w:name="page59"/>
    <w:bookmarkEnd w:id="58"/>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Various companies have encountered significant problems in protecting and defending intellectual property rights in foreign jurisdictions. The legal systems of many countries, particularly certain developing countries, do not favor the enforcement of patents and other intellectual property protection, particularly those relating to pharmaceuticals, which could make it difficult for us to stop the infringement of our owned or licensed patents or marketing of competing products in violation of our proprietary rights. Proceedings to enforce our or our licensors’ patent rights in foreign jurisdictions could result in substantial costs and divert our efforts and attention from other aspects of our business, could put our owned or licensed patents at risk of being invalidated or interpreted narrowly and our owned or licensed patent applications at risk of not issuing and could provoke third parties to assert claims against us. We or our licensors may not prevail in any lawsuits that we or our licensors initiate, and the damages or other remedies awarded, if any, may not be commercially meaningful.</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Various countries outside the United States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 Accordingly, our efforts to enforce our intellectual property rights around the world may be inadequate to obtain a significant commercial advantage from the intellectual property that we develop or license.</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 the standards applied by the USPTO and foreign patent offices in granting patents are not always applied uniformly or predictably.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 consuming, expensive, and unpredictable.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geopolitical actions in the United States and in foreign countries could increase the uncertainties and costs surrounding the prosecution or maintenance of our owned or licensed patent applications or those of any future licensors and the maintenance, enforcement, or defense of our issued patents or those of any future licensors. As a result, our competitive position may be impaired, and our business, financial condition, results of operations, and prospects may be adversely affected.</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misappropriation, or other violation may prevent or delay our product discovery and development efforts.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and the ability of our future collaborators to develop, manufacture, market, and sell our product candidates without infringing, misappropriating, or otherwise violating the intellectual property and proprietary rights of third parties. We may analyze patents or patent applications of our competitors that we believe are relevant to our activities, and consider that we are free to operate in relation to our product candidates, but our competitors may obtain issued claims, including in patents we consider to be unrelated to our products or activities, which block our efforts or may potentially result in our product candidates or our activities infringing such claims.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There is a substantial amount of litigation involving the infringement of patents and other intellectual property rights in the biotechnology and pharmaceutical industries. We may be exposed to, or threatened with, future litigation by third parties having patent or other intellectual property rights and who allege that our product candidates, uses and/or other proprietary technologies infringe, misappropriate, or otherwise violate their intellectual property rights. Numerous U.S. and foreign issued patents and pending patent applications, which are owned by third parties, exist in the fields in which we are developing our product candidates. As the biotechnology and pharmaceutical industries expand and more patents are issued, the risk that our product candidates may give rise to claims of infringement of the patent rights of others increases. Moreover, it is not always clear to industry participants, including us, which patents exist which may be found to cover various types of drugs, products or their methods of use or manufacture. Moreover, we may face patent infringement claims from nonpracticing entities that have no relevant product revenue and against whom our owned or licensed patent portfolio may therefore have no deterrent effect. Thus, because of the large number of patents issued and patent applications currently pending in our fields, there may be a risk that third parties may allege they have patent rights which are infringed by our product candidates, technologies or methods.</w:t>
      </w:r>
    </w:p>
    <w:p>
      <w:pPr>
        <w:spacing w:after="0" w:line="19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a third party alleges that we infringe, misappropriate, or otherwise violate its intellectual property rights, we may face a number of issues, including, but not limited to:</w:t>
      </w:r>
    </w:p>
    <w:p>
      <w:pPr>
        <w:spacing w:after="0" w:line="54" w:lineRule="exact"/>
        <w:rPr>
          <w:sz w:val="20"/>
          <w:szCs w:val="20"/>
          <w:color w:val="auto"/>
        </w:rPr>
      </w:pPr>
    </w:p>
    <w:p>
      <w:pPr>
        <w:ind w:left="1020" w:right="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misappropriation which, regardless of merit, may be expensive and time-consuming to litigate and may divert our management’s attention from our core business;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ind w:left="1020" w:hanging="503"/>
        <w:spacing w:after="0" w:line="26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or misappropriation, which we may have to pay if a court decides that the product candidate or technology at issue infringes on or violates the third-party’s rights, and, if the court finds we have willfully infringed intellectual property rights,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injunction prohibiting us from manufacturing, marketing or selling our product candidates, or from using our proprietary technologies, unless the third party agrees to license its patent rights to us;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 license is available from a third party, we may have to pay substantial royalties, upfront fees, and other amounts, and/or grant cross-licenses to intellectual property rights protecting our products;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try to redesign our product candidates or processes so they do not infringe third-party intellectual property rights, an undertaking which may not be possible or which may require substantial monetary expenditures and time.</w:t>
      </w:r>
    </w:p>
    <w:p>
      <w:pPr>
        <w:spacing w:after="0" w:line="162"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Generally, conducting preclinical and clinical trials and other development activities in the United States is not considered an act of infringement. If a product candidate is approved by the FDA, a third party may then seek to enforce its patent by filing a patent infringement lawsuit against us. There may be issued third-party patents of which we are currently unaware with claims to compositions, formulations, methods of manufacture or methods for treatment related to the use or manufacture of our product candidates. There may be currently pending patent applications which may later result in issued patents that may be infringed by our product candidates. Moreover, we may fail to identify relevant patents or incorrectly conclude that a patent is invalid, not enforceable, exhausted, or not infringed by our activities.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Even if we believe such claims are without merit, a court of competent jurisdiction could hold that third-party patents are valid, enforceable, and infringed, which could adversely affect our ability to commercialize our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product candidates or technology did not infringe any such claims.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There could also be public announcements of the results of hearings, motions, or other interim proceedings or developments. If securities analysts or investors perceive these results to be negative, it could adversely affect the price of shares of our common stock.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Even if we were able to obtain a license, it could be nonexclusive, thereby giving our competitors and other third parties access to the same technologies licensed to us, and it could require us to make substantial licensing and royalty payments. We may fail to obtain any of these licenses at a reasonable cost or on reasonable terms, if at all. In that event, we would be unable to further develop and commercialize our product candidates, which could harm our business significantly.</w:t>
      </w: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owned or licensed patents or other intellectual property, which could be expensive, time-consuming and unsuccessful.</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Competitors or other third parties may infringe, misappropriate, or violate our owned or licensed patents, trademarks, or other intellectual property. To counter infringement, misappropriation,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technology claimed in such applications unless and until a patent issues from such applications. Any claims we assert against perceived infringers could provoke these parties to assert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jc w:val="both"/>
        <w:spacing w:after="0" w:line="252" w:lineRule="auto"/>
        <w:rPr>
          <w:sz w:val="20"/>
          <w:szCs w:val="20"/>
          <w:color w:val="auto"/>
        </w:rPr>
      </w:pPr>
      <w:r>
        <w:rPr>
          <w:rFonts w:ascii="Times New Roman" w:cs="Times New Roman" w:eastAsia="Times New Roman" w:hAnsi="Times New Roman"/>
          <w:sz w:val="18"/>
          <w:szCs w:val="18"/>
          <w:color w:val="auto"/>
        </w:rPr>
        <w:t>counterclaims against us alleging that we infringe their patents, in addition to counterclaims asserting that our owned or licensed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§271(e)(1). An adverse outcome in a litigation or proceeding involving our patents could limit our ability to assert our patents against those parties or other competitors and may curtail or preclude our ability to exclude third parties from making and selling similar or competing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9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misappropriation, or violation,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misappropriation, or violation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file a Section 505(b)(2) application that references a product marketed by another manufacturer, we may be subject to a patent infringement suit and the approval of our product may be delayed.</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If we file a Section 505(b)(2) application that relies in whole or in part on studies conducted by a third-party, we will be required to certify to the FDA that either: (1) there is no patent information listed in the FDA’s publication Approved Drug Products with Therapeutic Equivalence Evaluations, which we refer to as the Orange Book, with respect to the third-party NDA for the applicable approved drug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our drug. A certification that our new drug will not infringe the Orange Book-listed patents for the applicable approved drug candidate, or that such patents are invalid, is called a paragraph IV certification. If we submit a paragraph IV certification to the FDA, a notice of the paragraph IV certification must also be sent to the NDA holder once our Section 505(b)(2) application is accepted for filing by the FDA. The third-party may then initiate a lawsuit to defend the patents identified in the notice and sue us for infringing such patents. The filing of a patent infringement lawsuit within 45 days of receipt of the notice automatically prevents the FDA from approving the Section 505(b)(2) application until the earliest of 30 months or the date on which the patent expires, the lawsuit is settled, or the court reaches a decision in the infringement lawsuit in favor of us. The third-party may file a patent infringement lawsuit against us outside the 45-day period, in which case, our Section 505(b)(2) application will not be subject to the 30-month stay of FDA approval. If we are sued for patent infringement by a third party and are unsuccessful in defending such suit, we may be prevented from commercializing our product unless we are able to obtain a license from such third party, which may not be available on commercially reasonable terms or at all, and the occurrence of such event could have a material adverse effect on our business.</w:t>
      </w:r>
    </w:p>
    <w:p>
      <w:pPr>
        <w:spacing w:after="0" w:line="3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if challenged in court or before administrative bodies in the United States or abroad.</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or one of our current or future licensors initiates legal proceedings against a third party to enforce a patent covering our product candidates, or our other proprietary technologies,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addition to such counterclaims, third parties may raise claims challenging the validity or enforceability of a patent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derivation proceedings, and equivalent proceedings in foreign jurisdictions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opposition proceedings). Such proceedings could result in the revocation of, cancellation of, or amendment to our patent rights in such a way that they no longer cover our product candidates, and any other proprietary or platform technologies we may develop. The outcome following legal assertions of invalidity and unenforceability is unpredictable. With respect to the validity question, for example, we cannot be certain that there is no invalidating prior art of which we or our licensors and the patent examiner were unaware during prosecution. If a third party were to prevail on a legal assertion of invalidity or unenforceability, we would lose at least part, and perhaps all, of the patent protection provided to our product candidates, or other components of our programs, as applicable. Such a loss of patent protection could have a material adverse impact on our business, financial condition, results of operations, and prospects.</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for U.S. applications in which all claims are entitled to a priority date before March 16, 2013, an interference proceeding can be provoked by a third-party or instituted by the USPTO to determine who was the first to invent any of the subject matter covered by the patent claims.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No assurance can be given that, if challenged, our owned or licensed patents would be declared by a court or an administrative body to be valid or enforceable.</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or the Leahy-Smith Act, signed into law on September 16, 2011, could increase those uncertainties and costs surrounding the prosecution of our patent applications and the enforcement or defense of our patents and future issued patents. The Leahy-Smith Act includes a number of significant changes to United States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patents and future issued patents, all of which could adversely affect our business, financial condition, results of operations, and prospects.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third-party was the first to invent the claimed invention. Consequently, if a third party files a patent application in the USPTO before we file an application covering the same invention, the third party could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w:t>
      </w:r>
    </w:p>
    <w:p>
      <w:pPr>
        <w:spacing w:after="0" w:line="5" w:lineRule="exact"/>
        <w:rPr>
          <w:sz w:val="20"/>
          <w:szCs w:val="20"/>
          <w:color w:val="auto"/>
        </w:rPr>
      </w:pPr>
    </w:p>
    <w:p>
      <w:pPr>
        <w:jc w:val="both"/>
        <w:ind w:firstLine="8"/>
        <w:spacing w:after="0" w:line="252" w:lineRule="auto"/>
        <w:tabs>
          <w:tab w:leader="none" w:pos="2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patent application related to our product candidates and other proprietary technologies we may develop or (ii) invent any of the inventions claimed in our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The Leahy-Smith Act and its implementation could increase the uncertainties and costs surrounding the prosecution of our patent applications and the enforcement or defense of our patents and future issued patents, all of which could adversely affect our business, financial condition, results of operations, and prospects.</w:t>
      </w:r>
    </w:p>
    <w:p>
      <w:pPr>
        <w:spacing w:after="0" w:line="1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Depending on future actions by the United States Congress, the United States courts, the USPTO, and the relevant law-making bodies in other countries, the laws and regulations governing patents could change in unpredictable ways that would weaken our ability to enforce patents or obtain new patents. We cannot predict how future decisions by the courts, the United States Congress, or the USPTO may impact the value of our patents. Any similar adverse change in the patent laws of other jurisdictions could also adversely affect our business, financial condition, results of operations, and prospects.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Similarly, changes in patent law and regulations in other countries or jurisdictions or changes in governmental bodies that enforce them or changes in how the relevant governmental authority enforces patent laws or regulations may weaken our ability to obtain new patents or to enforce patents that we may obtain in the future. For example, the complexity and uncertainty of European patent laws have also increased in recent years. In Europe, a unitary patent system took effect on June 1, 2023. Under the unitary patent system, all European patents, including those issued prior to June 1, 2023, now by default automatically fall under the jurisdiction of a new European Unified Patent Court, or the UPC, for litigation involving such patents. As the UPC is a new court system, there is no precedent for the court, increasing the uncertainty of any litigation. Our European patent applications, if issued, could be challenged in the UPC. During the first seven years of the UPC’s existence, the UPC legislation allows a patent owner to opt its 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European patents could remain under the jurisdiction of the UPC. The UPC will provide our competitors with a new forum to centrally revoke our European patents, and allow for the possibility of a competitor to obtain pan-European injunctions. It is uncertain how the UPC will impact granted European patents in the biotechnology and pharmaceutical industries.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subject to claims challenging the inventorship or ownership of our patents and other intellectual property.</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future licensors may have relied on third-party consultants or collaborators or on funds from third parties, such as the United States government, such that our future licensors are not the sole and exclusive owners of the patents we may in-licensed. If other third parties have ownership rights or other rights to our future in-licensed patents, they may be able to license such patents to our competitors,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jc w:val="both"/>
        <w:spacing w:after="0" w:line="282" w:lineRule="auto"/>
        <w:rPr>
          <w:sz w:val="20"/>
          <w:szCs w:val="20"/>
          <w:color w:val="auto"/>
        </w:rPr>
      </w:pPr>
      <w:r>
        <w:rPr>
          <w:rFonts w:ascii="Times New Roman" w:cs="Times New Roman" w:eastAsia="Times New Roman" w:hAnsi="Times New Roman"/>
          <w:sz w:val="18"/>
          <w:szCs w:val="18"/>
          <w:color w:val="auto"/>
        </w:rPr>
        <w:t>and our competitors could market competing products and technology. This could adversely affect our competitive position, business, financial condition, results of operations, and prospects.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Individuals executing agreements with us may have preexisting or competing obligations to a third party and thus an agreement with us may be ineffective in perfecting ownership of inventions developed by that individual.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 candidates.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the biopharmaceutical industry expands and more patents are issued, the risk increases that our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United States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product candidates, or the use of our product candidates. As such, there may be applications of others now pending or recently revived patents of which we are unaware. These patent applications may later result in issued patents, or the revival of previously abandoned patents may result in revived patents, that may be infringed by the manufacture, use, or sale of our technologies or product candidates or will prevent, limit, or otherwise interfere with our ability to make, use, or sell our technologies and product candidates.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cannot provide any assurances that third-party patents and other intellectual property rights do not exist which might be enforced against our product candidates, their respective methods of use, manufacture, and formulations thereof, and could result in either an injunction prohibiting our manufacture or future sales, or, with respect to our future sales, an obligation on our part to pay royalties and/or other forms of compensation to third parties, which could be significant.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products or product candidates for a sufficient amount of time.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United States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competing products, including generics. Given the amount of time required for the development, testing, and regulatory review of products or new product candidates, patents protecting such products or candidates might expire before or shortly after such products or candidates are commercialized. As a result, our patent portfolio may not provide us with sufficient and continuing rights to exclude others from commercializing products similar or identical to ours.</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 patent agencies, and our patent protection could be reduced or eliminated as a result of noncompliance with these requirements.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United States over the lifetime of our owned patents and patent applications. We rely on our outside counsel, or third party vendors, to pay these fees due to United States and non-United States patent agencies. The USPTO and various non-United States government patent agencies require compliance with several procedural, documentary, fee payment, and other similar provisions during the patent application process. We are also dependent on PARI to take the necessary action to comply with these requirements with respect to the intellectual property licensed under the PARI License Agreement and may be similarly dependent on licensors in the future.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adversely affect our business, financial condition, results of operations, and prospects.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launch our product candidate. Additionally, trade secrets can be difficult to protect and some courts inside and outside the United States are less willing or unwilling to protect trade secrets. The laws of some foreign countries do not protect proprietary rights to the same extent or in the same manner as the laws within the United States.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Additionally,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whether inadvertently or through intentional acts of current or departing employees, or that competitors will not otherwise gain access to our trade secrets. If any of the employees, consultants or advisors who are parties to these agreements breach or violate the terms of any of these agreements, we may not have adequate remedies for any such breach or violation. We cannot guarantee that we have entered into such agreements with each party that may have or has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 If our trade secrets are not adequately protected, our business, financial condition, results of operations, and prospects could be adversely affected.</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5" w:name="page66"/>
    <w:bookmarkEnd w:id="6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or other intellectual property may be ineffective and could result in substantial costs and diversion of resources and could adversely affect our business, financial condition, results of operations, and prospects.</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technologies or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technologies or product candidates, which could adversely affect our business, financial condition, results of operations, and prospects. Even if we are successful in defending against such claims, litigation could result in substantial costs and be a distraction to management.</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we or our licensors may in the future be subject to claims by former employees, consultants, or other third parties asserting an ownership right in our owned or licensed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technologies and product candidates. Such challenges may also result in our inability to develop, manufacture, or commercialize our technologies and product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technologies and product candidates. Any of the foregoing could adversely affect our business, financial condition, results of operations, and prospects.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10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ours, but that are not covered by the claims of the patents that we license or may own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will issue;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make the inventions covered by the issued patent or pending patent applications that we license or may own in the future;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collaborators, might not have been the first to file patent applications covering certain of our or their inventions;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licensed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owned or licensed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now or in the future may be held invalid or unenforceable, including as a result of legal challenges by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have access to the same intellectual property rights licensed to us in the future on a nonexclusive basis;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other intellectual property rights of others may have an adverse effect on our business; or</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for certain trade secrets or know-how, and a third party may subsequently file a patent covering such intellectual property.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results of operations and prospects.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Legal and Regulatory Compliance Matters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our relationships with healthcare providers, third-party payors, patients and other parties in the healthcare industry are subject, directly or indirectly, to significant regulation under a broad range of healthcare laws, including fraud and abuse laws. Any action against us for violation of such laws could harm our reputation and require significant resources for defense. If we are unable to comply, or have not fully complied, with such laws, we could face substantial penalties.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Pharmaceutical manufacturers, and the parties with which such manufacturers interact, are subject to extensive and complex regulation under a broad range of healthcare laws. Such laws, some of which will apply only if and when we have a marketed product, constrain our business operations, including the research and development, manufacturing, distribution, sales and promotion of our product candidates and products, if any are approved in the future, as well as educational and charitable activities. Arrangements with healthcare provider, third-party payors, patients and other parties in the healthcare industry professionals, which may have a significant impact on our business, are regulated by fraud and abuse and other healthcare laws. For more information, see the section titled “</w:t>
      </w:r>
      <w:r>
        <w:rPr>
          <w:rFonts w:ascii="Times New Roman" w:cs="Times New Roman" w:eastAsia="Times New Roman" w:hAnsi="Times New Roman"/>
          <w:sz w:val="18"/>
          <w:szCs w:val="18"/>
          <w:i w:val="1"/>
          <w:iCs w:val="1"/>
          <w:color w:val="auto"/>
        </w:rPr>
        <w:t>Business—Government Regulation—Other U.S. Healthcare Laws and Compliance Requirements</w:t>
      </w:r>
      <w:r>
        <w:rPr>
          <w:rFonts w:ascii="Times New Roman" w:cs="Times New Roman" w:eastAsia="Times New Roman" w:hAnsi="Times New Roman"/>
          <w:sz w:val="18"/>
          <w:szCs w:val="18"/>
          <w:color w:val="auto"/>
        </w:rPr>
        <w:t>” included in our IPO Prospectus.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Healthcare laws regulating our business activities are broad and any exceptions may be narrow. Requirements may differ across jurisdictions. There may be limited guidance on the interpretation of the laws and their application to our specific activities. Interpretations of these laws by government enforcement agencies and courts are evolving. Efforts to ensure that our business operations will comply with applicable healthcare laws and regulations will involve substantial costs. We will need to develop and implement robust compliance policies and processes to seek to prevent and detect non-compliance and update such policies and processes as our operations and government expectations evolve, which will involve substantial and ongoing costs, and even with such policies and processes we cannot be certain to prevent non-compliance.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7" w:name="page68"/>
    <w:bookmarkEnd w:id="67"/>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Given the broad scope, limited guidance and evolving government interpretations, our business activities may nonetheless potentially be subject to challenge under these healthcare laws despite efforts to ensure compliance. Any action against us for violation of these laws, even if we successfully defend against it, could cause us to incur significant legal expenses and divert our management’s attention from the operation of our business. Such an action could also harm our reputation and adversely affect our business as a result.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2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approvals for our product candidates or any future product candidates, they will remain subject to ongoing regulatory oversight.</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we obtain any regulatory approvals for our product candidates or any future product candidates, such product candidates, once approved, will be subject to ongoing regulatory requirements applicable to manufacturing, labeling, packaging, storage, advertising, promoting, sampling, record-keeping and post-marketing activities, among other things. These requirements include submissions of safety and other post-marketing information and reports, registration, as well as continued compliance with cGMP and GCP requirements for any clinical trials that we conduct post-approval. Manufacturers of approved products and their facilities are subject to continual review and periodic and unannounced inspections by the FDA, EMA and other regulatory authorities for compliance with cGMP regulations and standards. Any regulatory approvals that we receive for our product candidates or any future product candidates may also be subject to a REMS, limitations on the approved indicated uses for which the drug may be marketed or to the conditions of approval, or requirements that we conduct potentially costly post-marketing testing, including additional trials and heightened surveillance to monitor the quality, safety and efficacy of the drug. An unsuccessful post-marketing study or failure to complete such a study could result in the withdrawal of marketing approval. We will further be required to promptly report any serious and unexpected adverse drug experiences and certain quality or production problems with our products to regulatory authorities along with other periodic reports.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Any new legislation addressing drug safety issues could result in delays in product development or commercialization, or increased costs to ensure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Physicians, on the other hand, may prescribe products for off-label uses. Although the FDA, EMA and other regulatory agencies do not regulate a physician’s choice of drug treatment made in the physician’s independent medical judgment, they do restrict promotional communications from companies, including their sales force, with respect to off-label uses of products for which marketing approval has not been issued. However, companies may share truthful and not misleading information that is otherwise consistent with a product’s FDA approved labeling. The holder of an approved NDA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drug manufacturers are subject to payment of annual fees and continual review and periodic inspections by the FDA, EMA and other regulatory authorities for compliance with cGMP requirements and adherence to commitments made in the NDA or foreign marketing application. If we, or a regulatory authority, discover previously unknown problems with any product, if approved, such as adverse experiences of unanticipated severity or frequency, or problems with the facility where the product is manufactured or if a regulatory authority disagrees with the promotion, marketing or labeling of that product, a regulatory authority may impose restrictions relative to that product, the manufacturing facility or us, including requesting revisions to the approved labeling to add new safety information, imposing of post-market studies or clinical trials to assess new safety risks or imposing distribution restrictions or other restrictions under a REMS program, requesting a recall or requiring withdrawal of the product from the market or suspension of manufacturing. If we fail to comply with applicable regulatory requirements following approval of any of our product candidates, a regulatory authority may:</w:t>
      </w:r>
    </w:p>
    <w:p>
      <w:pPr>
        <w:spacing w:after="0" w:line="80"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 untitled letter or warning letter asserting that we are in violation of the law;</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 disgorgement or profits or revenue, warning letters or adverse publicity requirements;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product distribution or use, including full or partial holds on any ongoing or planned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NDA or comparable foreign marketing application (or any supplements thereto) submitted by us or our strategic partners;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drug;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drug or otherwise require the withdrawal of the drug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 candidates;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harm our business, financial condition, results of operations and prospects.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and other reform initiatives may have an adverse impact on our business and results of operations.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continue to be ongoing efforts to implement legislative and regulatory changes regarding the healthcare system. Such changes could prevent or delay marketing approval of any product candidates that we may develop; restrict or regulate post-approval activities; and affect our ability to profitably sell any product candidates for which we obtain marketing approval. These reform efforts may result in more rigorous coverage criteria, additional downward pressure on the price that we, or our future collaborators, may receive for any approved products, or in other consequences that may adversely affect our ability to achieve or maintain profitability. For more information, see the section titled “</w:t>
      </w:r>
      <w:r>
        <w:rPr>
          <w:rFonts w:ascii="Times New Roman" w:cs="Times New Roman" w:eastAsia="Times New Roman" w:hAnsi="Times New Roman"/>
          <w:sz w:val="18"/>
          <w:szCs w:val="18"/>
          <w:i w:val="1"/>
          <w:iCs w:val="1"/>
          <w:color w:val="auto"/>
        </w:rPr>
        <w:t>Business—Government Regulation—Healthcare Reform</w:t>
      </w:r>
      <w:r>
        <w:rPr>
          <w:rFonts w:ascii="Times New Roman" w:cs="Times New Roman" w:eastAsia="Times New Roman" w:hAnsi="Times New Roman"/>
          <w:sz w:val="18"/>
          <w:szCs w:val="18"/>
          <w:color w:val="auto"/>
        </w:rPr>
        <w:t>” included in our IPO Prospectus.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There is no assurance that federal or state healthcare reform will not adversely affect our future business and financial results. The implementation of healthcare reform measures, including drug price negotiation programs, pricing transparency requirements, and state-level pricing controls, could significantly reduce the prices we are able to charge for any approved products, limit our commercial opportunities, or impose substantial compliance costs. We may be required to provide significant discounts or rebates, participate in government price negotiation programs on unfavorable terms, or face restrictions on product access that limit our ability to commercialize our products successfully. Additionally, implementation by third party payors of policies and practices to limit coverage, manage utilization, reduce payment of drug products could adversely affect our ability to sell our products profitably. The effect of these pricing pressures and access restrictions may prevent us from being able to generate revenue, attain profitability or commercialize our drugs.</w:t>
      </w:r>
    </w:p>
    <w:p>
      <w:pPr>
        <w:spacing w:after="0" w:line="19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we cannot predict the likelihood, nature, or extent of healthcare reform initiatives that may arise from future legislation or administrative action, which could impose additional restrictions or costs on our business that we have not anticipated.</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General legislative cost control measures may also affect reimbursement for our product candidates. The Budget Control Act, for example, resulted in the imposition of reductions in Medicare (but not Medicaid) payments to providers in 2013 and will remain in effect into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ability to obtain adequate reimbursement for any approved products and on our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Commercialization of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and we may not be able to compete successfully in this environment.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an environment of rapid change, and there is a possibility that our competitors may achieve regulatory approval before us or develop therapies that are safer or more advanced or effective than ours, or that we are unable to compete with existing entities that have made substantial investment into novel treatments for disease, which may harm our financial condition and our ability to successfully market or commercialize any product candidates we may develop. The development and commercialization of new drug products is highly competitive. We will face competition with respect to our product candidates and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or other intellectual property protection and establish collaborative arrangements for research, development, manufacturing and commercialization. There are larger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jc w:val="both"/>
        <w:spacing w:after="0" w:line="258" w:lineRule="auto"/>
        <w:rPr>
          <w:sz w:val="20"/>
          <w:szCs w:val="20"/>
          <w:color w:val="auto"/>
        </w:rPr>
      </w:pPr>
      <w:r>
        <w:rPr>
          <w:rFonts w:ascii="Times New Roman" w:cs="Times New Roman" w:eastAsia="Times New Roman" w:hAnsi="Times New Roman"/>
          <w:sz w:val="18"/>
          <w:szCs w:val="18"/>
          <w:color w:val="auto"/>
        </w:rPr>
        <w:t>pharmaceuticals that currently market and sell products or are pursuing the development of products for the treatment of the disease indications for which we have research programs. Some of these competitive products and therapies are based on scientific approaches that are the same as or similar to our approach, while others are based on entirely different approaches. Any product candidates that we successfully develop and commercialize will compete with existing therapies and new therapies that may become available in the future that are approved to treat the same diseases for which we may obtain approval for any product candidates we may develop.</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collaboration partners, may have significantly greater financial resources and expertise in research and development, manufacturing, conducting preclinical studies and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or that would render any product candidates that we may develop obsolete or non-competitive. Our competitors also may obtain FDA or other regulatory approval for their product candidates more rapidly than we may obtain approval for ours, which could result in our competitors establishing a strong market position before we are able to enter the market. Additionally, technologies developed by our competitors may render our product candidates uneconomical or obsolete, and we may not be successful in marketing any product candidates we may develop against competitors.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as a result of the expiration or successful challenge of our patent or other intellectual property rights, we could face risks relating to our ability to successfully prevent or delay launch of competitors’ products. The availability of our competitors’ products could limit the demand and the price we are able to charge for any product candidates that we may develop and commercialize. The biotechnology and pharmaceutical industries are characterized by rapid advances, intense competition and a strong emphasis on proprietary and novel products and product candidates. We face competition with respect to our current product candidates and will face competition with respect to any product candidates that we may seek to develop or commercialize in the future, from many different sources, including major pharmaceutical and biotechnology companies, academic institutions, governmental agencies, consortiums and public and private research institutions.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 marketing approval, it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If any of our product candidates receive marketing approval, they may nonetheless fail to gain sufficient market acceptance by physicians, patients, third-party payors and others in the medical community. There is currently a well-established oral standard of care for PF: pirfenidone (ESBRIET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marketed by Legacy Pharma Inc. in the U.S. and Genentech/Roche globally), nintedanib (OFEV</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marketed by Boehringer Ingelheim), and nerandomilast (JASCAYD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initially marketed by Boehringer Ingelheim) with which physicians, PF patients and payors are very familiar and for which an established benefit-risk profile exists. Even if our product candidates are successful in registrational clinical trials, they may not be successful in displacing the current standard of care if we are unable to demonstrate competitive efficacy, safety, ease of administration and/or cost-effectiveness. For example, physicians may be reluctant or unwilling to take their patients off their current medication, and switch their treatment regimen to our product candidates or add-on our product to their treatment regimen, if approved, if the current medication is effective. Further, patients often acclimate to the treatment regimen that they are currently taking and may not want to switch or add-on unless recommended to do so by their physician for clinical reasons or required to do so due to lack of coverage and adequate reimbursement. Even if we are able to demonstrate our product candidates’ safety and efficacy to the FDA, EMA and other regulators and receive approval, concerns in the medical community related to the comparative efficacy or side effect profile of our products may hinder market acceptance and uptake.</w:t>
      </w:r>
    </w:p>
    <w:p>
      <w:pPr>
        <w:spacing w:after="0" w:line="20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regarding the benefits of our product candidates, if approved, may require significant resources, including management time and financial resources, and may not be successful. If our product candidates do not achieve an adequate level of market acceptance, we may not generate significant revenue and we may not become profitable. The degree of market acceptance of our product candidates, if approved for commercial sale, will depend on a number of factors, including:</w:t>
      </w:r>
    </w:p>
    <w:p>
      <w:pPr>
        <w:spacing w:after="0" w:line="72"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product candidate is approved, if ever, as an add-on to standard of care or as part of a proprietary combination therapy;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0" w:name="page71"/>
    <w:bookmarkEnd w:id="70"/>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at competitive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comparable foreign regulatory authorities, including any limitations or warnings contained in a product’s approved labeling, including any boxed warning;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acceptance into current standard of care treatment algorithms by medical societies that could affect payor and physician uptake;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combination of our product candidates with a drug delivery device on cost of treatment with our products or the convenience for patients, if approved;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 the strength of sales, marketing and distribution support;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any product candidates, once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and of physicians to prescribe, the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 and unfavorable publicity related to our products.</w:t>
      </w:r>
    </w:p>
    <w:p>
      <w:pPr>
        <w:spacing w:after="0" w:line="22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Any failure by one or more of our product candidates that obtains regulatory approvals to achieve market acceptance or commercial success would adversely affect our business prospects.</w:t>
      </w:r>
    </w:p>
    <w:p>
      <w:pPr>
        <w:spacing w:after="0" w:line="26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either lead product candidate, or any of our other current or future product candidates, or misread trends in the pharmaceutical industry,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owe royalty payments to a third party pursuant to the terms of a confidential settlement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terms of a confidential settlement agreement, for a period beginning upon first commercial sale and ending on the later of the expiration of the last to expire patent right or twenty years after such first commercial sale, we are obligated to pay a third party royalties in the amount of 0.25% of net sales on any pirfenidone product, including AP01, and 0.5% of net sales of any nintedanib product, including AP02, although the agreement specifically excludes any percentage of net sales on AP03 as a combination product. The payment of the royalties will impact our future revenue and may make it more difficult to engage in collaborations, licenses or the acquisition of certain product candidates, and may result in us ceasing to develop certain product candidates or all of our product candidates if we determine that it will not be financially profitable to do so.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1" w:name="page72"/>
    <w:bookmarkEnd w:id="7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commercial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30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product candidates or any future product candidate will depend significantly on coverage and adequate reimbursement by third party payors or the willingness of patients to pay for these products if not covered.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believe that for any product candidates which may be approved, our success depends on obtaining and maintaining coverage and adequate reimbursement for such products for their respective approved indications, and the extent to which patients will be willing to pay out-of-pocket for such products in the absence of reimbursement for all or part of the cost. Accordingly, we will need to establish a coverage and reimbursement strategy for any approved product candidate. 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Government and private third-party payors decide which products they will cover and establish reimbursement levels. Coverage and reimbursement varies among third party payors and new products face significant challenges in obtaining and maintaining coverage and adequate reimbursement, particularly if approved for indications with established treatments already on the market. For more information, see the section titled “</w:t>
      </w:r>
      <w:r>
        <w:rPr>
          <w:rFonts w:ascii="Times New Roman" w:cs="Times New Roman" w:eastAsia="Times New Roman" w:hAnsi="Times New Roman"/>
          <w:sz w:val="18"/>
          <w:szCs w:val="18"/>
          <w:i w:val="1"/>
          <w:iCs w:val="1"/>
          <w:color w:val="auto"/>
        </w:rPr>
        <w:t>Business—Government Regulation—Coverage and Reimbursement</w:t>
      </w:r>
      <w:r>
        <w:rPr>
          <w:rFonts w:ascii="Times New Roman" w:cs="Times New Roman" w:eastAsia="Times New Roman" w:hAnsi="Times New Roman"/>
          <w:sz w:val="18"/>
          <w:szCs w:val="18"/>
          <w:color w:val="auto"/>
        </w:rPr>
        <w:t>” included in our IPO Prospectus.</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third-party payors have attempted to control costs by limiting coverage for certain products, managing utilization of covered products and restricting the amount of reimbursement for covered products. Within the U.S., net prices for drugs may be reduced by mandatory discounts or rebates required by government healthcare programs or requested by private payors in exchange for favorable coverage. The process of obtaining coverage and reimbursement determinations from third-party payors can be lengthy, unpredictable, and costly, with no guarantee of success. Even if we obtain favorable coverage decisions, payors may subsequently revise their policies in ways that adversely affect our products.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 For more information, see the section titled “</w:t>
      </w:r>
      <w:r>
        <w:rPr>
          <w:rFonts w:ascii="Times New Roman" w:cs="Times New Roman" w:eastAsia="Times New Roman" w:hAnsi="Times New Roman"/>
          <w:sz w:val="18"/>
          <w:szCs w:val="18"/>
          <w:i w:val="1"/>
          <w:iCs w:val="1"/>
          <w:color w:val="auto"/>
        </w:rPr>
        <w:t>Business—Government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Regulation—Healthcare Reform</w:t>
      </w:r>
      <w:r>
        <w:rPr>
          <w:rFonts w:ascii="Times New Roman" w:cs="Times New Roman" w:eastAsia="Times New Roman" w:hAnsi="Times New Roman"/>
          <w:sz w:val="18"/>
          <w:szCs w:val="18"/>
          <w:color w:val="auto"/>
        </w:rPr>
        <w:t>” included in our IPO Prospectus.</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our product candidates, even if they are approved for sale in the U.S.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our product candidates may be smaller than we estimate.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estimates of the potential market opportunity for our product candidates include several key assumptions, based on our industry knowledge, industry publications and third-party research reports. These assumptions include the number of patients who have PF, as well as the estimated reimbursement levels for each product candidate, if approved. While we believe our assumptions and the data underlying our estimates are reasonable, and believe that the assumptions and data underlying the estimates of third-party led market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2" w:name="page73"/>
    <w:bookmarkEnd w:id="72"/>
    <w:p>
      <w:pPr>
        <w:jc w:val="both"/>
        <w:spacing w:after="0" w:line="256" w:lineRule="auto"/>
        <w:rPr>
          <w:sz w:val="20"/>
          <w:szCs w:val="20"/>
          <w:color w:val="auto"/>
        </w:rPr>
      </w:pPr>
      <w:r>
        <w:rPr>
          <w:rFonts w:ascii="Times New Roman" w:cs="Times New Roman" w:eastAsia="Times New Roman" w:hAnsi="Times New Roman"/>
          <w:sz w:val="18"/>
          <w:szCs w:val="18"/>
          <w:color w:val="auto"/>
        </w:rPr>
        <w:t>research are similarly reasonable and accurate, we have not independently verified the accuracy of the third-party data on which we have based our assumptions and estimates, and these assumptions and estimates may not be correct and the conditions supporting our assumptions or estimates may change at any time, including as a result of factors outside our control, thereby reducing the predictive accuracy of these underlying factors. Further, new studies may change the estimated incidence or prevalence of these diseases, and the potentially addressable patient population for our product candidates may not ultimately be amenable to treatment with our product candidates. If the actual market for any product candidates we may develop is smaller than we estimate, our revenues, if any, may be limited and it may be more difficult for us to achieve or maintain profitability.</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trial and product liability lawsuits against us could divert our resources, cause us to incur substantial liabilities and limit commercialization of any products that we may develop.</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face an inherent risk of clinical trial and product liability exposure related to the testing of our product candidates in human clinical trials and will face an even greater risk if we commercially sell any products that we may develop, especially if our products are prescribed for off-label uses (even if we do not promote such uses). For example, we may be sued if our product candidates allegedly cause injury or are found to be otherwise unsuitable during product testing, manufacturing, marketing or sale.</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 If we cannot successfully defend ourselves against claims that our product candidates caused injuries, we will incur substantial liabilities. Regardless of merit or eventual outcome, liability claims may result in:</w:t>
      </w:r>
    </w:p>
    <w:p>
      <w:pPr>
        <w:spacing w:after="0" w:line="75"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that we may develop;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paid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pacing w:after="0" w:line="23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Although we maintain clinical trial liability insurance coverage, such insurance may not be adequate to cover all liabilities that we may incur. We may need to increase our insurance coverage as we expand our clinical trials. We intend to expand our insurance coverage for products to include the sale of commercial products if we obtain marketing approval on any current or potential product candidates, but we may be unable to obtain commercially reasonable product liability insurance for any products approved for marketing. Insurance coverage is increasingly expensive. We may not be able to maintain insurance coverage at a reasonable cost or in an amount adequate to satisfy any liability that may arise.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 Employee Matters and Managing Our Growth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jc w:val="both"/>
        <w:ind w:right="20" w:firstLine="509"/>
        <w:spacing w:after="0" w:line="274" w:lineRule="auto"/>
        <w:rPr>
          <w:sz w:val="20"/>
          <w:szCs w:val="20"/>
          <w:color w:val="auto"/>
        </w:rPr>
      </w:pPr>
      <w:r>
        <w:rPr>
          <w:rFonts w:ascii="Times New Roman" w:cs="Times New Roman" w:eastAsia="Times New Roman" w:hAnsi="Times New Roman"/>
          <w:sz w:val="18"/>
          <w:szCs w:val="18"/>
          <w:color w:val="auto"/>
        </w:rPr>
        <w:t>Our success depends in part on our continued ability to attract, retain and motivate highly qualified management, clinical and scientific personnel. Each of our executive officers may currently terminate their employment with us at any time. We do not maintain “key person” insurance for any of our executives or employees. This lack of insurance means that we may not have adequate compensation for the loss of the services of these individuals.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3" w:name="page74"/>
    <w:bookmarkEnd w:id="73"/>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approvals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which could disrupt our operations.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May 1, 2026, we had 54 full-time employees, including 33 who were engaged in research and development activities. As we continue to build our organization and execute on our strategy, we expect to experience significant growth in the number of our employees and the scope of our operations, particularly in the areas of clinical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business, and development resources. Any inability to manage growth could delay the execution of our business plans or disrupt our operations. Our future financial performance and our ability to compete effectively will depend, in part, on our ability to manage our growth effectively.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affected by litigation, government investigations and enforcement actions.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currently operate and plan to operate in a highly regulated industry and we could now or in the future be subject to litigation, government investigation and enforcement actions on a variety of matters in the U.S. or foreign jurisdictions, including, without limitation, intellectual property, regulatory, product liability, environmental, whistleblower, false claims, privacy, anti-kickback, anti-bribery, securities, commercial, employment and other claims and legal proceedings which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 and cause reputational harm.</w:t>
      </w:r>
    </w:p>
    <w:p>
      <w:pPr>
        <w:spacing w:after="0" w:line="28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Securities and Exchange Commission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prevent those agencies from performing normal business functions on which the operation of our business may rely, which could negatively impact our business.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another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employees, independent contractors, consultants, commercial collaborators, principal investigators, CROs, suppliers and vendors may engage in fraudulent conduct or other illegal activity. Misconduct by these parties could include intentional, reckless and/or negligent conduct or disclosure of unauthorized activities to us that violates FDA or other comparable regulatory authority regulations, including those laws requiring the reporting of true, complete and accurate information to the FDA or other comparable regulatory authority, manufacturing standards, foreign, federal and state healthcare laws and regulations, and laws that require the true, complete and accurate reporting of financial information or data.</w:t>
      </w:r>
    </w:p>
    <w:p>
      <w:pPr>
        <w:spacing w:after="0" w:line="183"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and abuse, such as the payment of kickbacks in return for business. These laws and regulations may restrict or prohibit a wide range of pricing, discounting, marketing and promotion, sales commission, customer incentive programs and other business arrangements. Misconduct by these parties could also involve the improper use or misrepresentation of individually identifiable information, including, without limitation,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imprisonment, contractual damages, reputational harm, diminished profits and future earnings, additional reporting requirements and oversight if we become subject to a corporate integrity agreement or similar agreement to resolve allegations of non-compliance with these laws, and the curtailment or restructuring of our operations. Any of these could adversely affect our ability to operate our business and our results of operations.</w:t>
      </w:r>
    </w:p>
    <w:p>
      <w:pPr>
        <w:spacing w:after="0" w:line="30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or suppliers do not comply with laws regulating the protection of the environment and health and human safety, our business could be affected adversely.</w:t>
      </w:r>
    </w:p>
    <w:p>
      <w:pPr>
        <w:spacing w:after="0" w:line="5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We and any CDMOs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Manufacturing operations for our product candidates involve the use of hazardous and flammable materials, including chemicals and biological materials. These operations also produce hazardous waste products. We or the manufacturers we contract with generally contract with third parties for the disposal of these materials and wastes. We cannot eliminate the risk of contamination or injury from these materials. In the event of contamination or injury resulting from the use of hazardous materials by us or by one of our third party-manufacturers, we could be held liable for any resulting damages or be penalized with fines in an amount exceeding our resources, and our clinical trials or regulatory approvals could be suspended. We and our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5" w:name="page76"/>
    <w:bookmarkEnd w:id="75"/>
    <w:p>
      <w:pPr>
        <w:jc w:val="both"/>
        <w:spacing w:after="0" w:line="266" w:lineRule="auto"/>
        <w:rPr>
          <w:sz w:val="20"/>
          <w:szCs w:val="20"/>
          <w:color w:val="auto"/>
        </w:rPr>
      </w:pPr>
      <w:r>
        <w:rPr>
          <w:rFonts w:ascii="Times New Roman" w:cs="Times New Roman" w:eastAsia="Times New Roman" w:hAnsi="Times New Roman"/>
          <w:sz w:val="18"/>
          <w:szCs w:val="18"/>
          <w:color w:val="auto"/>
        </w:rPr>
        <w:t>third-party manufacturers and suppliers cannot eliminate the risk of accidental injury or contamination from these materials or wastes. 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and our third-party manufacturers and suppliers may incur substantial costs in order to comply with current or future environmental, health and safety laws and regulations, which may increase the cost of their services to us. These current or future laws and regulations may impair our research, development or production efforts. Failure to comply with these laws and regulations also may result in substantial fines, penalties or other sanctions or liabilities for us or our third-party manufacturers and suppliers, or adversely impact our supply chain or reputation, which could in turn materially adversely affect our business, financial condition, results of operations and prospects.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some business risks, which will leave us exposed to significant uninsured liabilities.</w:t>
      </w:r>
    </w:p>
    <w:p>
      <w:pPr>
        <w:spacing w:after="0" w:line="121" w:lineRule="exact"/>
        <w:rPr>
          <w:sz w:val="20"/>
          <w:szCs w:val="20"/>
          <w:color w:val="auto"/>
        </w:rPr>
      </w:pPr>
    </w:p>
    <w:p>
      <w:pPr>
        <w:jc w:val="both"/>
        <w:ind w:firstLine="509"/>
        <w:spacing w:after="0" w:line="274"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Some of the policies we currently maintain include property, general liability, employment directors’ and officers’ and employment practices insurance, however, we may not be able to maintain adequate levels of insurance coverage in the future. Further, an insurance carrier may seek to cancel or deny coverage after a claim has occurred.</w:t>
      </w:r>
    </w:p>
    <w:p>
      <w:pPr>
        <w:spacing w:after="0" w:line="2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increase our capital requirements, dilute our stockholders, cause us to incur debt or assume contingent liabilities, subject us to other risks, adversely affect our liquidity, increase our expenses, present significant distractions to our management and harm our financial condition and results of operations.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of companies, asset purchases and strategic partnerships or out-licensing or in-licensing of intellectual property, product candidates or products. Additional potential transactions that we may consider in the future include a variety of business arrangements, including spin-offs, strategic partnerships, joint ventures, restructurings, divestitures, business combinations and investments. We may not be able to find suitable partners or acquisition candidates, and we may not be able to complete such transactions on favorable terms, if at all.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licensed assets that we may acquire rights to in the future may disrupt our existing business, may cause delays related to the integration of any licensed or acquired assets, and may be a complex, risky and costly endeavor for which we may never realize the full benefits. Furthermore, we may experience losses related to our entry into any licensing or partnerships,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operations and the operations of our suppliers, CROs, CDMOs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and other natural or manmade disasters or business interruptions, for which we are predominantly self-insured. We rely or expect to rely on third-party manufacturers or suppliers to produce our product candidates and their components and on CROs and clinical sites to conduct our clinical trials, and do not currently have a redundant source of supply for all components of our product candidates. Our ability to obtain clinical or, if approved, commercial, supplies of our product candidates or any future product candidates could be disrupted if the operations of these suppliers were affected by a man-made or natural disaster or other business interruption, and our ability to commence, conduct or complete our clinical trials in a timely manner could be similarly adversely affected by any of the foregoing. The occurrence of any of these business disruptions could seriously harm our operations and financial condition and increase our costs and expenses.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 active trading market for our shares may not be sustained. If an active market for our common stock is not sustained, the value of our shares may be impaired, and it may be difficult for our stockholders to sell shares at an attractive price or at all. An inactive market may also impair our ability to raise capital by selling shares, which in turn could materially adversely affect our business.</w:t>
      </w:r>
    </w:p>
    <w:p>
      <w:pPr>
        <w:spacing w:after="0" w:line="2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5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w:t>
      </w:r>
    </w:p>
    <w:p>
      <w:pPr>
        <w:spacing w:after="0" w:line="54" w:lineRule="exact"/>
        <w:rPr>
          <w:sz w:val="20"/>
          <w:szCs w:val="20"/>
          <w:color w:val="auto"/>
        </w:rPr>
      </w:pPr>
    </w:p>
    <w:p>
      <w:pPr>
        <w:ind w:left="102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product candidates or competing product candidates or any other change in the competitive landscape of our industry;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recruit and retain subjects for clinical trials and any delays caused by difficulties in such efforts;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development, regulatory approvals and commercialization activities relating to our product candidates, which may change from time to time;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which may vary depending on the quantity of production and the terms of our agreements with manufacturers;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may incur to acquire, develop or commercialize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and the indication for any approved products, which may vary significantly;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coverage, and reimbursement policies with respect to our product candidates, if approved, and existing and potential future drugs that compete with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royalty or other payments payable by us or due to us under any collaboration, licensing or other agreements;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 including market conditions in the pharmaceutical and biotechnology sectors.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may be volatile, and purchasers of our common stock could lose all or part of their investment.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market price for our stock is likely to be highly volatile and could be subject to wide fluctuations in response to various factors, some of which we cannot control. The stock market in general and the market for biopharmaceutical companies in particular have experienced extreme price and volume fluctuations that have often been unrelated or disproportionate to the operating performance of particular companies. As a result of this volatility, investors may not be able to sell their common stock at or above the price paid for the shares. These factors include:</w:t>
      </w:r>
    </w:p>
    <w:p>
      <w:pPr>
        <w:spacing w:after="0" w:line="72" w:lineRule="exact"/>
        <w:rPr>
          <w:sz w:val="20"/>
          <w:szCs w:val="20"/>
          <w:color w:val="auto"/>
        </w:rPr>
      </w:pPr>
    </w:p>
    <w:p>
      <w:pPr>
        <w:ind w:left="5540" w:right="2620" w:hanging="5023"/>
        <w:spacing w:after="0" w:line="532" w:lineRule="auto"/>
        <w:tabs>
          <w:tab w:leader="none" w:pos="103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our current or future clinical trials of our product candidates;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7" w:name="page78"/>
    <w:bookmarkEnd w:id="77"/>
    <w:p>
      <w:pPr>
        <w:ind w:left="503" w:right="20" w:hanging="503"/>
        <w:spacing w:after="0" w:line="282" w:lineRule="auto"/>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from, delays in, suspension or termination of current or future clinical trials or preclinical studies of our product candidates, or any delay in advancing a clinical candidate;</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gaining approvals or announcements by current and future competitors of their product development efforts;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our product candidates or any other product candidate we may develop, and any adverse development or perceived adverse development with respect to the applicable regulatory authority’s review of such filings;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the failure to authorize or approve the conduct of one or more clinical trials of our product candidates, the failure to receive regulatory approvals of our product candidates, or the failure of a regulatory authority to accept data from clinical trials conducted in other countries;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of unfavorable preclinical or clinical results;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or failure to identify, develop, acquire or license additional product candidates;</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rate of physician and market adoption of any of our current and future product candidates, if successfully developed and approved;</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 including our inability to obtain adequate supply of drug product, drug substance, raw materials or any commercially available product to be used in our clinical trials, at acceptable prices, or at all;</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our product candidates or any other product candidate;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 and any changes in financial estimates by us or by any equity research analysts who might cover our stock;</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and the incurrence of additional debt;</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and stock market price and volume fluctuations of comparable companies and, in particular, those that operate in the biopharmaceutical industry;</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capital commitments or divestitures;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publications and discussions about our business on social media, forums and other websites;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common stock by us or our stockholders in the future;</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product candidates;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foreign countries;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w:t>
      </w:r>
    </w:p>
    <w:p>
      <w:pPr>
        <w:spacing w:after="0" w:line="22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093" w:right="339" w:bottom="1440" w:gutter="0" w:footer="0" w:header="0"/>
        </w:sectPr>
      </w:pPr>
    </w:p>
    <w:bookmarkStart w:id="78" w:name="page79"/>
    <w:bookmarkEnd w:id="78"/>
    <w:p>
      <w:pPr>
        <w:ind w:left="1020" w:hanging="503"/>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stock market in general, and the market for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risks described in this section, or any of a broad range of other risks, could have a material adverse impact on the market price of our common stock. In the past, stockholders have initiated class action lawsuits against pharmaceutical and biotechnology companies following periods of volatility in the market prices of these companies’ stock. Such litigation, if instituted, could result in substantial costs and divert management’s attention and resources.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a listing of our common stock on Nasdaq.</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Because our common stock is listed on Nasdaq, we must meet certain financial and liquidity criteria to maintain such listing.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our stockholders' investment.</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significantly reduce the value of our shares to a potential acquirer or make it difficult for a third party to acquire, or attempt to acquire, control of our company, even if a change of control was considered favorable by you and other stockholders. For example, our board of directors will have the authority to issue up to 10,000,000 shares of preferred stock and may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charter documents will also contain other provisions that could have an anti-takeover effect, including:</w:t>
      </w:r>
    </w:p>
    <w:p>
      <w:pPr>
        <w:spacing w:after="0" w:line="117"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one of our three classes of directors will be elected each 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not be entitled to remove directors other than by a two-thirds (2/3) vote and only for cause;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not be permitted to take actions by written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cannot call a special meeting of stockholders;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give advance notice to nominate directors or submit proposals for consideration at stockholder meetings.</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our stockholders' best interests. These provisions may also prevent changes in our management or limit the price that investors are willing to pay for our stock.</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of our common stock, if any, will be our stockholders' sole source of gains and they may never receive a return on their investment.</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stockholders should not rely on an investment in our common stock to provide dividend income. We have not declared or paid cash dividends on our common stock to date. We currently intend to retain our future earnings, if any, to fund the development and growth of our business and do not anticipate declaring or paying any cash dividends for the foreseeable future. As a result, capital appreciation, if any, of our common stock will be our stockholders' sole source of gain for the foreseeable future. Investors seeking cash dividends should not purchase our common stock. There is no guarantee that shares of our common stock will appreciate in value or even maintain the price at which stockholders have purchased their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9" w:name="page80"/>
    <w:bookmarkEnd w:id="7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Pursuant to our amended and restated bylaws, unless we consent in writing to the selection of an alternative forum, the Court of Chancery of the State of Delaware is the sole and exclusive forum for any state law claims for (i) any derivative action or proceeding brought on our behalf; (ii) any action asserting a claim of or based on a breach of a fiduciary duty owed by any director, officer or other employee of ours to us or our stockholders; (iii) any action asserting a claim pursuant to any provision of the Delaware General Corporation Law, or DGCL, our amended and restated certificate of incorporation or our amended and restated bylaws or as to which the DGCL confers jurisdiction on the Court of Chancery of the State of Delaware; or (iv) any action asserting a claim governed by the internal affairs doctrine, or the Delaware Forum Provision. The Delaware Forum Provision will not apply to any causes of action arising under the Securities Act or the Securities Exchange Act of 1934, as amended, or the Exchange Act. Our amended and restated bylaws further provide that unless we consent in writing to the selection of an alternative forum, the federal district courts of the United States shall be the sole and exclusive forum for resolving any complaint asserting a cause of action arising under the Securities Act, the Exchange Act, the respective rules and regulations promulgated thereunder or the Federal Forum Provision. In addition, our amended and restated bylaws will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96"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structure of our common stock may limit our stockholders' ability to influence corporate matters and may limit their visibility with respect to certain transactions.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structure of our common stock, which includes a series of non-voting common stock, may also limit our stockholders' ability to influence corporate matters. Holders of our common stock are entitled to one vote per share, while holders of our non-voting common stock are not entitled to any votes. We do not currently have any shares of non-voting common stock outstanding. Nonetheless, each share of our non-voting common stock may be converted at any time into one share of our common stock at the option of its holder by providing written notice to us, subject to the limitations provided for in our amended and restated certificate of incorporation.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or were compromised, or fail, we could experience adverse consequences resulting from such compromise, or failure, including but not limited to regulatory investigations or actions; litigation; fines and penalties; disruptions of our business operations; reputational harm; loss of revenue or profits; and other adverse consequences.</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upon which we rely, process, collect, receive, store, use, transfer, protect, secure, dispose of, transmit, and share collectively referred to as processing, data and information, including proprietary, confidential, and sensitive data, including personal data (such as health-related data), intellectual property and trade secrets, collectively referred to as sensitive information. The secure processing, maintenance and transmission of sensitive information is critical to our operations. Despite our security measures, our information technology and infrastructure, and that of the third parties upon which we rely, may be vulnerable to attacks by hackers or other third parties or breaches due to employee error, malfeasance or other disruptions.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0" w:name="page81"/>
    <w:bookmarkEnd w:id="80"/>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security breaches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These risks, as well as the number and frequency of cybersecurity events globally, may also be heightened during times of war or other major conflicts. We and the third parties upon which we rely are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attacks), credential harvesting, personnel misconduct or error, ransomware attacks, supply-chain attacks, software bugs, server malfunctions, software, or hardware failures, loss of data or other information technology assets, adware, electrical and telecommunications failures, earthquakes, fires, floods, and other similar threats. In particular, severe ransomware attacks are becoming increasingly prevalent and can lead to significant interruptions in our operations, loss of sensitive data and income, reputational harm and diversion of funds.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a hybrid in-office/remote work environment, which, like other companies that have incorporated remote working,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Future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currently rely on third-party service providers and technologies to operate critical business systems to process sensitive information in a variety of contexts, including, without limitation, cloud-based infrastructure, employee email, and other functions. We also currently rely on commercially available tools from third-party service providers to process and safeguard our sensitive information and business data.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Although, to our knowledge, we have not experienced any material security breach to date, we have experienced and may continue to experience threats or system failures which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We have not yet conducted any internal audits or penetration tests on our information technology systems, however, we have enlisted a third-party to conduct security audits or penetration tests on our behalf, and we intend to undertake such testing. Such assessments, when conducted, could indicate vulnerabilities in our information technology systems which we may not be able to effectively remediate. If a security incident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approvals efforts and significantly increase our costs to recover or reproduce the data. To the extent that any disruption, security breach, or other incident results in a loss of or damage to our data or applications, other data or applications relating to our technology, or our current or future product candidates, we could incur liabilities and the further development of our current or future product candidates could be compromised or delayed. We may expend significant resources or modify our business activities (including our clinical trial activities) to try to protect against security incidents.</w:t>
      </w:r>
    </w:p>
    <w:p>
      <w:pPr>
        <w:spacing w:after="0" w:line="19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Certain data privacy and security obligations may require us to implement and maintain specific security measures or industry-standard or reasonable security measures to protect our information technology systems and sensitive information. While we have implemented security measures designed to protect against security incidents, there can be no assurance that these measures have been or will be effective. Additionally, certain federal, state and foreign government requirements include obligations of companies to notify individuals of security breaches involving particular categories of personally identifiable information, which could result from breaches experienced by us or the third parties upon whom we rely. Such disclosures are costly, and the disclosure or the failure to comply with such requirements could lead to adverse consequences.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detect and remediate vulnerabilities in our information technology systems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 It is not possible to prevent all threats to our information technology systems and those of our third-party service providers, over which we exert less control, and any controls we implement to do so may prove to be ineffective.</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delays or disruptions in our clinical trials and development of product candidates, deter customers from using our products, and negatively impact our ability to grow and operate our business.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2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evolving U.S. laws and regulations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and the third parties on which we rely process personal data and other sensitive information, including proprietary and confidential business data, trade secrets, intellectual property, data we collect about clinical trial participants and sensitive third-party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legislative and regulatory framework for the processing of personal data worldwide is rapidly evolving and is likely to remain uncertain for the foreseeable future. In the U.S., there are numerous federal and state privacy and data security laws and regulations governing the collection, use, disclosure, transfer, security and processing of personal information, including federal and state health information privacy laws, federal and state security breach notification laws, federal and state consumer protection laws (e.g., Section 5 of the Federal Trade Commission Act), and other similar laws (e.g., wiretapping laws). In addition, we may obtain health information from third parties (including research institutions from which we obtain clinical trial data) that are subject to HIPAA, which imposes specific requirements relating to the privacy, security, and transmission of individually identifiable health information. Depending on the facts and circumstances, we could be subject to criminal penalties under certain privacy laws, including under HIPAA, for example, if we knowingly obtain, use or disclose individually identifiable health information maintained by a HIPAA-covered entity in a manner that is not authorized or permitted by HIPAA.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these states exempt some data processed in the context of clinical trials, these developments may further complicate compliance efforts, and increase legal risk and compliance costs for us and the third parties upon whom we rely. Furthermore, other states have proposed or enacted legislation that is focused on more narrow aspects of privacy. For example, a number of states have passed laws that protect biometric information and a smaller number of states have passed or are considering laws that are specifically focused upon health privacy, such as Washington’s My Health My Data Act. The My Health My Data Act imposes new state restrictions and requirements on the processing and sale of consumer health data and creates a private right of action. In addition, all 50 U.S. states and the District of Columbia have enacted breach notification laws that may require us to notify patients, employees or regulators in the event of unauthorized access to or disclosure of personal or confidential information experienced by us or our collaborators or third-party service providers. The effects of state and federal privacy laws are potentially significant and may require us to modify our data processing practices and policies and to incur substantial costs and potential liability in an effort to comply with such legislation.</w:t>
      </w:r>
    </w:p>
    <w:p>
      <w:pPr>
        <w:spacing w:after="0" w:line="19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Outside the U.S., an increasing number of laws, regulations, and industry standards may govern data privacy and security. For example, in our clinical trials in Europe and/or the UK, our processing of personal data is subject to the European Union’s General Data Protection Regulation, EU GDPR, and/or the United Kingdom’s so-called “UK GDPR,” together, the GDPR. The GDPR is wide-ranging in scope and imposes numerous requirements on companies that are subject to it, including relating to having a legal basis for processing personal data, relating to the processing of sensitive data (such as health data), obtaining consent of the individuals to whom the personal data relates, providing information to individuals regarding data processing activities, implementing safeguards to protect the security and confidentiality of personal data, notification of data breaches, requiring data protection impact assessments for high risk processing and taking certain measures when engaging third-party processors. The GDPR also imposes strict rules on the transfer of personal data to countries outside the European Union and the UK, including the U.S., and permits data protection authorities to impose large penalties for violations of the GDPR, including potential fines of up to €20 million (£17.5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or EEA, and the United Kingdom, or UK, have significantly restricted the transfer of personal data to the U.S. and other countries whose privacy laws it considers inadequate. Other jurisdictions may adopt similarly stringent data localization and cross-border data transfer laws. Although there are currently various mechanisms that may be used to transfer personal data from the EEA and UK to the U.S. in compliance with law, such as the EEA’s standard contractual clauses, the UK’s International Data Transfer Agreement</w:t>
      </w:r>
    </w:p>
    <w:p>
      <w:pPr>
        <w:spacing w:after="0" w:line="5" w:lineRule="exact"/>
        <w:rPr>
          <w:sz w:val="20"/>
          <w:szCs w:val="20"/>
          <w:color w:val="auto"/>
        </w:rPr>
      </w:pPr>
    </w:p>
    <w:p>
      <w:pPr>
        <w:jc w:val="both"/>
        <w:ind w:firstLine="8"/>
        <w:spacing w:after="0" w:line="251" w:lineRule="auto"/>
        <w:tabs>
          <w:tab w:leader="none" w:pos="9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Through executive and legislative action, the U.S. federal government has also taken steps to restrict data transactions involving persons affiliated with countries of concern such as China and Russia. For example, Executive Order 14117 on “Preventing Access to Americans’ Bulk Sensitive Personal Data and United States Government-Related Data by Countries of Concern” as implemented by Department of Justice regulations (issued in December 2024, with the final rule effective April 2025) prohibits data brokerage transactions involving certain sensitive personal data categories to countries of concern.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The evolving complexity of privacy and data security legislation in the U.S. may complicate our compliance efforts and further increase our risk of regulatory enforcement, penalties and litigation.</w:t>
      </w:r>
    </w:p>
    <w:p>
      <w:pPr>
        <w:spacing w:after="0" w:line="1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bound by contractual obligations related to data privacy and security, and our efforts to comply with such obligations may not be successful. If any privacy policies, marketing materials and other statements regarding data privacy and security that we publish are found to be deficient, lacking in transparency, deceptive, unfair or misrepresentative of our practices, we may be subject to investigation, enforcement actions by regulators, including the Federal Trade Commission, or other adverse consequences.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Laws and regulations related to privacy, data protection and security are continuing to evolve and are becoming increasingly stringent. Additionally, these laws may be subject to differing applications and interpretations, which may be inconsistent or conflict among jurisdictions, creating uncertainty. Preparing for and complying with these obligations requires us to devote significant resources, which may necessitate changes to the ways in which we collect and process data, our information technologies, systems and to exercise greater oversight and control over third parties that process personal data on our behalf.</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we rely on fail, or are perceived to have failed, to address or comply with applicable data privacy and security obligations, we may face significant consequences, including but not limited to: government enforcement actions (e.g., investigations, fines, penalties, audits, inspections, and similar); litigation (including class-action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and development of product candidates);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new and evolving technologies, such as AI,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use of artificial intelligence in our operations and products may introduce new cybersecurity and data privacy risks, including vulnerabilities in artificial intelligence algorithms, unauthorized data access, unintended bias in automated decision-making, potential for artificial intelligence systems to process or generate personal data in ways that violate data privacy regulations, inadvertent exposure of confidential business information or trade secrets, and potential liability for discriminatory outcomes from artificial intelligence systems. In addition, if we enable or use solutions that draw controversy due to perceived or actual negative societal impact or otherwise cause harm, we may experience brand or reputational harm, competitive harm, legal liability, and defensive costs and expenses. These artificial intelligence-related risks may be difficult to detect, prevent, or remediate, and could result in regulatory investigations, fines, litigation, reputational damage, and increased compliance costs as well as impact our financial condition and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growing number of lawmakers are adopting laws and regulations addressing, and have focused enforcement efforts on, the development and adoption of AI technologies and use of such technologies in compliance with ethical standards and societal expectations. In the U.S., several states have passed laws to regulate various uses of AI, including to make consequential decisions, among other requirements, that were set to take effect in 2026. In addition, it is possible that U.S. states and the federal government will adopt new laws and regulations in the near future, and that existing laws and regulations may be interpreted in ways that would affect our business and the ways in which we and our customers use our AI technologies. The Executive Order on Ensuring a National Policy Framework for Artificial Intelligence, which was signed on December 11, 2025, raises significant questions regarding the future of these state laws and it is likely that companies making use of AI technologies will face a uncertain legal framework for the near future,</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Outside the U.S., lawmaking and regulation relating to AI is proceeding at a similar pace. In Europe, for example, the EU’s Artificial Intelligence Act, or AI Act, entered into force on August 1, 2024 and, with some exceptions, will begin to apply as of August 2, 2026. This legislation imposes significant obligations on providers and deployers of high-risk AI systems, and encourages providers and deployers of AI systems to account for EU ethical principles in their development and use of these systems. As we continue to develop and use AI systems that are governed by the AI Act or other emerging regulations, it may necessitate ensuring higher standards of data quality, transparency, and human oversight, as well as adhering to specific ethical, accountability, and administrative requirements, some of which may increase our costs and compliance obligations. Further, potential government regulation related to AI use and ethics may also increase the cost of research and development in this area, and failure to properly remediate AI usage or ethics issues may cause public confidence in AI to be undermined, which could slow adoption of AI in our products and services.</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rapid evolution of AI technologies and the applicable regulatory frameworks governing AI will require the application of significant resources to design, develop, test and maintain such systems to help ensure that AI is implemented in a legally compliant and socially responsible manner and to minimize any real or perceived unintended harmful impacts of the use of such technologies. The use of certain AI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AI tools. Our vendors may also incorporate AI tools into their offerings, and the providers of these AI tools may not meet existing or rapidly evolving regulatory or industry standards, including with respect to privacy and data security. Further, bad actors around the world use increasingly sophisticated methods, including through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2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economic sanctions, anti-corruption laws and regulations of the U.S. and other jurisdictions. We can face criminal liability and other serious consequences for violations of these laws and regulations, which could harm our business.</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subject to and required to comply with various export control, import and trade and economic sanctions laws and regulations, including the U.S. Export Administration Regulations, U.S. Customs regulations and sanctions regulations administered by the U.S. Treasury Department’s Office of Foreign Assets Controls. These laws may prohibit or restrict our ability to transfer, sell or supply, our products to certain governments, persons, entities, countries, and territories, including those that are the target of comprehensive sanctions or an embargo.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also subject to anti-corruption and anti-bribery laws, including the U.S. Foreign Corrupt Practices Act of 1977, as amended, or FCPA, the U.S. domestic bribery statute contained in 18 U.S.C. § 201, the U.S. Travel Act, and other state and national anti-bribery and anti-money laundering laws in the countries in which we conduct activities. Anti-corruption laws, including the FCPA, generally prohibit companies and their employees, agents, CROs, contractors and other partners from offering, promising, giving, soliciting or authorizing others to give or receive anything of value, either directly or indirectly, to or from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CROs,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over financial reporting, our ability to produce accurate financial statements on a timely basis could be impaired.</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or the Sarbanes-Oxley Act, and the rules and regulations of the stock market on which our common stock is listed. The Sarbanes-Oxley Act requires, among other things, that we maintain effective disclosure controls and procedures and internal control over financial reporting.</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Commencing with our second annual report on Form 10-K for the fiscal year ending December 31, 2027, we must perform system and process evaluation and testing of our internal control over financial reporting to allow management to report on the effectiveness of our internal control over financial reporting in our Form 10-K filing for that year, as required by Section 404 of the Sarbanes-Oxley Act. This will require that we incur substantial additional professional fees and internal costs to expand our accounting and finance functions and that we expend significant management efforts. We have never been required to test our internal control within a specified period, and, as a result, we may experience difficulty in meeting these reporting requirements in a timely manner. In addition, when we lose our status as an “emerging growth company” and if we do not otherwise qualify as a “non-accelerated filer,” our independent registered public accounting firm will be required to attest to the effectiveness of our internal control over financial reporting, which will require additional expense, resources and management commitment.</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identify material weaknesses in our system of internal controls over financial reporting that could result in a material misstatement of our consolidated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consolidated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utilize a significant portion of our net operating loss carryforwards, which could harm our profitability.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generated, and expect to continue to generate, significant federal and state net operating loss, or NOL, carryforwards. As of December 31, 2025, we had federal and state net operating loss carryforwards of $190.3 million and $58.8 million, respectively. Under current tax laws and regulations, these NOL carryforwards could expire unused and be unavailable to offset future income tax liabilities. Under the Tax Cuts and Jobs Act, as modified by the Coronavirus Aid, Relief, and Economic Security Act, federal net operating loss carryforwards, or NOLs, incurred in taxable years beginning after December 31, 2017 generally may be carried forward indefinitely, but the deductibility of such federal NOLs is limited.</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or the Code, if a corporation undergoes an “ownership change,” generally defined as a greater than 50 percentage point change (by value) in its equity ownership by one or more “5 percent shareholders” over a three-year period, the corporation’s ability to use its pre-change NOLs and other pre-change tax attributes (such as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We may have experienced ownership changes in the past and may experience ownership changes as a result of our IPO and/or subsequent shifts in our stock ownership (some of which are outside our control). There is also a risk that due to regulatory changes, such as suspensions on the use of NOLs by federal or state taxing authorities or other unforeseen reasons, portions of our existing NOLs could expire or otherwise be unavailable to reduce future income tax liabilities. As a result, our ability to use our pre-change NOLs and tax credits to offset future taxable income, if any, or taxes could be subject to limitations. Similar provisions of state tax law may also apply. As a result, even if we attain profitability, we may be unable to use a material portion of our NOLs and tax credits.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U.S. federal, state, local, and foreign tax laws, regulations and administrative guidance are subject to change as a result of the legislative process and review and interpretation by the U.S. Internal Revenue Service, or IRS, the U.S. Treasury Department and other taxing authorities. Changes to tax laws (which changes may have retroactive application), including with respect to net operating losses and research and development tax credits, could adversely affect us or holders of our common stock. For example, on July 4, 2025, President Donald Trump signed the One Big Beautiful Bill Act into law. Key tax provisions included the restoration of 100% bonus depreciation for certain qualified property, immediate expensing for domestic research and experimental expenditures and the ability to make elective adjustments for prior years, changes to the Section 163(j) interest limitations and updates to net CFC tested income (formerly GILTI) and FDII rules. In recent years, many other similar changes have been made and changes are likely to continue to occur in the future. Future changes in tax laws could have a material adverse effect on our business, financial condition, results of operations, or cash flow. We urge investors to consult with their legal and tax advisers regarding the implications of potential changes in tax laws on an investment in our common stock.</w:t>
      </w:r>
    </w:p>
    <w:p>
      <w:pPr>
        <w:spacing w:after="0" w:line="29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as a result of the reduced disclosure and governance requirements applicable to emerging growth companies and smaller reporting companies, our common stock may be less attractive to investors.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For as long as we continue to be an emerging growth company, we may take advantage of certain exemptions from reporting requirements that are applicable to other public companies that are not emerging growth companies, including:</w:t>
      </w:r>
    </w:p>
    <w:p>
      <w:pPr>
        <w:spacing w:after="0" w:line="68" w:lineRule="exact"/>
        <w:rPr>
          <w:sz w:val="20"/>
          <w:szCs w:val="20"/>
          <w:color w:val="auto"/>
        </w:rPr>
      </w:pPr>
    </w:p>
    <w:p>
      <w:pPr>
        <w:jc w:val="both"/>
        <w:ind w:left="1020" w:hanging="503"/>
        <w:spacing w:after="0" w:line="261"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 providing only two years of audited financial statements in addition to any required unaudited interim financial statements and a correspondingly reduced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disclosure in this Quarterly Report;</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the communication of critical audit matters in the auditor’s report on the financial statements;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proxy statements and registration statements;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 nonbinding advisory vote on executive compensation and stockholder approval of any golden parachute payments not previously approved.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7" w:name="page88"/>
    <w:bookmarkEnd w:id="87"/>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will remain an emerging growth company until the earlier of (1) the last day of the fiscal year (a) following the fifth anniversary of the closing of our initial public offering, (b) in which we have total annual gross revenue of at least $1.235 billion or (c) in which we are deemed to be a large accelerated filer, which means, among other conditions, that the market value of our common stock that is held by non-affiliates exceeds $700 million as of the last business day of our most recently completed second fiscal quarter, and (2) the date on which we have issued more than $1.0 billion in non-convertible debt during the prior three-year period.</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Section 107(b) of the JOBS Act, emerging growth companies can delay adopting new or revised accounting standards until such time as those standards apply to private companies, and we expect to rely on this exemption. Even after we no longer qualify as an emerging growth company, we may, under certain circumstances, still qualify as a “smaller reporting company,” which would allow us to take advantage of many of the same exemptions from disclosure requirements, including reduced disclosure obligations regarding executive compensation in our periodic reports and proxy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and demands upon management as a result of being a public company.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additional legal, accounting and other costs that we did not incur as a private company. We are subject to the reporting requirements of the Exchange Act, which require, among other things, that we file with the SEC annual, quarterly and current reports with respect to our business and financial condition. 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certain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increase our net loss, and may require us to reduce costs in other areas of our business.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operations could be adversely affected by general conditions in the global economy and in the global financial markets and uncertainty about economic stability. The global economy and financial markets have experienced extreme volatility and disruptions, including severely diminished liquidity and credit availability, declines in consumer confidence, inflation, declines in economic growth, global supply chain disruptions, and uncertainty about economic stability. The global economy and financial markets may also be adversely affected by the current or anticipated impact of military conflict, terrorism or other geopolitical events, including the ongoing war in Ukraine and the ongoing hostilities in the Middle East as well as the increasingly strained relationship between the U.S. and China. Sanctions or tariffs imposed by the U.S. and other countries in response to such conflicts may adversely impact the financial markets and the global economy, and the economic countermeasures by the affected countries or others could exacerbate market and economic instability.</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There can be no assurance that further deterioration in credit and financial markets and confidence in economic conditions will not occur. A severe or prolonged economic downturn could result in a variety of risks to our business, including weakened demand for any product candidates we may develop and our ability to raise additional capital when needed on acceptable terms, if at all. A weak or declining economy could also strain our suppliers, possibly resulting in supply disruption. If the equity and credit markets deteriorate, it may make any necessary equity or debt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that could divert management’s attention and harm our business, and insurance coverage may not be sufficient to cover all costs and damages.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in the past and may in the future be subject to litigation claims through the ordinary course of our business operations regarding, but not limited to, securities litigation, employment matters, security of patient and employee personal data, contractual relations with collaborators and licensors and intellectual property rights. For example, on June 1, 2017, Genoa, a QoL Healthcare Company, LLC filed a lawsuit against us for trademark infringement which resulted in our company changing its name to the current name. Additionally, from November 2020 through July 2024, Avalyn was involved in a dispute on matters related to a Stock Purchase Agreement that concluded in a confidential settlement agreement. We may be exposed to similar litigation even if no wrongdoing on our part has occurred. Litigation to defend ourselves against claims by third parties, or to enforce any rights that we may have against third parties, could result in substantial costs and diversion of our resources, causing a material adverse effect on our business, financial condition, results of operations or cash flows, and we may not have insurance coverage for such claims or our insurance coverage may not adequately cover all costs and damages related to such claims. Moreover, adverse publicity about legal action against us could damage our reputation and brand image, even if the legal action is unfounded or not material to our operations.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Recent Sales of Unregistered Equity Securities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Set forth below is information regarding securities we have issued within the past three years that were not registered under the Securities Act.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C Preferred Stock Financing</w:t>
      </w:r>
    </w:p>
    <w:p>
      <w:pPr>
        <w:spacing w:after="0" w:line="121" w:lineRule="exact"/>
        <w:rPr>
          <w:sz w:val="20"/>
          <w:szCs w:val="20"/>
          <w:color w:val="auto"/>
        </w:rPr>
      </w:pPr>
    </w:p>
    <w:p>
      <w:pPr>
        <w:jc w:val="both"/>
        <w:ind w:firstLine="494"/>
        <w:spacing w:after="0" w:line="266" w:lineRule="auto"/>
        <w:rPr>
          <w:sz w:val="20"/>
          <w:szCs w:val="20"/>
          <w:color w:val="auto"/>
        </w:rPr>
      </w:pPr>
      <w:r>
        <w:rPr>
          <w:rFonts w:ascii="Times New Roman" w:cs="Times New Roman" w:eastAsia="Times New Roman" w:hAnsi="Times New Roman"/>
          <w:sz w:val="18"/>
          <w:szCs w:val="18"/>
          <w:color w:val="auto"/>
        </w:rPr>
        <w:t>In September 2023 and January 2024, we issued and sold to certain investors an aggregate of 239,016,017 shares of Series C-1 convertible preferred stock at a price per share of $0.7323, for an aggregate purchase price of approximately $175.0 million, and issued an aggregate of 24,207,788 shares of Series C-2 convertible preferred stock upon conversion of outstanding convertible notes.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D Preferred Stock Financing</w:t>
      </w:r>
    </w:p>
    <w:p>
      <w:pPr>
        <w:spacing w:after="0" w:line="229"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In April 2025, the Company entered into the Series D Preferred Stock Purchase Agreement with multiple investors, pursuant to which it agreed to issue up to 126,346,412 shares of Series D Preferred Stock at a price of $0.7963 per share, for aggregate gross proceeds of $100.4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and Exercises of Stock Options</w:t>
      </w:r>
    </w:p>
    <w:p>
      <w:pPr>
        <w:spacing w:after="0" w:line="229"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Since January 2023 we have granted certain employees, consultants, and directors options to purchase an aggregate of 4,040,357 shares of our common stock under our 2022 Equity Incentive Plan, or the 2022 Plan, at exercise prices ranging from $4.62 to $11.74 per share.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January 2023, 12,063 stock options have been exercised under our 2012 Plan at a weighted average purchase price of $4.19 per share.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Since January 2023, 11,064 stock options have been exercised under our 2022 Plan at a weighted average purchase price of $4.71 per share.</w:t>
      </w:r>
    </w:p>
    <w:p>
      <w:pPr>
        <w:spacing w:after="0" w:line="22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Since inception of the 2026 Equity Incentive Plan, or the 2026 Plan, on April 28, 2026, we have granted certain employees, consultants, and directors options to purchase an aggregate of 2,387,705 shares of our common stock under our 2026 Plan at exercise price per share equal to $18.00 per share. During this period, no stock options have been exercised.</w:t>
      </w:r>
    </w:p>
    <w:p>
      <w:pPr>
        <w:spacing w:after="0" w:line="176"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 Use of Proceeds from our Initial Public Offering</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April 29, 2026, the SEC declared effective our registration statement on Form S-1 (File No. 333-294932), as amended, or the Registration Statement, filed in connection with our IPO. Pursuant to the Registration Statement, we registered the offer and sale of 16,666,667 shares of our common stock with a maximum aggregate offering price of approximately $300.0 million. Morgan Stanley, Jefferies, Evercore ISI, and Guggenheim Securities acted as representatives of the underwriters for the IPO.</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received net proceeds of approximately $316.1 million from the sale of 19,166,667 shares of common stock at a price of $18.00 per share, which included 2,500,000 shares of common stock sold pursuant to the underwriters' exercise of their option to purchase additional shares. None of the expenses associated with the IPO were paid to directors, officers, persons owning 10% or more of any class of equity securities, or to our affiliates.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expected use of the net proceeds from our IPO as described in our final prospectus filed with the SEC pursuant to Rule 424(b) of the Securities Act on April 30, 2026.</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 Issuer Repurchases of Securities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0" w:name="page91"/>
    <w:bookmarkEnd w:id="90"/>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none of our directors or officers (as defined in Rule 16a-1(f) under the Exchange Act) adopted or terminated any “Rule 10b5-1 trading arrangement” or “non-Rule 10b5-1 trading arrangement,” as those terms are defined in Item 408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Furnish the exhibits required by Item 601 of Regulation S-K (§ 229.601 of this chapter).</w:t>
      </w:r>
    </w:p>
    <w:p>
      <w:pPr>
        <w:spacing w:after="0" w:line="2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040" w:type="dxa"/>
            <w:vAlign w:val="bottom"/>
          </w:tcPr>
          <w:p>
            <w:pPr>
              <w:jc w:val="center"/>
              <w:ind w:right="246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40" w:type="dxa"/>
            <w:vAlign w:val="bottom"/>
            <w:vMerge w:val="restart"/>
          </w:tcPr>
          <w:p>
            <w:pPr>
              <w:ind w:left="2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3040" w:type="dxa"/>
            <w:vAlign w:val="bottom"/>
          </w:tcPr>
          <w:p>
            <w:pPr>
              <w:jc w:val="center"/>
              <w:ind w:right="24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p>
      <w:pPr>
        <w:spacing w:after="0"/>
        <w:rPr>
          <w:rFonts w:ascii="Times New Roman" w:cs="Times New Roman" w:eastAsia="Times New Roman" w:hAnsi="Times New Roman"/>
          <w:sz w:val="18"/>
          <w:szCs w:val="18"/>
          <w:u w:val="single" w:color="auto"/>
          <w:color w:val="0000FF"/>
        </w:rPr>
      </w:pPr>
      <w:hyperlink r:id="rId319">
        <w:r>
          <w:rPr>
            <w:rFonts w:ascii="Times New Roman" w:cs="Times New Roman" w:eastAsia="Times New Roman" w:hAnsi="Times New Roman"/>
            <w:sz w:val="18"/>
            <w:szCs w:val="18"/>
            <w:u w:val="single" w:color="auto"/>
            <w:color w:val="0000FF"/>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14287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18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321">
        <w:r>
          <w:rPr>
            <w:rFonts w:ascii="Times New Roman" w:cs="Times New Roman" w:eastAsia="Times New Roman" w:hAnsi="Times New Roman"/>
            <w:sz w:val="18"/>
            <w:szCs w:val="18"/>
            <w:u w:val="single" w:color="auto"/>
            <w:color w:val="0000FF"/>
          </w:rPr>
          <w:t>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4287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323">
        <w:r>
          <w:rPr>
            <w:rFonts w:ascii="Times New Roman" w:cs="Times New Roman" w:eastAsia="Times New Roman" w:hAnsi="Times New Roman"/>
            <w:sz w:val="18"/>
            <w:szCs w:val="18"/>
            <w:u w:val="single" w:color="auto"/>
            <w:color w:val="0000FF"/>
          </w:rPr>
          <w:t>4.1†+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4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264160" cy="8255"/>
                    </a:xfrm>
                    <a:prstGeom prst="rect">
                      <a:avLst/>
                    </a:prstGeom>
                    <a:noFill/>
                  </pic:spPr>
                </pic:pic>
              </a:graphicData>
            </a:graphic>
          </wp:anchor>
        </w:drawing>
      </w:r>
    </w:p>
    <w:p>
      <w:pPr>
        <w:spacing w:after="0" w:line="205" w:lineRule="exact"/>
        <w:rPr>
          <w:sz w:val="20"/>
          <w:szCs w:val="20"/>
          <w:color w:val="auto"/>
        </w:rPr>
      </w:pPr>
    </w:p>
    <w:p>
      <w:pPr>
        <w:spacing w:after="0"/>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u w:val="single" w:color="auto"/>
            <w:color w:val="0000FF"/>
          </w:rPr>
          <w:t>4.</w:t>
        </w:r>
      </w:hyperlink>
      <w:r>
        <w:rPr>
          <w:rFonts w:ascii="Times New Roman" w:cs="Times New Roman" w:eastAsia="Times New Roman" w:hAnsi="Times New Roman"/>
          <w:sz w:val="18"/>
          <w:szCs w:val="18"/>
          <w:color w:val="00000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72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5" w:lineRule="exact"/>
        <w:rPr>
          <w:sz w:val="20"/>
          <w:szCs w:val="20"/>
          <w:color w:val="auto"/>
        </w:rPr>
      </w:pPr>
    </w:p>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u w:val="single" w:color="auto"/>
            <w:color w:val="0000FF"/>
          </w:rPr>
          <w:t>4.</w:t>
        </w:r>
      </w:hyperlink>
      <w:r>
        <w:rPr>
          <w:rFonts w:ascii="Times New Roman" w:cs="Times New Roman" w:eastAsia="Times New Roman" w:hAnsi="Times New Roman"/>
          <w:sz w:val="18"/>
          <w:szCs w:val="18"/>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57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329">
        <w:r>
          <w:rPr>
            <w:rFonts w:ascii="Times New Roman" w:cs="Times New Roman" w:eastAsia="Times New Roman" w:hAnsi="Times New Roman"/>
            <w:sz w:val="18"/>
            <w:szCs w:val="18"/>
            <w:u w:val="single" w:color="auto"/>
            <w:color w:val="0000FF"/>
          </w:rPr>
          <w:t>4.4+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701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0">
                      <a:extLst>
                        <a:ext uri="{28A0092B-C50C-407E-A947-70E740481C1C}"/>
                      </a:extLst>
                    </a:blip>
                    <a:srcRect/>
                    <a:stretch>
                      <a:fillRect/>
                    </a:stretch>
                  </pic:blipFill>
                  <pic:spPr bwMode="auto">
                    <a:xfrm>
                      <a:off x="0" y="0"/>
                      <a:ext cx="207010" cy="8255"/>
                    </a:xfrm>
                    <a:prstGeom prst="rect">
                      <a:avLst/>
                    </a:prstGeom>
                    <a:noFill/>
                  </pic:spPr>
                </pic:pic>
              </a:graphicData>
            </a:graphic>
          </wp:anchor>
        </w:drawing>
      </w: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331">
        <w:r>
          <w:rPr>
            <w:rFonts w:ascii="Times New Roman" w:cs="Times New Roman" w:eastAsia="Times New Roman" w:hAnsi="Times New Roman"/>
            <w:sz w:val="18"/>
            <w:szCs w:val="18"/>
            <w:u w:val="single" w:color="auto"/>
            <w:color w:val="0000FF"/>
          </w:rPr>
          <w:t>10.1#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717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333">
        <w:r>
          <w:rPr>
            <w:rFonts w:ascii="Times New Roman" w:cs="Times New Roman" w:eastAsia="Times New Roman" w:hAnsi="Times New Roman"/>
            <w:sz w:val="18"/>
            <w:szCs w:val="18"/>
            <w:u w:val="single" w:color="auto"/>
            <w:color w:val="0000FF"/>
          </w:rPr>
          <w:t>10.2#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717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4">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335">
        <w:r>
          <w:rPr>
            <w:rFonts w:ascii="Times New Roman" w:cs="Times New Roman" w:eastAsia="Times New Roman" w:hAnsi="Times New Roman"/>
            <w:sz w:val="18"/>
            <w:szCs w:val="18"/>
            <w:u w:val="single" w:color="auto"/>
            <w:color w:val="0000FF"/>
          </w:rPr>
          <w:t>10.3#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717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6">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337">
        <w:r>
          <w:rPr>
            <w:rFonts w:ascii="Times New Roman" w:cs="Times New Roman" w:eastAsia="Times New Roman" w:hAnsi="Times New Roman"/>
            <w:sz w:val="18"/>
            <w:szCs w:val="18"/>
            <w:u w:val="single" w:color="auto"/>
            <w:color w:val="0000FF"/>
          </w:rPr>
          <w:t>10.4#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717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8">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339">
        <w:r>
          <w:rPr>
            <w:rFonts w:ascii="Times New Roman" w:cs="Times New Roman" w:eastAsia="Times New Roman" w:hAnsi="Times New Roman"/>
            <w:sz w:val="18"/>
            <w:szCs w:val="18"/>
            <w:u w:val="single" w:color="auto"/>
            <w:color w:val="0000FF"/>
          </w:rPr>
          <w:t>10.5#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717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0">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341">
        <w:r>
          <w:rPr>
            <w:rFonts w:ascii="Times New Roman" w:cs="Times New Roman" w:eastAsia="Times New Roman" w:hAnsi="Times New Roman"/>
            <w:sz w:val="18"/>
            <w:szCs w:val="18"/>
            <w:u w:val="single" w:color="auto"/>
            <w:color w:val="0000FF"/>
          </w:rPr>
          <w:t>10.6#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717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2">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343">
        <w:r>
          <w:rPr>
            <w:rFonts w:ascii="Times New Roman" w:cs="Times New Roman" w:eastAsia="Times New Roman" w:hAnsi="Times New Roman"/>
            <w:sz w:val="18"/>
            <w:szCs w:val="18"/>
            <w:u w:val="single" w:color="auto"/>
            <w:color w:val="0000FF"/>
          </w:rPr>
          <w:t>10.7#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717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4">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345">
        <w:r>
          <w:rPr>
            <w:rFonts w:ascii="Times New Roman" w:cs="Times New Roman" w:eastAsia="Times New Roman" w:hAnsi="Times New Roman"/>
            <w:sz w:val="18"/>
            <w:szCs w:val="18"/>
            <w:u w:val="single" w:color="auto"/>
            <w:color w:val="0000FF"/>
          </w:rPr>
          <w:t>10.8#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5717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6">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143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7">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7147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8">
                      <a:extLst>
                        <a:ext uri="{28A0092B-C50C-407E-A947-70E740481C1C}"/>
                      </a:extLst>
                    </a:blip>
                    <a:srcRect/>
                    <a:stretch>
                      <a:fillRect/>
                    </a:stretch>
                  </pic:blipFill>
                  <pic:spPr bwMode="auto">
                    <a:xfrm>
                      <a:off x="0" y="0"/>
                      <a:ext cx="3714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7147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9">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7147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0">
                      <a:extLst>
                        <a:ext uri="{28A0092B-C50C-407E-A947-70E740481C1C}"/>
                      </a:extLst>
                    </a:blip>
                    <a:srcRect/>
                    <a:stretch>
                      <a:fillRect/>
                    </a:stretch>
                  </pic:blipFill>
                  <pic:spPr bwMode="auto">
                    <a:xfrm>
                      <a:off x="0" y="0"/>
                      <a:ext cx="371475" cy="825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351">
        <w:r>
          <w:rPr>
            <w:rFonts w:ascii="Times New Roman" w:cs="Times New Roman" w:eastAsia="Times New Roman" w:hAnsi="Times New Roman"/>
            <w:sz w:val="18"/>
            <w:szCs w:val="18"/>
            <w:u w:val="single" w:color="auto"/>
            <w:color w:val="0000FF"/>
          </w:rPr>
          <w:t>10.13†+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7846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2">
                      <a:extLst>
                        <a:ext uri="{28A0092B-C50C-407E-A947-70E740481C1C}"/>
                      </a:extLst>
                    </a:blip>
                    <a:srcRect/>
                    <a:stretch>
                      <a:fillRect/>
                    </a:stretch>
                  </pic:blipFill>
                  <pic:spPr bwMode="auto">
                    <a:xfrm>
                      <a:off x="0" y="0"/>
                      <a:ext cx="378460" cy="8890"/>
                    </a:xfrm>
                    <a:prstGeom prst="rect">
                      <a:avLst/>
                    </a:prstGeom>
                    <a:noFill/>
                  </pic:spPr>
                </pic:pic>
              </a:graphicData>
            </a:graphic>
          </wp:anchor>
        </w:drawing>
      </w:r>
    </w:p>
    <w:p>
      <w:pPr>
        <w:spacing w:after="0" w:line="18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353">
        <w:r>
          <w:rPr>
            <w:rFonts w:ascii="Times New Roman" w:cs="Times New Roman" w:eastAsia="Times New Roman" w:hAnsi="Times New Roman"/>
            <w:sz w:val="18"/>
            <w:szCs w:val="18"/>
            <w:u w:val="single" w:color="auto"/>
            <w:color w:val="0000FF"/>
          </w:rPr>
          <w:t>10.14†+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7846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4">
                      <a:extLst>
                        <a:ext uri="{28A0092B-C50C-407E-A947-70E740481C1C}"/>
                      </a:extLst>
                    </a:blip>
                    <a:srcRect/>
                    <a:stretch>
                      <a:fillRect/>
                    </a:stretch>
                  </pic:blipFill>
                  <pic:spPr bwMode="auto">
                    <a:xfrm>
                      <a:off x="0" y="0"/>
                      <a:ext cx="378460" cy="8255"/>
                    </a:xfrm>
                    <a:prstGeom prst="rect">
                      <a:avLst/>
                    </a:prstGeom>
                    <a:noFill/>
                  </pic:spPr>
                </pic:pic>
              </a:graphicData>
            </a:graphic>
          </wp:anchor>
        </w:drawing>
      </w: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355">
        <w:r>
          <w:rPr>
            <w:rFonts w:ascii="Times New Roman" w:cs="Times New Roman" w:eastAsia="Times New Roman" w:hAnsi="Times New Roman"/>
            <w:sz w:val="18"/>
            <w:szCs w:val="18"/>
            <w:u w:val="single" w:color="auto"/>
            <w:color w:val="0000FF"/>
          </w:rPr>
          <w:t>10.15†+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784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6">
                      <a:extLst>
                        <a:ext uri="{28A0092B-C50C-407E-A947-70E740481C1C}"/>
                      </a:extLst>
                    </a:blip>
                    <a:srcRect/>
                    <a:stretch>
                      <a:fillRect/>
                    </a:stretch>
                  </pic:blipFill>
                  <pic:spPr bwMode="auto">
                    <a:xfrm>
                      <a:off x="0" y="0"/>
                      <a:ext cx="378460" cy="8255"/>
                    </a:xfrm>
                    <a:prstGeom prst="rect">
                      <a:avLst/>
                    </a:prstGeom>
                    <a:noFill/>
                  </pic:spPr>
                </pic:pic>
              </a:graphicData>
            </a:graphic>
          </wp:anchor>
        </w:drawing>
      </w: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357">
        <w:r>
          <w:rPr>
            <w:rFonts w:ascii="Times New Roman" w:cs="Times New Roman" w:eastAsia="Times New Roman" w:hAnsi="Times New Roman"/>
            <w:sz w:val="18"/>
            <w:szCs w:val="18"/>
            <w:u w:val="single" w:color="auto"/>
            <w:color w:val="0000FF"/>
          </w:rPr>
          <w:t>10.16†+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7846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8">
                      <a:extLst>
                        <a:ext uri="{28A0092B-C50C-407E-A947-70E740481C1C}"/>
                      </a:extLst>
                    </a:blip>
                    <a:srcRect/>
                    <a:stretch>
                      <a:fillRect/>
                    </a:stretch>
                  </pic:blipFill>
                  <pic:spPr bwMode="auto">
                    <a:xfrm>
                      <a:off x="0" y="0"/>
                      <a:ext cx="378460" cy="8890"/>
                    </a:xfrm>
                    <a:prstGeom prst="rect">
                      <a:avLst/>
                    </a:prstGeom>
                    <a:noFill/>
                  </pic:spPr>
                </pic:pic>
              </a:graphicData>
            </a:graphic>
          </wp:anchor>
        </w:drawing>
      </w:r>
    </w:p>
    <w:p>
      <w:pPr>
        <w:spacing w:after="0" w:line="205"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359">
        <w:r>
          <w:rPr>
            <w:rFonts w:ascii="Times New Roman" w:cs="Times New Roman" w:eastAsia="Times New Roman" w:hAnsi="Times New Roman"/>
            <w:sz w:val="18"/>
            <w:szCs w:val="18"/>
            <w:u w:val="single" w:color="auto"/>
            <w:color w:val="0000FF"/>
          </w:rPr>
          <w:t>10.17†+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784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0">
                      <a:extLst>
                        <a:ext uri="{28A0092B-C50C-407E-A947-70E740481C1C}"/>
                      </a:extLst>
                    </a:blip>
                    <a:srcRect/>
                    <a:stretch>
                      <a:fillRect/>
                    </a:stretch>
                  </pic:blipFill>
                  <pic:spPr bwMode="auto">
                    <a:xfrm>
                      <a:off x="0" y="0"/>
                      <a:ext cx="3784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361">
        <w:r>
          <w:rPr>
            <w:rFonts w:ascii="Times New Roman" w:cs="Times New Roman" w:eastAsia="Times New Roman" w:hAnsi="Times New Roman"/>
            <w:sz w:val="18"/>
            <w:szCs w:val="18"/>
            <w:u w:val="single" w:color="auto"/>
            <w:color w:val="0000FF"/>
          </w:rPr>
          <w:t>10.18†+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7846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2">
                      <a:extLst>
                        <a:ext uri="{28A0092B-C50C-407E-A947-70E740481C1C}"/>
                      </a:extLst>
                    </a:blip>
                    <a:srcRect/>
                    <a:stretch>
                      <a:fillRect/>
                    </a:stretch>
                  </pic:blipFill>
                  <pic:spPr bwMode="auto">
                    <a:xfrm>
                      <a:off x="0" y="0"/>
                      <a:ext cx="3784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9" w:lineRule="auto"/>
        <w:rPr>
          <w:rFonts w:ascii="Times New Roman" w:cs="Times New Roman" w:eastAsia="Times New Roman" w:hAnsi="Times New Roman"/>
          <w:sz w:val="18"/>
          <w:szCs w:val="18"/>
          <w:u w:val="single" w:color="auto"/>
          <w:color w:val="0000FF"/>
        </w:rPr>
      </w:pPr>
      <w:hyperlink r:id="rId319">
        <w:r>
          <w:rPr>
            <w:rFonts w:ascii="Times New Roman" w:cs="Times New Roman" w:eastAsia="Times New Roman" w:hAnsi="Times New Roman"/>
            <w:sz w:val="18"/>
            <w:szCs w:val="18"/>
            <w:u w:val="single" w:color="auto"/>
            <w:color w:val="0000FF"/>
          </w:rPr>
          <w:t>Amended and Restated Certificate of Incorporation of Avalyn Pharma Inc. (incorporated by reference to Exhibit 3.1 to the Registrant’s</w:t>
        </w:r>
      </w:hyperlink>
      <w:r>
        <w:rPr>
          <w:rFonts w:ascii="Times New Roman" w:cs="Times New Roman" w:eastAsia="Times New Roman" w:hAnsi="Times New Roman"/>
          <w:sz w:val="18"/>
          <w:szCs w:val="18"/>
          <w:u w:val="single" w:color="auto"/>
          <w:color w:val="0000FF"/>
        </w:rPr>
        <w:t xml:space="preserve"> </w:t>
      </w:r>
      <w:hyperlink r:id="rId319">
        <w:r>
          <w:rPr>
            <w:rFonts w:ascii="Times New Roman" w:cs="Times New Roman" w:eastAsia="Times New Roman" w:hAnsi="Times New Roman"/>
            <w:sz w:val="18"/>
            <w:szCs w:val="18"/>
            <w:u w:val="single" w:color="auto"/>
            <w:color w:val="0000FF"/>
          </w:rPr>
          <w:t>Current Report on Form 8-K (File No. 001-43251).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647382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3">
                      <a:extLst>
                        <a:ext uri="{28A0092B-C50C-407E-A947-70E740481C1C}"/>
                      </a:extLst>
                    </a:blip>
                    <a:srcRect/>
                    <a:stretch>
                      <a:fillRect/>
                    </a:stretch>
                  </pic:blipFill>
                  <pic:spPr bwMode="auto">
                    <a:xfrm>
                      <a:off x="0" y="0"/>
                      <a:ext cx="64738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234505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4">
                      <a:extLst>
                        <a:ext uri="{28A0092B-C50C-407E-A947-70E740481C1C}"/>
                      </a:extLst>
                    </a:blip>
                    <a:srcRect/>
                    <a:stretch>
                      <a:fillRect/>
                    </a:stretch>
                  </pic:blipFill>
                  <pic:spPr bwMode="auto">
                    <a:xfrm>
                      <a:off x="0" y="0"/>
                      <a:ext cx="2345055" cy="8890"/>
                    </a:xfrm>
                    <a:prstGeom prst="rect">
                      <a:avLst/>
                    </a:prstGeom>
                    <a:noFill/>
                  </pic:spPr>
                </pic:pic>
              </a:graphicData>
            </a:graphic>
          </wp:anchor>
        </w:drawing>
      </w:r>
    </w:p>
    <w:p>
      <w:pPr>
        <w:ind w:right="120"/>
        <w:spacing w:after="0" w:line="250" w:lineRule="auto"/>
        <w:rPr>
          <w:rFonts w:ascii="Times New Roman" w:cs="Times New Roman" w:eastAsia="Times New Roman" w:hAnsi="Times New Roman"/>
          <w:sz w:val="18"/>
          <w:szCs w:val="18"/>
          <w:u w:val="single" w:color="auto"/>
          <w:color w:val="0000FF"/>
        </w:rPr>
      </w:pPr>
      <w:hyperlink r:id="rId321">
        <w:r>
          <w:rPr>
            <w:rFonts w:ascii="Times New Roman" w:cs="Times New Roman" w:eastAsia="Times New Roman" w:hAnsi="Times New Roman"/>
            <w:sz w:val="18"/>
            <w:szCs w:val="18"/>
            <w:u w:val="single" w:color="auto"/>
            <w:color w:val="0000FF"/>
          </w:rPr>
          <w:t>Amended and Restated Bylaws of Avalyn Pharma Inc. (incorporated by reference to Exhibit 3.2 to the Registrant’s Current Report on Form</w:t>
        </w:r>
      </w:hyperlink>
      <w:r>
        <w:rPr>
          <w:rFonts w:ascii="Times New Roman" w:cs="Times New Roman" w:eastAsia="Times New Roman" w:hAnsi="Times New Roman"/>
          <w:sz w:val="18"/>
          <w:szCs w:val="18"/>
          <w:u w:val="single" w:color="auto"/>
          <w:color w:val="0000FF"/>
        </w:rPr>
        <w:t xml:space="preserve"> </w:t>
      </w:r>
      <w:hyperlink r:id="rId321">
        <w:r>
          <w:rPr>
            <w:rFonts w:ascii="Times New Roman" w:cs="Times New Roman" w:eastAsia="Times New Roman" w:hAnsi="Times New Roman"/>
            <w:sz w:val="18"/>
            <w:szCs w:val="18"/>
            <w:u w:val="single" w:color="auto"/>
            <w:color w:val="0000FF"/>
          </w:rPr>
          <w:t>8-K (File No. 001-43251).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642493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5">
                      <a:extLst>
                        <a:ext uri="{28A0092B-C50C-407E-A947-70E740481C1C}"/>
                      </a:extLst>
                    </a:blip>
                    <a:srcRect/>
                    <a:stretch>
                      <a:fillRect/>
                    </a:stretch>
                  </pic:blipFill>
                  <pic:spPr bwMode="auto">
                    <a:xfrm>
                      <a:off x="0" y="0"/>
                      <a:ext cx="64249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120904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6">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ind w:right="380"/>
        <w:spacing w:after="0" w:line="250" w:lineRule="auto"/>
        <w:rPr>
          <w:rFonts w:ascii="Times New Roman" w:cs="Times New Roman" w:eastAsia="Times New Roman" w:hAnsi="Times New Roman"/>
          <w:sz w:val="18"/>
          <w:szCs w:val="18"/>
          <w:u w:val="single" w:color="auto"/>
          <w:color w:val="0000FF"/>
        </w:rPr>
      </w:pPr>
      <w:hyperlink r:id="rId323">
        <w:r>
          <w:rPr>
            <w:rFonts w:ascii="Times New Roman" w:cs="Times New Roman" w:eastAsia="Times New Roman" w:hAnsi="Times New Roman"/>
            <w:sz w:val="18"/>
            <w:szCs w:val="18"/>
            <w:u w:val="single" w:color="auto"/>
            <w:color w:val="0000FF"/>
          </w:rPr>
          <w:t>Amended and Restated Investors’ Rights Agreement, by and between the Registrant and certain of its stockholders, dated as of April 25,</w:t>
        </w:r>
      </w:hyperlink>
      <w:r>
        <w:rPr>
          <w:rFonts w:ascii="Times New Roman" w:cs="Times New Roman" w:eastAsia="Times New Roman" w:hAnsi="Times New Roman"/>
          <w:sz w:val="18"/>
          <w:szCs w:val="18"/>
          <w:u w:val="single" w:color="auto"/>
          <w:color w:val="0000FF"/>
        </w:rPr>
        <w:t xml:space="preserve"> </w:t>
      </w:r>
      <w:hyperlink r:id="rId323">
        <w:r>
          <w:rPr>
            <w:rFonts w:ascii="Times New Roman" w:cs="Times New Roman" w:eastAsia="Times New Roman" w:hAnsi="Times New Roman"/>
            <w:sz w:val="18"/>
            <w:szCs w:val="18"/>
            <w:u w:val="single" w:color="auto"/>
            <w:color w:val="0000FF"/>
          </w:rPr>
          <w:t>2025 (incorporated by reference to Exhibit 4.2 to the Registrant’s Registration Statement on Form S-1(File No. 333-294932).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62693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7">
                      <a:extLst>
                        <a:ext uri="{28A0092B-C50C-407E-A947-70E740481C1C}"/>
                      </a:extLst>
                    </a:blip>
                    <a:srcRect/>
                    <a:stretch>
                      <a:fillRect/>
                    </a:stretch>
                  </pic:blipFill>
                  <pic:spPr bwMode="auto">
                    <a:xfrm>
                      <a:off x="0" y="0"/>
                      <a:ext cx="62693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572706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8">
                      <a:extLst>
                        <a:ext uri="{28A0092B-C50C-407E-A947-70E740481C1C}"/>
                      </a:extLst>
                    </a:blip>
                    <a:srcRect/>
                    <a:stretch>
                      <a:fillRect/>
                    </a:stretch>
                  </pic:blipFill>
                  <pic:spPr bwMode="auto">
                    <a:xfrm>
                      <a:off x="0" y="0"/>
                      <a:ext cx="5727065" cy="8255"/>
                    </a:xfrm>
                    <a:prstGeom prst="rect">
                      <a:avLst/>
                    </a:prstGeom>
                    <a:noFill/>
                  </pic:spPr>
                </pic:pic>
              </a:graphicData>
            </a:graphic>
          </wp:anchor>
        </w:drawing>
      </w:r>
    </w:p>
    <w:p>
      <w:pPr>
        <w:ind w:right="300"/>
        <w:spacing w:after="0" w:line="250" w:lineRule="auto"/>
        <w:rPr>
          <w:rFonts w:ascii="Times New Roman" w:cs="Times New Roman" w:eastAsia="Times New Roman" w:hAnsi="Times New Roman"/>
          <w:sz w:val="18"/>
          <w:szCs w:val="18"/>
          <w:u w:val="single" w:color="auto"/>
          <w:color w:val="0000FF"/>
        </w:rPr>
      </w:pPr>
      <w:hyperlink r:id="rId325">
        <w:r>
          <w:rPr>
            <w:rFonts w:ascii="Times New Roman" w:cs="Times New Roman" w:eastAsia="Times New Roman" w:hAnsi="Times New Roman"/>
            <w:sz w:val="18"/>
            <w:szCs w:val="18"/>
            <w:u w:val="single" w:color="auto"/>
            <w:color w:val="0000FF"/>
          </w:rPr>
          <w:t>Form of Common Stock Certificate (incorporated by reference to Exhibit 4.1 to the Registrant's Registration Statement on Form S-1 (File</w:t>
        </w:r>
      </w:hyperlink>
      <w:r>
        <w:rPr>
          <w:rFonts w:ascii="Times New Roman" w:cs="Times New Roman" w:eastAsia="Times New Roman" w:hAnsi="Times New Roman"/>
          <w:sz w:val="18"/>
          <w:szCs w:val="18"/>
          <w:u w:val="single" w:color="auto"/>
          <w:color w:val="0000FF"/>
        </w:rPr>
        <w:t xml:space="preserve"> </w:t>
      </w:r>
      <w:hyperlink r:id="rId325">
        <w:r>
          <w:rPr>
            <w:rFonts w:ascii="Times New Roman" w:cs="Times New Roman" w:eastAsia="Times New Roman" w:hAnsi="Times New Roman"/>
            <w:sz w:val="18"/>
            <w:szCs w:val="18"/>
            <w:u w:val="single" w:color="auto"/>
            <w:color w:val="0000FF"/>
          </w:rPr>
          <w:t>No. 333-294932).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631888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9">
                      <a:extLst>
                        <a:ext uri="{28A0092B-C50C-407E-A947-70E740481C1C}"/>
                      </a:extLst>
                    </a:blip>
                    <a:srcRect/>
                    <a:stretch>
                      <a:fillRect/>
                    </a:stretch>
                  </pic:blipFill>
                  <pic:spPr bwMode="auto">
                    <a:xfrm>
                      <a:off x="0" y="0"/>
                      <a:ext cx="63188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81534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0">
                      <a:extLst>
                        <a:ext uri="{28A0092B-C50C-407E-A947-70E740481C1C}"/>
                      </a:extLst>
                    </a:blip>
                    <a:srcRect/>
                    <a:stretch>
                      <a:fillRect/>
                    </a:stretch>
                  </pic:blipFill>
                  <pic:spPr bwMode="auto">
                    <a:xfrm>
                      <a:off x="0" y="0"/>
                      <a:ext cx="815340" cy="8255"/>
                    </a:xfrm>
                    <a:prstGeom prst="rect">
                      <a:avLst/>
                    </a:prstGeom>
                    <a:noFill/>
                  </pic:spPr>
                </pic:pic>
              </a:graphicData>
            </a:graphic>
          </wp:anchor>
        </w:drawing>
      </w:r>
    </w:p>
    <w:p>
      <w:pPr>
        <w:ind w:right="340"/>
        <w:spacing w:after="0" w:line="250" w:lineRule="auto"/>
        <w:rPr>
          <w:rFonts w:ascii="Times New Roman" w:cs="Times New Roman" w:eastAsia="Times New Roman" w:hAnsi="Times New Roman"/>
          <w:sz w:val="18"/>
          <w:szCs w:val="18"/>
          <w:u w:val="single" w:color="auto"/>
          <w:color w:val="0000FF"/>
        </w:rPr>
      </w:pPr>
      <w:hyperlink r:id="rId327">
        <w:r>
          <w:rPr>
            <w:rFonts w:ascii="Times New Roman" w:cs="Times New Roman" w:eastAsia="Times New Roman" w:hAnsi="Times New Roman"/>
            <w:sz w:val="18"/>
            <w:szCs w:val="18"/>
            <w:u w:val="single" w:color="auto"/>
            <w:color w:val="0000FF"/>
          </w:rPr>
          <w:t>Warrant to Purchase Stock, dated January 13, 2025, by and between the Registrant and Bruce Montgomery (incorporated by reference to</w:t>
        </w:r>
      </w:hyperlink>
      <w:r>
        <w:rPr>
          <w:rFonts w:ascii="Times New Roman" w:cs="Times New Roman" w:eastAsia="Times New Roman" w:hAnsi="Times New Roman"/>
          <w:sz w:val="18"/>
          <w:szCs w:val="18"/>
          <w:u w:val="single" w:color="auto"/>
          <w:color w:val="0000FF"/>
        </w:rPr>
        <w:t xml:space="preserve"> </w:t>
      </w:r>
      <w:hyperlink r:id="rId327">
        <w:r>
          <w:rPr>
            <w:rFonts w:ascii="Times New Roman" w:cs="Times New Roman" w:eastAsia="Times New Roman" w:hAnsi="Times New Roman"/>
            <w:sz w:val="18"/>
            <w:szCs w:val="18"/>
            <w:u w:val="single" w:color="auto"/>
            <w:color w:val="0000FF"/>
          </w:rPr>
          <w:t>Exhibit 4.3 to the Registrant's Registration Statement on Form S-1 (File No. 333-294932).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628523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1">
                      <a:extLst>
                        <a:ext uri="{28A0092B-C50C-407E-A947-70E740481C1C}"/>
                      </a:extLst>
                    </a:blip>
                    <a:srcRect/>
                    <a:stretch>
                      <a:fillRect/>
                    </a:stretch>
                  </pic:blipFill>
                  <pic:spPr bwMode="auto">
                    <a:xfrm>
                      <a:off x="0" y="0"/>
                      <a:ext cx="62852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41236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2">
                      <a:extLst>
                        <a:ext uri="{28A0092B-C50C-407E-A947-70E740481C1C}"/>
                      </a:extLst>
                    </a:blip>
                    <a:srcRect/>
                    <a:stretch>
                      <a:fillRect/>
                    </a:stretch>
                  </pic:blipFill>
                  <pic:spPr bwMode="auto">
                    <a:xfrm>
                      <a:off x="0" y="0"/>
                      <a:ext cx="4123690" cy="8255"/>
                    </a:xfrm>
                    <a:prstGeom prst="rect">
                      <a:avLst/>
                    </a:prstGeom>
                    <a:noFill/>
                  </pic:spPr>
                </pic:pic>
              </a:graphicData>
            </a:graphic>
          </wp:anchor>
        </w:drawing>
      </w:r>
    </w:p>
    <w:p>
      <w:pPr>
        <w:ind w:right="420"/>
        <w:spacing w:after="0" w:line="250" w:lineRule="auto"/>
        <w:rPr>
          <w:rFonts w:ascii="Times New Roman" w:cs="Times New Roman" w:eastAsia="Times New Roman" w:hAnsi="Times New Roman"/>
          <w:sz w:val="18"/>
          <w:szCs w:val="18"/>
          <w:u w:val="single" w:color="auto"/>
          <w:color w:val="0000FF"/>
        </w:rPr>
      </w:pPr>
      <w:hyperlink r:id="rId329">
        <w:r>
          <w:rPr>
            <w:rFonts w:ascii="Times New Roman" w:cs="Times New Roman" w:eastAsia="Times New Roman" w:hAnsi="Times New Roman"/>
            <w:sz w:val="18"/>
            <w:szCs w:val="18"/>
            <w:u w:val="single" w:color="auto"/>
            <w:color w:val="0000FF"/>
          </w:rPr>
          <w:t>Warrant to Purchase Stock, dated February 3, 2026, by and between the Registrant and Banc of California (incorporated by reference to</w:t>
        </w:r>
      </w:hyperlink>
      <w:r>
        <w:rPr>
          <w:rFonts w:ascii="Times New Roman" w:cs="Times New Roman" w:eastAsia="Times New Roman" w:hAnsi="Times New Roman"/>
          <w:sz w:val="18"/>
          <w:szCs w:val="18"/>
          <w:u w:val="single" w:color="auto"/>
          <w:color w:val="0000FF"/>
        </w:rPr>
        <w:t xml:space="preserve"> </w:t>
      </w:r>
      <w:hyperlink r:id="rId329">
        <w:r>
          <w:rPr>
            <w:rFonts w:ascii="Times New Roman" w:cs="Times New Roman" w:eastAsia="Times New Roman" w:hAnsi="Times New Roman"/>
            <w:sz w:val="18"/>
            <w:szCs w:val="18"/>
            <w:u w:val="single" w:color="auto"/>
            <w:color w:val="0000FF"/>
          </w:rPr>
          <w:t>Exhibit 4.1 to the Registrant's Registration Statement on Form S-1 (File No. 333-294932).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623760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3">
                      <a:extLst>
                        <a:ext uri="{28A0092B-C50C-407E-A947-70E740481C1C}"/>
                      </a:extLst>
                    </a:blip>
                    <a:srcRect/>
                    <a:stretch>
                      <a:fillRect/>
                    </a:stretch>
                  </pic:blipFill>
                  <pic:spPr bwMode="auto">
                    <a:xfrm>
                      <a:off x="0" y="0"/>
                      <a:ext cx="623760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41236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4">
                      <a:extLst>
                        <a:ext uri="{28A0092B-C50C-407E-A947-70E740481C1C}"/>
                      </a:extLst>
                    </a:blip>
                    <a:srcRect/>
                    <a:stretch>
                      <a:fillRect/>
                    </a:stretch>
                  </pic:blipFill>
                  <pic:spPr bwMode="auto">
                    <a:xfrm>
                      <a:off x="0" y="0"/>
                      <a:ext cx="4123690" cy="8255"/>
                    </a:xfrm>
                    <a:prstGeom prst="rect">
                      <a:avLst/>
                    </a:prstGeom>
                    <a:noFill/>
                  </pic:spPr>
                </pic:pic>
              </a:graphicData>
            </a:graphic>
          </wp:anchor>
        </w:drawing>
      </w:r>
    </w:p>
    <w:p>
      <w:pPr>
        <w:ind w:right="740"/>
        <w:spacing w:after="0" w:line="250" w:lineRule="auto"/>
        <w:rPr>
          <w:rFonts w:ascii="Times New Roman" w:cs="Times New Roman" w:eastAsia="Times New Roman" w:hAnsi="Times New Roman"/>
          <w:sz w:val="18"/>
          <w:szCs w:val="18"/>
          <w:u w:val="single" w:color="auto"/>
          <w:color w:val="0000FF"/>
        </w:rPr>
      </w:pPr>
      <w:hyperlink r:id="rId331">
        <w:r>
          <w:rPr>
            <w:rFonts w:ascii="Times New Roman" w:cs="Times New Roman" w:eastAsia="Times New Roman" w:hAnsi="Times New Roman"/>
            <w:sz w:val="18"/>
            <w:szCs w:val="18"/>
            <w:u w:val="single" w:color="auto"/>
            <w:color w:val="0000FF"/>
          </w:rPr>
          <w:t>2026 Equity Incentive Plan and form of award agreements thereunder (incorporated by reference to Exhibit 10.3 to the Registrant’s</w:t>
        </w:r>
      </w:hyperlink>
      <w:r>
        <w:rPr>
          <w:rFonts w:ascii="Times New Roman" w:cs="Times New Roman" w:eastAsia="Times New Roman" w:hAnsi="Times New Roman"/>
          <w:sz w:val="18"/>
          <w:szCs w:val="18"/>
          <w:u w:val="single" w:color="auto"/>
          <w:color w:val="0000FF"/>
        </w:rPr>
        <w:t xml:space="preserve"> </w:t>
      </w:r>
      <w:hyperlink r:id="rId331">
        <w:r>
          <w:rPr>
            <w:rFonts w:ascii="Times New Roman" w:cs="Times New Roman" w:eastAsia="Times New Roman" w:hAnsi="Times New Roman"/>
            <w:sz w:val="18"/>
            <w:szCs w:val="18"/>
            <w:u w:val="single" w:color="auto"/>
            <w:color w:val="0000FF"/>
          </w:rPr>
          <w:t>Registration Statement on Form S-1, as amended (File No. 333-294932).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603440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5">
                      <a:extLst>
                        <a:ext uri="{28A0092B-C50C-407E-A947-70E740481C1C}"/>
                      </a:extLst>
                    </a:blip>
                    <a:srcRect/>
                    <a:stretch>
                      <a:fillRect/>
                    </a:stretch>
                  </pic:blipFill>
                  <pic:spPr bwMode="auto">
                    <a:xfrm>
                      <a:off x="0" y="0"/>
                      <a:ext cx="60344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333184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6">
                      <a:extLst>
                        <a:ext uri="{28A0092B-C50C-407E-A947-70E740481C1C}"/>
                      </a:extLst>
                    </a:blip>
                    <a:srcRect/>
                    <a:stretch>
                      <a:fillRect/>
                    </a:stretch>
                  </pic:blipFill>
                  <pic:spPr bwMode="auto">
                    <a:xfrm>
                      <a:off x="0" y="0"/>
                      <a:ext cx="3331845" cy="8255"/>
                    </a:xfrm>
                    <a:prstGeom prst="rect">
                      <a:avLst/>
                    </a:prstGeom>
                    <a:noFill/>
                  </pic:spPr>
                </pic:pic>
              </a:graphicData>
            </a:graphic>
          </wp:anchor>
        </w:drawing>
      </w:r>
    </w:p>
    <w:p>
      <w:pPr>
        <w:ind w:right="240"/>
        <w:spacing w:after="0" w:line="250" w:lineRule="auto"/>
        <w:rPr>
          <w:rFonts w:ascii="Times New Roman" w:cs="Times New Roman" w:eastAsia="Times New Roman" w:hAnsi="Times New Roman"/>
          <w:sz w:val="18"/>
          <w:szCs w:val="18"/>
          <w:u w:val="single" w:color="auto"/>
          <w:color w:val="0000FF"/>
        </w:rPr>
      </w:pPr>
      <w:hyperlink r:id="rId333">
        <w:r>
          <w:rPr>
            <w:rFonts w:ascii="Times New Roman" w:cs="Times New Roman" w:eastAsia="Times New Roman" w:hAnsi="Times New Roman"/>
            <w:sz w:val="18"/>
            <w:szCs w:val="18"/>
            <w:u w:val="single" w:color="auto"/>
            <w:color w:val="0000FF"/>
          </w:rPr>
          <w:t>2026 Employee Stock Purchase Plan (incorporated by reference to Exhibit 10.4 to the Registrant’s Registration Statement on Form S-1, as</w:t>
        </w:r>
      </w:hyperlink>
      <w:r>
        <w:rPr>
          <w:rFonts w:ascii="Times New Roman" w:cs="Times New Roman" w:eastAsia="Times New Roman" w:hAnsi="Times New Roman"/>
          <w:sz w:val="18"/>
          <w:szCs w:val="18"/>
          <w:u w:val="single" w:color="auto"/>
          <w:color w:val="0000FF"/>
        </w:rPr>
        <w:t xml:space="preserve"> </w:t>
      </w:r>
      <w:hyperlink r:id="rId333">
        <w:r>
          <w:rPr>
            <w:rFonts w:ascii="Times New Roman" w:cs="Times New Roman" w:eastAsia="Times New Roman" w:hAnsi="Times New Roman"/>
            <w:sz w:val="18"/>
            <w:szCs w:val="18"/>
            <w:u w:val="single" w:color="auto"/>
            <w:color w:val="0000FF"/>
          </w:rPr>
          <w:t>amended (File No. 333-294932).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635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7">
                      <a:extLst>
                        <a:ext uri="{28A0092B-C50C-407E-A947-70E740481C1C}"/>
                      </a:extLst>
                    </a:blip>
                    <a:srcRect/>
                    <a:stretch>
                      <a:fillRect/>
                    </a:stretch>
                  </pic:blipFill>
                  <pic:spPr bwMode="auto">
                    <a:xfrm>
                      <a:off x="0" y="0"/>
                      <a:ext cx="63588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150114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8">
                      <a:extLst>
                        <a:ext uri="{28A0092B-C50C-407E-A947-70E740481C1C}"/>
                      </a:extLst>
                    </a:blip>
                    <a:srcRect/>
                    <a:stretch>
                      <a:fillRect/>
                    </a:stretch>
                  </pic:blipFill>
                  <pic:spPr bwMode="auto">
                    <a:xfrm>
                      <a:off x="0" y="0"/>
                      <a:ext cx="1501140" cy="8255"/>
                    </a:xfrm>
                    <a:prstGeom prst="rect">
                      <a:avLst/>
                    </a:prstGeom>
                    <a:noFill/>
                  </pic:spPr>
                </pic:pic>
              </a:graphicData>
            </a:graphic>
          </wp:anchor>
        </w:drawing>
      </w:r>
    </w:p>
    <w:p>
      <w:pPr>
        <w:ind w:right="20"/>
        <w:spacing w:after="0" w:line="250" w:lineRule="auto"/>
        <w:rPr>
          <w:rFonts w:ascii="Times New Roman" w:cs="Times New Roman" w:eastAsia="Times New Roman" w:hAnsi="Times New Roman"/>
          <w:sz w:val="18"/>
          <w:szCs w:val="18"/>
          <w:u w:val="single" w:color="auto"/>
          <w:color w:val="0000FF"/>
        </w:rPr>
      </w:pPr>
      <w:hyperlink r:id="rId335">
        <w:r>
          <w:rPr>
            <w:rFonts w:ascii="Times New Roman" w:cs="Times New Roman" w:eastAsia="Times New Roman" w:hAnsi="Times New Roman"/>
            <w:sz w:val="18"/>
            <w:szCs w:val="18"/>
            <w:u w:val="single" w:color="auto"/>
            <w:color w:val="0000FF"/>
          </w:rPr>
          <w:t>Form of Officer Indemnification Agreement, by and between the Registrant and its directors (incorporated by reference to Exhibit 10.5 to the</w:t>
        </w:r>
      </w:hyperlink>
      <w:r>
        <w:rPr>
          <w:rFonts w:ascii="Times New Roman" w:cs="Times New Roman" w:eastAsia="Times New Roman" w:hAnsi="Times New Roman"/>
          <w:sz w:val="18"/>
          <w:szCs w:val="18"/>
          <w:u w:val="single" w:color="auto"/>
          <w:color w:val="0000FF"/>
        </w:rPr>
        <w:t xml:space="preserve"> </w:t>
      </w:r>
      <w:hyperlink r:id="rId335">
        <w:r>
          <w:rPr>
            <w:rFonts w:ascii="Times New Roman" w:cs="Times New Roman" w:eastAsia="Times New Roman" w:hAnsi="Times New Roman"/>
            <w:sz w:val="18"/>
            <w:szCs w:val="18"/>
            <w:u w:val="single" w:color="auto"/>
            <w:color w:val="0000FF"/>
          </w:rPr>
          <w:t>Registrant’s Registration Statement on Form S-1 (File No. 333-294932).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648144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9">
                      <a:extLst>
                        <a:ext uri="{28A0092B-C50C-407E-A947-70E740481C1C}"/>
                      </a:extLst>
                    </a:blip>
                    <a:srcRect/>
                    <a:stretch>
                      <a:fillRect/>
                    </a:stretch>
                  </pic:blipFill>
                  <pic:spPr bwMode="auto">
                    <a:xfrm>
                      <a:off x="0" y="0"/>
                      <a:ext cx="64814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331914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right="100"/>
        <w:spacing w:after="0" w:line="250" w:lineRule="auto"/>
        <w:rPr>
          <w:rFonts w:ascii="Times New Roman" w:cs="Times New Roman" w:eastAsia="Times New Roman" w:hAnsi="Times New Roman"/>
          <w:sz w:val="18"/>
          <w:szCs w:val="18"/>
          <w:u w:val="single" w:color="auto"/>
          <w:color w:val="0000FF"/>
        </w:rPr>
      </w:pPr>
      <w:hyperlink r:id="rId337">
        <w:r>
          <w:rPr>
            <w:rFonts w:ascii="Times New Roman" w:cs="Times New Roman" w:eastAsia="Times New Roman" w:hAnsi="Times New Roman"/>
            <w:sz w:val="18"/>
            <w:szCs w:val="18"/>
            <w:u w:val="single" w:color="auto"/>
            <w:color w:val="0000FF"/>
          </w:rPr>
          <w:t>Form of Director Indemnification Agreement, by and between the Registrant and its executive officers (incorporated by reference to Exhibit</w:t>
        </w:r>
      </w:hyperlink>
      <w:r>
        <w:rPr>
          <w:rFonts w:ascii="Times New Roman" w:cs="Times New Roman" w:eastAsia="Times New Roman" w:hAnsi="Times New Roman"/>
          <w:sz w:val="18"/>
          <w:szCs w:val="18"/>
          <w:u w:val="single" w:color="auto"/>
          <w:color w:val="0000FF"/>
        </w:rPr>
        <w:t xml:space="preserve"> </w:t>
      </w:r>
      <w:hyperlink r:id="rId337">
        <w:r>
          <w:rPr>
            <w:rFonts w:ascii="Times New Roman" w:cs="Times New Roman" w:eastAsia="Times New Roman" w:hAnsi="Times New Roman"/>
            <w:sz w:val="18"/>
            <w:szCs w:val="18"/>
            <w:u w:val="single" w:color="auto"/>
            <w:color w:val="0000FF"/>
          </w:rPr>
          <w:t>10.6 to the Registrant’s Registration Statement on Form S-1 (File No. 333-294932).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64401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1">
                      <a:extLst>
                        <a:ext uri="{28A0092B-C50C-407E-A947-70E740481C1C}"/>
                      </a:extLst>
                    </a:blip>
                    <a:srcRect/>
                    <a:stretch>
                      <a:fillRect/>
                    </a:stretch>
                  </pic:blipFill>
                  <pic:spPr bwMode="auto">
                    <a:xfrm>
                      <a:off x="0" y="0"/>
                      <a:ext cx="64401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383349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2">
                      <a:extLst>
                        <a:ext uri="{28A0092B-C50C-407E-A947-70E740481C1C}"/>
                      </a:extLst>
                    </a:blip>
                    <a:srcRect/>
                    <a:stretch>
                      <a:fillRect/>
                    </a:stretch>
                  </pic:blipFill>
                  <pic:spPr bwMode="auto">
                    <a:xfrm>
                      <a:off x="0" y="0"/>
                      <a:ext cx="3833495" cy="8255"/>
                    </a:xfrm>
                    <a:prstGeom prst="rect">
                      <a:avLst/>
                    </a:prstGeom>
                    <a:noFill/>
                  </pic:spPr>
                </pic:pic>
              </a:graphicData>
            </a:graphic>
          </wp:anchor>
        </w:drawing>
      </w:r>
    </w:p>
    <w:p>
      <w:pPr>
        <w:ind w:right="20"/>
        <w:spacing w:after="0" w:line="250" w:lineRule="auto"/>
        <w:rPr>
          <w:rFonts w:ascii="Times New Roman" w:cs="Times New Roman" w:eastAsia="Times New Roman" w:hAnsi="Times New Roman"/>
          <w:sz w:val="18"/>
          <w:szCs w:val="18"/>
          <w:u w:val="single" w:color="auto"/>
          <w:color w:val="0000FF"/>
        </w:rPr>
      </w:pPr>
      <w:hyperlink r:id="rId339">
        <w:r>
          <w:rPr>
            <w:rFonts w:ascii="Times New Roman" w:cs="Times New Roman" w:eastAsia="Times New Roman" w:hAnsi="Times New Roman"/>
            <w:sz w:val="18"/>
            <w:szCs w:val="18"/>
            <w:u w:val="single" w:color="auto"/>
            <w:color w:val="0000FF"/>
          </w:rPr>
          <w:t>Senior Executive Cash Incentive Bonus Plan (incorporated by reference to Exhibit 10.7 to the Registrant's Registration Statement on Form S-</w:t>
        </w:r>
      </w:hyperlink>
      <w:hyperlink r:id="rId339">
        <w:r>
          <w:rPr>
            <w:rFonts w:ascii="Times New Roman" w:cs="Times New Roman" w:eastAsia="Times New Roman" w:hAnsi="Times New Roman"/>
            <w:sz w:val="18"/>
            <w:szCs w:val="18"/>
            <w:u w:val="single" w:color="auto"/>
            <w:color w:val="0000FF"/>
          </w:rPr>
          <w:t>1 (File No. 333-294932).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646811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3">
                      <a:extLst>
                        <a:ext uri="{28A0092B-C50C-407E-A947-70E740481C1C}"/>
                      </a:extLst>
                    </a:blip>
                    <a:srcRect/>
                    <a:stretch>
                      <a:fillRect/>
                    </a:stretch>
                  </pic:blipFill>
                  <pic:spPr bwMode="auto">
                    <a:xfrm>
                      <a:off x="0" y="0"/>
                      <a:ext cx="64681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114554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4">
                      <a:extLst>
                        <a:ext uri="{28A0092B-C50C-407E-A947-70E740481C1C}"/>
                      </a:extLst>
                    </a:blip>
                    <a:srcRect/>
                    <a:stretch>
                      <a:fillRect/>
                    </a:stretch>
                  </pic:blipFill>
                  <pic:spPr bwMode="auto">
                    <a:xfrm>
                      <a:off x="0" y="0"/>
                      <a:ext cx="1145540" cy="8890"/>
                    </a:xfrm>
                    <a:prstGeom prst="rect">
                      <a:avLst/>
                    </a:prstGeom>
                    <a:noFill/>
                  </pic:spPr>
                </pic:pic>
              </a:graphicData>
            </a:graphic>
          </wp:anchor>
        </w:drawing>
      </w:r>
    </w:p>
    <w:p>
      <w:pPr>
        <w:ind w:right="180"/>
        <w:spacing w:after="0" w:line="250" w:lineRule="auto"/>
        <w:rPr>
          <w:rFonts w:ascii="Times New Roman" w:cs="Times New Roman" w:eastAsia="Times New Roman" w:hAnsi="Times New Roman"/>
          <w:sz w:val="18"/>
          <w:szCs w:val="18"/>
          <w:u w:val="single" w:color="auto"/>
          <w:color w:val="0000FF"/>
        </w:rPr>
      </w:pPr>
      <w:hyperlink r:id="rId341">
        <w:r>
          <w:rPr>
            <w:rFonts w:ascii="Times New Roman" w:cs="Times New Roman" w:eastAsia="Times New Roman" w:hAnsi="Times New Roman"/>
            <w:sz w:val="18"/>
            <w:szCs w:val="18"/>
            <w:u w:val="single" w:color="auto"/>
            <w:color w:val="0000FF"/>
          </w:rPr>
          <w:t>Executive Severance Plan (incorporated by reference to Exhibit 10.8 to the Registrant’s Registration Statement on Form S-1 (File No. 333-</w:t>
        </w:r>
      </w:hyperlink>
      <w:hyperlink r:id="rId341">
        <w:r>
          <w:rPr>
            <w:rFonts w:ascii="Times New Roman" w:cs="Times New Roman" w:eastAsia="Times New Roman" w:hAnsi="Times New Roman"/>
            <w:sz w:val="18"/>
            <w:szCs w:val="18"/>
            <w:u w:val="single" w:color="auto"/>
            <w:color w:val="0000FF"/>
          </w:rPr>
          <w:t>294976).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636143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5">
                      <a:extLst>
                        <a:ext uri="{28A0092B-C50C-407E-A947-70E740481C1C}"/>
                      </a:extLst>
                    </a:blip>
                    <a:srcRect/>
                    <a:stretch>
                      <a:fillRect/>
                    </a:stretch>
                  </pic:blipFill>
                  <pic:spPr bwMode="auto">
                    <a:xfrm>
                      <a:off x="0" y="0"/>
                      <a:ext cx="63614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40957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6">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ind w:right="100"/>
        <w:spacing w:after="0" w:line="250" w:lineRule="auto"/>
        <w:rPr>
          <w:rFonts w:ascii="Times New Roman" w:cs="Times New Roman" w:eastAsia="Times New Roman" w:hAnsi="Times New Roman"/>
          <w:sz w:val="18"/>
          <w:szCs w:val="18"/>
          <w:u w:val="single" w:color="auto"/>
          <w:color w:val="0000FF"/>
        </w:rPr>
      </w:pPr>
      <w:hyperlink r:id="rId343">
        <w:r>
          <w:rPr>
            <w:rFonts w:ascii="Times New Roman" w:cs="Times New Roman" w:eastAsia="Times New Roman" w:hAnsi="Times New Roman"/>
            <w:sz w:val="18"/>
            <w:szCs w:val="18"/>
            <w:u w:val="single" w:color="auto"/>
            <w:color w:val="0000FF"/>
          </w:rPr>
          <w:t>Non-Employee Director Compensation Policy (incorporated by reference to Exhibit 10.9 to the Registrant's Registration Statement on Form</w:t>
        </w:r>
      </w:hyperlink>
      <w:r>
        <w:rPr>
          <w:rFonts w:ascii="Times New Roman" w:cs="Times New Roman" w:eastAsia="Times New Roman" w:hAnsi="Times New Roman"/>
          <w:sz w:val="18"/>
          <w:szCs w:val="18"/>
          <w:u w:val="single" w:color="auto"/>
          <w:color w:val="0000FF"/>
        </w:rPr>
        <w:t xml:space="preserve"> </w:t>
      </w:r>
      <w:hyperlink r:id="rId343">
        <w:r>
          <w:rPr>
            <w:rFonts w:ascii="Times New Roman" w:cs="Times New Roman" w:eastAsia="Times New Roman" w:hAnsi="Times New Roman"/>
            <w:sz w:val="18"/>
            <w:szCs w:val="18"/>
            <w:u w:val="single" w:color="auto"/>
            <w:color w:val="0000FF"/>
          </w:rPr>
          <w:t>S-1 (File No. 333-294932).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643636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7">
                      <a:extLst>
                        <a:ext uri="{28A0092B-C50C-407E-A947-70E740481C1C}"/>
                      </a:extLst>
                    </a:blip>
                    <a:srcRect/>
                    <a:stretch>
                      <a:fillRect/>
                    </a:stretch>
                  </pic:blipFill>
                  <pic:spPr bwMode="auto">
                    <a:xfrm>
                      <a:off x="0" y="0"/>
                      <a:ext cx="64363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124714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8">
                      <a:extLst>
                        <a:ext uri="{28A0092B-C50C-407E-A947-70E740481C1C}"/>
                      </a:extLst>
                    </a:blip>
                    <a:srcRect/>
                    <a:stretch>
                      <a:fillRect/>
                    </a:stretch>
                  </pic:blipFill>
                  <pic:spPr bwMode="auto">
                    <a:xfrm>
                      <a:off x="0" y="0"/>
                      <a:ext cx="1247140" cy="825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345">
        <w:r>
          <w:rPr>
            <w:rFonts w:ascii="Times New Roman" w:cs="Times New Roman" w:eastAsia="Times New Roman" w:hAnsi="Times New Roman"/>
            <w:sz w:val="18"/>
            <w:szCs w:val="18"/>
            <w:u w:val="single" w:color="auto"/>
            <w:color w:val="0000FF"/>
          </w:rPr>
          <w:t>Compensation Recovery Policy (incorporated by reference to Exhibit 10.10 to the Registrant's Registration Statement on Form S-1 (File No.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4522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9">
                      <a:extLst>
                        <a:ext uri="{28A0092B-C50C-407E-A947-70E740481C1C}"/>
                      </a:extLst>
                    </a:blip>
                    <a:srcRect/>
                    <a:stretch>
                      <a:fillRect/>
                    </a:stretch>
                  </pic:blipFill>
                  <pic:spPr bwMode="auto">
                    <a:xfrm>
                      <a:off x="0" y="0"/>
                      <a:ext cx="6452235" cy="825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345">
        <w:r>
          <w:rPr>
            <w:rFonts w:ascii="Times New Roman" w:cs="Times New Roman" w:eastAsia="Times New Roman" w:hAnsi="Times New Roman"/>
            <w:sz w:val="18"/>
            <w:szCs w:val="18"/>
            <w:u w:val="single" w:color="auto"/>
            <w:color w:val="0000FF"/>
          </w:rPr>
          <w:t>333-294932).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1849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0">
                      <a:extLst>
                        <a:ext uri="{28A0092B-C50C-407E-A947-70E740481C1C}"/>
                      </a:extLst>
                    </a:blip>
                    <a:srcRect/>
                    <a:stretch>
                      <a:fillRect/>
                    </a:stretch>
                  </pic:blipFill>
                  <pic:spPr bwMode="auto">
                    <a:xfrm>
                      <a:off x="0" y="0"/>
                      <a:ext cx="61849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Employment Agreement, by and between the Registrant and Lyn Baranowski, effective as of 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500697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1">
                      <a:extLst>
                        <a:ext uri="{28A0092B-C50C-407E-A947-70E740481C1C}"/>
                      </a:extLst>
                    </a:blip>
                    <a:srcRect/>
                    <a:stretch>
                      <a:fillRect/>
                    </a:stretch>
                  </pic:blipFill>
                  <pic:spPr bwMode="auto">
                    <a:xfrm>
                      <a:off x="0" y="0"/>
                      <a:ext cx="500697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Employment Agreement, by and between the Registrant and Douglas Carlson, effective as of 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498475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2">
                      <a:extLst>
                        <a:ext uri="{28A0092B-C50C-407E-A947-70E740481C1C}"/>
                      </a:extLst>
                    </a:blip>
                    <a:srcRect/>
                    <a:stretch>
                      <a:fillRect/>
                    </a:stretch>
                  </pic:blipFill>
                  <pic:spPr bwMode="auto">
                    <a:xfrm>
                      <a:off x="0" y="0"/>
                      <a:ext cx="498475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Employment Agreement, by and between the Registrant and Melissa Rhodes, effective as of 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494665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3">
                      <a:extLst>
                        <a:ext uri="{28A0092B-C50C-407E-A947-70E740481C1C}"/>
                      </a:extLst>
                    </a:blip>
                    <a:srcRect/>
                    <a:stretch>
                      <a:fillRect/>
                    </a:stretch>
                  </pic:blipFill>
                  <pic:spPr bwMode="auto">
                    <a:xfrm>
                      <a:off x="0" y="0"/>
                      <a:ext cx="494665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Employment Agreement, by and between the Registrant and Howard Lazarus, effective as of 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497776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4">
                      <a:extLst>
                        <a:ext uri="{28A0092B-C50C-407E-A947-70E740481C1C}"/>
                      </a:extLst>
                    </a:blip>
                    <a:srcRect/>
                    <a:stretch>
                      <a:fillRect/>
                    </a:stretch>
                  </pic:blipFill>
                  <pic:spPr bwMode="auto">
                    <a:xfrm>
                      <a:off x="0" y="0"/>
                      <a:ext cx="4977765" cy="8255"/>
                    </a:xfrm>
                    <a:prstGeom prst="rect">
                      <a:avLst/>
                    </a:prstGeom>
                    <a:noFill/>
                  </pic:spPr>
                </pic:pic>
              </a:graphicData>
            </a:graphic>
          </wp:anchor>
        </w:drawing>
      </w:r>
    </w:p>
    <w:p>
      <w:pPr>
        <w:ind w:right="500"/>
        <w:spacing w:after="0" w:line="250" w:lineRule="auto"/>
        <w:rPr>
          <w:rFonts w:ascii="Times New Roman" w:cs="Times New Roman" w:eastAsia="Times New Roman" w:hAnsi="Times New Roman"/>
          <w:sz w:val="18"/>
          <w:szCs w:val="18"/>
          <w:u w:val="single" w:color="auto"/>
          <w:color w:val="0000FF"/>
        </w:rPr>
      </w:pPr>
      <w:hyperlink r:id="rId351">
        <w:r>
          <w:rPr>
            <w:rFonts w:ascii="Times New Roman" w:cs="Times New Roman" w:eastAsia="Times New Roman" w:hAnsi="Times New Roman"/>
            <w:sz w:val="18"/>
            <w:szCs w:val="18"/>
            <w:u w:val="single" w:color="auto"/>
            <w:color w:val="0000FF"/>
          </w:rPr>
          <w:t>License Agreement dated April 3, 2017, by and between the Registrant and PARI Technology Services, as amended. (incorporated by</w:t>
        </w:r>
      </w:hyperlink>
      <w:r>
        <w:rPr>
          <w:rFonts w:ascii="Times New Roman" w:cs="Times New Roman" w:eastAsia="Times New Roman" w:hAnsi="Times New Roman"/>
          <w:sz w:val="18"/>
          <w:szCs w:val="18"/>
          <w:u w:val="single" w:color="auto"/>
          <w:color w:val="0000FF"/>
        </w:rPr>
        <w:t xml:space="preserve"> </w:t>
      </w:r>
      <w:hyperlink r:id="rId351">
        <w:r>
          <w:rPr>
            <w:rFonts w:ascii="Times New Roman" w:cs="Times New Roman" w:eastAsia="Times New Roman" w:hAnsi="Times New Roman"/>
            <w:sz w:val="18"/>
            <w:szCs w:val="18"/>
            <w:u w:val="single" w:color="auto"/>
            <w:color w:val="0000FF"/>
          </w:rPr>
          <w:t>reference to Exhibit 10.6 to the Registrant’s Registration Statement on Form S-1 (File No. 333-294976).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618680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5">
                      <a:extLst>
                        <a:ext uri="{28A0092B-C50C-407E-A947-70E740481C1C}"/>
                      </a:extLst>
                    </a:blip>
                    <a:srcRect/>
                    <a:stretch>
                      <a:fillRect/>
                    </a:stretch>
                  </pic:blipFill>
                  <pic:spPr bwMode="auto">
                    <a:xfrm>
                      <a:off x="0" y="0"/>
                      <a:ext cx="61868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476948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6">
                      <a:extLst>
                        <a:ext uri="{28A0092B-C50C-407E-A947-70E740481C1C}"/>
                      </a:extLst>
                    </a:blip>
                    <a:srcRect/>
                    <a:stretch>
                      <a:fillRect/>
                    </a:stretch>
                  </pic:blipFill>
                  <pic:spPr bwMode="auto">
                    <a:xfrm>
                      <a:off x="0" y="0"/>
                      <a:ext cx="4769485" cy="8255"/>
                    </a:xfrm>
                    <a:prstGeom prst="rect">
                      <a:avLst/>
                    </a:prstGeom>
                    <a:noFill/>
                  </pic:spPr>
                </pic:pic>
              </a:graphicData>
            </a:graphic>
          </wp:anchor>
        </w:drawing>
      </w:r>
    </w:p>
    <w:p>
      <w:pPr>
        <w:spacing w:after="0" w:line="250" w:lineRule="auto"/>
        <w:rPr>
          <w:rFonts w:ascii="Times New Roman" w:cs="Times New Roman" w:eastAsia="Times New Roman" w:hAnsi="Times New Roman"/>
          <w:sz w:val="18"/>
          <w:szCs w:val="18"/>
          <w:u w:val="single" w:color="auto"/>
          <w:color w:val="0000FF"/>
        </w:rPr>
      </w:pPr>
      <w:hyperlink r:id="rId353">
        <w:r>
          <w:rPr>
            <w:rFonts w:ascii="Times New Roman" w:cs="Times New Roman" w:eastAsia="Times New Roman" w:hAnsi="Times New Roman"/>
            <w:sz w:val="18"/>
            <w:szCs w:val="18"/>
            <w:u w:val="single" w:color="auto"/>
            <w:color w:val="0000FF"/>
          </w:rPr>
          <w:t>Amendment No. 1 to License Agreement dated October 15, 2020, by and between the Registrant and PARI Technology Services, as</w:t>
        </w:r>
      </w:hyperlink>
      <w:r>
        <w:rPr>
          <w:rFonts w:ascii="Times New Roman" w:cs="Times New Roman" w:eastAsia="Times New Roman" w:hAnsi="Times New Roman"/>
          <w:sz w:val="18"/>
          <w:szCs w:val="18"/>
          <w:u w:val="single" w:color="auto"/>
          <w:color w:val="0000FF"/>
        </w:rPr>
        <w:t xml:space="preserve"> </w:t>
      </w:r>
      <w:hyperlink r:id="rId353">
        <w:r>
          <w:rPr>
            <w:rFonts w:ascii="Times New Roman" w:cs="Times New Roman" w:eastAsia="Times New Roman" w:hAnsi="Times New Roman"/>
            <w:sz w:val="18"/>
            <w:szCs w:val="18"/>
            <w:u w:val="single" w:color="auto"/>
            <w:color w:val="0000FF"/>
          </w:rPr>
          <w:t>amended (incorporated by reference to Exhibit 10.17 to the Registrant’s Registration Statement on Form S-1 (File No. 333-294976).</w:t>
        </w:r>
      </w:hyperlink>
      <w:r>
        <w:rPr>
          <w:rFonts w:ascii="Times New Roman" w:cs="Times New Roman" w:eastAsia="Times New Roman" w:hAnsi="Times New Roman"/>
          <w:sz w:val="18"/>
          <w:szCs w:val="18"/>
          <w:u w:val="single" w:color="auto"/>
          <w:color w:val="0000FF"/>
        </w:rPr>
        <w:t xml:space="preserve"> </w:t>
      </w:r>
      <w:hyperlink r:id="rId355">
        <w:r>
          <w:rPr>
            <w:rFonts w:ascii="Times New Roman" w:cs="Times New Roman" w:eastAsia="Times New Roman" w:hAnsi="Times New Roman"/>
            <w:sz w:val="18"/>
            <w:szCs w:val="18"/>
            <w:u w:val="single" w:color="auto"/>
            <w:color w:val="0000FF"/>
          </w:rPr>
          <w:t>Amendment No. 2 to License Agreement dated February 9, 2021, by and between the Registrant and PARI Technology Services, as amended</w:t>
        </w:r>
      </w:hyperlink>
      <w:r>
        <w:rPr>
          <w:rFonts w:ascii="Times New Roman" w:cs="Times New Roman" w:eastAsia="Times New Roman" w:hAnsi="Times New Roman"/>
          <w:sz w:val="18"/>
          <w:szCs w:val="18"/>
          <w:u w:val="single" w:color="auto"/>
          <w:color w:val="0000FF"/>
        </w:rPr>
        <w:t xml:space="preserve"> </w:t>
      </w:r>
      <w:hyperlink r:id="rId355">
        <w:r>
          <w:rPr>
            <w:rFonts w:ascii="Times New Roman" w:cs="Times New Roman" w:eastAsia="Times New Roman" w:hAnsi="Times New Roman"/>
            <w:sz w:val="18"/>
            <w:szCs w:val="18"/>
            <w:u w:val="single" w:color="auto"/>
            <w:color w:val="0000FF"/>
          </w:rPr>
          <w:t>(incorporated by reference to Exhibit 10.18 to the Registrant’s Registration Statement on Form S-1 (File No. 333-294976).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-435610</wp:posOffset>
            </wp:positionV>
            <wp:extent cx="60794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7">
                      <a:extLst>
                        <a:ext uri="{28A0092B-C50C-407E-A947-70E740481C1C}"/>
                      </a:extLst>
                    </a:blip>
                    <a:srcRect/>
                    <a:stretch>
                      <a:fillRect/>
                    </a:stretch>
                  </pic:blipFill>
                  <pic:spPr bwMode="auto">
                    <a:xfrm>
                      <a:off x="0" y="0"/>
                      <a:ext cx="60794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-298450</wp:posOffset>
            </wp:positionV>
            <wp:extent cx="60540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8">
                      <a:extLst>
                        <a:ext uri="{28A0092B-C50C-407E-A947-70E740481C1C}"/>
                      </a:extLst>
                    </a:blip>
                    <a:srcRect/>
                    <a:stretch>
                      <a:fillRect/>
                    </a:stretch>
                  </pic:blipFill>
                  <pic:spPr bwMode="auto">
                    <a:xfrm>
                      <a:off x="0" y="0"/>
                      <a:ext cx="605409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-161290</wp:posOffset>
            </wp:positionV>
            <wp:extent cx="648144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9">
                      <a:extLst>
                        <a:ext uri="{28A0092B-C50C-407E-A947-70E740481C1C}"/>
                      </a:extLst>
                    </a:blip>
                    <a:srcRect/>
                    <a:stretch>
                      <a:fillRect/>
                    </a:stretch>
                  </pic:blipFill>
                  <pic:spPr bwMode="auto">
                    <a:xfrm>
                      <a:off x="0" y="0"/>
                      <a:ext cx="64814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-24130</wp:posOffset>
            </wp:positionV>
            <wp:extent cx="56134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0">
                      <a:extLst>
                        <a:ext uri="{28A0092B-C50C-407E-A947-70E740481C1C}"/>
                      </a:extLst>
                    </a:blip>
                    <a:srcRect/>
                    <a:stretch>
                      <a:fillRect/>
                    </a:stretch>
                  </pic:blipFill>
                  <pic:spPr bwMode="auto">
                    <a:xfrm>
                      <a:off x="0" y="0"/>
                      <a:ext cx="5613400" cy="8255"/>
                    </a:xfrm>
                    <a:prstGeom prst="rect">
                      <a:avLst/>
                    </a:prstGeom>
                    <a:noFill/>
                  </pic:spPr>
                </pic:pic>
              </a:graphicData>
            </a:graphic>
          </wp:anchor>
        </w:drawing>
      </w:r>
    </w:p>
    <w:p>
      <w:pPr>
        <w:ind w:right="420"/>
        <w:spacing w:after="0" w:line="253" w:lineRule="auto"/>
        <w:rPr>
          <w:rFonts w:ascii="Times New Roman" w:cs="Times New Roman" w:eastAsia="Times New Roman" w:hAnsi="Times New Roman"/>
          <w:sz w:val="18"/>
          <w:szCs w:val="18"/>
          <w:u w:val="single" w:color="auto"/>
          <w:color w:val="0000FF"/>
        </w:rPr>
      </w:pPr>
      <w:hyperlink r:id="rId357">
        <w:r>
          <w:rPr>
            <w:rFonts w:ascii="Times New Roman" w:cs="Times New Roman" w:eastAsia="Times New Roman" w:hAnsi="Times New Roman"/>
            <w:sz w:val="18"/>
            <w:szCs w:val="18"/>
            <w:u w:val="single" w:color="auto"/>
            <w:color w:val="0000FF"/>
          </w:rPr>
          <w:t>Material Transfer Agreement, dated January 23, 2020, by and between the Registrant and PARI Technology Services, as amended</w:t>
        </w:r>
      </w:hyperlink>
      <w:r>
        <w:rPr>
          <w:rFonts w:ascii="Times New Roman" w:cs="Times New Roman" w:eastAsia="Times New Roman" w:hAnsi="Times New Roman"/>
          <w:sz w:val="18"/>
          <w:szCs w:val="18"/>
          <w:u w:val="single" w:color="auto"/>
          <w:color w:val="0000FF"/>
        </w:rPr>
        <w:t xml:space="preserve"> </w:t>
      </w:r>
      <w:hyperlink r:id="rId357">
        <w:r>
          <w:rPr>
            <w:rFonts w:ascii="Times New Roman" w:cs="Times New Roman" w:eastAsia="Times New Roman" w:hAnsi="Times New Roman"/>
            <w:sz w:val="18"/>
            <w:szCs w:val="18"/>
            <w:u w:val="single" w:color="auto"/>
            <w:color w:val="0000FF"/>
          </w:rPr>
          <w:t>(incorporated by reference to Exhibit 10.19 to the Registrant’s Registration Statement on Form S-1 (File No. 333-294976).</w:t>
        </w:r>
      </w:hyperlink>
      <w:r>
        <w:rPr>
          <w:rFonts w:ascii="Times New Roman" w:cs="Times New Roman" w:eastAsia="Times New Roman" w:hAnsi="Times New Roman"/>
          <w:sz w:val="18"/>
          <w:szCs w:val="18"/>
          <w:u w:val="single" w:color="auto"/>
          <w:color w:val="0000FF"/>
        </w:rPr>
        <w:t xml:space="preserve"> </w:t>
      </w:r>
      <w:hyperlink r:id="rId359">
        <w:r>
          <w:rPr>
            <w:rFonts w:ascii="Times New Roman" w:cs="Times New Roman" w:eastAsia="Times New Roman" w:hAnsi="Times New Roman"/>
            <w:sz w:val="18"/>
            <w:szCs w:val="18"/>
            <w:u w:val="single" w:color="auto"/>
            <w:color w:val="0000FF"/>
          </w:rPr>
          <w:t>Amendment No. 1 to Material Transfer Agreement, dated November 22, 2021, by and between the Registrant and PARI Technology</w:t>
        </w:r>
      </w:hyperlink>
      <w:r>
        <w:rPr>
          <w:rFonts w:ascii="Times New Roman" w:cs="Times New Roman" w:eastAsia="Times New Roman" w:hAnsi="Times New Roman"/>
          <w:sz w:val="18"/>
          <w:szCs w:val="18"/>
          <w:u w:val="single" w:color="auto"/>
          <w:color w:val="0000FF"/>
        </w:rPr>
        <w:t xml:space="preserve"> </w:t>
      </w:r>
      <w:hyperlink r:id="rId359">
        <w:r>
          <w:rPr>
            <w:rFonts w:ascii="Times New Roman" w:cs="Times New Roman" w:eastAsia="Times New Roman" w:hAnsi="Times New Roman"/>
            <w:sz w:val="18"/>
            <w:szCs w:val="18"/>
            <w:u w:val="single" w:color="auto"/>
            <w:color w:val="0000FF"/>
          </w:rPr>
          <w:t>Services, as amended (incorporated by reference to Exhibit 10.20 to the Registrant’s Registration Statement on Form S-1 (File No. 333-</w:t>
        </w:r>
      </w:hyperlink>
      <w:hyperlink r:id="rId359">
        <w:r>
          <w:rPr>
            <w:rFonts w:ascii="Times New Roman" w:cs="Times New Roman" w:eastAsia="Times New Roman" w:hAnsi="Times New Roman"/>
            <w:sz w:val="18"/>
            <w:szCs w:val="18"/>
            <w:u w:val="single" w:color="auto"/>
            <w:color w:val="0000FF"/>
          </w:rPr>
          <w:t>294976).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-441960</wp:posOffset>
            </wp:positionV>
            <wp:extent cx="598995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1">
                      <a:extLst>
                        <a:ext uri="{28A0092B-C50C-407E-A947-70E740481C1C}"/>
                      </a:extLst>
                    </a:blip>
                    <a:srcRect/>
                    <a:stretch>
                      <a:fillRect/>
                    </a:stretch>
                  </pic:blipFill>
                  <pic:spPr bwMode="auto">
                    <a:xfrm>
                      <a:off x="0" y="0"/>
                      <a:ext cx="59899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-304800</wp:posOffset>
            </wp:positionV>
            <wp:extent cx="564134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2">
                      <a:extLst>
                        <a:ext uri="{28A0092B-C50C-407E-A947-70E740481C1C}"/>
                      </a:extLst>
                    </a:blip>
                    <a:srcRect/>
                    <a:stretch>
                      <a:fillRect/>
                    </a:stretch>
                  </pic:blipFill>
                  <pic:spPr bwMode="auto">
                    <a:xfrm>
                      <a:off x="0" y="0"/>
                      <a:ext cx="56413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-167640</wp:posOffset>
            </wp:positionV>
            <wp:extent cx="61010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3">
                      <a:extLst>
                        <a:ext uri="{28A0092B-C50C-407E-A947-70E740481C1C}"/>
                      </a:extLst>
                    </a:blip>
                    <a:srcRect/>
                    <a:stretch>
                      <a:fillRect/>
                    </a:stretch>
                  </pic:blipFill>
                  <pic:spPr bwMode="auto">
                    <a:xfrm>
                      <a:off x="0" y="0"/>
                      <a:ext cx="61010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-30480</wp:posOffset>
            </wp:positionV>
            <wp:extent cx="621284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4">
                      <a:extLst>
                        <a:ext uri="{28A0092B-C50C-407E-A947-70E740481C1C}"/>
                      </a:extLst>
                    </a:blip>
                    <a:srcRect/>
                    <a:stretch>
                      <a:fillRect/>
                    </a:stretch>
                  </pic:blipFill>
                  <pic:spPr bwMode="auto">
                    <a:xfrm>
                      <a:off x="0" y="0"/>
                      <a:ext cx="62128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106045</wp:posOffset>
            </wp:positionV>
            <wp:extent cx="43815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5">
                      <a:extLst>
                        <a:ext uri="{28A0092B-C50C-407E-A947-70E740481C1C}"/>
                      </a:extLst>
                    </a:blip>
                    <a:srcRect/>
                    <a:stretch>
                      <a:fillRect/>
                    </a:stretch>
                  </pic:blipFill>
                  <pic:spPr bwMode="auto">
                    <a:xfrm>
                      <a:off x="0" y="0"/>
                      <a:ext cx="438150" cy="8255"/>
                    </a:xfrm>
                    <a:prstGeom prst="rect">
                      <a:avLst/>
                    </a:prstGeom>
                    <a:noFill/>
                  </pic:spPr>
                </pic:pic>
              </a:graphicData>
            </a:graphic>
          </wp:anchor>
        </w:drawing>
      </w:r>
    </w:p>
    <w:p>
      <w:pPr>
        <w:spacing w:after="0" w:line="187" w:lineRule="exact"/>
        <w:rPr>
          <w:rFonts w:ascii="Times New Roman" w:cs="Times New Roman" w:eastAsia="Times New Roman" w:hAnsi="Times New Roman"/>
          <w:sz w:val="18"/>
          <w:szCs w:val="18"/>
          <w:u w:val="single" w:color="auto"/>
          <w:color w:val="0000FF"/>
        </w:rPr>
      </w:pPr>
    </w:p>
    <w:p>
      <w:pPr>
        <w:ind w:right="140"/>
        <w:spacing w:after="0" w:line="290" w:lineRule="auto"/>
        <w:rPr>
          <w:rFonts w:ascii="Times New Roman" w:cs="Times New Roman" w:eastAsia="Times New Roman" w:hAnsi="Times New Roman"/>
          <w:sz w:val="17"/>
          <w:szCs w:val="17"/>
          <w:u w:val="single" w:color="auto"/>
          <w:color w:val="0000FF"/>
        </w:rPr>
      </w:pPr>
      <w:hyperlink r:id="rId361">
        <w:r>
          <w:rPr>
            <w:rFonts w:ascii="Times New Roman" w:cs="Times New Roman" w:eastAsia="Times New Roman" w:hAnsi="Times New Roman"/>
            <w:sz w:val="17"/>
            <w:szCs w:val="17"/>
            <w:u w:val="single" w:color="auto"/>
            <w:color w:val="0000FF"/>
          </w:rPr>
          <w:t>Amendment No. 2 to Material Transfer Agreement, dated January 22, 2023, by and between the Registrant and PARI Technology Services,</w:t>
        </w:r>
      </w:hyperlink>
      <w:r>
        <w:rPr>
          <w:rFonts w:ascii="Times New Roman" w:cs="Times New Roman" w:eastAsia="Times New Roman" w:hAnsi="Times New Roman"/>
          <w:sz w:val="17"/>
          <w:szCs w:val="17"/>
          <w:u w:val="single" w:color="auto"/>
          <w:color w:val="0000FF"/>
        </w:rPr>
        <w:t xml:space="preserve"> </w:t>
      </w:r>
      <w:hyperlink r:id="rId361">
        <w:r>
          <w:rPr>
            <w:rFonts w:ascii="Times New Roman" w:cs="Times New Roman" w:eastAsia="Times New Roman" w:hAnsi="Times New Roman"/>
            <w:sz w:val="17"/>
            <w:szCs w:val="17"/>
            <w:u w:val="single" w:color="auto"/>
            <w:color w:val="0000FF"/>
          </w:rPr>
          <w:t>as amended (incorporated by reference to Exhibit 10.21 to the Registrant’s Registration Statement on Form S-1 (File No. 333-294976).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-187960</wp:posOffset>
            </wp:positionV>
            <wp:extent cx="641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6">
                      <a:extLst>
                        <a:ext uri="{28A0092B-C50C-407E-A947-70E740481C1C}"/>
                      </a:extLst>
                    </a:blip>
                    <a:srcRect/>
                    <a:stretch>
                      <a:fillRect/>
                    </a:stretch>
                  </pic:blipFill>
                  <pic:spPr bwMode="auto">
                    <a:xfrm>
                      <a:off x="0" y="0"/>
                      <a:ext cx="64185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-50800</wp:posOffset>
            </wp:positionV>
            <wp:extent cx="617791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7">
                      <a:extLst>
                        <a:ext uri="{28A0092B-C50C-407E-A947-70E740481C1C}"/>
                      </a:extLst>
                    </a:blip>
                    <a:srcRect/>
                    <a:stretch>
                      <a:fillRect/>
                    </a:stretch>
                  </pic:blipFill>
                  <pic:spPr bwMode="auto">
                    <a:xfrm>
                      <a:off x="0" y="0"/>
                      <a:ext cx="6177915" cy="8890"/>
                    </a:xfrm>
                    <a:prstGeom prst="rect">
                      <a:avLst/>
                    </a:prstGeom>
                    <a:noFill/>
                  </pic:spPr>
                </pic:pic>
              </a:graphicData>
            </a:graphic>
          </wp:anchor>
        </w:drawing>
      </w:r>
    </w:p>
    <w:p>
      <w:pPr>
        <w:spacing w:after="0" w:line="1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00" w:space="420"/>
            <w:col w:w="10200"/>
          </w:cols>
          <w:pgMar w:left="320" w:top="981" w:right="35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1040" w:type="dxa"/>
            <w:vAlign w:val="bottom"/>
            <w:gridSpan w:val="4"/>
          </w:tcPr>
          <w:p>
            <w:pPr>
              <w:spacing w:after="0"/>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19†+</w:t>
              </w:r>
            </w:hyperlink>
          </w:p>
        </w:tc>
        <w:tc>
          <w:tcPr>
            <w:tcW w:w="10180" w:type="dxa"/>
            <w:vAlign w:val="bottom"/>
            <w:gridSpan w:val="9"/>
          </w:tcPr>
          <w:p>
            <w:pPr>
              <w:spacing w:after="0"/>
              <w:rPr>
                <w:rFonts w:ascii="Times New Roman" w:cs="Times New Roman" w:eastAsia="Times New Roman" w:hAnsi="Times New Roman"/>
                <w:sz w:val="18"/>
                <w:szCs w:val="18"/>
                <w:color w:val="0000FF"/>
                <w:w w:val="99"/>
              </w:rPr>
            </w:pPr>
            <w:hyperlink r:id="rId409">
              <w:r>
                <w:rPr>
                  <w:rFonts w:ascii="Times New Roman" w:cs="Times New Roman" w:eastAsia="Times New Roman" w:hAnsi="Times New Roman"/>
                  <w:sz w:val="18"/>
                  <w:szCs w:val="18"/>
                  <w:color w:val="0000FF"/>
                  <w:w w:val="99"/>
                </w:rPr>
                <w:t>Amendment No. 3 to Material Transfer Agreement, dated March 20, 2025, by and between the Registrant and PARI Technology Services, as</w:t>
              </w:r>
            </w:hyperlink>
          </w:p>
        </w:tc>
      </w:tr>
      <w:tr>
        <w:trPr>
          <w:trHeight w:val="20"/>
        </w:trPr>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80" w:type="dxa"/>
            <w:vAlign w:val="bottom"/>
            <w:gridSpan w:val="9"/>
          </w:tcPr>
          <w:p>
            <w:pPr>
              <w:spacing w:after="0" w:line="196" w:lineRule="exact"/>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amended (incorporated by reference to Exhibit 10.22 to the Registrant’s Registration Statement on Form S-1 (File No. 333-294976).</w:t>
              </w:r>
            </w:hyperlink>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0000FF"/>
            </w:tcBorders>
            <w:gridSpan w:val="2"/>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20†+</w:t>
              </w:r>
            </w:hyperlink>
          </w:p>
        </w:tc>
        <w:tc>
          <w:tcPr>
            <w:tcW w:w="10180" w:type="dxa"/>
            <w:vAlign w:val="bottom"/>
            <w:gridSpan w:val="9"/>
          </w:tcPr>
          <w:p>
            <w:pPr>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Option Agreement, dated January 1, 2024, by and between the Registrant and PARI Technology Services (incorporated by reference to</w:t>
              </w:r>
            </w:hyperlink>
          </w:p>
        </w:tc>
      </w:tr>
      <w:tr>
        <w:trPr>
          <w:trHeight w:val="20"/>
        </w:trPr>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80" w:type="dxa"/>
            <w:vAlign w:val="bottom"/>
            <w:gridSpan w:val="9"/>
          </w:tcPr>
          <w:p>
            <w:pPr>
              <w:spacing w:after="0" w:line="196" w:lineRule="exact"/>
              <w:rPr>
                <w:rFonts w:ascii="Times New Roman" w:cs="Times New Roman" w:eastAsia="Times New Roman" w:hAnsi="Times New Roman"/>
                <w:sz w:val="18"/>
                <w:szCs w:val="18"/>
                <w:color w:val="0000FF"/>
              </w:rPr>
            </w:pPr>
            <w:hyperlink r:id="rId410">
              <w:r>
                <w:rPr>
                  <w:rFonts w:ascii="Times New Roman" w:cs="Times New Roman" w:eastAsia="Times New Roman" w:hAnsi="Times New Roman"/>
                  <w:sz w:val="18"/>
                  <w:szCs w:val="18"/>
                  <w:color w:val="0000FF"/>
                </w:rPr>
                <w:t>Exhibit 10.23 to the Registrant’s Registration Statement on Form S-1 (File No. 333-294976).</w:t>
              </w:r>
            </w:hyperlink>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21†+</w:t>
              </w:r>
            </w:hyperlink>
          </w:p>
        </w:tc>
        <w:tc>
          <w:tcPr>
            <w:tcW w:w="10180" w:type="dxa"/>
            <w:vAlign w:val="bottom"/>
            <w:gridSpan w:val="9"/>
          </w:tcPr>
          <w:p>
            <w:pPr>
              <w:spacing w:after="0" w:line="196" w:lineRule="exact"/>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Sublease Agreement, by and between the Registrant and CRISPR Therapeutics, Inc., dated as of August 29, 2025 (incorporated by reference</w:t>
              </w:r>
            </w:hyperlink>
          </w:p>
        </w:tc>
      </w:tr>
      <w:tr>
        <w:trPr>
          <w:trHeight w:val="20"/>
        </w:trPr>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1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80" w:type="dxa"/>
            <w:vAlign w:val="bottom"/>
            <w:gridSpan w:val="9"/>
          </w:tcPr>
          <w:p>
            <w:pPr>
              <w:spacing w:after="0" w:line="196" w:lineRule="exact"/>
              <w:rPr>
                <w:rFonts w:ascii="Times New Roman" w:cs="Times New Roman" w:eastAsia="Times New Roman" w:hAnsi="Times New Roman"/>
                <w:sz w:val="18"/>
                <w:szCs w:val="18"/>
                <w:color w:val="0000FF"/>
              </w:rPr>
            </w:pPr>
            <w:hyperlink r:id="rId411">
              <w:r>
                <w:rPr>
                  <w:rFonts w:ascii="Times New Roman" w:cs="Times New Roman" w:eastAsia="Times New Roman" w:hAnsi="Times New Roman"/>
                  <w:sz w:val="18"/>
                  <w:szCs w:val="18"/>
                  <w:color w:val="0000FF"/>
                </w:rPr>
                <w:t>to Exhibit 10.24 to the Registrant’s Registration Statement on Form S-1 (File No. 333-294976).</w:t>
              </w:r>
            </w:hyperlink>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040" w:type="dxa"/>
            <w:vAlign w:val="bottom"/>
            <w:gridSpan w:val="4"/>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22†+</w:t>
              </w:r>
            </w:hyperlink>
          </w:p>
        </w:tc>
        <w:tc>
          <w:tcPr>
            <w:tcW w:w="10180" w:type="dxa"/>
            <w:vAlign w:val="bottom"/>
            <w:gridSpan w:val="9"/>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Loan and Security Agreement, dated February 3, 2026, by and between the Registrant and Banc of California (incorporated by reference to</w:t>
              </w:r>
            </w:hyperlink>
          </w:p>
        </w:tc>
      </w:tr>
      <w:tr>
        <w:trPr>
          <w:trHeight w:val="20"/>
        </w:trPr>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400" w:type="dxa"/>
            <w:vAlign w:val="bottom"/>
            <w:tcBorders>
              <w:left w:val="single" w:sz="8" w:color="0000FF"/>
            </w:tcBorders>
            <w:gridSpan w:val="4"/>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80" w:type="dxa"/>
            <w:vAlign w:val="bottom"/>
            <w:gridSpan w:val="9"/>
          </w:tcPr>
          <w:p>
            <w:pPr>
              <w:spacing w:after="0" w:line="196" w:lineRule="exact"/>
              <w:rPr>
                <w:rFonts w:ascii="Times New Roman" w:cs="Times New Roman" w:eastAsia="Times New Roman" w:hAnsi="Times New Roman"/>
                <w:sz w:val="18"/>
                <w:szCs w:val="18"/>
                <w:color w:val="0000FF"/>
              </w:rPr>
            </w:pPr>
            <w:hyperlink r:id="rId412">
              <w:r>
                <w:rPr>
                  <w:rFonts w:ascii="Times New Roman" w:cs="Times New Roman" w:eastAsia="Times New Roman" w:hAnsi="Times New Roman"/>
                  <w:sz w:val="18"/>
                  <w:szCs w:val="18"/>
                  <w:color w:val="0000FF"/>
                </w:rPr>
                <w:t>Exhibit 10.25 to the Registrant’s Registration Statement on Form S-1 (File No. 333-294976)</w:t>
              </w:r>
              <w:r>
                <w:rPr>
                  <w:rFonts w:ascii="Times New Roman" w:cs="Times New Roman" w:eastAsia="Times New Roman" w:hAnsi="Times New Roman"/>
                  <w:sz w:val="18"/>
                  <w:szCs w:val="18"/>
                  <w:color w:val="000000"/>
                </w:rPr>
                <w:t>.</w:t>
              </w:r>
            </w:hyperlink>
          </w:p>
        </w:tc>
      </w:tr>
      <w:tr>
        <w:trPr>
          <w:trHeight w:val="20"/>
        </w:trPr>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5220" w:type="dxa"/>
            <w:vAlign w:val="bottom"/>
            <w:gridSpan w:val="7"/>
            <w:shd w:val="clear" w:color="auto" w:fill="0000FF"/>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r>
      <w:tr>
        <w:trPr>
          <w:trHeight w:val="196"/>
        </w:trPr>
        <w:tc>
          <w:tcPr>
            <w:tcW w:w="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280" w:type="dxa"/>
            <w:vAlign w:val="bottom"/>
            <w:gridSpan w:val="8"/>
            <w:shd w:val="clear" w:color="auto" w:fill="0000FF"/>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5220" w:type="dxa"/>
            <w:vAlign w:val="bottom"/>
            <w:gridSpan w:val="7"/>
          </w:tcPr>
          <w:p>
            <w:pPr>
              <w:spacing w:after="0" w:line="20" w:lineRule="exact"/>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40" w:type="dxa"/>
            <w:vAlign w:val="bottom"/>
          </w:tcPr>
          <w:p>
            <w:pPr>
              <w:spacing w:after="0"/>
              <w:rPr>
                <w:sz w:val="17"/>
                <w:szCs w:val="17"/>
                <w:color w:val="auto"/>
              </w:rPr>
            </w:pPr>
          </w:p>
        </w:tc>
        <w:tc>
          <w:tcPr>
            <w:tcW w:w="101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r>
      <w:tr>
        <w:trPr>
          <w:trHeight w:val="20"/>
        </w:trPr>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280" w:type="dxa"/>
            <w:vAlign w:val="bottom"/>
            <w:gridSpan w:val="8"/>
            <w:shd w:val="clear" w:color="auto" w:fill="0000FF"/>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600" w:type="dxa"/>
            <w:vAlign w:val="bottom"/>
            <w:gridSpan w:val="3"/>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280" w:type="dxa"/>
            <w:vAlign w:val="bottom"/>
            <w:gridSpan w:val="8"/>
          </w:tcPr>
          <w:p>
            <w:pPr>
              <w:spacing w:after="0" w:line="20" w:lineRule="exact"/>
              <w:rPr>
                <w:sz w:val="1"/>
                <w:szCs w:val="1"/>
                <w:color w:val="auto"/>
              </w:rPr>
            </w:pPr>
          </w:p>
        </w:tc>
      </w:tr>
      <w:tr>
        <w:trPr>
          <w:trHeight w:val="196"/>
        </w:trPr>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440" w:type="dxa"/>
            <w:vAlign w:val="bottom"/>
          </w:tcPr>
          <w:p>
            <w:pPr>
              <w:spacing w:after="0"/>
              <w:rPr>
                <w:sz w:val="17"/>
                <w:szCs w:val="17"/>
                <w:color w:val="auto"/>
              </w:rPr>
            </w:pPr>
          </w:p>
        </w:tc>
        <w:tc>
          <w:tcPr>
            <w:tcW w:w="101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20"/>
        </w:trPr>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180" w:type="dxa"/>
            <w:vAlign w:val="bottom"/>
            <w:gridSpan w:val="9"/>
            <w:shd w:val="clear" w:color="auto" w:fill="0000FF"/>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1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040" w:type="dxa"/>
            <w:vAlign w:val="bottom"/>
            <w:tcBorders>
              <w:right w:val="single" w:sz="8" w:color="0000EE"/>
            </w:tcBorders>
            <w:gridSpan w:val="4"/>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280" w:type="dxa"/>
            <w:vAlign w:val="bottom"/>
            <w:gridSpan w:val="8"/>
          </w:tcPr>
          <w:p>
            <w:pPr>
              <w:spacing w:after="0" w:line="20" w:lineRule="exact"/>
              <w:rPr>
                <w:sz w:val="1"/>
                <w:szCs w:val="1"/>
                <w:color w:val="auto"/>
              </w:rPr>
            </w:pPr>
          </w:p>
        </w:tc>
      </w:tr>
      <w:tr>
        <w:trPr>
          <w:trHeight w:val="218"/>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18" w:lineRule="exact"/>
        <w:rPr>
          <w:sz w:val="20"/>
          <w:szCs w:val="20"/>
          <w:color w:val="auto"/>
        </w:rPr>
      </w:pPr>
    </w:p>
    <w:p>
      <w:pPr>
        <w:ind w:left="360" w:hanging="352"/>
        <w:spacing w:after="0"/>
        <w:tabs>
          <w:tab w:leader="none" w:pos="3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20" w:hanging="512"/>
        <w:spacing w:after="0" w:line="250" w:lineRule="auto"/>
        <w:tabs>
          <w:tab w:leader="none" w:pos="37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32.2 hereto are deemed to be furnished with this Quarterly Report and will not be deemed to be “filed” for purposes of Section 18 of the Exchange Act, except to the extent that the Registrant specifically incorporates it by reference.</w:t>
      </w:r>
    </w:p>
    <w:p>
      <w:pPr>
        <w:spacing w:after="0" w:line="1" w:lineRule="exact"/>
        <w:rPr>
          <w:sz w:val="20"/>
          <w:szCs w:val="20"/>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9" w:lineRule="exact"/>
        <w:rPr>
          <w:sz w:val="20"/>
          <w:szCs w:val="20"/>
          <w:color w:val="auto"/>
        </w:rPr>
      </w:pPr>
    </w:p>
    <w:p>
      <w:pPr>
        <w:ind w:right="460" w:firstLine="8"/>
        <w:spacing w:after="0" w:line="250" w:lineRule="auto"/>
        <w:tabs>
          <w:tab w:leader="none" w:pos="44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document that constitute confidential information have been redacted pursuant to Item 601(b)(10) of Regulation S-K. + Certain exhibits and schedules to these agreements have been omitted pursuant to Item 601(a)(5) and (6) of Regulation S-K. The registrant will</w:t>
      </w: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copies of any of the exhibits and schedules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2026</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Avalyn Pharma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Lyn Baranowski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327469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Lyn Baranowski</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Douglas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327469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Douglas Carlson</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200" w:lineRule="exact"/>
        <w:rPr>
          <w:sz w:val="20"/>
          <w:szCs w:val="20"/>
          <w:color w:val="auto"/>
        </w:rPr>
      </w:pPr>
    </w:p>
    <w:p>
      <w:pPr>
        <w:sectPr>
          <w:pgSz w:w="11900" w:h="16838" w:orient="portrait"/>
          <w:cols w:equalWidth="0" w:num="2">
            <w:col w:w="5040" w:space="720"/>
            <w:col w:w="5480"/>
          </w:cols>
          <w:pgMar w:left="320" w:top="981" w:right="339" w:bottom="1440" w:gutter="0" w:footer="0" w:header="0"/>
          <w:type w:val="continuous"/>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94" w:name="page95"/>
    <w:bookmarkEnd w:id="94"/>
    <w:p>
      <w:pPr>
        <w:jc w:val="right"/>
        <w:spacing w:after="0"/>
        <w:rPr>
          <w:sz w:val="20"/>
          <w:szCs w:val="20"/>
          <w:color w:val="auto"/>
        </w:rPr>
      </w:pPr>
      <w:r>
        <w:rPr>
          <w:rFonts w:ascii="Times New Roman" w:cs="Times New Roman" w:eastAsia="Times New Roman" w:hAnsi="Times New Roman"/>
          <w:sz w:val="22"/>
          <w:szCs w:val="22"/>
          <w:b w:val="1"/>
          <w:bCs w:val="1"/>
          <w:color w:val="auto"/>
        </w:rPr>
        <w:t>Exhibit 10.9</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This Employment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between Avalyn Pharma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Lyn Baranowski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dated as of April 29, 2026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Except with respect to the Restrictive Covenants Agreement, the Continuing Obligations, the Executive Severance Plan, the Participant Agreement and the Equity Documents (each, as defined below), this Agreement supersedes in all respects all prior agreements between the Executive and the Company regarding the subject matter herein, including without limitation (i) the Offer Letter between the Executive and the Company dated September 26, 2022 (the “</w:t>
      </w:r>
      <w:r>
        <w:rPr>
          <w:rFonts w:ascii="Times New Roman" w:cs="Times New Roman" w:eastAsia="Times New Roman" w:hAnsi="Times New Roman"/>
          <w:sz w:val="22"/>
          <w:szCs w:val="22"/>
          <w:u w:val="single" w:color="auto"/>
          <w:color w:val="auto"/>
        </w:rPr>
        <w:t>Prior Agreement</w:t>
      </w:r>
      <w:r>
        <w:rPr>
          <w:rFonts w:ascii="Times New Roman" w:cs="Times New Roman" w:eastAsia="Times New Roman" w:hAnsi="Times New Roman"/>
          <w:sz w:val="22"/>
          <w:szCs w:val="22"/>
          <w:color w:val="auto"/>
        </w:rPr>
        <w:t>”), and (ii) any other offer letter, employment agreement or severance agreement.</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desires to continue to employ the Executive and the Executive desires to continue to be employed by the Company on the new terms and conditions contained herein.</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58" w:lineRule="exact"/>
        <w:rPr>
          <w:sz w:val="20"/>
          <w:szCs w:val="20"/>
          <w:color w:val="auto"/>
        </w:rPr>
      </w:pPr>
    </w:p>
    <w:p>
      <w:pPr>
        <w:ind w:left="1020" w:hanging="263"/>
        <w:spacing w:after="0"/>
        <w:tabs>
          <w:tab w:leader="none" w:pos="102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Executive’s employment with the Company shall continue to be “at will,” meaning that the Executive’s employment may be terminated by the Company or the Executive at any time and for any reason subject to the terms of this Agreement. Upon any termination of the Executive’s employment for any reason, the Executive shall be deemed to have resigned, effective as of the date of such termination, from the Board of Directors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of the Company and from any other boards, committees, or positions with the Company or any of its affiliates on which the Executive then serves, and agrees to execute any documents reasonably requested by the Company to effectuate such resignation.</w:t>
      </w:r>
    </w:p>
    <w:p>
      <w:pPr>
        <w:spacing w:after="0" w:line="183"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The Executive shall serve as the Chief Executive Officer of the Company and shall have such powers and duties as may from time to time be prescribed by the Board. This is a full-time, exempt position and the Executive shall devote the Executive’s full working time and efforts to the business and affairs of the Company. Notwithstanding the foregoing, the Executive may, with the prior written approval of the Board, serve on additional boards of directors, or the Executive may engage in religious, charitable or other community activities, in each case, as long as such services and activities do not interfere with the Executive’s performance of the Executive’s duties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5" w:name="page96"/>
    <w:bookmarkEnd w:id="95"/>
    <w:p>
      <w:pPr>
        <w:spacing w:after="0" w:line="185" w:lineRule="exact"/>
        <w:rPr>
          <w:sz w:val="20"/>
          <w:szCs w:val="20"/>
          <w:color w:val="auto"/>
        </w:rPr>
      </w:pPr>
    </w:p>
    <w:p>
      <w:pPr>
        <w:ind w:left="1020" w:hanging="263"/>
        <w:spacing w:after="0"/>
        <w:tabs>
          <w:tab w:leader="none" w:pos="10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Executive’s initial base salary shall be paid at the rate of $630,000 per year. The Executive’s base salary shall be subject to periodic review by the Board or the Compensation Committee of the Board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The base salary in effect at any given time is referred to herein as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Base Salary shall be payable in a manner that is consistent with the Company’s usual payroll practices for its executive officers.</w:t>
      </w:r>
    </w:p>
    <w:p>
      <w:pPr>
        <w:spacing w:after="0" w:line="180"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The Executive shall be eligible to receive cash incentive compensation as determined by the Board or the Compensation Committee from time to time. The Executive’s initial target annual incentive compensation shall be 55 percent of the Executive’s Base Salary. The actual amount of which, if any, shall be determined in the sole discretion of the Board or the Compensation Committee, subject to the terms of any applicable incentive compensation plan that may be in effect from time to time. The target annual incentive compensation in effect at any given time is referred to herein as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Except as may be provided by the Board or the Compensation Committee or as may otherwise be set forth in the applicable incentive compensation plan, the Executive must be employed by the Company on the date such incentive compensation is paid in order to earn or receive any annual incentive compensation and such incentive compensation, if any, shall be paid in the calendar year following the calendar year to which the bonus relates. The Company will use reasonable efforts to pay such incentive compensation, if any, not later than March 31 of such following calendar year.</w:t>
      </w:r>
    </w:p>
    <w:p>
      <w:pPr>
        <w:spacing w:after="0" w:line="179"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executives.</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The Executive shall be eligible to participate in or receive benefits under the Company’s employee benefit plans in effect from time to time, subject to the terms of such plans.</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The Executive shall be entitled to take paid time off in accordance with the Company’s applicable paid time off policy for executives, as may be in effect from time to time.</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The equity awards held by the Executive shall continue to be governed by the terms and conditions of the applicable equity plan and/or award agreement(s) governing the terms of such equity awards (collectively, the “</w:t>
      </w:r>
      <w:r>
        <w:rPr>
          <w:rFonts w:ascii="Times New Roman" w:cs="Times New Roman" w:eastAsia="Times New Roman" w:hAnsi="Times New Roman"/>
          <w:sz w:val="22"/>
          <w:szCs w:val="22"/>
          <w:u w:val="single" w:color="auto"/>
          <w:color w:val="auto"/>
        </w:rPr>
        <w:t>Equity Documents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Executive shall be entitled to the same indemnification rights as the Company grants to other senior executives and Board members of the Company and, in addition, the Company shall indemnify the Executive to the fullest extent permitted under the Company’s by-laws and/or Delaware law. Furthermore, the Company maintains a directors and officers liability policy and will provide the Executive with such coverage to the same extent as provided by the Company to other senior executives and Board members of the Company.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85" w:lineRule="exact"/>
        <w:rPr>
          <w:sz w:val="20"/>
          <w:szCs w:val="20"/>
          <w:color w:val="auto"/>
        </w:rPr>
      </w:pPr>
    </w:p>
    <w:p>
      <w:pPr>
        <w:jc w:val="both"/>
        <w:ind w:firstLine="757"/>
        <w:spacing w:after="0" w:line="235" w:lineRule="auto"/>
        <w:tabs>
          <w:tab w:leader="none" w:pos="101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and Severance</w:t>
      </w:r>
      <w:r>
        <w:rPr>
          <w:rFonts w:ascii="Times New Roman" w:cs="Times New Roman" w:eastAsia="Times New Roman" w:hAnsi="Times New Roman"/>
          <w:sz w:val="22"/>
          <w:szCs w:val="22"/>
          <w:color w:val="auto"/>
        </w:rPr>
        <w:t xml:space="preserve">. The Executive’s employment with the Company is at-will meaning the employment relationship may be terminated by the Executive or by the Company at any time upon written notice. </w:t>
      </w:r>
      <w:r>
        <w:rPr>
          <w:rFonts w:ascii="Times New Roman" w:cs="Times New Roman" w:eastAsia="Times New Roman" w:hAnsi="Times New Roman"/>
          <w:sz w:val="22"/>
          <w:szCs w:val="22"/>
          <w:color w:val="262628"/>
        </w:rPr>
        <w:t>The</w:t>
      </w:r>
      <w:r>
        <w:rPr>
          <w:rFonts w:ascii="Times New Roman" w:cs="Times New Roman" w:eastAsia="Times New Roman" w:hAnsi="Times New Roman"/>
          <w:sz w:val="22"/>
          <w:szCs w:val="22"/>
          <w:color w:val="auto"/>
        </w:rPr>
        <w:t xml:space="preserve"> Executive shall be a Covered Executive, “Tier 1 Executive” under the Company’s Executive Severance Plan (the “</w:t>
      </w:r>
      <w:r>
        <w:rPr>
          <w:rFonts w:ascii="Times New Roman" w:cs="Times New Roman" w:eastAsia="Times New Roman" w:hAnsi="Times New Roman"/>
          <w:sz w:val="22"/>
          <w:szCs w:val="22"/>
          <w:u w:val="single" w:color="auto"/>
          <w:color w:val="auto"/>
        </w:rPr>
        <w:t>Executive Severance Plan</w:t>
      </w:r>
      <w:r>
        <w:rPr>
          <w:rFonts w:ascii="Times New Roman" w:cs="Times New Roman" w:eastAsia="Times New Roman" w:hAnsi="Times New Roman"/>
          <w:sz w:val="22"/>
          <w:szCs w:val="22"/>
          <w:color w:val="auto"/>
        </w:rPr>
        <w:t>”). The Executive’s participation in the Executive Severance Plan is contingent upon the Executive’s execution and delivery to the Company of a Participation Agreement thereunder</w:t>
      </w:r>
      <w:r>
        <w:rPr>
          <w:rFonts w:ascii="Times New Roman" w:cs="Times New Roman" w:eastAsia="Times New Roman" w:hAnsi="Times New Roman"/>
          <w:sz w:val="22"/>
          <w:szCs w:val="22"/>
          <w:color w:val="424242"/>
        </w:rPr>
        <w:t>.</w:t>
      </w:r>
      <w:r>
        <w:rPr>
          <w:rFonts w:ascii="Times New Roman" w:cs="Times New Roman" w:eastAsia="Times New Roman" w:hAnsi="Times New Roman"/>
          <w:sz w:val="22"/>
          <w:szCs w:val="22"/>
          <w:color w:val="auto"/>
        </w:rPr>
        <w:t xml:space="preserve"> All compensation relating to the termination of the Executive’s employment with the Company, including eligibility for any severance payments, benefits and accelerated vesting in connection with such termination of employment, shall be governed by the terms and conditions set forth in the Executive Severance Plan and the Participation Agreement.</w:t>
      </w:r>
    </w:p>
    <w:p>
      <w:pPr>
        <w:spacing w:after="0" w:line="178"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or otherwise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70" w:lineRule="exact"/>
        <w:rPr>
          <w:rFonts w:ascii="Times New Roman" w:cs="Times New Roman" w:eastAsia="Times New Roman" w:hAnsi="Times New Roman"/>
          <w:sz w:val="21"/>
          <w:szCs w:val="21"/>
          <w:color w:val="auto"/>
        </w:rPr>
      </w:pPr>
    </w:p>
    <w:p>
      <w:pPr>
        <w:jc w:val="both"/>
        <w:ind w:firstLine="1505"/>
        <w:spacing w:after="0" w:line="235" w:lineRule="auto"/>
        <w:tabs>
          <w:tab w:leader="none" w:pos="2036"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3" w:lineRule="exact"/>
        <w:rPr>
          <w:rFonts w:ascii="Times New Roman" w:cs="Times New Roman" w:eastAsia="Times New Roman" w:hAnsi="Times New Roman"/>
          <w:sz w:val="22"/>
          <w:szCs w:val="22"/>
          <w:color w:val="auto"/>
        </w:rPr>
      </w:pPr>
    </w:p>
    <w:p>
      <w:pPr>
        <w:jc w:val="both"/>
        <w:ind w:firstLine="1505"/>
        <w:spacing w:after="0" w:line="260" w:lineRule="exact"/>
        <w:tabs>
          <w:tab w:leader="none" w:pos="2036"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1(h).</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85" w:lineRule="exact"/>
        <w:rPr>
          <w:sz w:val="20"/>
          <w:szCs w:val="20"/>
          <w:color w:val="auto"/>
        </w:rPr>
      </w:pPr>
    </w:p>
    <w:p>
      <w:pPr>
        <w:jc w:val="both"/>
        <w:ind w:firstLine="1505"/>
        <w:spacing w:after="0" w:line="250" w:lineRule="exact"/>
        <w:tabs>
          <w:tab w:leader="none" w:pos="2036"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or the Restrictive Covenants Agreement is intended to constitute a separate payment for purposes of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81"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7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 Agreement</w:t>
      </w:r>
      <w:r>
        <w:rPr>
          <w:rFonts w:ascii="Times New Roman" w:cs="Times New Roman" w:eastAsia="Times New Roman" w:hAnsi="Times New Roman"/>
          <w:sz w:val="22"/>
          <w:szCs w:val="22"/>
          <w:color w:val="auto"/>
        </w:rPr>
        <w:t>. The terms of the Employee Invention Assignment, Confidentiality and Non-Competition Agreement, effective October 1, 2022 (the “</w:t>
      </w:r>
      <w:r>
        <w:rPr>
          <w:rFonts w:ascii="Times New Roman" w:cs="Times New Roman" w:eastAsia="Times New Roman" w:hAnsi="Times New Roman"/>
          <w:sz w:val="22"/>
          <w:szCs w:val="22"/>
          <w:u w:val="single" w:color="auto"/>
          <w:color w:val="auto"/>
        </w:rPr>
        <w:t>Restrictive Covenants Agreement</w:t>
      </w:r>
      <w:r>
        <w:rPr>
          <w:rFonts w:ascii="Times New Roman" w:cs="Times New Roman" w:eastAsia="Times New Roman" w:hAnsi="Times New Roman"/>
          <w:sz w:val="22"/>
          <w:szCs w:val="22"/>
          <w:color w:val="auto"/>
        </w:rPr>
        <w:t xml:space="preserve">”), between the Company and the Executive,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continue to be in full force and effect. For purposes of this Agreement, the obligations in this Section 5 and those that arise in the Restrictive Covenants Agreement and any other agreement relating to confidentiality, assignment of inventions, or other restrictive covenants shall collectively be referred to as the “</w:t>
      </w: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 For the avoidance of doubt, all restrictive covenants obligations are supplemental to one another, and in the event of any conflict between restrictive covenants obligations, the most restrictive provision that is enforceable shall govern. In the event the Executive is entitled to both payments pursuant to the Restrictive Covenants Agreement and severance payments pursuant to the Executive Severance Plan, then the severance payments pursuant to the Executive Severance Plan will be reduced by the amount the Executive is paid pursuant to the Restrictive Covenants Agreement.</w:t>
      </w:r>
    </w:p>
    <w:p>
      <w:pPr>
        <w:spacing w:after="0" w:line="179"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Agreements and Rights</w:t>
      </w:r>
      <w:r>
        <w:rPr>
          <w:rFonts w:ascii="Times New Roman" w:cs="Times New Roman" w:eastAsia="Times New Roman" w:hAnsi="Times New Roman"/>
          <w:sz w:val="22"/>
          <w:szCs w:val="22"/>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-3234690</wp:posOffset>
            </wp:positionV>
            <wp:extent cx="342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85" w:lineRule="exact"/>
        <w:rPr>
          <w:sz w:val="20"/>
          <w:szCs w:val="20"/>
          <w:color w:val="auto"/>
        </w:rPr>
      </w:pPr>
    </w:p>
    <w:p>
      <w:pPr>
        <w:jc w:val="both"/>
        <w:ind w:firstLine="1505"/>
        <w:spacing w:after="0" w:line="250" w:lineRule="exact"/>
        <w:tabs>
          <w:tab w:leader="none" w:pos="2036"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 and Regulatory Cooperation</w:t>
      </w:r>
      <w:r>
        <w:rPr>
          <w:rFonts w:ascii="Times New Roman" w:cs="Times New Roman" w:eastAsia="Times New Roman" w:hAnsi="Times New Roman"/>
          <w:sz w:val="22"/>
          <w:szCs w:val="22"/>
          <w:color w:val="auto"/>
        </w:rPr>
        <w:t>. During and after the Executive’s employment, the Executive shall reasonably cooperate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Company shall reimburse the Executive for any reasonable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expenses incurred in connection with the Executive’s performance of obligations pursuant to this Section 5(c).</w:t>
      </w:r>
    </w:p>
    <w:p>
      <w:pPr>
        <w:spacing w:after="0" w:line="181" w:lineRule="exact"/>
        <w:rPr>
          <w:rFonts w:ascii="Times New Roman" w:cs="Times New Roman" w:eastAsia="Times New Roman" w:hAnsi="Times New Roman"/>
          <w:sz w:val="22"/>
          <w:szCs w:val="22"/>
          <w:color w:val="auto"/>
        </w:rPr>
      </w:pPr>
    </w:p>
    <w:p>
      <w:pPr>
        <w:jc w:val="both"/>
        <w:ind w:firstLine="1505"/>
        <w:spacing w:after="0" w:line="236" w:lineRule="auto"/>
        <w:tabs>
          <w:tab w:leader="none" w:pos="2036"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Relief</w:t>
      </w:r>
      <w:r>
        <w:rPr>
          <w:rFonts w:ascii="Times New Roman" w:cs="Times New Roman" w:eastAsia="Times New Roman" w:hAnsi="Times New Roman"/>
          <w:sz w:val="22"/>
          <w:szCs w:val="22"/>
          <w:color w:val="auto"/>
        </w:rPr>
        <w:t>. The Executive agrees that it would be difficult to measure any damages caused to the Company which might result from any breach by the Executive of the Continuing Obligations, and that in any event money damages would be an inadequate remedy for any such breach. Accordingly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to Jurisdiction</w:t>
      </w:r>
      <w:r>
        <w:rPr>
          <w:rFonts w:ascii="Times New Roman" w:cs="Times New Roman" w:eastAsia="Times New Roman" w:hAnsi="Times New Roman"/>
          <w:sz w:val="22"/>
          <w:szCs w:val="22"/>
          <w:color w:val="auto"/>
        </w:rPr>
        <w:t>. The parties hereby consent to the jurisdiction of the state and federal courts of the Commonwealth of Massachusetts. Accordingly, with respect to any such court action, the Executive (a) submits to the exclusive personal jurisdiction of such courts and (b) waives any other requirement (whether imposed by statute, rule of court, or otherwise) with respect to personal jurisdiction.</w:t>
      </w:r>
    </w:p>
    <w:p>
      <w:pPr>
        <w:spacing w:after="0" w:line="180"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of the Executive and the Company irrevocably and unconditionally WAIVES ALL RIGHT TO TRIAL BY JURY IN ANY PROCEEDING (WHETHER BASED ON CONTRACT, TORT OR OTHERWISE) ARISING OUT OF OR RELATING TO THIS AGREEMENT OR THE EXECUTIVE’S EMPLOYMENT BY THE COMPANY OR ANY AFFILIATE OF THE COMPANY, INCLUDING WITHOUT LIMITATION THE EXECUTIVE’S OR THE COMPANY’S PERFORMANCE UNDER, OR THE ENFORCEMENT OF, THIS AGREEMENT.</w:t>
      </w:r>
    </w:p>
    <w:p>
      <w:pPr>
        <w:spacing w:after="0" w:line="176"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 Tax Effect</w:t>
      </w:r>
      <w:r>
        <w:rPr>
          <w:rFonts w:ascii="Times New Roman" w:cs="Times New Roman" w:eastAsia="Times New Roman" w:hAnsi="Times New Roman"/>
          <w:sz w:val="22"/>
          <w:szCs w:val="22"/>
          <w:color w:val="auto"/>
        </w:rPr>
        <w:t xml:space="preserve">.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 </w:t>
      </w:r>
      <w:r>
        <w:rPr>
          <w:rFonts w:ascii="Times New Roman" w:cs="Times New Roman" w:eastAsia="Times New Roman" w:hAnsi="Times New Roman"/>
          <w:sz w:val="22"/>
          <w:szCs w:val="22"/>
          <w:u w:val="single" w:color="auto"/>
          <w:color w:val="auto"/>
        </w:rPr>
        <w:t>Assignment; Successors 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Assigns</w:t>
      </w:r>
      <w:r>
        <w:rPr>
          <w:rFonts w:ascii="Times New Roman" w:cs="Times New Roman" w:eastAsia="Times New Roman" w:hAnsi="Times New Roman"/>
          <w:sz w:val="22"/>
          <w:szCs w:val="22"/>
          <w:color w:val="auto"/>
        </w:rPr>
        <w:t xml:space="preserve">. Neither the Executive nor the Company may make any assignment of this Agreement or any interest in it, by operation of law or otherwise, without the prior written consent of the other;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Company may assign its rights and obligations under this Agreement (including the 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if the Executive remains employed or becomes employed by the Company, the purchaser or any of their affiliates in connection with any such transaction, then the Executive shall not be entitled to any payments, benefits or vesting pursuant to the Executive Severance Plan solely as a result of his employment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8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with such successor as a result of such transaction.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w:t>
      </w:r>
    </w:p>
    <w:p>
      <w:pPr>
        <w:spacing w:after="0" w:line="181" w:lineRule="exact"/>
        <w:rPr>
          <w:sz w:val="20"/>
          <w:szCs w:val="20"/>
          <w:color w:val="auto"/>
        </w:rPr>
      </w:pPr>
    </w:p>
    <w:p>
      <w:pPr>
        <w:jc w:val="both"/>
        <w:ind w:firstLine="757"/>
        <w:spacing w:after="0" w:line="238" w:lineRule="auto"/>
        <w:tabs>
          <w:tab w:leader="none" w:pos="1018"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Agreement shall survive the termination of this Agreement and/or the termination of the Executive’s employment to the extent necessary to effectuate the terms contained herein.</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 Notices, requests, demands and other communications provided for by this Agreement shall also be sufficient if sent by email to the Company email address of the Executive or, in the case of Company, the Avalyn Pharma email address of the Chair of the Board, with confirmation of receipt.</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signed by the Executive and by a duly authorized representative of the Company.</w:t>
      </w:r>
    </w:p>
    <w:p>
      <w:pPr>
        <w:spacing w:after="0" w:line="15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14.</w:t>
      </w:r>
      <w:r>
        <w:rPr>
          <w:rFonts w:ascii="Times New Roman" w:cs="Times New Roman" w:eastAsia="Times New Roman" w:hAnsi="Times New Roman"/>
          <w:sz w:val="21"/>
          <w:szCs w:val="21"/>
          <w:u w:val="single" w:color="auto"/>
          <w:color w:val="auto"/>
        </w:rPr>
        <w:t>Effect on Other Plans and Agreements</w:t>
      </w:r>
      <w:r>
        <w:rPr>
          <w:rFonts w:ascii="Times New Roman" w:cs="Times New Roman" w:eastAsia="Times New Roman" w:hAnsi="Times New Roman"/>
          <w:sz w:val="21"/>
          <w:szCs w:val="21"/>
          <w:color w:val="auto"/>
        </w:rPr>
        <w:t>. An election by the Executive to resign for Good Reason under the provisions of the Executive Severance Plan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that the Executive shall have no rights to any severance benefits under any Company severance pay plan, offer letter or otherwise except as set forth in the Executive Severance Plan. Notwithstanding anything to the contrary in this Agreement, all severance pay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8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and benefits provided to the Executive pursuant to the Executive Severance Plan (as applicable) shall be reduced and/or offset by any amounts or benefits paid to the Executive to satisfy the federal Worker Adjustment and Retraining Notification (WARN) Act, 29 U.S.C. § 2101 et seq., as amended, and any applicable state plant or facility closing or mass layoff law (whether as damages, as payment of salary or other wages during an applicable notice period or otherwise).</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is a Massachusetts contract and shall be construed under and be governed in all respects by the laws of the Commonwealth of Massachusetts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effective on the Effective Date.</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AVALYN PHARMA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/s/ Douglas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10795</wp:posOffset>
            </wp:positionV>
            <wp:extent cx="327469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2"/>
          <w:szCs w:val="22"/>
          <w:color w:val="auto"/>
        </w:rPr>
        <w:t>By:  Douglas Carlson</w:t>
      </w:r>
    </w:p>
    <w:p>
      <w:pPr>
        <w:ind w:left="5620"/>
        <w:spacing w:after="0"/>
        <w:tabs>
          <w:tab w:leader="none" w:pos="606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-3810</wp:posOffset>
            </wp:positionV>
            <wp:extent cx="327469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/s/ Lyn Baranowski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18415</wp:posOffset>
            </wp:positionV>
            <wp:extent cx="356616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Lyn Baranowski</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500380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Restrictive Covenants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899795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This Employment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between Avalyn Pharma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Douglas Carlson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dated as of April 29, 2026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Except with respect to the Restrictive Covenants Agreement, the Continuing Obligations, the Executive Severance Plan, the Participant Agreement and the Equity Documents (each, as defined below), this Agreement supersedes in all respects all prior agreements between the Executive and the Company regarding the subject matter herein, including without limitation (i) the Offer Letter between the Executive and the Company dated April 23, 2024 (the “</w:t>
      </w:r>
      <w:r>
        <w:rPr>
          <w:rFonts w:ascii="Times New Roman" w:cs="Times New Roman" w:eastAsia="Times New Roman" w:hAnsi="Times New Roman"/>
          <w:sz w:val="22"/>
          <w:szCs w:val="22"/>
          <w:u w:val="single" w:color="auto"/>
          <w:color w:val="auto"/>
        </w:rPr>
        <w:t>Prior Agreement</w:t>
      </w:r>
      <w:r>
        <w:rPr>
          <w:rFonts w:ascii="Times New Roman" w:cs="Times New Roman" w:eastAsia="Times New Roman" w:hAnsi="Times New Roman"/>
          <w:sz w:val="22"/>
          <w:szCs w:val="22"/>
          <w:color w:val="auto"/>
        </w:rPr>
        <w:t>”), and (ii) any other offer letter, employment agreement or severance agreement.</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desires to continue to employ the Executive and the Executive desires to continue to be employed by the Company on the new terms and conditions contained herein.</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58" w:lineRule="exact"/>
        <w:rPr>
          <w:sz w:val="20"/>
          <w:szCs w:val="20"/>
          <w:color w:val="auto"/>
        </w:rPr>
      </w:pPr>
    </w:p>
    <w:p>
      <w:pPr>
        <w:ind w:left="1020" w:hanging="263"/>
        <w:spacing w:after="0"/>
        <w:tabs>
          <w:tab w:leader="none" w:pos="10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The Executive shall serve as the Chief Financial Officer and Chief Business Officer of the Company and shall have such powers and duties as may from time to time be prescribed by the Chief Executive Officer (the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This is a full-time, exempt position and the Executive shall devote the Executive’s full working time and efforts to the business and affairs of the Company. Notwithstanding the foregoing, the Executive may, with the prior written approval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serve on additional boards of directors, or the Executive may engage in religious, charitable or other community activities, in each case, as long as such services and activities do not interfere with the Executive’s performance of the Executive’s duties to the Company.</w:t>
      </w:r>
    </w:p>
    <w:p>
      <w:pPr>
        <w:spacing w:after="0" w:line="18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Executive’s initial base salary shall be paid at the rate of $500,000 per year. The Executive’s base salary shall be subject to periodic review by the Board or the Compensation Committee of the Board (the “</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The base salary in effect at any given time is referred to herein as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Base Salary shall be payable in a manner that is consistent with the Company’s usual payroll practices for its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4" w:name="page105"/>
    <w:bookmarkEnd w:id="104"/>
    <w:p>
      <w:pPr>
        <w:jc w:val="both"/>
        <w:ind w:firstLine="1505"/>
        <w:spacing w:after="0" w:line="234" w:lineRule="auto"/>
        <w:tabs>
          <w:tab w:leader="none" w:pos="203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The Executive shall be eligible to receive cash incentive compensation as determined by the Board or the Compensation Committee from time to time. The Executive’s initial target annual incentive compensation shall be 40 percent of the Executive’s Base Salary. The actual amount of which, if any, shall be determined in the sole discretion of the Board or the Compensation Committee, subject to the terms of any applicable incentive compensation plan that may be in effect from time to time. The target annual incentive compensation in effect at any given time is referred to herein as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Except as may be provided by the Board or the Compensation Committee or as may otherwise be set forth in the applicable incentive compensation plan, the Executive must be employed by the Company on the date such incentive compensation is paid in order to earn or receive any annual incentive compensation and such incentive compensation, if any, shall be paid in the calendar year following the calendar year to which the bonus relates. The Company will use reasonable efforts to pay such incentive compensation, if any, not later than March 31 of such following calendar year.</w:t>
      </w:r>
    </w:p>
    <w:p>
      <w:pPr>
        <w:spacing w:after="0" w:line="179"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executives.</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The Executive shall be eligible to participate in or receive benefits under the Company’s employee benefit plans in effect from time to time, subject to the terms of such plans.</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The Executive shall be entitled to take paid time off in accordance with the Company’s applicable paid time off policy for executives, as may be in effect from time to time.</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The equity awards held by the Executive shall continue to be governed by the terms and conditions of the applicable equity plan and/or award agreement(s) governing the terms of such equity awards (collectively, the “</w:t>
      </w:r>
      <w:r>
        <w:rPr>
          <w:rFonts w:ascii="Times New Roman" w:cs="Times New Roman" w:eastAsia="Times New Roman" w:hAnsi="Times New Roman"/>
          <w:sz w:val="22"/>
          <w:szCs w:val="22"/>
          <w:u w:val="single" w:color="auto"/>
          <w:color w:val="auto"/>
        </w:rPr>
        <w:t>Equity Documents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Executive shall be entitled to the same indemnification rights as the Company grants to other senior executives and Board members of the Company and, in addition, the Company shall indemnify the Executive to the fullest extent permitted under the Company’s by-laws and/or Delaware law. Furthermore, the Company maintains a directors and officers liability policy and will provide the Executive with such coverage to the same extent as provided by the Company to other senior executives and Board members of the Company.</w:t>
      </w:r>
    </w:p>
    <w:p>
      <w:pPr>
        <w:spacing w:after="0" w:line="176" w:lineRule="exact"/>
        <w:rPr>
          <w:rFonts w:ascii="Times New Roman" w:cs="Times New Roman" w:eastAsia="Times New Roman" w:hAnsi="Times New Roman"/>
          <w:sz w:val="22"/>
          <w:szCs w:val="22"/>
          <w:color w:val="auto"/>
        </w:rPr>
      </w:pPr>
    </w:p>
    <w:p>
      <w:pPr>
        <w:jc w:val="both"/>
        <w:ind w:firstLine="757"/>
        <w:spacing w:after="0" w:line="235" w:lineRule="auto"/>
        <w:tabs>
          <w:tab w:leader="none" w:pos="1018"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and Severance</w:t>
      </w:r>
      <w:r>
        <w:rPr>
          <w:rFonts w:ascii="Times New Roman" w:cs="Times New Roman" w:eastAsia="Times New Roman" w:hAnsi="Times New Roman"/>
          <w:sz w:val="22"/>
          <w:szCs w:val="22"/>
          <w:color w:val="auto"/>
        </w:rPr>
        <w:t xml:space="preserve">. The Executive’s employment with the Company is at-will meaning the employment relationship may be terminated by the Executive or by the Company at any time upon written notice. </w:t>
      </w:r>
      <w:r>
        <w:rPr>
          <w:rFonts w:ascii="Times New Roman" w:cs="Times New Roman" w:eastAsia="Times New Roman" w:hAnsi="Times New Roman"/>
          <w:sz w:val="22"/>
          <w:szCs w:val="22"/>
          <w:color w:val="262628"/>
        </w:rPr>
        <w:t>The</w:t>
      </w:r>
      <w:r>
        <w:rPr>
          <w:rFonts w:ascii="Times New Roman" w:cs="Times New Roman" w:eastAsia="Times New Roman" w:hAnsi="Times New Roman"/>
          <w:sz w:val="22"/>
          <w:szCs w:val="22"/>
          <w:color w:val="auto"/>
        </w:rPr>
        <w:t xml:space="preserve"> Executive shall be a Covered Executive, “Tier 2 Executive” under the Company’s Executive Severance Plan (the “</w:t>
      </w:r>
      <w:r>
        <w:rPr>
          <w:rFonts w:ascii="Times New Roman" w:cs="Times New Roman" w:eastAsia="Times New Roman" w:hAnsi="Times New Roman"/>
          <w:sz w:val="22"/>
          <w:szCs w:val="22"/>
          <w:u w:val="single" w:color="auto"/>
          <w:color w:val="auto"/>
        </w:rPr>
        <w:t>Executive Severance Plan</w:t>
      </w:r>
      <w:r>
        <w:rPr>
          <w:rFonts w:ascii="Times New Roman" w:cs="Times New Roman" w:eastAsia="Times New Roman" w:hAnsi="Times New Roman"/>
          <w:sz w:val="22"/>
          <w:szCs w:val="22"/>
          <w:color w:val="auto"/>
        </w:rPr>
        <w:t>”). The Executive’s participation in the Executive Severance Plan is contingent upon the Executive’s execution and delivery to the Company of a Participation Agreement thereunder</w:t>
      </w:r>
      <w:r>
        <w:rPr>
          <w:rFonts w:ascii="Times New Roman" w:cs="Times New Roman" w:eastAsia="Times New Roman" w:hAnsi="Times New Roman"/>
          <w:sz w:val="22"/>
          <w:szCs w:val="22"/>
          <w:color w:val="424242"/>
        </w:rPr>
        <w:t>.</w:t>
      </w:r>
      <w:r>
        <w:rPr>
          <w:rFonts w:ascii="Times New Roman" w:cs="Times New Roman" w:eastAsia="Times New Roman" w:hAnsi="Times New Roman"/>
          <w:sz w:val="22"/>
          <w:szCs w:val="22"/>
          <w:color w:val="auto"/>
        </w:rPr>
        <w:t xml:space="preserve"> All compensation relating to the termination of the Executive’s employment with the Company, including eligibility for any severance payments, benefits and accelerated vesting in connection with such termination</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5" w:name="page106"/>
    <w:bookmarkEnd w:id="105"/>
    <w:p>
      <w:pPr>
        <w:spacing w:after="0" w:line="258" w:lineRule="auto"/>
        <w:rPr>
          <w:sz w:val="20"/>
          <w:szCs w:val="20"/>
          <w:color w:val="auto"/>
        </w:rPr>
      </w:pPr>
      <w:r>
        <w:rPr>
          <w:rFonts w:ascii="Times New Roman" w:cs="Times New Roman" w:eastAsia="Times New Roman" w:hAnsi="Times New Roman"/>
          <w:sz w:val="22"/>
          <w:szCs w:val="22"/>
          <w:color w:val="auto"/>
        </w:rPr>
        <w:t>of employment, shall be governed by the terms and conditions set forth in the Executive Severance Plan and the Participation Agreement.</w:t>
      </w:r>
    </w:p>
    <w:p>
      <w:pPr>
        <w:spacing w:after="0" w:line="158" w:lineRule="exact"/>
        <w:rPr>
          <w:sz w:val="20"/>
          <w:szCs w:val="20"/>
          <w:color w:val="auto"/>
        </w:rPr>
      </w:pPr>
    </w:p>
    <w:p>
      <w:pPr>
        <w:ind w:left="1020" w:hanging="263"/>
        <w:spacing w:after="0"/>
        <w:tabs>
          <w:tab w:leader="none" w:pos="102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or otherwise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70" w:lineRule="exact"/>
        <w:rPr>
          <w:rFonts w:ascii="Times New Roman" w:cs="Times New Roman" w:eastAsia="Times New Roman" w:hAnsi="Times New Roman"/>
          <w:sz w:val="21"/>
          <w:szCs w:val="21"/>
          <w:color w:val="auto"/>
        </w:rPr>
      </w:pPr>
    </w:p>
    <w:p>
      <w:pPr>
        <w:jc w:val="both"/>
        <w:ind w:firstLine="1505"/>
        <w:spacing w:after="0" w:line="235" w:lineRule="auto"/>
        <w:tabs>
          <w:tab w:leader="none" w:pos="203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3" w:lineRule="exact"/>
        <w:rPr>
          <w:rFonts w:ascii="Times New Roman" w:cs="Times New Roman" w:eastAsia="Times New Roman" w:hAnsi="Times New Roman"/>
          <w:sz w:val="22"/>
          <w:szCs w:val="22"/>
          <w:color w:val="auto"/>
        </w:rPr>
      </w:pPr>
    </w:p>
    <w:p>
      <w:pPr>
        <w:jc w:val="both"/>
        <w:ind w:firstLine="1505"/>
        <w:spacing w:after="0" w:line="260" w:lineRule="exact"/>
        <w:tabs>
          <w:tab w:leader="none" w:pos="203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1(h).</w:t>
      </w:r>
    </w:p>
    <w:p>
      <w:pPr>
        <w:spacing w:after="0" w:line="147" w:lineRule="exact"/>
        <w:rPr>
          <w:rFonts w:ascii="Times New Roman" w:cs="Times New Roman" w:eastAsia="Times New Roman" w:hAnsi="Times New Roman"/>
          <w:sz w:val="22"/>
          <w:szCs w:val="22"/>
          <w:color w:val="auto"/>
        </w:rPr>
      </w:pPr>
    </w:p>
    <w:p>
      <w:pPr>
        <w:jc w:val="both"/>
        <w:ind w:firstLine="1505"/>
        <w:spacing w:after="0" w:line="251" w:lineRule="exact"/>
        <w:tabs>
          <w:tab w:leader="none" w:pos="203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or the Restrictive Covenants Agreement is intended to constitute a separate payment for purposes of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2(b)(2). The parties agree that this Agreement may be amended, as reasonably requested by either party, and as may be necessary to</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6" w:name="page107"/>
    <w:bookmarkEnd w:id="106"/>
    <w:p>
      <w:pPr>
        <w:ind w:right="20"/>
        <w:spacing w:after="0" w:line="258" w:lineRule="auto"/>
        <w:rPr>
          <w:sz w:val="20"/>
          <w:szCs w:val="20"/>
          <w:color w:val="auto"/>
        </w:rPr>
      </w:pPr>
      <w:r>
        <w:rPr>
          <w:rFonts w:ascii="Times New Roman" w:cs="Times New Roman" w:eastAsia="Times New Roman" w:hAnsi="Times New Roman"/>
          <w:sz w:val="22"/>
          <w:szCs w:val="22"/>
          <w:color w:val="auto"/>
        </w:rPr>
        <w:t>fully comply with Section 409A of the Code and all related rules and regulations in order to preserve the payments and benefits provided hereunder without additional cost to either party.</w:t>
      </w:r>
    </w:p>
    <w:p>
      <w:pPr>
        <w:spacing w:after="0" w:line="158" w:lineRule="exact"/>
        <w:rPr>
          <w:sz w:val="20"/>
          <w:szCs w:val="20"/>
          <w:color w:val="auto"/>
        </w:rPr>
      </w:pPr>
    </w:p>
    <w:p>
      <w:pPr>
        <w:jc w:val="both"/>
        <w:ind w:firstLine="1505"/>
        <w:spacing w:after="0" w:line="244" w:lineRule="auto"/>
        <w:tabs>
          <w:tab w:leader="none" w:pos="2036"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7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 Agreement</w:t>
      </w:r>
      <w:r>
        <w:rPr>
          <w:rFonts w:ascii="Times New Roman" w:cs="Times New Roman" w:eastAsia="Times New Roman" w:hAnsi="Times New Roman"/>
          <w:sz w:val="22"/>
          <w:szCs w:val="22"/>
          <w:color w:val="auto"/>
        </w:rPr>
        <w:t>. The terms of the Employee Confidential Information and Inventions Assignment Agreement, dated April 23, 2024 (the “</w:t>
      </w:r>
      <w:r>
        <w:rPr>
          <w:rFonts w:ascii="Times New Roman" w:cs="Times New Roman" w:eastAsia="Times New Roman" w:hAnsi="Times New Roman"/>
          <w:sz w:val="22"/>
          <w:szCs w:val="22"/>
          <w:u w:val="single" w:color="auto"/>
          <w:color w:val="auto"/>
        </w:rPr>
        <w:t>Restrictive Covenants Agreement</w:t>
      </w:r>
      <w:r>
        <w:rPr>
          <w:rFonts w:ascii="Times New Roman" w:cs="Times New Roman" w:eastAsia="Times New Roman" w:hAnsi="Times New Roman"/>
          <w:sz w:val="22"/>
          <w:szCs w:val="22"/>
          <w:color w:val="auto"/>
        </w:rPr>
        <w:t xml:space="preserve">”), between the Company and the Executive,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continue to be in full force and effect. For purposes of this Agreement, the obligations in this Section 5 and those that arise in the Restrictive Covenants Agreement and any other agreement relating to confidentiality, assignment of inventions, or other restrictive covenants shall collectively be referred to as the “</w:t>
      </w: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 For the avoidance of doubt, all restrictive covenants obligations are supplemental to one another, and in the event of any conflict between restrictive covenants obligations, the most restrictive provision that is enforceable shall govern. In the event the Executive is entitled to both payments pursuant to the Restrictive Covenants Agreement and severance payments pursuant to the Executive Severance Plan, then the severance payments pursuant to the Executive Severance Plan will be reduced by the amount the Executive is paid pursuant to the Restrictive Covenants Agreement.</w:t>
      </w:r>
    </w:p>
    <w:p>
      <w:pPr>
        <w:spacing w:after="0" w:line="179"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Agreements and Rights</w:t>
      </w:r>
      <w:r>
        <w:rPr>
          <w:rFonts w:ascii="Times New Roman" w:cs="Times New Roman" w:eastAsia="Times New Roman" w:hAnsi="Times New Roman"/>
          <w:sz w:val="22"/>
          <w:szCs w:val="22"/>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83" w:lineRule="exact"/>
        <w:rPr>
          <w:rFonts w:ascii="Times New Roman" w:cs="Times New Roman" w:eastAsia="Times New Roman" w:hAnsi="Times New Roman"/>
          <w:sz w:val="22"/>
          <w:szCs w:val="22"/>
          <w:color w:val="auto"/>
        </w:rPr>
      </w:pPr>
    </w:p>
    <w:p>
      <w:pPr>
        <w:jc w:val="both"/>
        <w:ind w:firstLine="1505"/>
        <w:spacing w:after="0" w:line="250" w:lineRule="exact"/>
        <w:tabs>
          <w:tab w:leader="none" w:pos="2036"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 and Regulatory Cooperation</w:t>
      </w:r>
      <w:r>
        <w:rPr>
          <w:rFonts w:ascii="Times New Roman" w:cs="Times New Roman" w:eastAsia="Times New Roman" w:hAnsi="Times New Roman"/>
          <w:sz w:val="22"/>
          <w:szCs w:val="22"/>
          <w:color w:val="auto"/>
        </w:rPr>
        <w:t>. During and after the Executive’s employment, the Executive shall reasonably cooperate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Company shall reimburse the Executive for any reasonable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expenses incurred in connection with the Executive’s performance of obligations pursuant to this Section 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-4461510</wp:posOffset>
            </wp:positionV>
            <wp:extent cx="342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7" w:name="page108"/>
    <w:bookmarkEnd w:id="107"/>
    <w:p>
      <w:pPr>
        <w:jc w:val="both"/>
        <w:ind w:firstLine="1505"/>
        <w:spacing w:after="0" w:line="236" w:lineRule="auto"/>
        <w:tabs>
          <w:tab w:leader="none" w:pos="2036"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Relief</w:t>
      </w:r>
      <w:r>
        <w:rPr>
          <w:rFonts w:ascii="Times New Roman" w:cs="Times New Roman" w:eastAsia="Times New Roman" w:hAnsi="Times New Roman"/>
          <w:sz w:val="22"/>
          <w:szCs w:val="22"/>
          <w:color w:val="auto"/>
        </w:rPr>
        <w:t>. The Executive agrees that it would be difficult to measure any damages caused to the Company which might result from any breach by the Executive of the Continuing Obligations, and that in any event money damages would be an inadequate remedy for any such breach. Accordingly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to Jurisdiction</w:t>
      </w:r>
      <w:r>
        <w:rPr>
          <w:rFonts w:ascii="Times New Roman" w:cs="Times New Roman" w:eastAsia="Times New Roman" w:hAnsi="Times New Roman"/>
          <w:sz w:val="22"/>
          <w:szCs w:val="22"/>
          <w:color w:val="auto"/>
        </w:rPr>
        <w:t>. The parties hereby consent to the jurisdiction of the state and federal courts of the Commonwealth of Massachusetts. Accordingly, with respect to any such court action, the Executive (a) submits to the exclusive personal jurisdiction of such courts and (b) waives any other requirement (whether imposed by statute, rule of court, or otherwise) with respect to personal jurisdiction.</w:t>
      </w:r>
    </w:p>
    <w:p>
      <w:pPr>
        <w:spacing w:after="0" w:line="180"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of the Executive and the Company irrevocably and unconditionally WAIVES ALL RIGHT TO TRIAL BY JURY IN ANY PROCEEDING (WHETHER BASED ON CONTRACT, TORT OR OTHERWISE) ARISING OUT OF OR RELATING TO THIS AGREEMENT OR THE EXECUTIVE’S EMPLOYMENT BY THE COMPANY OR ANY AFFILIATE OF THE COMPANY, INCLUDING WITHOUT LIMITATION THE EXECUTIVE’S OR THE COMPANY’S PERFORMANCE UNDER, OR THE ENFORCEMENT OF, THIS AGREEMENT.</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Tax Effect</w:t>
      </w:r>
      <w:r>
        <w:rPr>
          <w:rFonts w:ascii="Times New Roman" w:cs="Times New Roman" w:eastAsia="Times New Roman" w:hAnsi="Times New Roman"/>
          <w:sz w:val="21"/>
          <w:szCs w:val="21"/>
          <w:color w:val="auto"/>
        </w:rPr>
        <w:t xml:space="preserve">.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 </w:t>
      </w:r>
      <w:r>
        <w:rPr>
          <w:rFonts w:ascii="Times New Roman" w:cs="Times New Roman" w:eastAsia="Times New Roman" w:hAnsi="Times New Roman"/>
          <w:sz w:val="21"/>
          <w:szCs w:val="21"/>
          <w:u w:val="single" w:color="auto"/>
          <w:color w:val="auto"/>
        </w:rPr>
        <w:t>Assignment; Successors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Assigns</w:t>
      </w:r>
      <w:r>
        <w:rPr>
          <w:rFonts w:ascii="Times New Roman" w:cs="Times New Roman" w:eastAsia="Times New Roman" w:hAnsi="Times New Roman"/>
          <w:sz w:val="21"/>
          <w:szCs w:val="21"/>
          <w:color w:val="auto"/>
        </w:rPr>
        <w:t xml:space="preserve">. Neither the Executive nor the Company may make any assignment of this Agreement or any interest in it, by operation of law or otherwise, without the prior written consent of the other;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Company may assign its rights and obligations under this Agreement (including the 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if the Executive remains employed or becomes employed by the Company, the purchaser or any of their affiliates in connection with any such transaction, then the Executive shall not be entitled to any payments, benefits or vesting pursuant to the Executive Severance Plan solely as a result of his employment with such successor as a result of such transaction.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8" w:name="page109"/>
    <w:bookmarkEnd w:id="108"/>
    <w:p>
      <w:pPr>
        <w:jc w:val="both"/>
        <w:ind w:firstLine="757"/>
        <w:spacing w:after="0" w:line="238" w:lineRule="auto"/>
        <w:tabs>
          <w:tab w:leader="none" w:pos="1018"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Agreement shall survive the termination of this Agreement and/or the termination of the Executive’s employment to the extent necessary to effectuate the terms contained herein.</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CEO. Notices, requests, demands and other communications provided for by this Agreement shall also be sufficient if sent by email to the Company email address of the Executive or, in the case of Company, the Avalyn Pharma email address of the CEO, with confirmation of receipt.</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signed by the Executive and by a duly authorized representative of the Company.</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Effect on Other Plans and Agreements</w:t>
      </w:r>
      <w:r>
        <w:rPr>
          <w:rFonts w:ascii="Times New Roman" w:cs="Times New Roman" w:eastAsia="Times New Roman" w:hAnsi="Times New Roman"/>
          <w:sz w:val="22"/>
          <w:szCs w:val="22"/>
          <w:color w:val="auto"/>
        </w:rPr>
        <w:t>. An election by the Executive to resign for Good Reason under the provisions of the Executive Severance Plan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that the Executive shall have no rights to any severance benefits under any Company severance pay plan, offer letter or otherwise except as set forth in the Executive Severance Plan. Notwithstanding anything to the contrary in this Agreement, all severance pay and benefits provided to the Executive pursuant to the Executive Severance Plan (as applicable) shall be reduced and/or offset by any amounts or benefits paid to the Executive to satisfy the federal Worker Adjustment and Retraining Notification (WARN) Act, 29 U.S.C. § 2101 et seq., as amended, and any applicable state plant or facility closing or mass layoff law (whether as damages, as payment of salary or other wages during an applicable notice period or otherwise).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9" w:name="page110"/>
    <w:bookmarkEnd w:id="109"/>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is a Massachusetts contract and shall be construed under and be governed in all respects by the laws of the Commonwealth of Massachusetts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effective on the Effective Date.</w:t>
      </w:r>
    </w:p>
    <w:p>
      <w:pPr>
        <w:spacing w:after="0" w:line="2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AVALYN PHARMA INC.</w:t>
      </w:r>
    </w:p>
    <w:p>
      <w:pPr>
        <w:spacing w:after="0" w:line="200" w:lineRule="exact"/>
        <w:rPr>
          <w:sz w:val="20"/>
          <w:szCs w:val="20"/>
          <w:color w:val="auto"/>
        </w:rPr>
      </w:pPr>
    </w:p>
    <w:p>
      <w:pPr>
        <w:spacing w:after="0" w:line="27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b w:val="1"/>
          <w:bCs w:val="1"/>
          <w:color w:val="auto"/>
        </w:rPr>
        <w:t xml:space="preserve">/s/ </w:t>
      </w:r>
      <w:r>
        <w:rPr>
          <w:rFonts w:ascii="Times New Roman" w:cs="Times New Roman" w:eastAsia="Times New Roman" w:hAnsi="Times New Roman"/>
          <w:sz w:val="22"/>
          <w:szCs w:val="22"/>
          <w:color w:val="auto"/>
        </w:rPr>
        <w:t>Lyn Baranowski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13335</wp:posOffset>
            </wp:positionV>
            <wp:extent cx="327469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  Lyn Baranowski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-3810</wp:posOffset>
            </wp:positionV>
            <wp:extent cx="327469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4880"/>
        <w:spacing w:after="0"/>
        <w:tabs>
          <w:tab w:leader="none" w:pos="532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-3810</wp:posOffset>
            </wp:positionV>
            <wp:extent cx="327469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0" w:name="page111"/>
    <w:bookmarkEnd w:id="110"/>
    <w:p>
      <w:pPr>
        <w:spacing w:after="0" w:line="18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1"/>
          <w:szCs w:val="21"/>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1"/>
          <w:szCs w:val="21"/>
          <w:color w:val="auto"/>
        </w:rPr>
        <w:t>/s/ Douglas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18415</wp:posOffset>
            </wp:positionV>
            <wp:extent cx="35661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Douglas Carlson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Restrictive Covenants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899795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2"/>
          <w:szCs w:val="22"/>
          <w:b w:val="1"/>
          <w:bCs w:val="1"/>
          <w:color w:val="auto"/>
        </w:rPr>
        <w:t>Exhibit 10.11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This Employment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between Avalyn Pharma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Melissa Rhodes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dated as of April 24, 2026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Except with respect to the Restrictive Covenants Agreement, the Continuing Obligations, the Executive Severance Plan, the Participant Agreement and the Equity Documents (each, as defined below), this Agreement supersedes in all respects all prior agreements between the Executive and the Company regarding the subject matter herein, including without limitation (i) the Offer Letter between the Executive and the Company dated August 14, 2023 (the “</w:t>
      </w:r>
      <w:r>
        <w:rPr>
          <w:rFonts w:ascii="Times New Roman" w:cs="Times New Roman" w:eastAsia="Times New Roman" w:hAnsi="Times New Roman"/>
          <w:sz w:val="22"/>
          <w:szCs w:val="22"/>
          <w:u w:val="single" w:color="auto"/>
          <w:color w:val="auto"/>
        </w:rPr>
        <w:t>Prior Agreement</w:t>
      </w:r>
      <w:r>
        <w:rPr>
          <w:rFonts w:ascii="Times New Roman" w:cs="Times New Roman" w:eastAsia="Times New Roman" w:hAnsi="Times New Roman"/>
          <w:sz w:val="22"/>
          <w:szCs w:val="22"/>
          <w:color w:val="auto"/>
        </w:rPr>
        <w:t>”), and (ii) any other offer letter, employment agreement or severance agreement.</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desires to continue to employ the Executive and the Executive desires to continue to be employed by the Company on the new terms and conditions contained herein.</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58" w:lineRule="exact"/>
        <w:rPr>
          <w:sz w:val="20"/>
          <w:szCs w:val="20"/>
          <w:color w:val="auto"/>
        </w:rPr>
      </w:pPr>
    </w:p>
    <w:p>
      <w:pPr>
        <w:ind w:left="1020" w:hanging="263"/>
        <w:spacing w:after="0"/>
        <w:tabs>
          <w:tab w:leader="none" w:pos="10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The Executive shall serve as the Chief Operating Officer of the Company and shall have such powers and duties as may from time to time be prescribed by the Chief Executive Officer (the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This is a full-time, exempt position and the Executive shall devote the Executive’s full working time and efforts to the business and affairs of the Company. Notwithstanding the foregoing, the Executive may, with the prior written approval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serve on additional boards of directors, or the Executive may engage in religious, charitable or other community activities, in each case, as long as such services and activities do not interfere with the Executive’s performance of the Executive’s duties to the Company.</w:t>
      </w:r>
    </w:p>
    <w:p>
      <w:pPr>
        <w:spacing w:after="0" w:line="18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Executive’s initial base salary shall be paid at the rate of $438,000 per year, which shall be increased to $500,000 per year as of the closing of the Company’s first underwritten public offering of its equity securities pursuant to an effective registration statement under the Securities Act of 1933, as amended (the “</w:t>
      </w:r>
      <w:r>
        <w:rPr>
          <w:rFonts w:ascii="Times New Roman" w:cs="Times New Roman" w:eastAsia="Times New Roman" w:hAnsi="Times New Roman"/>
          <w:sz w:val="22"/>
          <w:szCs w:val="22"/>
          <w:u w:val="single" w:color="auto"/>
          <w:color w:val="auto"/>
        </w:rPr>
        <w:t>IPO Date</w:t>
      </w:r>
      <w:r>
        <w:rPr>
          <w:rFonts w:ascii="Times New Roman" w:cs="Times New Roman" w:eastAsia="Times New Roman" w:hAnsi="Times New Roman"/>
          <w:sz w:val="22"/>
          <w:szCs w:val="22"/>
          <w:color w:val="auto"/>
        </w:rPr>
        <w:t>”). The Executive’s base salary shall be subject to periodic review by the Board or the Compensation Committee of the Board (the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The base salary in effect at any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13" w:name="page114"/>
    <w:bookmarkEnd w:id="113"/>
    <w:p>
      <w:pPr>
        <w:spacing w:after="0" w:line="258" w:lineRule="auto"/>
        <w:rPr>
          <w:sz w:val="20"/>
          <w:szCs w:val="20"/>
          <w:color w:val="auto"/>
        </w:rPr>
      </w:pPr>
      <w:r>
        <w:rPr>
          <w:rFonts w:ascii="Times New Roman" w:cs="Times New Roman" w:eastAsia="Times New Roman" w:hAnsi="Times New Roman"/>
          <w:sz w:val="22"/>
          <w:szCs w:val="22"/>
          <w:color w:val="auto"/>
        </w:rPr>
        <w:t>time is referred to herein as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Base Salary shall be payable in a manner that is consistent with the Company’s usual payroll practices for its executive officers.</w:t>
      </w:r>
    </w:p>
    <w:p>
      <w:pPr>
        <w:spacing w:after="0" w:line="158" w:lineRule="exact"/>
        <w:rPr>
          <w:sz w:val="20"/>
          <w:szCs w:val="20"/>
          <w:color w:val="auto"/>
        </w:rPr>
      </w:pPr>
    </w:p>
    <w:p>
      <w:pPr>
        <w:jc w:val="both"/>
        <w:ind w:firstLine="1505"/>
        <w:spacing w:after="0" w:line="234" w:lineRule="auto"/>
        <w:tabs>
          <w:tab w:leader="none" w:pos="2036"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The Executive shall be eligible to receive cash incentive compensation as determined by the Board or the Compensation Committee from time to time. The Executive’s initial target annual incentive compensation shall be 40 percent of the Executive’s Base Salary. The actual amount of which, if any, shall be determined in the sole discretion of the Board or the Compensation Committee, subject to the terms of any applicable incentive compensation plan that may be in effect from time to time. The target annual incentive compensation in effect at any given time is referred to herein as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Except as may be provided by the Board or the Compensation Committee or as may otherwise be set forth in the applicable incentive compensation plan, the Executive must be employed by the Company on the date such incentive compensation is paid in order to earn or receive any annual incentive compensation and such incentive compensation, if any, shall be paid in the calendar year following the calendar year to which the bonus relates. The Company will use reasonable efforts to pay such incentive compensation, if any, not later than March 31 of such following calendar year.</w:t>
      </w:r>
    </w:p>
    <w:p>
      <w:pPr>
        <w:spacing w:after="0" w:line="179"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executives.</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The Executive shall be eligible to participate in or receive benefits under the Company’s employee benefit plans in effect from time to time, subject to the terms of such plans.</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The Executive shall be entitled to take paid time off in accordance with the Company’s applicable paid time off policy for executives, as may be in effect from time to time.</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The equity awards held by the Executive shall continue to be governed by the terms and conditions of the applicable equity plan and/or award agreement(s) governing the terms of such equity awards (collectively, the “</w:t>
      </w:r>
      <w:r>
        <w:rPr>
          <w:rFonts w:ascii="Times New Roman" w:cs="Times New Roman" w:eastAsia="Times New Roman" w:hAnsi="Times New Roman"/>
          <w:sz w:val="22"/>
          <w:szCs w:val="22"/>
          <w:u w:val="single" w:color="auto"/>
          <w:color w:val="auto"/>
        </w:rPr>
        <w:t>Equity Documents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Executive shall be entitled to the same indemnification rights as the Company grants to other senior executives and Board members of the Company and, in addition, the Company shall indemnify the Executive to the fullest extent permitted under the Company’s by-laws and/or Delaware law. Furthermore, the Company maintains a directors and officers liability policy and will provide the Executive with such coverage to the same extent as provided by the Company to other senior executives and Board members of the Company.</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and Severance</w:t>
      </w:r>
      <w:r>
        <w:rPr>
          <w:rFonts w:ascii="Times New Roman" w:cs="Times New Roman" w:eastAsia="Times New Roman" w:hAnsi="Times New Roman"/>
          <w:sz w:val="22"/>
          <w:szCs w:val="22"/>
          <w:color w:val="auto"/>
        </w:rPr>
        <w:t xml:space="preserve">. The Executive’s employment with the Company is at-will meaning the employment relationship may be terminated by the Executive or by the Company at any time upon written notice. </w:t>
      </w:r>
      <w:r>
        <w:rPr>
          <w:rFonts w:ascii="Times New Roman" w:cs="Times New Roman" w:eastAsia="Times New Roman" w:hAnsi="Times New Roman"/>
          <w:sz w:val="22"/>
          <w:szCs w:val="22"/>
          <w:color w:val="262628"/>
        </w:rPr>
        <w:t>The</w:t>
      </w:r>
      <w:r>
        <w:rPr>
          <w:rFonts w:ascii="Times New Roman" w:cs="Times New Roman" w:eastAsia="Times New Roman" w:hAnsi="Times New Roman"/>
          <w:sz w:val="22"/>
          <w:szCs w:val="22"/>
          <w:color w:val="auto"/>
        </w:rPr>
        <w:t xml:space="preserve"> Executive shall be a Covered Executive, “Tier 2 Executive” under the Company’s Executive Severance Plan (the “</w:t>
      </w:r>
      <w:r>
        <w:rPr>
          <w:rFonts w:ascii="Times New Roman" w:cs="Times New Roman" w:eastAsia="Times New Roman" w:hAnsi="Times New Roman"/>
          <w:sz w:val="22"/>
          <w:szCs w:val="22"/>
          <w:u w:val="single" w:color="auto"/>
          <w:color w:val="auto"/>
        </w:rPr>
        <w:t>Executive Severance Plan</w:t>
      </w:r>
      <w:r>
        <w:rPr>
          <w:rFonts w:ascii="Times New Roman" w:cs="Times New Roman" w:eastAsia="Times New Roman" w:hAnsi="Times New Roman"/>
          <w:sz w:val="22"/>
          <w:szCs w:val="22"/>
          <w:color w:val="auto"/>
        </w:rPr>
        <w:t>”). The Executive’s participation in the Executive Severance Plan is contingent upon the Executive’s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4" w:name="page115"/>
    <w:bookmarkEnd w:id="114"/>
    <w:p>
      <w:pPr>
        <w:jc w:val="both"/>
        <w:spacing w:after="0" w:line="239" w:lineRule="auto"/>
        <w:rPr>
          <w:sz w:val="20"/>
          <w:szCs w:val="20"/>
          <w:color w:val="auto"/>
        </w:rPr>
      </w:pPr>
      <w:r>
        <w:rPr>
          <w:rFonts w:ascii="Times New Roman" w:cs="Times New Roman" w:eastAsia="Times New Roman" w:hAnsi="Times New Roman"/>
          <w:sz w:val="22"/>
          <w:szCs w:val="22"/>
          <w:color w:val="auto"/>
        </w:rPr>
        <w:t>execution and delivery to the Company of a Participation Agreement thereunder</w:t>
      </w:r>
      <w:r>
        <w:rPr>
          <w:rFonts w:ascii="Times New Roman" w:cs="Times New Roman" w:eastAsia="Times New Roman" w:hAnsi="Times New Roman"/>
          <w:sz w:val="22"/>
          <w:szCs w:val="22"/>
          <w:color w:val="424242"/>
        </w:rPr>
        <w:t>.</w:t>
      </w:r>
      <w:r>
        <w:rPr>
          <w:rFonts w:ascii="Times New Roman" w:cs="Times New Roman" w:eastAsia="Times New Roman" w:hAnsi="Times New Roman"/>
          <w:sz w:val="22"/>
          <w:szCs w:val="22"/>
          <w:color w:val="auto"/>
        </w:rPr>
        <w:t xml:space="preserve"> All compensation relating to the termination of the Executive’s employment with the Company, including eligibility for any severance payments, benefits and accelerated vesting in connection with such termination of employment, shall be governed by the terms and conditions set forth in the Executive Severance Plan and the Participation Agreement.</w:t>
      </w:r>
    </w:p>
    <w:p>
      <w:pPr>
        <w:spacing w:after="0" w:line="180" w:lineRule="exact"/>
        <w:rPr>
          <w:sz w:val="20"/>
          <w:szCs w:val="20"/>
          <w:color w:val="auto"/>
        </w:rPr>
      </w:pPr>
    </w:p>
    <w:p>
      <w:pPr>
        <w:ind w:left="1020" w:hanging="263"/>
        <w:spacing w:after="0"/>
        <w:tabs>
          <w:tab w:leader="none" w:pos="102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or otherwise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70" w:lineRule="exact"/>
        <w:rPr>
          <w:rFonts w:ascii="Times New Roman" w:cs="Times New Roman" w:eastAsia="Times New Roman" w:hAnsi="Times New Roman"/>
          <w:sz w:val="21"/>
          <w:szCs w:val="21"/>
          <w:color w:val="auto"/>
        </w:rPr>
      </w:pPr>
    </w:p>
    <w:p>
      <w:pPr>
        <w:jc w:val="both"/>
        <w:ind w:firstLine="1505"/>
        <w:spacing w:after="0" w:line="235" w:lineRule="auto"/>
        <w:tabs>
          <w:tab w:leader="none" w:pos="2036"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3" w:lineRule="exact"/>
        <w:rPr>
          <w:rFonts w:ascii="Times New Roman" w:cs="Times New Roman" w:eastAsia="Times New Roman" w:hAnsi="Times New Roman"/>
          <w:sz w:val="22"/>
          <w:szCs w:val="22"/>
          <w:color w:val="auto"/>
        </w:rPr>
      </w:pPr>
    </w:p>
    <w:p>
      <w:pPr>
        <w:jc w:val="both"/>
        <w:ind w:firstLine="1505"/>
        <w:spacing w:after="0" w:line="260" w:lineRule="exact"/>
        <w:tabs>
          <w:tab w:leader="none" w:pos="2036"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1(h).</w:t>
      </w:r>
    </w:p>
    <w:p>
      <w:pPr>
        <w:spacing w:after="0" w:line="147" w:lineRule="exact"/>
        <w:rPr>
          <w:rFonts w:ascii="Times New Roman" w:cs="Times New Roman" w:eastAsia="Times New Roman" w:hAnsi="Times New Roman"/>
          <w:sz w:val="22"/>
          <w:szCs w:val="22"/>
          <w:color w:val="auto"/>
        </w:rPr>
      </w:pPr>
    </w:p>
    <w:p>
      <w:pPr>
        <w:jc w:val="both"/>
        <w:ind w:firstLine="1505"/>
        <w:spacing w:after="0" w:line="260" w:lineRule="exact"/>
        <w:tabs>
          <w:tab w:leader="none" w:pos="2036"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or the Restrictive Covenants Agreement is intended to constitute a separate payment for purposes of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2(b)(2). The parties agree that this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5" w:name="page116"/>
    <w:bookmarkEnd w:id="115"/>
    <w:p>
      <w:pPr>
        <w:jc w:val="both"/>
        <w:spacing w:after="0" w:line="244" w:lineRule="auto"/>
        <w:rPr>
          <w:sz w:val="20"/>
          <w:szCs w:val="20"/>
          <w:color w:val="auto"/>
        </w:rPr>
      </w:pPr>
      <w:r>
        <w:rPr>
          <w:rFonts w:ascii="Times New Roman" w:cs="Times New Roman" w:eastAsia="Times New Roman" w:hAnsi="Times New Roman"/>
          <w:sz w:val="22"/>
          <w:szCs w:val="22"/>
          <w:color w:val="auto"/>
        </w:rPr>
        <w:t>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73" w:lineRule="exact"/>
        <w:rPr>
          <w:sz w:val="20"/>
          <w:szCs w:val="20"/>
          <w:color w:val="auto"/>
        </w:rPr>
      </w:pPr>
    </w:p>
    <w:p>
      <w:pPr>
        <w:jc w:val="both"/>
        <w:ind w:firstLine="1505"/>
        <w:spacing w:after="0" w:line="244" w:lineRule="auto"/>
        <w:tabs>
          <w:tab w:leader="none" w:pos="2036"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7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 Agreement</w:t>
      </w:r>
      <w:r>
        <w:rPr>
          <w:rFonts w:ascii="Times New Roman" w:cs="Times New Roman" w:eastAsia="Times New Roman" w:hAnsi="Times New Roman"/>
          <w:sz w:val="22"/>
          <w:szCs w:val="22"/>
          <w:color w:val="auto"/>
        </w:rPr>
        <w:t>. The terms of the Employee Confidential Information, Inventions, Non-Solicitation and Non-Competition Agreement, dated August 18, 2023 (the “</w:t>
      </w:r>
      <w:r>
        <w:rPr>
          <w:rFonts w:ascii="Times New Roman" w:cs="Times New Roman" w:eastAsia="Times New Roman" w:hAnsi="Times New Roman"/>
          <w:sz w:val="22"/>
          <w:szCs w:val="22"/>
          <w:u w:val="single" w:color="auto"/>
          <w:color w:val="auto"/>
        </w:rPr>
        <w:t>Restrictive Covenants Agreement</w:t>
      </w:r>
      <w:r>
        <w:rPr>
          <w:rFonts w:ascii="Times New Roman" w:cs="Times New Roman" w:eastAsia="Times New Roman" w:hAnsi="Times New Roman"/>
          <w:sz w:val="22"/>
          <w:szCs w:val="22"/>
          <w:color w:val="auto"/>
        </w:rPr>
        <w:t xml:space="preserve">”), between the Company and the Executive,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continue to be in full force and effect. For purposes of this Agreement, the obligations in this Section 5 and those that arise in the Restrictive Covenants Agreement and any other agreement relating to confidentiality, assignment of inventions, or other restrictive covenants shall collectively be referred to as the “</w:t>
      </w: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 For the avoidance of doubt, all restrictive covenants obligations are supplemental to one another, and in the event of any conflict between restrictive covenants obligations, the most restrictive provision that is enforceable shall govern. In the event the Executive is entitled to both payments pursuant to the Restrictive Covenants Agreement and severance payments pursuant to the Executive Severance Plan, then the severance payments pursuant to the Executive Severance Plan will be reduced by the amount the Executive is paid pursuant to the Restrictive Covenants Agreement.</w:t>
      </w:r>
    </w:p>
    <w:p>
      <w:pPr>
        <w:spacing w:after="0" w:line="179"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Agreements and Rights</w:t>
      </w:r>
      <w:r>
        <w:rPr>
          <w:rFonts w:ascii="Times New Roman" w:cs="Times New Roman" w:eastAsia="Times New Roman" w:hAnsi="Times New Roman"/>
          <w:sz w:val="22"/>
          <w:szCs w:val="22"/>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83" w:lineRule="exact"/>
        <w:rPr>
          <w:rFonts w:ascii="Times New Roman" w:cs="Times New Roman" w:eastAsia="Times New Roman" w:hAnsi="Times New Roman"/>
          <w:sz w:val="22"/>
          <w:szCs w:val="22"/>
          <w:color w:val="auto"/>
        </w:rPr>
      </w:pPr>
    </w:p>
    <w:p>
      <w:pPr>
        <w:jc w:val="both"/>
        <w:ind w:firstLine="1505"/>
        <w:spacing w:after="0" w:line="250" w:lineRule="exact"/>
        <w:tabs>
          <w:tab w:leader="none" w:pos="2036"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 and Regulatory Cooperation</w:t>
      </w:r>
      <w:r>
        <w:rPr>
          <w:rFonts w:ascii="Times New Roman" w:cs="Times New Roman" w:eastAsia="Times New Roman" w:hAnsi="Times New Roman"/>
          <w:sz w:val="22"/>
          <w:szCs w:val="22"/>
          <w:color w:val="auto"/>
        </w:rPr>
        <w:t>. During and after the Executive’s employment, the Executive shall reasonably cooperate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Company shall reimburse the Executive for any reasonable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 expenses incurred in connection with the Executive’s performance of obligations pursuant to this Section 5(c).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-4461510</wp:posOffset>
            </wp:positionV>
            <wp:extent cx="342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8">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6" w:name="page117"/>
    <w:bookmarkEnd w:id="116"/>
    <w:p>
      <w:pPr>
        <w:jc w:val="both"/>
        <w:ind w:firstLine="1505"/>
        <w:spacing w:after="0" w:line="236" w:lineRule="auto"/>
        <w:tabs>
          <w:tab w:leader="none" w:pos="2036"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Relief</w:t>
      </w:r>
      <w:r>
        <w:rPr>
          <w:rFonts w:ascii="Times New Roman" w:cs="Times New Roman" w:eastAsia="Times New Roman" w:hAnsi="Times New Roman"/>
          <w:sz w:val="22"/>
          <w:szCs w:val="22"/>
          <w:color w:val="auto"/>
        </w:rPr>
        <w:t>. The Executive agrees that it would be difficult to measure any damages caused to the Company which might result from any breach by the Executive of the Continuing Obligations, and that in any event money damages would be an inadequate remedy for any such breach. Accordingly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to Jurisdiction</w:t>
      </w:r>
      <w:r>
        <w:rPr>
          <w:rFonts w:ascii="Times New Roman" w:cs="Times New Roman" w:eastAsia="Times New Roman" w:hAnsi="Times New Roman"/>
          <w:sz w:val="22"/>
          <w:szCs w:val="22"/>
          <w:color w:val="auto"/>
        </w:rPr>
        <w:t>. The parties hereby consent to the jurisdiction of the state and federal courts of the Commonwealth of Massachusetts. Accordingly, with respect to any such court action, the Executive (a) submits to the exclusive personal jurisdiction of such courts and (b) waives any other requirement (whether imposed by statute, rule of court, or otherwise) with respect to personal jurisdiction.</w:t>
      </w:r>
    </w:p>
    <w:p>
      <w:pPr>
        <w:spacing w:after="0" w:line="180"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of the Executive and the Company irrevocably and unconditionally WAIVES ALL RIGHT TO TRIAL BY JURY IN ANY PROCEEDING (WHETHER BASED ON CONTRACT, TORT OR OTHERWISE) ARISING OUT OF OR RELATING TO THIS AGREEMENT OR THE EXECUTIVE’S EMPLOYMENT BY THE COMPANY OR ANY AFFILIATE OF THE COMPANY, INCLUDING WITHOUT LIMITATION THE EXECUTIVE’S OR THE COMPANY’S PERFORMANCE UNDER, OR THE ENFORCEMENT OF, THIS AGREEMENT.</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Tax Effect</w:t>
      </w:r>
      <w:r>
        <w:rPr>
          <w:rFonts w:ascii="Times New Roman" w:cs="Times New Roman" w:eastAsia="Times New Roman" w:hAnsi="Times New Roman"/>
          <w:sz w:val="21"/>
          <w:szCs w:val="21"/>
          <w:color w:val="auto"/>
        </w:rPr>
        <w:t xml:space="preserve">.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 </w:t>
      </w:r>
      <w:r>
        <w:rPr>
          <w:rFonts w:ascii="Times New Roman" w:cs="Times New Roman" w:eastAsia="Times New Roman" w:hAnsi="Times New Roman"/>
          <w:sz w:val="21"/>
          <w:szCs w:val="21"/>
          <w:u w:val="single" w:color="auto"/>
          <w:color w:val="auto"/>
        </w:rPr>
        <w:t>Assignment; Successors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Assigns</w:t>
      </w:r>
      <w:r>
        <w:rPr>
          <w:rFonts w:ascii="Times New Roman" w:cs="Times New Roman" w:eastAsia="Times New Roman" w:hAnsi="Times New Roman"/>
          <w:sz w:val="21"/>
          <w:szCs w:val="21"/>
          <w:color w:val="auto"/>
        </w:rPr>
        <w:t xml:space="preserve">. Neither the Executive nor the Company may make any assignment of this Agreement or any interest in it, by operation of law or otherwise, without the prior written consent of the other;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Company may assign its rights and obligations under this Agreement (including the 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if the Executive remains employed or becomes employed by the Company, the purchaser or any of their affiliates in connection with any such transaction, then the Executive shall not be entitled to any payments, benefits or vesting pursuant to the Executive Severance Plan solely as a result of his employment with such successor as a result of such transaction.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7" w:name="page118"/>
    <w:bookmarkEnd w:id="117"/>
    <w:p>
      <w:pPr>
        <w:jc w:val="both"/>
        <w:ind w:firstLine="757"/>
        <w:spacing w:after="0" w:line="238" w:lineRule="auto"/>
        <w:tabs>
          <w:tab w:leader="none" w:pos="1018"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Agreement shall survive the termination of this Agreement and/or the termination of the Executive’s employment to the extent necessary to effectuate the terms contained herein.</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CEO. Notices, requests, demands and other communications provided for by this Agreement shall also be sufficient if sent by email to the Company email address of the Executive or, in the case of Company, the Avalyn Pharma email address of the CEO, with confirmation of receipt.</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signed by the Executive and by a duly authorized representative of the Company.</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Effect on Other Plans and Agreements</w:t>
      </w:r>
      <w:r>
        <w:rPr>
          <w:rFonts w:ascii="Times New Roman" w:cs="Times New Roman" w:eastAsia="Times New Roman" w:hAnsi="Times New Roman"/>
          <w:sz w:val="22"/>
          <w:szCs w:val="22"/>
          <w:color w:val="auto"/>
        </w:rPr>
        <w:t>. An election by the Executive to resign for Good Reason under the provisions of the Executive Severance Plan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that the Executive shall have no rights to any severance benefits under any Company severance pay plan, offer letter or otherwise except as set forth in the Executive Severance Plan. Notwithstanding anything to the contrary in this Agreement, all severance pay and benefits provided to the Executive pursuant to the Executive Severance Plan (as applicable) shall be reduced and/or offset by any amounts or benefits paid to the Executive to satisfy the federal Worker Adjustment and Retraining Notification (WARN) Act, 29 U.S.C. § 2101 et seq., as amended, and any applicable state plant or facility closing or mass layoff law (whether as damages, as payment of salary or other wages during an applicable notice period or otherwise).</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is a Massachusetts contract and shall be construed under and be governed in all respects by the laws of the Commonwealth of Massachusetts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without giving effect to the conflict of laws principles thereof. With respect to any disputes concerning federal</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8" w:name="page119"/>
    <w:bookmarkEnd w:id="118"/>
    <w:p>
      <w:pPr>
        <w:spacing w:after="0" w:line="258" w:lineRule="auto"/>
        <w:rPr>
          <w:sz w:val="20"/>
          <w:szCs w:val="20"/>
          <w:color w:val="auto"/>
        </w:rPr>
      </w:pPr>
      <w:r>
        <w:rPr>
          <w:rFonts w:ascii="Times New Roman" w:cs="Times New Roman" w:eastAsia="Times New Roman" w:hAnsi="Times New Roman"/>
          <w:sz w:val="22"/>
          <w:szCs w:val="22"/>
          <w:color w:val="auto"/>
        </w:rPr>
        <w:t>law, such disputes shall be determined in accordance with the law as it would be interpreted and applied by the United States Court of Appeals for the First Circuit.</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effective on the Effective Date.</w:t>
      </w:r>
    </w:p>
    <w:p>
      <w:pPr>
        <w:spacing w:after="0" w:line="20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AVALYN PHARMA INC.</w:t>
      </w:r>
    </w:p>
    <w:p>
      <w:pPr>
        <w:spacing w:after="0" w:line="200" w:lineRule="exact"/>
        <w:rPr>
          <w:sz w:val="20"/>
          <w:szCs w:val="20"/>
          <w:color w:val="auto"/>
        </w:rPr>
      </w:pPr>
    </w:p>
    <w:p>
      <w:pPr>
        <w:spacing w:after="0" w:line="28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auto"/>
        </w:rPr>
        <w:t>/s/ Lyn Baranowski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10795</wp:posOffset>
            </wp:positionV>
            <wp:extent cx="328295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By: Lyn Baranowski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-3810</wp:posOffset>
            </wp:positionV>
            <wp:extent cx="328295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22"/>
          <w:szCs w:val="22"/>
          <w:color w:val="auto"/>
        </w:rPr>
        <w:t>Its: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-3810</wp:posOffset>
            </wp:positionV>
            <wp:extent cx="328295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9" w:name="page120"/>
    <w:bookmarkEnd w:id="119"/>
    <w:p>
      <w:pPr>
        <w:ind w:left="45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color w:val="auto"/>
        </w:rPr>
        <w:t>/s/ Melissa Rhodes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18415</wp:posOffset>
            </wp:positionV>
            <wp:extent cx="356616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Melissa Rhodes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500380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Restrictive Covenants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899795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1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This Employment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between Avalyn Pharma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Howard Lazarus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dated as of April 24, 2026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Except with respect to the Restrictive Covenants Agreement, the Continuing Obligations, the Executive Severance Plan, the Participant Agreement and the Equity Documents (each, as defined below), this Agreement supersedes in all respects all prior agreements between the Executive and the Company regarding the subject matter herein, including without limitation (i) the Offer Letter between the Executive and the Company dated June 15, 2023 (the “</w:t>
      </w:r>
      <w:r>
        <w:rPr>
          <w:rFonts w:ascii="Times New Roman" w:cs="Times New Roman" w:eastAsia="Times New Roman" w:hAnsi="Times New Roman"/>
          <w:sz w:val="22"/>
          <w:szCs w:val="22"/>
          <w:u w:val="single" w:color="auto"/>
          <w:color w:val="auto"/>
        </w:rPr>
        <w:t>Prior Agreement</w:t>
      </w:r>
      <w:r>
        <w:rPr>
          <w:rFonts w:ascii="Times New Roman" w:cs="Times New Roman" w:eastAsia="Times New Roman" w:hAnsi="Times New Roman"/>
          <w:sz w:val="22"/>
          <w:szCs w:val="22"/>
          <w:color w:val="auto"/>
        </w:rPr>
        <w:t>”), and (ii) any other offer letter, employment agreement or severance agreement.</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desires to continue to employ the Executive and the Executive desires to continue to be employed by the Company on the new terms and conditions contained herein.</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58" w:lineRule="exact"/>
        <w:rPr>
          <w:sz w:val="20"/>
          <w:szCs w:val="20"/>
          <w:color w:val="auto"/>
        </w:rPr>
      </w:pPr>
    </w:p>
    <w:p>
      <w:pPr>
        <w:ind w:left="1020" w:hanging="263"/>
        <w:spacing w:after="0"/>
        <w:tabs>
          <w:tab w:leader="none" w:pos="10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176" w:lineRule="exact"/>
        <w:rPr>
          <w:rFonts w:ascii="Times New Roman" w:cs="Times New Roman" w:eastAsia="Times New Roman" w:hAnsi="Times New Roman"/>
          <w:sz w:val="22"/>
          <w:szCs w:val="22"/>
          <w:color w:val="auto"/>
        </w:rPr>
      </w:pPr>
    </w:p>
    <w:p>
      <w:pPr>
        <w:jc w:val="both"/>
        <w:ind w:firstLine="1505"/>
        <w:spacing w:after="0" w:line="235" w:lineRule="auto"/>
        <w:tabs>
          <w:tab w:leader="none" w:pos="2036"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 The Executive shall serve as the Chief Medical Officer of the Company and shall have such powers and duties as may from time to time be prescribed by the Chief Executive Officer (the “</w:t>
      </w:r>
      <w:r>
        <w:rPr>
          <w:rFonts w:ascii="Times New Roman" w:cs="Times New Roman" w:eastAsia="Times New Roman" w:hAnsi="Times New Roman"/>
          <w:sz w:val="22"/>
          <w:szCs w:val="22"/>
          <w:u w:val="single" w:color="auto"/>
          <w:color w:val="auto"/>
        </w:rPr>
        <w:t>CEO</w:t>
      </w:r>
      <w:r>
        <w:rPr>
          <w:rFonts w:ascii="Times New Roman" w:cs="Times New Roman" w:eastAsia="Times New Roman" w:hAnsi="Times New Roman"/>
          <w:sz w:val="22"/>
          <w:szCs w:val="22"/>
          <w:color w:val="auto"/>
        </w:rPr>
        <w:t>”). This is a full-time, exempt position and the Executive shall devote the Executive’s full working time and efforts to the business and affairs of the Company. Notwithstanding the foregoing, the Executive may, with the prior written approval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serve on additional boards of directors, or the Executive may engage in religious, charitable or other community activities, in each case, as long as such services and activities do not interfere with the Executive’s performance of the Executive’s duties to the Company.</w:t>
      </w:r>
    </w:p>
    <w:p>
      <w:pPr>
        <w:spacing w:after="0" w:line="18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Executive’s initial base salary shall be paid at the rate of $471,000 per year, which shall be increased to $500,000 per year as of the closing of the Company’s first underwritten public offering of its equity securities pursuant to an effective registration statement under the Securities Act of 1933, as amended (the “</w:t>
      </w:r>
      <w:r>
        <w:rPr>
          <w:rFonts w:ascii="Times New Roman" w:cs="Times New Roman" w:eastAsia="Times New Roman" w:hAnsi="Times New Roman"/>
          <w:sz w:val="22"/>
          <w:szCs w:val="22"/>
          <w:u w:val="single" w:color="auto"/>
          <w:color w:val="auto"/>
        </w:rPr>
        <w:t>IPO Date</w:t>
      </w:r>
      <w:r>
        <w:rPr>
          <w:rFonts w:ascii="Times New Roman" w:cs="Times New Roman" w:eastAsia="Times New Roman" w:hAnsi="Times New Roman"/>
          <w:sz w:val="22"/>
          <w:szCs w:val="22"/>
          <w:color w:val="auto"/>
        </w:rPr>
        <w:t>”). The Executive’s base salary shall be subject to periodic review by the Board or the Compensation Committee of the Board (the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The base salary in effect at any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1008380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2" w:name="page123"/>
    <w:bookmarkEnd w:id="122"/>
    <w:p>
      <w:pPr>
        <w:spacing w:after="0" w:line="258" w:lineRule="auto"/>
        <w:rPr>
          <w:sz w:val="20"/>
          <w:szCs w:val="20"/>
          <w:color w:val="auto"/>
        </w:rPr>
      </w:pPr>
      <w:r>
        <w:rPr>
          <w:rFonts w:ascii="Times New Roman" w:cs="Times New Roman" w:eastAsia="Times New Roman" w:hAnsi="Times New Roman"/>
          <w:sz w:val="22"/>
          <w:szCs w:val="22"/>
          <w:color w:val="auto"/>
        </w:rPr>
        <w:t>time is referred to herein as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The Base Salary shall be payable in a manner that is consistent with the Company’s usual payroll practices for its executive officers.</w:t>
      </w:r>
    </w:p>
    <w:p>
      <w:pPr>
        <w:spacing w:after="0" w:line="158" w:lineRule="exact"/>
        <w:rPr>
          <w:sz w:val="20"/>
          <w:szCs w:val="20"/>
          <w:color w:val="auto"/>
        </w:rPr>
      </w:pPr>
    </w:p>
    <w:p>
      <w:pPr>
        <w:jc w:val="both"/>
        <w:ind w:firstLine="1505"/>
        <w:spacing w:after="0" w:line="234" w:lineRule="auto"/>
        <w:tabs>
          <w:tab w:leader="none" w:pos="2036"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The Executive shall be eligible to receive cash incentive compensation as determined by the Board or the Compensation Committee from time to time. The Executive’s initial target annual incentive compensation shall be 40 percent of the Executive’s Base Salary. The actual amount of which, if any, shall be determined in the sole discretion of the Board or the Compensation Committee, subject to the terms of any applicable incentive compensation plan that may be in effect from time to time. The target annual incentive compensation in effect at any given time is referred to herein as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Except as may be provided by the Board or the Compensation Committee or as may otherwise be set forth in the applicable incentive compensation plan, the Executive must be employed by the Company on the date such incentive compensation is paid in order to earn or receive any annual incentive compensation and such incentive compensation, if any, shall be paid in the calendar year following the calendar year to which the bonus relates. The Company will use reasonable efforts to pay such incentive compensation, if any, not later than March 31 of such following calendar year.</w:t>
      </w:r>
    </w:p>
    <w:p>
      <w:pPr>
        <w:spacing w:after="0" w:line="179"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executives.</w:t>
      </w:r>
    </w:p>
    <w:p>
      <w:pPr>
        <w:spacing w:after="0" w:line="173" w:lineRule="exact"/>
        <w:rPr>
          <w:rFonts w:ascii="Times New Roman" w:cs="Times New Roman" w:eastAsia="Times New Roman" w:hAnsi="Times New Roman"/>
          <w:sz w:val="22"/>
          <w:szCs w:val="22"/>
          <w:color w:val="auto"/>
        </w:rPr>
      </w:pPr>
    </w:p>
    <w:p>
      <w:pPr>
        <w:ind w:right="20" w:firstLine="1505"/>
        <w:spacing w:after="0" w:line="258" w:lineRule="auto"/>
        <w:tabs>
          <w:tab w:leader="none" w:pos="2036"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Benefits</w:t>
      </w:r>
      <w:r>
        <w:rPr>
          <w:rFonts w:ascii="Times New Roman" w:cs="Times New Roman" w:eastAsia="Times New Roman" w:hAnsi="Times New Roman"/>
          <w:sz w:val="22"/>
          <w:szCs w:val="22"/>
          <w:color w:val="auto"/>
        </w:rPr>
        <w:t>. The Executive shall be eligible to participate in or receive benefits under the Company’s employee benefit plans in effect from time to time, subject to the terms of such plans.</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2036"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Paid Time Off</w:t>
      </w:r>
      <w:r>
        <w:rPr>
          <w:rFonts w:ascii="Times New Roman" w:cs="Times New Roman" w:eastAsia="Times New Roman" w:hAnsi="Times New Roman"/>
          <w:sz w:val="22"/>
          <w:szCs w:val="22"/>
          <w:color w:val="auto"/>
        </w:rPr>
        <w:t>. The Executive shall be entitled to take paid time off in accordance with the Company’s applicable paid time off policy for executives, as may be in effect from time to time.</w:t>
      </w:r>
    </w:p>
    <w:p>
      <w:pPr>
        <w:spacing w:after="0" w:line="158" w:lineRule="exact"/>
        <w:rPr>
          <w:rFonts w:ascii="Times New Roman" w:cs="Times New Roman" w:eastAsia="Times New Roman" w:hAnsi="Times New Roman"/>
          <w:sz w:val="22"/>
          <w:szCs w:val="22"/>
          <w:color w:val="auto"/>
        </w:rPr>
      </w:pPr>
    </w:p>
    <w:p>
      <w:pPr>
        <w:jc w:val="both"/>
        <w:ind w:firstLine="1505"/>
        <w:spacing w:after="0" w:line="244" w:lineRule="auto"/>
        <w:tabs>
          <w:tab w:leader="none" w:pos="2036"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w:t>
      </w:r>
      <w:r>
        <w:rPr>
          <w:rFonts w:ascii="Times New Roman" w:cs="Times New Roman" w:eastAsia="Times New Roman" w:hAnsi="Times New Roman"/>
          <w:sz w:val="22"/>
          <w:szCs w:val="22"/>
          <w:color w:val="auto"/>
        </w:rPr>
        <w:t>. The equity awards held by the Executive shall continue to be governed by the terms and conditions of the applicable equity plan and/or award agreement(s) governing the terms of such equity awards (collectively, the “</w:t>
      </w:r>
      <w:r>
        <w:rPr>
          <w:rFonts w:ascii="Times New Roman" w:cs="Times New Roman" w:eastAsia="Times New Roman" w:hAnsi="Times New Roman"/>
          <w:sz w:val="22"/>
          <w:szCs w:val="22"/>
          <w:u w:val="single" w:color="auto"/>
          <w:color w:val="auto"/>
        </w:rPr>
        <w:t>Equity Documents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Executive shall be entitled to the same indemnification rights as the Company grants to other senior executives and Board members of the Company and, in addition, the Company shall indemnify the Executive to the fullest extent permitted under the Company’s by-laws and/or Delaware law. Furthermore, the Company maintains a directors and officers liability policy and will provide the Executive with such coverage to the same extent as provided by the Company to other senior executives and Board members of the Company.</w:t>
      </w:r>
    </w:p>
    <w:p>
      <w:pPr>
        <w:spacing w:after="0" w:line="176"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and Severance</w:t>
      </w:r>
      <w:r>
        <w:rPr>
          <w:rFonts w:ascii="Times New Roman" w:cs="Times New Roman" w:eastAsia="Times New Roman" w:hAnsi="Times New Roman"/>
          <w:sz w:val="22"/>
          <w:szCs w:val="22"/>
          <w:color w:val="auto"/>
        </w:rPr>
        <w:t xml:space="preserve">. The Executive’s employment with the Company is at-will meaning the employment relationship may be terminated by the Executive or by the Company at any time upon written notice. </w:t>
      </w:r>
      <w:r>
        <w:rPr>
          <w:rFonts w:ascii="Times New Roman" w:cs="Times New Roman" w:eastAsia="Times New Roman" w:hAnsi="Times New Roman"/>
          <w:sz w:val="22"/>
          <w:szCs w:val="22"/>
          <w:color w:val="262628"/>
        </w:rPr>
        <w:t>The</w:t>
      </w:r>
      <w:r>
        <w:rPr>
          <w:rFonts w:ascii="Times New Roman" w:cs="Times New Roman" w:eastAsia="Times New Roman" w:hAnsi="Times New Roman"/>
          <w:sz w:val="22"/>
          <w:szCs w:val="22"/>
          <w:color w:val="auto"/>
        </w:rPr>
        <w:t xml:space="preserve"> Executive shall be a Covered Executive, “Tier 2 Executive” under the Company’s Executive Severance Plan (the “</w:t>
      </w:r>
      <w:r>
        <w:rPr>
          <w:rFonts w:ascii="Times New Roman" w:cs="Times New Roman" w:eastAsia="Times New Roman" w:hAnsi="Times New Roman"/>
          <w:sz w:val="22"/>
          <w:szCs w:val="22"/>
          <w:u w:val="single" w:color="auto"/>
          <w:color w:val="auto"/>
        </w:rPr>
        <w:t>Executive Severance Plan</w:t>
      </w:r>
      <w:r>
        <w:rPr>
          <w:rFonts w:ascii="Times New Roman" w:cs="Times New Roman" w:eastAsia="Times New Roman" w:hAnsi="Times New Roman"/>
          <w:sz w:val="22"/>
          <w:szCs w:val="22"/>
          <w:color w:val="auto"/>
        </w:rPr>
        <w:t>”). The Executive’s participation in the Executive Severance Plan is contingent upon the Executive’s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3" w:name="page124"/>
    <w:bookmarkEnd w:id="123"/>
    <w:p>
      <w:pPr>
        <w:jc w:val="both"/>
        <w:spacing w:after="0" w:line="239" w:lineRule="auto"/>
        <w:rPr>
          <w:sz w:val="20"/>
          <w:szCs w:val="20"/>
          <w:color w:val="auto"/>
        </w:rPr>
      </w:pPr>
      <w:r>
        <w:rPr>
          <w:rFonts w:ascii="Times New Roman" w:cs="Times New Roman" w:eastAsia="Times New Roman" w:hAnsi="Times New Roman"/>
          <w:sz w:val="22"/>
          <w:szCs w:val="22"/>
          <w:color w:val="auto"/>
        </w:rPr>
        <w:t>execution and delivery to the Company of a Participation Agreement thereunder</w:t>
      </w:r>
      <w:r>
        <w:rPr>
          <w:rFonts w:ascii="Times New Roman" w:cs="Times New Roman" w:eastAsia="Times New Roman" w:hAnsi="Times New Roman"/>
          <w:sz w:val="22"/>
          <w:szCs w:val="22"/>
          <w:color w:val="424242"/>
        </w:rPr>
        <w:t>.</w:t>
      </w:r>
      <w:r>
        <w:rPr>
          <w:rFonts w:ascii="Times New Roman" w:cs="Times New Roman" w:eastAsia="Times New Roman" w:hAnsi="Times New Roman"/>
          <w:sz w:val="22"/>
          <w:szCs w:val="22"/>
          <w:color w:val="auto"/>
        </w:rPr>
        <w:t xml:space="preserve"> All compensation relating to the termination of the Executive’s employment with the Company, including eligibility for any severance payments, benefits and accelerated vesting in connection with such termination of employment, shall be governed by the terms and conditions set forth in the Executive Severance Plan and the Participation Agreement.</w:t>
      </w:r>
    </w:p>
    <w:p>
      <w:pPr>
        <w:spacing w:after="0" w:line="180" w:lineRule="exact"/>
        <w:rPr>
          <w:sz w:val="20"/>
          <w:szCs w:val="20"/>
          <w:color w:val="auto"/>
        </w:rPr>
      </w:pPr>
    </w:p>
    <w:p>
      <w:pPr>
        <w:ind w:left="1020" w:hanging="263"/>
        <w:spacing w:after="0"/>
        <w:tabs>
          <w:tab w:leader="none" w:pos="102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46" w:lineRule="auto"/>
        <w:tabs>
          <w:tab w:leader="none" w:pos="2036"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or otherwise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70" w:lineRule="exact"/>
        <w:rPr>
          <w:rFonts w:ascii="Times New Roman" w:cs="Times New Roman" w:eastAsia="Times New Roman" w:hAnsi="Times New Roman"/>
          <w:sz w:val="21"/>
          <w:szCs w:val="21"/>
          <w:color w:val="auto"/>
        </w:rPr>
      </w:pPr>
    </w:p>
    <w:p>
      <w:pPr>
        <w:jc w:val="both"/>
        <w:ind w:firstLine="1505"/>
        <w:spacing w:after="0" w:line="235" w:lineRule="auto"/>
        <w:tabs>
          <w:tab w:leader="none" w:pos="2036"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83" w:lineRule="exact"/>
        <w:rPr>
          <w:rFonts w:ascii="Times New Roman" w:cs="Times New Roman" w:eastAsia="Times New Roman" w:hAnsi="Times New Roman"/>
          <w:sz w:val="22"/>
          <w:szCs w:val="22"/>
          <w:color w:val="auto"/>
        </w:rPr>
      </w:pPr>
    </w:p>
    <w:p>
      <w:pPr>
        <w:jc w:val="both"/>
        <w:ind w:firstLine="1505"/>
        <w:spacing w:after="0" w:line="260" w:lineRule="exact"/>
        <w:tabs>
          <w:tab w:leader="none" w:pos="2036"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1(h).</w:t>
      </w:r>
    </w:p>
    <w:p>
      <w:pPr>
        <w:spacing w:after="0" w:line="147" w:lineRule="exact"/>
        <w:rPr>
          <w:rFonts w:ascii="Times New Roman" w:cs="Times New Roman" w:eastAsia="Times New Roman" w:hAnsi="Times New Roman"/>
          <w:sz w:val="22"/>
          <w:szCs w:val="22"/>
          <w:color w:val="auto"/>
        </w:rPr>
      </w:pPr>
    </w:p>
    <w:p>
      <w:pPr>
        <w:jc w:val="both"/>
        <w:ind w:firstLine="1505"/>
        <w:spacing w:after="0" w:line="260" w:lineRule="exact"/>
        <w:tabs>
          <w:tab w:leader="none" w:pos="2036"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or the Restrictive Covenants Agreement is intended to constitute a separate payment for purposes of Treasury Regulation Section 1.409A</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2(b)(2). The parties agree that this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4" w:name="page125"/>
    <w:bookmarkEnd w:id="124"/>
    <w:p>
      <w:pPr>
        <w:jc w:val="both"/>
        <w:spacing w:after="0" w:line="244" w:lineRule="auto"/>
        <w:rPr>
          <w:sz w:val="20"/>
          <w:szCs w:val="20"/>
          <w:color w:val="auto"/>
        </w:rPr>
      </w:pPr>
      <w:r>
        <w:rPr>
          <w:rFonts w:ascii="Times New Roman" w:cs="Times New Roman" w:eastAsia="Times New Roman" w:hAnsi="Times New Roman"/>
          <w:sz w:val="22"/>
          <w:szCs w:val="22"/>
          <w:color w:val="auto"/>
        </w:rPr>
        <w:t>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73" w:lineRule="exact"/>
        <w:rPr>
          <w:sz w:val="20"/>
          <w:szCs w:val="20"/>
          <w:color w:val="auto"/>
        </w:rPr>
      </w:pPr>
    </w:p>
    <w:p>
      <w:pPr>
        <w:jc w:val="both"/>
        <w:ind w:firstLine="1505"/>
        <w:spacing w:after="0" w:line="244" w:lineRule="auto"/>
        <w:tabs>
          <w:tab w:leader="none" w:pos="2036" w:val="left"/>
        </w:tabs>
        <w:numPr>
          <w:ilvl w:val="1"/>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73"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 Agreement</w:t>
      </w:r>
      <w:r>
        <w:rPr>
          <w:rFonts w:ascii="Times New Roman" w:cs="Times New Roman" w:eastAsia="Times New Roman" w:hAnsi="Times New Roman"/>
          <w:sz w:val="22"/>
          <w:szCs w:val="22"/>
          <w:color w:val="auto"/>
        </w:rPr>
        <w:t>. The terms of the Employee Confidential Information and Inventions Assignment Agreement, dated June 19, 2023 (the “</w:t>
      </w:r>
      <w:r>
        <w:rPr>
          <w:rFonts w:ascii="Times New Roman" w:cs="Times New Roman" w:eastAsia="Times New Roman" w:hAnsi="Times New Roman"/>
          <w:sz w:val="22"/>
          <w:szCs w:val="22"/>
          <w:u w:val="single" w:color="auto"/>
          <w:color w:val="auto"/>
        </w:rPr>
        <w:t>Restrictive Covenants Agreement</w:t>
      </w:r>
      <w:r>
        <w:rPr>
          <w:rFonts w:ascii="Times New Roman" w:cs="Times New Roman" w:eastAsia="Times New Roman" w:hAnsi="Times New Roman"/>
          <w:sz w:val="22"/>
          <w:szCs w:val="22"/>
          <w:color w:val="auto"/>
        </w:rPr>
        <w:t xml:space="preserve">”), between the Company and the Executive,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continue to be in full force and effect. For purposes of this Agreement, the obligations in this Section 5 and those that arise in the Restrictive Covenants Agreement and any other agreement relating to confidentiality, assignment of inventions, or other restrictive covenants shall collectively be referred to as the “</w:t>
      </w: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 For the avoidance of doubt, all restrictive covenants obligations are supplemental to one another, and in the event of any conflict between restrictive covenants obligations, the most restrictive provision that is enforceable shall govern. In the event the Executive is entitled to both payments pursuant to the Restrictive Covenants Agreement and severance payments pursuant to the Executive Severance Plan, then the severance payments pursuant to the Executive Severance Plan will be reduced by the amount the Executive is paid pursuant to the Restrictive Covenants Agreement.</w:t>
      </w:r>
    </w:p>
    <w:p>
      <w:pPr>
        <w:spacing w:after="0" w:line="179" w:lineRule="exact"/>
        <w:rPr>
          <w:rFonts w:ascii="Times New Roman" w:cs="Times New Roman" w:eastAsia="Times New Roman" w:hAnsi="Times New Roman"/>
          <w:sz w:val="22"/>
          <w:szCs w:val="22"/>
          <w:color w:val="auto"/>
        </w:rPr>
      </w:pPr>
    </w:p>
    <w:p>
      <w:pPr>
        <w:jc w:val="both"/>
        <w:ind w:firstLine="1505"/>
        <w:spacing w:after="0" w:line="234" w:lineRule="auto"/>
        <w:tabs>
          <w:tab w:leader="none" w:pos="2036"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Third-Party Agreements and Rights</w:t>
      </w:r>
      <w:r>
        <w:rPr>
          <w:rFonts w:ascii="Times New Roman" w:cs="Times New Roman" w:eastAsia="Times New Roman" w:hAnsi="Times New Roman"/>
          <w:sz w:val="22"/>
          <w:szCs w:val="22"/>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183" w:lineRule="exact"/>
        <w:rPr>
          <w:rFonts w:ascii="Times New Roman" w:cs="Times New Roman" w:eastAsia="Times New Roman" w:hAnsi="Times New Roman"/>
          <w:sz w:val="22"/>
          <w:szCs w:val="22"/>
          <w:color w:val="auto"/>
        </w:rPr>
      </w:pPr>
    </w:p>
    <w:p>
      <w:pPr>
        <w:jc w:val="both"/>
        <w:ind w:firstLine="1505"/>
        <w:spacing w:after="0" w:line="257" w:lineRule="exact"/>
        <w:tabs>
          <w:tab w:leader="none" w:pos="2036"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Litigation and Regulatory Cooperation</w:t>
      </w:r>
      <w:r>
        <w:rPr>
          <w:rFonts w:ascii="Times New Roman" w:cs="Times New Roman" w:eastAsia="Times New Roman" w:hAnsi="Times New Roman"/>
          <w:sz w:val="22"/>
          <w:szCs w:val="22"/>
          <w:color w:val="auto"/>
        </w:rPr>
        <w:t>. During and after the Executive’s employment, the Executive shall reasonably cooperate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Company shall reimburse the Executive for any reasonable out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of</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pocket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-4326890</wp:posOffset>
            </wp:positionV>
            <wp:extent cx="342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2"/>
          <w:szCs w:val="22"/>
          <w:color w:val="auto"/>
        </w:rPr>
        <w:t>expenses incurred in connection with the Executive’s performance of obligations pursuant to this Section 5(c).</w:t>
      </w:r>
    </w:p>
    <w:p>
      <w:pPr>
        <w:spacing w:after="0" w:line="206" w:lineRule="exact"/>
        <w:rPr>
          <w:sz w:val="20"/>
          <w:szCs w:val="20"/>
          <w:color w:val="auto"/>
        </w:rPr>
      </w:pPr>
    </w:p>
    <w:p>
      <w:pPr>
        <w:jc w:val="both"/>
        <w:ind w:firstLine="1505"/>
        <w:spacing w:after="0" w:line="236" w:lineRule="auto"/>
        <w:tabs>
          <w:tab w:leader="none" w:pos="2036"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Relief</w:t>
      </w:r>
      <w:r>
        <w:rPr>
          <w:rFonts w:ascii="Times New Roman" w:cs="Times New Roman" w:eastAsia="Times New Roman" w:hAnsi="Times New Roman"/>
          <w:sz w:val="22"/>
          <w:szCs w:val="22"/>
          <w:color w:val="auto"/>
        </w:rPr>
        <w:t>. The Executive agrees that it would be difficult to measure any damages caused to the Company which might result from any breach by the Executive of the Continuing Obligations, and that in any event money damages would be an inadequate remedy for any such breach. Accordingly</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81" w:lineRule="exact"/>
        <w:rPr>
          <w:rFonts w:ascii="Times New Roman" w:cs="Times New Roman" w:eastAsia="Times New Roman" w:hAnsi="Times New Roman"/>
          <w:sz w:val="22"/>
          <w:szCs w:val="22"/>
          <w:color w:val="auto"/>
        </w:rPr>
      </w:pPr>
    </w:p>
    <w:p>
      <w:pPr>
        <w:jc w:val="both"/>
        <w:ind w:firstLine="757"/>
        <w:spacing w:after="0" w:line="239" w:lineRule="auto"/>
        <w:tabs>
          <w:tab w:leader="none" w:pos="101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Consent to Jurisdiction</w:t>
      </w:r>
      <w:r>
        <w:rPr>
          <w:rFonts w:ascii="Times New Roman" w:cs="Times New Roman" w:eastAsia="Times New Roman" w:hAnsi="Times New Roman"/>
          <w:sz w:val="22"/>
          <w:szCs w:val="22"/>
          <w:color w:val="auto"/>
        </w:rPr>
        <w:t>. The parties hereby consent to the jurisdiction of the state and federal courts of the Commonwealth of Massachusetts. Accordingly, with respect to any such court action, the Executive (a) submits to the exclusive personal jurisdiction of such courts and (b) waives any other requirement (whether imposed by statute, rule of court, or otherwise) with respect to personal jurisdiction.</w:t>
      </w:r>
    </w:p>
    <w:p>
      <w:pPr>
        <w:spacing w:after="0" w:line="180" w:lineRule="exact"/>
        <w:rPr>
          <w:rFonts w:ascii="Times New Roman" w:cs="Times New Roman" w:eastAsia="Times New Roman" w:hAnsi="Times New Roman"/>
          <w:sz w:val="22"/>
          <w:szCs w:val="22"/>
          <w:color w:val="auto"/>
        </w:rPr>
      </w:pPr>
    </w:p>
    <w:p>
      <w:pPr>
        <w:jc w:val="both"/>
        <w:ind w:firstLine="757"/>
        <w:spacing w:after="0" w:line="238" w:lineRule="auto"/>
        <w:tabs>
          <w:tab w:leader="none" w:pos="101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Each of the Executive and the Company irrevocably and unconditionally WAIVES ALL RIGHT TO TRIAL BY JURY IN ANY PROCEEDING (WHETHER BASED ON CONTRACT, TORT OR OTHERWISE) ARISING OUT OF OR RELATING TO THIS AGREEMENT OR THE EXECUTIVE’S EMPLOYMENT BY THE COMPANY OR ANY AFFILIATE OF THE COMPANY, INCLUDING WITHOUT LIMITATION THE EXECUTIVE’S OR THE COMPANY’S PERFORMANCE UNDER, OR THE ENFORCEMENT OF, THIS AGREEMENT.</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018"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Tax Effect</w:t>
      </w:r>
      <w:r>
        <w:rPr>
          <w:rFonts w:ascii="Times New Roman" w:cs="Times New Roman" w:eastAsia="Times New Roman" w:hAnsi="Times New Roman"/>
          <w:sz w:val="21"/>
          <w:szCs w:val="21"/>
          <w:color w:val="auto"/>
        </w:rPr>
        <w:t xml:space="preserve">.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 </w:t>
      </w:r>
      <w:r>
        <w:rPr>
          <w:rFonts w:ascii="Times New Roman" w:cs="Times New Roman" w:eastAsia="Times New Roman" w:hAnsi="Times New Roman"/>
          <w:sz w:val="21"/>
          <w:szCs w:val="21"/>
          <w:u w:val="single" w:color="auto"/>
          <w:color w:val="auto"/>
        </w:rPr>
        <w:t>Assignment; Successors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Assigns</w:t>
      </w:r>
      <w:r>
        <w:rPr>
          <w:rFonts w:ascii="Times New Roman" w:cs="Times New Roman" w:eastAsia="Times New Roman" w:hAnsi="Times New Roman"/>
          <w:sz w:val="21"/>
          <w:szCs w:val="21"/>
          <w:color w:val="auto"/>
        </w:rPr>
        <w:t xml:space="preserve">. Neither the Executive nor the Company may make any assignment of this Agreement or any interest in it, by operation of law or otherwise, without the prior written consent of the other;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xml:space="preserve">, that the Company may assign its rights and obligations under this Agreement (including the 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if the Executive remains employed or becomes employed by the Company, the purchaser or any of their affiliates in connection with any such transaction, then the Executive shall not be entitled to any payments, benefits or vesting pursuant to the Executive Severance Plan solely as a result of his employment with such successor as a result of such transaction.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6" w:name="page127"/>
    <w:bookmarkEnd w:id="126"/>
    <w:p>
      <w:pPr>
        <w:jc w:val="both"/>
        <w:ind w:firstLine="757"/>
        <w:spacing w:after="0" w:line="238" w:lineRule="auto"/>
        <w:tabs>
          <w:tab w:leader="none" w:pos="101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Enforceability</w:t>
      </w:r>
      <w:r>
        <w:rPr>
          <w:rFonts w:ascii="Times New Roman" w:cs="Times New Roman" w:eastAsia="Times New Roman" w:hAnsi="Times New Roman"/>
          <w:sz w:val="22"/>
          <w:szCs w:val="22"/>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provisions of this Agreement shall survive the termination of this Agreement and/or the termination of the Executive’s employment to the extent necessary to effectuate the terms contained herein.</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CEO. Notices, requests, demands and other communications provided for by this Agreement shall also be sufficient if sent by email to the Company email address of the Executive or, in the case of Company, the Avalyn Pharma email address of the CEO, with confirmation of receipt.</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signed by the Executive and by a duly authorized representative of the Company.</w:t>
      </w:r>
    </w:p>
    <w:p>
      <w:pPr>
        <w:spacing w:after="0" w:line="15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Effect on Other Plans and Agreements</w:t>
      </w:r>
      <w:r>
        <w:rPr>
          <w:rFonts w:ascii="Times New Roman" w:cs="Times New Roman" w:eastAsia="Times New Roman" w:hAnsi="Times New Roman"/>
          <w:sz w:val="22"/>
          <w:szCs w:val="22"/>
          <w:color w:val="auto"/>
        </w:rPr>
        <w:t>. An election by the Executive to resign for Good Reason under the provisions of the Executive Severance Plan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that the Executive shall have no rights to any severance benefits under any Company severance pay plan, offer letter or otherwise except as set forth in the Executive Severance Plan. Notwithstanding anything to the contrary in this Agreement, all severance pay and benefits provided to the Executive pursuant to the Executive Severance Plan (as applicable) shall be reduced and/or offset by any amounts or benefits paid to the Executive to satisfy the federal Worker Adjustment and Retraining Notification (WARN) Act, 29 U.S.C. § 2101 et seq., as amended, and any applicable state plant or facility closing or mass layoff law (whether as damages, as payment of salary or other wages during an applicable notice period or otherwise).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7" w:name="page128"/>
    <w:bookmarkEnd w:id="127"/>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is a Massachusetts contract and shall be construed under and be governed in all respects by the laws of the Commonwealth of Massachusetts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16.</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effective on the Effective Date.</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AVALYN PHARMA INC.</w:t>
      </w:r>
    </w:p>
    <w:p>
      <w:pPr>
        <w:spacing w:after="0" w:line="200" w:lineRule="exact"/>
        <w:rPr>
          <w:sz w:val="20"/>
          <w:szCs w:val="20"/>
          <w:color w:val="auto"/>
        </w:rPr>
      </w:pPr>
    </w:p>
    <w:p>
      <w:pPr>
        <w:spacing w:after="0" w:line="2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/s/ Lyn Baranowski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10795</wp:posOffset>
            </wp:positionV>
            <wp:extent cx="327469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8" w:lineRule="exact"/>
        <w:rPr>
          <w:sz w:val="20"/>
          <w:szCs w:val="20"/>
          <w:color w:val="auto"/>
        </w:rPr>
      </w:pPr>
    </w:p>
    <w:p>
      <w:pPr>
        <w:ind w:left="5620"/>
        <w:spacing w:after="0"/>
        <w:tabs>
          <w:tab w:leader="none" w:pos="61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Lyn Baranowski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-3810</wp:posOffset>
            </wp:positionV>
            <wp:extent cx="327469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5620"/>
        <w:spacing w:after="0"/>
        <w:tabs>
          <w:tab w:leader="none" w:pos="606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-3810</wp:posOffset>
            </wp:positionV>
            <wp:extent cx="327469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8" w:name="page129"/>
    <w:bookmarkEnd w:id="128"/>
    <w:p>
      <w:pPr>
        <w:spacing w:after="0" w:line="18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1"/>
          <w:szCs w:val="21"/>
          <w:b w:val="1"/>
          <w:bCs w:val="1"/>
          <w:color w:val="auto"/>
        </w:rPr>
        <w:t xml:space="preserve">/s/ </w:t>
      </w:r>
      <w:r>
        <w:rPr>
          <w:rFonts w:ascii="Times New Roman" w:cs="Times New Roman" w:eastAsia="Times New Roman" w:hAnsi="Times New Roman"/>
          <w:sz w:val="21"/>
          <w:szCs w:val="21"/>
          <w:color w:val="auto"/>
        </w:rPr>
        <w:t>Howard Lazarus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20955</wp:posOffset>
            </wp:positionV>
            <wp:extent cx="356616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Howard Lazarus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500380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Restrictive Covenants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899795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30" w:name="page131"/>
    <w:bookmarkEnd w:id="130"/>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Lyn Baranowski, certify that:</w:t>
      </w:r>
    </w:p>
    <w:p>
      <w:pPr>
        <w:spacing w:after="0" w:line="225" w:lineRule="exact"/>
        <w:rPr>
          <w:sz w:val="20"/>
          <w:szCs w:val="20"/>
          <w:color w:val="auto"/>
        </w:rPr>
      </w:pPr>
    </w:p>
    <w:p>
      <w:pPr>
        <w:ind w:left="1020" w:hanging="503"/>
        <w:spacing w:after="0"/>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for the quarterly period ended March 31, 2026 of Avalyn Pharma Inc.;</w:t>
      </w:r>
    </w:p>
    <w:p>
      <w:pPr>
        <w:spacing w:after="0" w:line="225"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020" w:right="540" w:hanging="503"/>
        <w:spacing w:after="0" w:line="282" w:lineRule="auto"/>
        <w:tabs>
          <w:tab w:leader="none" w:pos="10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ind w:left="1540" w:right="20" w:hanging="514"/>
        <w:spacing w:after="0" w:line="312" w:lineRule="auto"/>
        <w:tabs>
          <w:tab w:leader="none" w:pos="1540" w:val="left"/>
        </w:tabs>
        <w:numPr>
          <w:ilvl w:val="1"/>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39" w:lineRule="exact"/>
        <w:rPr>
          <w:rFonts w:ascii="Times New Roman" w:cs="Times New Roman" w:eastAsia="Times New Roman" w:hAnsi="Times New Roman"/>
          <w:sz w:val="17"/>
          <w:szCs w:val="17"/>
          <w:color w:val="auto"/>
        </w:rPr>
      </w:pPr>
    </w:p>
    <w:p>
      <w:pPr>
        <w:ind w:left="1540" w:right="20" w:hanging="514"/>
        <w:spacing w:after="0" w:line="266"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20" w:right="100" w:hanging="503"/>
        <w:spacing w:after="0" w:line="312" w:lineRule="auto"/>
        <w:tabs>
          <w:tab w:leader="none" w:pos="102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40" w:right="520" w:hanging="514"/>
        <w:spacing w:after="0" w:line="282" w:lineRule="auto"/>
        <w:tabs>
          <w:tab w:leader="none" w:pos="15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25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/s/ Lyn Baranowski</w:t>
            </w:r>
          </w:p>
        </w:tc>
      </w:tr>
      <w:tr>
        <w:trPr>
          <w:trHeight w:val="191"/>
        </w:trPr>
        <w:tc>
          <w:tcPr>
            <w:tcW w:w="35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Lyn Baranowski</w:t>
            </w:r>
          </w:p>
        </w:tc>
      </w:tr>
      <w:tr>
        <w:trPr>
          <w:trHeight w:val="216"/>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35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1" w:name="page132"/>
    <w:bookmarkEnd w:id="131"/>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Carlson, certify that:</w:t>
      </w:r>
    </w:p>
    <w:p>
      <w:pPr>
        <w:spacing w:after="0" w:line="225" w:lineRule="exact"/>
        <w:rPr>
          <w:sz w:val="20"/>
          <w:szCs w:val="20"/>
          <w:color w:val="auto"/>
        </w:rPr>
      </w:pPr>
    </w:p>
    <w:p>
      <w:pPr>
        <w:ind w:left="1020" w:hanging="503"/>
        <w:spacing w:after="0"/>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for the quarterly period ended March 31, 2026 of Avalyn Pharma Inc.;</w:t>
      </w:r>
    </w:p>
    <w:p>
      <w:pPr>
        <w:spacing w:after="0" w:line="225"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020" w:right="140" w:hanging="503"/>
        <w:spacing w:after="0" w:line="282" w:lineRule="auto"/>
        <w:tabs>
          <w:tab w:leader="none" w:pos="10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540" w:right="120" w:hanging="514"/>
        <w:spacing w:after="0" w:line="266" w:lineRule="auto"/>
        <w:tabs>
          <w:tab w:leader="none" w:pos="15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ind w:left="1540" w:right="20" w:hanging="514"/>
        <w:spacing w:after="0" w:line="312" w:lineRule="auto"/>
        <w:tabs>
          <w:tab w:leader="none" w:pos="1540" w:val="left"/>
        </w:tabs>
        <w:numPr>
          <w:ilvl w:val="1"/>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39" w:lineRule="exact"/>
        <w:rPr>
          <w:rFonts w:ascii="Times New Roman" w:cs="Times New Roman" w:eastAsia="Times New Roman" w:hAnsi="Times New Roman"/>
          <w:sz w:val="17"/>
          <w:szCs w:val="17"/>
          <w:color w:val="auto"/>
        </w:rPr>
      </w:pPr>
    </w:p>
    <w:p>
      <w:pPr>
        <w:ind w:left="1540" w:right="20" w:hanging="514"/>
        <w:spacing w:after="0" w:line="266" w:lineRule="auto"/>
        <w:tabs>
          <w:tab w:leader="none" w:pos="15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020" w:right="100" w:hanging="503"/>
        <w:spacing w:after="0" w:line="312" w:lineRule="auto"/>
        <w:tabs>
          <w:tab w:leader="none" w:pos="10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540" w:right="220" w:hanging="514"/>
        <w:spacing w:after="0" w:line="282" w:lineRule="auto"/>
        <w:tabs>
          <w:tab w:leader="none" w:pos="15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40" w:right="520" w:hanging="514"/>
        <w:spacing w:after="0" w:line="282" w:lineRule="auto"/>
        <w:tabs>
          <w:tab w:leader="none" w:pos="154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258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color w:val="auto"/>
              </w:rPr>
              <w:t>/s/ Douglas Carlson</w:t>
            </w:r>
          </w:p>
        </w:tc>
      </w:tr>
      <w:tr>
        <w:trPr>
          <w:trHeight w:val="191"/>
        </w:trPr>
        <w:tc>
          <w:tcPr>
            <w:tcW w:w="35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Douglas Carlson</w:t>
            </w:r>
          </w:p>
        </w:tc>
      </w:tr>
      <w:tr>
        <w:trPr>
          <w:trHeight w:val="216"/>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Accounting Officer)</w:t>
            </w:r>
          </w:p>
        </w:tc>
      </w:tr>
      <w:tr>
        <w:trPr>
          <w:trHeight w:val="1627"/>
        </w:trPr>
        <w:tc>
          <w:tcPr>
            <w:tcW w:w="35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Avalyn Pharma Inc. (the “Company”) for the period ended March 31, 2026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25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Lyn Baranowski</w:t>
            </w:r>
          </w:p>
        </w:tc>
      </w:tr>
      <w:tr>
        <w:trPr>
          <w:trHeight w:val="191"/>
        </w:trPr>
        <w:tc>
          <w:tcPr>
            <w:tcW w:w="35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Lyn Baranowski</w:t>
            </w:r>
          </w:p>
        </w:tc>
      </w:tr>
      <w:tr>
        <w:trPr>
          <w:trHeight w:val="216"/>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35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Avalyn Pharma Inc. (the “Company”) for the period ended March 31, 2026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620" w:hanging="503"/>
        <w:spacing w:after="0" w:line="282" w:lineRule="auto"/>
        <w:tabs>
          <w:tab w:leader="none" w:pos="10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3, 2026</w:t>
            </w:r>
          </w:p>
        </w:tc>
        <w:tc>
          <w:tcPr>
            <w:tcW w:w="252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Douglas Carlson</w:t>
            </w:r>
          </w:p>
        </w:tc>
      </w:tr>
      <w:tr>
        <w:trPr>
          <w:trHeight w:val="191"/>
        </w:trPr>
        <w:tc>
          <w:tcPr>
            <w:tcW w:w="35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Douglas Carlson</w:t>
            </w:r>
          </w:p>
        </w:tc>
      </w:tr>
      <w:tr>
        <w:trPr>
          <w:trHeight w:val="216"/>
        </w:trPr>
        <w:tc>
          <w:tcPr>
            <w:tcW w:w="35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 and Accounting Officer)</w:t>
            </w:r>
          </w:p>
        </w:tc>
      </w:tr>
      <w:tr>
        <w:trPr>
          <w:trHeight w:val="1627"/>
        </w:trPr>
        <w:tc>
          <w:tcPr>
            <w:tcW w:w="35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4" w:name="page135"/>
    <w:bookmarkEnd w:id="1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1."/>
      <w:numFmt w:val="decimal"/>
      <w:start w:val="1"/>
    </w:lvl>
  </w:abstractNum>
  <w:abstractNum w:abstractNumId="7">
    <w:nsid w:val="1CF10FD8"/>
    <w:multiLevelType w:val="hybridMultilevel"/>
    <w:lvl w:ilvl="0">
      <w:lvlJc w:val="left"/>
      <w:lvlText w:val="%1."/>
      <w:numFmt w:val="decimal"/>
      <w:start w:val="2"/>
    </w:lvl>
  </w:abstractNum>
  <w:abstractNum w:abstractNumId="8">
    <w:nsid w:val="180115BE"/>
    <w:multiLevelType w:val="hybridMultilevel"/>
    <w:lvl w:ilvl="0">
      <w:lvlJc w:val="left"/>
      <w:lvlText w:val="%1."/>
      <w:numFmt w:val="decimal"/>
      <w:start w:val="3"/>
    </w:lvl>
  </w:abstractNum>
  <w:abstractNum w:abstractNumId="9">
    <w:nsid w:val="235BA861"/>
    <w:multiLevelType w:val="hybridMultilevel"/>
    <w:lvl w:ilvl="0">
      <w:lvlJc w:val="left"/>
      <w:lvlText w:val="%1."/>
      <w:numFmt w:val="decimal"/>
      <w:start w:val="4"/>
    </w:lvl>
  </w:abstractNum>
  <w:abstractNum w:abstractNumId="10">
    <w:nsid w:val="47398C89"/>
    <w:multiLevelType w:val="hybridMultilevel"/>
    <w:lvl w:ilvl="0">
      <w:lvlJc w:val="left"/>
      <w:lvlText w:val="%1."/>
      <w:numFmt w:val="decimal"/>
      <w:start w:val="5"/>
    </w:lvl>
  </w:abstractNum>
  <w:abstractNum w:abstractNumId="11">
    <w:nsid w:val="354FE9F9"/>
    <w:multiLevelType w:val="hybridMultilevel"/>
    <w:lvl w:ilvl="0">
      <w:lvlJc w:val="left"/>
      <w:lvlText w:val="%1."/>
      <w:numFmt w:val="decimal"/>
      <w:start w:val="6"/>
    </w:lvl>
  </w:abstractNum>
  <w:abstractNum w:abstractNumId="12">
    <w:nsid w:val="15B5AF5C"/>
    <w:multiLevelType w:val="hybridMultilevel"/>
    <w:lvl w:ilvl="0">
      <w:lvlJc w:val="left"/>
      <w:lvlText w:val="%1."/>
      <w:numFmt w:val="decimal"/>
      <w:start w:val="7"/>
    </w:lvl>
  </w:abstractNum>
  <w:abstractNum w:abstractNumId="13">
    <w:nsid w:val="741226BB"/>
    <w:multiLevelType w:val="hybridMultilevel"/>
    <w:lvl w:ilvl="0">
      <w:lvlJc w:val="left"/>
      <w:lvlText w:val="%1."/>
      <w:numFmt w:val="decimal"/>
      <w:start w:val="8"/>
    </w:lvl>
  </w:abstractNum>
  <w:abstractNum w:abstractNumId="14">
    <w:nsid w:val="D34B6A8"/>
    <w:multiLevelType w:val="hybridMultilevel"/>
    <w:lvl w:ilvl="0">
      <w:lvlJc w:val="left"/>
      <w:lvlText w:val="%1."/>
      <w:numFmt w:val="decimal"/>
      <w:start w:val="9"/>
    </w:lvl>
  </w:abstractNum>
  <w:abstractNum w:abstractNumId="15">
    <w:nsid w:val="10233C99"/>
    <w:multiLevelType w:val="hybridMultilevel"/>
    <w:lvl w:ilvl="0">
      <w:lvlJc w:val="left"/>
      <w:lvlText w:val="%1."/>
      <w:numFmt w:val="decimal"/>
      <w:start w:val="10"/>
    </w:lvl>
  </w:abstractNum>
  <w:abstractNum w:abstractNumId="16">
    <w:nsid w:val="3F6AB60F"/>
    <w:multiLevelType w:val="hybridMultilevel"/>
    <w:lvl w:ilvl="0">
      <w:lvlJc w:val="left"/>
      <w:lvlText w:val="%1."/>
      <w:numFmt w:val="decimal"/>
      <w:start w:val="11"/>
    </w:lvl>
  </w:abstractNum>
  <w:abstractNum w:abstractNumId="17">
    <w:nsid w:val="61574095"/>
    <w:multiLevelType w:val="hybridMultilevel"/>
    <w:lvl w:ilvl="0">
      <w:lvlJc w:val="left"/>
      <w:lvlText w:val="%1."/>
      <w:numFmt w:val="decimal"/>
      <w:start w:val="12"/>
    </w:lvl>
  </w:abstractNum>
  <w:abstractNum w:abstractNumId="18">
    <w:nsid w:val="7E0C57B1"/>
    <w:multiLevelType w:val="hybridMultilevel"/>
    <w:lvl w:ilvl="0">
      <w:lvlJc w:val="left"/>
      <w:lvlText w:val="(%1)"/>
      <w:numFmt w:val="decimal"/>
      <w:start w:val="1"/>
    </w:lvl>
  </w:abstractNum>
  <w:abstractNum w:abstractNumId="19">
    <w:nsid w:val="77AE35EB"/>
    <w:multiLevelType w:val="hybridMultilevel"/>
    <w:lvl w:ilvl="0">
      <w:lvlJc w:val="left"/>
      <w:lvlText w:val="%1."/>
      <w:numFmt w:val="decimal"/>
      <w:start w:val="13"/>
    </w:lvl>
  </w:abstractNum>
  <w:abstractNum w:abstractNumId="20">
    <w:nsid w:val="579BE4F1"/>
    <w:multiLevelType w:val="hybridMultilevel"/>
    <w:lvl w:ilvl="0">
      <w:lvlJc w:val="left"/>
      <w:lvlText w:val="%1."/>
      <w:numFmt w:val="decimal"/>
      <w:start w:val="14"/>
    </w:lvl>
  </w:abstractNum>
  <w:abstractNum w:abstractNumId="21">
    <w:nsid w:val="310C50B3"/>
    <w:multiLevelType w:val="hybridMultilevel"/>
    <w:lvl w:ilvl="0">
      <w:lvlJc w:val="left"/>
      <w:lvlText w:val="%1."/>
      <w:numFmt w:val="decimal"/>
      <w:start w:val="15"/>
    </w:lvl>
  </w:abstractNum>
  <w:abstractNum w:abstractNumId="22">
    <w:nsid w:val="5FF87E05"/>
    <w:multiLevelType w:val="hybridMultilevel"/>
    <w:lvl w:ilvl="0">
      <w:lvlJc w:val="left"/>
      <w:lvlText w:val="%1."/>
      <w:numFmt w:val="decimal"/>
      <w:start w:val="16"/>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
      <w:numFmt w:val="bullet"/>
      <w:start w:val="1"/>
    </w:lvl>
  </w:abstractNum>
  <w:abstractNum w:abstractNumId="45">
    <w:nsid w:val="613EFDC5"/>
    <w:multiLevelType w:val="hybridMultilevel"/>
    <w:lvl w:ilvl="0">
      <w:lvlJc w:val="left"/>
      <w:lvlText w:val="•"/>
      <w:numFmt w:val="bullet"/>
      <w:start w:val="1"/>
    </w:lvl>
  </w:abstractNum>
  <w:abstractNum w:abstractNumId="46">
    <w:nsid w:val="BF72B14"/>
    <w:multiLevelType w:val="hybridMultilevel"/>
    <w:lvl w:ilvl="0">
      <w:lvlJc w:val="left"/>
      <w:lvlText w:val="•"/>
      <w:numFmt w:val="bullet"/>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1)"/>
      <w:numFmt w:val="lowerRoman"/>
      <w:start w:val="1"/>
    </w:lvl>
  </w:abstractNum>
  <w:abstractNum w:abstractNumId="50">
    <w:nsid w:val="8F2B15E"/>
    <w:multiLevelType w:val="hybridMultilevel"/>
    <w:lvl w:ilvl="0">
      <w:lvlJc w:val="left"/>
      <w:lvlText w:val="•"/>
      <w:numFmt w:val="bullet"/>
      <w:start w:val="1"/>
    </w:lvl>
  </w:abstractNum>
  <w:abstractNum w:abstractNumId="51">
    <w:nsid w:val="1A32234B"/>
    <w:multiLevelType w:val="hybridMultilevel"/>
    <w:lvl w:ilvl="0">
      <w:lvlJc w:val="left"/>
      <w:lvlText w:val="•"/>
      <w:numFmt w:val="bullet"/>
      <w:start w:val="1"/>
    </w:lvl>
  </w:abstractNum>
  <w:abstractNum w:abstractNumId="52">
    <w:nsid w:val="3B0FD379"/>
    <w:multiLevelType w:val="hybridMultilevel"/>
    <w:lvl w:ilvl="0">
      <w:lvlJc w:val="left"/>
      <w:lvlText w:val="•"/>
      <w:numFmt w:val="bullet"/>
      <w:start w:val="1"/>
    </w:lvl>
  </w:abstractNum>
  <w:abstractNum w:abstractNumId="53">
    <w:nsid w:val="68EB2F63"/>
    <w:multiLevelType w:val="hybridMultilevel"/>
    <w:lvl w:ilvl="0">
      <w:lvlJc w:val="left"/>
      <w:lvlText w:val="•"/>
      <w:numFmt w:val="bullet"/>
      <w:start w:val="1"/>
    </w:lvl>
  </w:abstractNum>
  <w:abstractNum w:abstractNumId="54">
    <w:nsid w:val="4962813B"/>
    <w:multiLevelType w:val="hybridMultilevel"/>
    <w:lvl w:ilvl="0">
      <w:lvlJc w:val="left"/>
      <w:lvlText w:val="•"/>
      <w:numFmt w:val="bullet"/>
      <w:start w:val="1"/>
    </w:lvl>
  </w:abstractNum>
  <w:abstractNum w:abstractNumId="55">
    <w:nsid w:val="60B6DF70"/>
    <w:multiLevelType w:val="hybridMultilevel"/>
    <w:lvl w:ilvl="0">
      <w:lvlJc w:val="left"/>
      <w:lvlText w:val="•"/>
      <w:numFmt w:val="bullet"/>
      <w:start w:val="1"/>
    </w:lvl>
  </w:abstractNum>
  <w:abstractNum w:abstractNumId="56">
    <w:nsid w:val="6A5EE64"/>
    <w:multiLevelType w:val="hybridMultilevel"/>
    <w:lvl w:ilvl="0">
      <w:lvlJc w:val="left"/>
      <w:lvlText w:val="•"/>
      <w:numFmt w:val="bullet"/>
      <w:start w:val="1"/>
    </w:lvl>
  </w:abstractNum>
  <w:abstractNum w:abstractNumId="57">
    <w:nsid w:val="14330624"/>
    <w:multiLevelType w:val="hybridMultilevel"/>
    <w:lvl w:ilvl="0">
      <w:lvlJc w:val="left"/>
      <w:lvlText w:val="•"/>
      <w:numFmt w:val="bullet"/>
      <w:start w:val="1"/>
    </w:lvl>
  </w:abstractNum>
  <w:abstractNum w:abstractNumId="58">
    <w:nsid w:val="7FFFCA11"/>
    <w:multiLevelType w:val="hybridMultilevel"/>
    <w:lvl w:ilvl="0">
      <w:lvlJc w:val="left"/>
      <w:lvlText w:val="•"/>
      <w:numFmt w:val="bullet"/>
      <w:start w:val="1"/>
    </w:lvl>
  </w:abstractNum>
  <w:abstractNum w:abstractNumId="59">
    <w:nsid w:val="1A27709E"/>
    <w:multiLevelType w:val="hybridMultilevel"/>
    <w:lvl w:ilvl="0">
      <w:lvlJc w:val="left"/>
      <w:lvlText w:val="•"/>
      <w:numFmt w:val="bullet"/>
      <w:start w:val="1"/>
    </w:lvl>
  </w:abstractNum>
  <w:abstractNum w:abstractNumId="60">
    <w:nsid w:val="71EA1109"/>
    <w:multiLevelType w:val="hybridMultilevel"/>
    <w:lvl w:ilvl="0">
      <w:lvlJc w:val="left"/>
      <w:lvlText w:val="•"/>
      <w:numFmt w:val="bullet"/>
      <w:start w:val="1"/>
    </w:lvl>
  </w:abstractNum>
  <w:abstractNum w:abstractNumId="61">
    <w:nsid w:val="100F59DC"/>
    <w:multiLevelType w:val="hybridMultilevel"/>
    <w:lvl w:ilvl="0">
      <w:lvlJc w:val="left"/>
      <w:lvlText w:val="/"/>
      <w:numFmt w:val="bullet"/>
      <w:start w:val="1"/>
    </w:lvl>
  </w:abstractNum>
  <w:abstractNum w:abstractNumId="62">
    <w:nsid w:val="7FB7E0AA"/>
    <w:multiLevelType w:val="hybridMultilevel"/>
    <w:lvl w:ilvl="0">
      <w:lvlJc w:val="left"/>
      <w:lvlText w:val="•"/>
      <w:numFmt w:val="bullet"/>
      <w:start w:val="1"/>
    </w:lvl>
  </w:abstractNum>
  <w:abstractNum w:abstractNumId="63">
    <w:nsid w:val="6EB5BD4"/>
    <w:multiLevelType w:val="hybridMultilevel"/>
    <w:lvl w:ilvl="0">
      <w:lvlJc w:val="left"/>
      <w:lvlText w:val="*"/>
      <w:numFmt w:val="bullet"/>
      <w:start w:val="1"/>
    </w:lvl>
  </w:abstractNum>
  <w:abstractNum w:abstractNumId="64">
    <w:nsid w:val="6F6DD9AC"/>
    <w:multiLevelType w:val="hybridMultilevel"/>
    <w:lvl w:ilvl="0">
      <w:lvlJc w:val="left"/>
      <w:lvlText w:val="**"/>
      <w:numFmt w:val="bullet"/>
      <w:start w:val="1"/>
    </w:lvl>
  </w:abstractNum>
  <w:abstractNum w:abstractNumId="65">
    <w:nsid w:val="94211F2"/>
    <w:multiLevelType w:val="hybridMultilevel"/>
    <w:lvl w:ilvl="0">
      <w:lvlJc w:val="left"/>
      <w:lvlText w:val="#"/>
      <w:numFmt w:val="bullet"/>
      <w:start w:val="1"/>
    </w:lvl>
  </w:abstractNum>
  <w:abstractNum w:abstractNumId="66">
    <w:nsid w:val="885E1B"/>
    <w:multiLevelType w:val="hybridMultilevel"/>
    <w:lvl w:ilvl="0">
      <w:lvlJc w:val="left"/>
      <w:lvlText w:val="†"/>
      <w:numFmt w:val="bullet"/>
      <w:start w:val="1"/>
    </w:lvl>
  </w:abstractNum>
  <w:abstractNum w:abstractNumId="67">
    <w:nsid w:val="76272110"/>
    <w:multiLevelType w:val="hybridMultilevel"/>
    <w:lvl w:ilvl="0">
      <w:lvlJc w:val="left"/>
      <w:lvlText w:val="%1."/>
      <w:numFmt w:val="decimal"/>
      <w:start w:val="1"/>
    </w:lvl>
    <w:lvl w:ilvl="1">
      <w:lvlJc w:val="left"/>
      <w:lvlText w:val="(%2)"/>
      <w:numFmt w:val="lowerLetter"/>
      <w:start w:val="1"/>
    </w:lvl>
  </w:abstractNum>
  <w:abstractNum w:abstractNumId="68">
    <w:nsid w:val="4C04A8AF"/>
    <w:multiLevelType w:val="hybridMultilevel"/>
    <w:lvl w:ilvl="0">
      <w:lvlJc w:val="left"/>
      <w:lvlText w:val="%1."/>
      <w:numFmt w:val="decimal"/>
      <w:start w:val="2"/>
    </w:lvl>
    <w:lvl w:ilvl="1">
      <w:lvlJc w:val="left"/>
      <w:lvlText w:val="(%2)"/>
      <w:numFmt w:val="lowerLetter"/>
      <w:start w:val="1"/>
    </w:lvl>
  </w:abstractNum>
  <w:abstractNum w:abstractNumId="69">
    <w:nsid w:val="1716703B"/>
    <w:multiLevelType w:val="hybridMultilevel"/>
    <w:lvl w:ilvl="0">
      <w:lvlJc w:val="left"/>
      <w:lvlText w:val="%1."/>
      <w:numFmt w:val="decimal"/>
      <w:start w:val="3"/>
    </w:lvl>
    <w:lvl w:ilvl="1">
      <w:lvlJc w:val="left"/>
      <w:lvlText w:val="(%2)"/>
      <w:numFmt w:val="lowerLetter"/>
      <w:start w:val="1"/>
    </w:lvl>
  </w:abstractNum>
  <w:abstractNum w:abstractNumId="70">
    <w:nsid w:val="14E17E33"/>
    <w:multiLevelType w:val="hybridMultilevel"/>
    <w:lvl w:ilvl="0">
      <w:lvlJc w:val="left"/>
      <w:lvlText w:val="%1"/>
      <w:numFmt w:val="decimal"/>
      <w:start w:val="1"/>
    </w:lvl>
    <w:lvl w:ilvl="1">
      <w:lvlJc w:val="left"/>
      <w:lvlText w:val="(%2)"/>
      <w:numFmt w:val="lowerLetter"/>
      <w:start w:val="4"/>
    </w:lvl>
  </w:abstractNum>
  <w:abstractNum w:abstractNumId="71">
    <w:nsid w:val="3222E7CD"/>
    <w:multiLevelType w:val="hybridMultilevel"/>
    <w:lvl w:ilvl="0">
      <w:lvlJc w:val="left"/>
      <w:lvlText w:val="%1."/>
      <w:numFmt w:val="decimal"/>
      <w:start w:val="5"/>
    </w:lvl>
    <w:lvl w:ilvl="1">
      <w:lvlJc w:val="left"/>
      <w:lvlText w:val="(%2)"/>
      <w:numFmt w:val="lowerLetter"/>
      <w:start w:val="1"/>
    </w:lvl>
  </w:abstractNum>
  <w:abstractNum w:abstractNumId="72">
    <w:nsid w:val="74DE0EE3"/>
    <w:multiLevelType w:val="hybridMultilevel"/>
    <w:lvl w:ilvl="0">
      <w:lvlJc w:val="left"/>
      <w:lvlText w:val="%1"/>
      <w:numFmt w:val="decimal"/>
      <w:start w:val="1"/>
    </w:lvl>
    <w:lvl w:ilvl="1">
      <w:lvlJc w:val="left"/>
      <w:lvlText w:val="(%2)"/>
      <w:numFmt w:val="lowerLetter"/>
      <w:start w:val="3"/>
    </w:lvl>
  </w:abstractNum>
  <w:abstractNum w:abstractNumId="73">
    <w:nsid w:val="68EBC550"/>
    <w:multiLevelType w:val="hybridMultilevel"/>
    <w:lvl w:ilvl="0">
      <w:lvlJc w:val="left"/>
      <w:lvlText w:val="%1."/>
      <w:numFmt w:val="decimal"/>
      <w:start w:val="6"/>
    </w:lvl>
    <w:lvl w:ilvl="1">
      <w:lvlJc w:val="left"/>
      <w:lvlText w:val="%2"/>
      <w:numFmt w:val="lowerLetter"/>
      <w:start w:val="1"/>
    </w:lvl>
  </w:abstractNum>
  <w:abstractNum w:abstractNumId="74">
    <w:nsid w:val="2DF6D648"/>
    <w:multiLevelType w:val="hybridMultilevel"/>
    <w:lvl w:ilvl="0">
      <w:lvlJc w:val="left"/>
      <w:lvlText w:val="%1."/>
      <w:numFmt w:val="decimal"/>
      <w:start w:val="9"/>
    </w:lvl>
  </w:abstractNum>
  <w:abstractNum w:abstractNumId="75">
    <w:nsid w:val="46B7D447"/>
    <w:multiLevelType w:val="hybridMultilevel"/>
    <w:lvl w:ilvl="0">
      <w:lvlJc w:val="left"/>
      <w:lvlText w:val="%1."/>
      <w:numFmt w:val="decimal"/>
      <w:start w:val="1"/>
    </w:lvl>
    <w:lvl w:ilvl="1">
      <w:lvlJc w:val="left"/>
      <w:lvlText w:val="(%2)"/>
      <w:numFmt w:val="lowerLetter"/>
      <w:start w:val="1"/>
    </w:lvl>
  </w:abstractNum>
  <w:abstractNum w:abstractNumId="76">
    <w:nsid w:val="4A2AC315"/>
    <w:multiLevelType w:val="hybridMultilevel"/>
    <w:lvl w:ilvl="0">
      <w:lvlJc w:val="left"/>
      <w:lvlText w:val="%1"/>
      <w:numFmt w:val="decimal"/>
      <w:start w:val="1"/>
    </w:lvl>
    <w:lvl w:ilvl="1">
      <w:lvlJc w:val="left"/>
      <w:lvlText w:val="(%2)"/>
      <w:numFmt w:val="lowerLetter"/>
      <w:start w:val="2"/>
    </w:lvl>
  </w:abstractNum>
  <w:abstractNum w:abstractNumId="77">
    <w:nsid w:val="39EE015C"/>
    <w:multiLevelType w:val="hybridMultilevel"/>
    <w:lvl w:ilvl="0">
      <w:lvlJc w:val="left"/>
      <w:lvlText w:val="%1."/>
      <w:numFmt w:val="decimal"/>
      <w:start w:val="3"/>
    </w:lvl>
    <w:lvl w:ilvl="1">
      <w:lvlJc w:val="left"/>
      <w:lvlText w:val="%2"/>
      <w:numFmt w:val="lowerLetter"/>
      <w:start w:val="1"/>
    </w:lvl>
  </w:abstractNum>
  <w:abstractNum w:abstractNumId="78">
    <w:nsid w:val="57FC4FBB"/>
    <w:multiLevelType w:val="hybridMultilevel"/>
    <w:lvl w:ilvl="0">
      <w:lvlJc w:val="left"/>
      <w:lvlText w:val="%1."/>
      <w:numFmt w:val="decimal"/>
      <w:start w:val="4"/>
    </w:lvl>
    <w:lvl w:ilvl="1">
      <w:lvlJc w:val="left"/>
      <w:lvlText w:val="(%2)"/>
      <w:numFmt w:val="lowerLetter"/>
      <w:start w:val="1"/>
    </w:lvl>
  </w:abstractNum>
  <w:abstractNum w:abstractNumId="79">
    <w:nsid w:val="CC1016F"/>
    <w:multiLevelType w:val="hybridMultilevel"/>
    <w:lvl w:ilvl="0">
      <w:lvlJc w:val="left"/>
      <w:lvlText w:val="%1"/>
      <w:numFmt w:val="decimal"/>
      <w:start w:val="1"/>
    </w:lvl>
    <w:lvl w:ilvl="1">
      <w:lvlJc w:val="left"/>
      <w:lvlText w:val="(%2)"/>
      <w:numFmt w:val="lowerLetter"/>
      <w:start w:val="5"/>
    </w:lvl>
  </w:abstractNum>
  <w:abstractNum w:abstractNumId="80">
    <w:nsid w:val="43F18422"/>
    <w:multiLevelType w:val="hybridMultilevel"/>
    <w:lvl w:ilvl="0">
      <w:lvlJc w:val="left"/>
      <w:lvlText w:val="%1."/>
      <w:numFmt w:val="decimal"/>
      <w:start w:val="5"/>
    </w:lvl>
    <w:lvl w:ilvl="1">
      <w:lvlJc w:val="left"/>
      <w:lvlText w:val="(%2)"/>
      <w:numFmt w:val="lowerLetter"/>
      <w:start w:val="1"/>
    </w:lvl>
  </w:abstractNum>
  <w:abstractNum w:abstractNumId="81">
    <w:nsid w:val="60EF0119"/>
    <w:multiLevelType w:val="hybridMultilevel"/>
    <w:lvl w:ilvl="0">
      <w:lvlJc w:val="left"/>
      <w:lvlText w:val="%1"/>
      <w:numFmt w:val="decimal"/>
      <w:start w:val="1"/>
    </w:lvl>
    <w:lvl w:ilvl="1">
      <w:lvlJc w:val="left"/>
      <w:lvlText w:val="(%2)"/>
      <w:numFmt w:val="lowerLetter"/>
      <w:start w:val="4"/>
    </w:lvl>
  </w:abstractNum>
  <w:abstractNum w:abstractNumId="82">
    <w:nsid w:val="26F324BA"/>
    <w:multiLevelType w:val="hybridMultilevel"/>
    <w:lvl w:ilvl="0">
      <w:lvlJc w:val="left"/>
      <w:lvlText w:val="%1."/>
      <w:numFmt w:val="decimal"/>
      <w:start w:val="6"/>
    </w:lvl>
    <w:lvl w:ilvl="1">
      <w:lvlJc w:val="left"/>
      <w:lvlText w:val="%2"/>
      <w:numFmt w:val="lowerLetter"/>
      <w:start w:val="1"/>
    </w:lvl>
  </w:abstractNum>
  <w:abstractNum w:abstractNumId="83">
    <w:nsid w:val="7F01579B"/>
    <w:multiLevelType w:val="hybridMultilevel"/>
    <w:lvl w:ilvl="0">
      <w:lvlJc w:val="left"/>
      <w:lvlText w:val="%1."/>
      <w:numFmt w:val="decimal"/>
      <w:start w:val="9"/>
    </w:lvl>
  </w:abstractNum>
  <w:abstractNum w:abstractNumId="84">
    <w:nsid w:val="49DA307D"/>
    <w:multiLevelType w:val="hybridMultilevel"/>
    <w:lvl w:ilvl="0">
      <w:lvlJc w:val="left"/>
      <w:lvlText w:val="%1."/>
      <w:numFmt w:val="decimal"/>
      <w:start w:val="1"/>
    </w:lvl>
    <w:lvl w:ilvl="1">
      <w:lvlJc w:val="left"/>
      <w:lvlText w:val="(%2)"/>
      <w:numFmt w:val="lowerLetter"/>
      <w:start w:val="1"/>
    </w:lvl>
  </w:abstractNum>
  <w:abstractNum w:abstractNumId="85">
    <w:nsid w:val="7055A5F5"/>
    <w:multiLevelType w:val="hybridMultilevel"/>
    <w:lvl w:ilvl="0">
      <w:lvlJc w:val="left"/>
      <w:lvlText w:val="%1"/>
      <w:numFmt w:val="decimal"/>
      <w:start w:val="1"/>
    </w:lvl>
    <w:lvl w:ilvl="1">
      <w:lvlJc w:val="left"/>
      <w:lvlText w:val="(%2)"/>
      <w:numFmt w:val="lowerLetter"/>
      <w:start w:val="2"/>
    </w:lvl>
  </w:abstractNum>
  <w:abstractNum w:abstractNumId="86">
    <w:nsid w:val="5FB8370B"/>
    <w:multiLevelType w:val="hybridMultilevel"/>
    <w:lvl w:ilvl="0">
      <w:lvlJc w:val="left"/>
      <w:lvlText w:val="%1."/>
      <w:numFmt w:val="decimal"/>
      <w:start w:val="3"/>
    </w:lvl>
    <w:lvl w:ilvl="1">
      <w:lvlJc w:val="left"/>
      <w:lvlText w:val="%2"/>
      <w:numFmt w:val="lowerLetter"/>
      <w:start w:val="1"/>
    </w:lvl>
  </w:abstractNum>
  <w:abstractNum w:abstractNumId="87">
    <w:nsid w:val="50801EE1"/>
    <w:multiLevelType w:val="hybridMultilevel"/>
    <w:lvl w:ilvl="0">
      <w:lvlJc w:val="left"/>
      <w:lvlText w:val="%1."/>
      <w:numFmt w:val="decimal"/>
      <w:start w:val="4"/>
    </w:lvl>
    <w:lvl w:ilvl="1">
      <w:lvlJc w:val="left"/>
      <w:lvlText w:val="(%2)"/>
      <w:numFmt w:val="lowerLetter"/>
      <w:start w:val="1"/>
    </w:lvl>
  </w:abstractNum>
  <w:abstractNum w:abstractNumId="88">
    <w:nsid w:val="488AC1A"/>
    <w:multiLevelType w:val="hybridMultilevel"/>
    <w:lvl w:ilvl="0">
      <w:lvlJc w:val="left"/>
      <w:lvlText w:val="%1"/>
      <w:numFmt w:val="decimal"/>
      <w:start w:val="1"/>
    </w:lvl>
    <w:lvl w:ilvl="1">
      <w:lvlJc w:val="left"/>
      <w:lvlText w:val="(%2)"/>
      <w:numFmt w:val="lowerLetter"/>
      <w:start w:val="5"/>
    </w:lvl>
  </w:abstractNum>
  <w:abstractNum w:abstractNumId="89">
    <w:nsid w:val="5FB8011C"/>
    <w:multiLevelType w:val="hybridMultilevel"/>
    <w:lvl w:ilvl="0">
      <w:lvlJc w:val="left"/>
      <w:lvlText w:val="%1."/>
      <w:numFmt w:val="decimal"/>
      <w:start w:val="5"/>
    </w:lvl>
    <w:lvl w:ilvl="1">
      <w:lvlJc w:val="left"/>
      <w:lvlText w:val="(%2)"/>
      <w:numFmt w:val="lowerLetter"/>
      <w:start w:val="1"/>
    </w:lvl>
  </w:abstractNum>
  <w:abstractNum w:abstractNumId="90">
    <w:nsid w:val="6AA78F7F"/>
    <w:multiLevelType w:val="hybridMultilevel"/>
    <w:lvl w:ilvl="0">
      <w:lvlJc w:val="left"/>
      <w:lvlText w:val="%1"/>
      <w:numFmt w:val="decimal"/>
      <w:start w:val="1"/>
    </w:lvl>
    <w:lvl w:ilvl="1">
      <w:lvlJc w:val="left"/>
      <w:lvlText w:val="(%2)"/>
      <w:numFmt w:val="lowerLetter"/>
      <w:start w:val="4"/>
    </w:lvl>
  </w:abstractNum>
  <w:abstractNum w:abstractNumId="91">
    <w:nsid w:val="7672BD23"/>
    <w:multiLevelType w:val="hybridMultilevel"/>
    <w:lvl w:ilvl="0">
      <w:lvlJc w:val="left"/>
      <w:lvlText w:val="%1."/>
      <w:numFmt w:val="decimal"/>
      <w:start w:val="6"/>
    </w:lvl>
    <w:lvl w:ilvl="1">
      <w:lvlJc w:val="left"/>
      <w:lvlText w:val="%2"/>
      <w:numFmt w:val="lowerLetter"/>
      <w:start w:val="1"/>
    </w:lvl>
  </w:abstractNum>
  <w:abstractNum w:abstractNumId="92">
    <w:nsid w:val="6FC75AF8"/>
    <w:multiLevelType w:val="hybridMultilevel"/>
    <w:lvl w:ilvl="0">
      <w:lvlJc w:val="left"/>
      <w:lvlText w:val="%1."/>
      <w:numFmt w:val="decimal"/>
      <w:start w:val="9"/>
    </w:lvl>
  </w:abstractNum>
  <w:abstractNum w:abstractNumId="93">
    <w:nsid w:val="6A5F7029"/>
    <w:multiLevelType w:val="hybridMultilevel"/>
    <w:lvl w:ilvl="0">
      <w:lvlJc w:val="left"/>
      <w:lvlText w:val="%1."/>
      <w:numFmt w:val="decimal"/>
      <w:start w:val="1"/>
    </w:lvl>
    <w:lvl w:ilvl="1">
      <w:lvlJc w:val="left"/>
      <w:lvlText w:val="(%2)"/>
      <w:numFmt w:val="lowerLetter"/>
      <w:start w:val="1"/>
    </w:lvl>
  </w:abstractNum>
  <w:abstractNum w:abstractNumId="94">
    <w:nsid w:val="7D5E18F8"/>
    <w:multiLevelType w:val="hybridMultilevel"/>
    <w:lvl w:ilvl="0">
      <w:lvlJc w:val="left"/>
      <w:lvlText w:val="%1"/>
      <w:numFmt w:val="decimal"/>
      <w:start w:val="1"/>
    </w:lvl>
    <w:lvl w:ilvl="1">
      <w:lvlJc w:val="left"/>
      <w:lvlText w:val="(%2)"/>
      <w:numFmt w:val="lowerLetter"/>
      <w:start w:val="2"/>
    </w:lvl>
  </w:abstractNum>
  <w:abstractNum w:abstractNumId="95">
    <w:nsid w:val="5F3534A4"/>
    <w:multiLevelType w:val="hybridMultilevel"/>
    <w:lvl w:ilvl="0">
      <w:lvlJc w:val="left"/>
      <w:lvlText w:val="%1."/>
      <w:numFmt w:val="decimal"/>
      <w:start w:val="3"/>
    </w:lvl>
    <w:lvl w:ilvl="1">
      <w:lvlJc w:val="left"/>
      <w:lvlText w:val="%2"/>
      <w:numFmt w:val="lowerLetter"/>
      <w:start w:val="1"/>
    </w:lvl>
  </w:abstractNum>
  <w:abstractNum w:abstractNumId="96">
    <w:nsid w:val="73A1821B"/>
    <w:multiLevelType w:val="hybridMultilevel"/>
    <w:lvl w:ilvl="0">
      <w:lvlJc w:val="left"/>
      <w:lvlText w:val="%1."/>
      <w:numFmt w:val="decimal"/>
      <w:start w:val="4"/>
    </w:lvl>
    <w:lvl w:ilvl="1">
      <w:lvlJc w:val="left"/>
      <w:lvlText w:val="(%2)"/>
      <w:numFmt w:val="lowerLetter"/>
      <w:start w:val="1"/>
    </w:lvl>
  </w:abstractNum>
  <w:abstractNum w:abstractNumId="97">
    <w:nsid w:val="7DE67713"/>
    <w:multiLevelType w:val="hybridMultilevel"/>
    <w:lvl w:ilvl="0">
      <w:lvlJc w:val="left"/>
      <w:lvlText w:val="%1"/>
      <w:numFmt w:val="decimal"/>
      <w:start w:val="1"/>
    </w:lvl>
    <w:lvl w:ilvl="1">
      <w:lvlJc w:val="left"/>
      <w:lvlText w:val="(%2)"/>
      <w:numFmt w:val="lowerLetter"/>
      <w:start w:val="5"/>
    </w:lvl>
  </w:abstractNum>
  <w:abstractNum w:abstractNumId="98">
    <w:nsid w:val="555C55B5"/>
    <w:multiLevelType w:val="hybridMultilevel"/>
    <w:lvl w:ilvl="0">
      <w:lvlJc w:val="left"/>
      <w:lvlText w:val="%1."/>
      <w:numFmt w:val="decimal"/>
      <w:start w:val="5"/>
    </w:lvl>
    <w:lvl w:ilvl="1">
      <w:lvlJc w:val="left"/>
      <w:lvlText w:val="(%2)"/>
      <w:numFmt w:val="lowerLetter"/>
      <w:start w:val="1"/>
    </w:lvl>
  </w:abstractNum>
  <w:abstractNum w:abstractNumId="99">
    <w:nsid w:val="3FA62ACA"/>
    <w:multiLevelType w:val="hybridMultilevel"/>
    <w:lvl w:ilvl="0">
      <w:lvlJc w:val="left"/>
      <w:lvlText w:val="%1"/>
      <w:numFmt w:val="decimal"/>
      <w:start w:val="1"/>
    </w:lvl>
    <w:lvl w:ilvl="1">
      <w:lvlJc w:val="left"/>
      <w:lvlText w:val="(%2)"/>
      <w:numFmt w:val="lowerLetter"/>
      <w:start w:val="4"/>
    </w:lvl>
  </w:abstractNum>
  <w:abstractNum w:abstractNumId="100">
    <w:nsid w:val="14FCE74E"/>
    <w:multiLevelType w:val="hybridMultilevel"/>
    <w:lvl w:ilvl="0">
      <w:lvlJc w:val="left"/>
      <w:lvlText w:val="%1."/>
      <w:numFmt w:val="decimal"/>
      <w:start w:val="6"/>
    </w:lvl>
    <w:lvl w:ilvl="1">
      <w:lvlJc w:val="left"/>
      <w:lvlText w:val="%2"/>
      <w:numFmt w:val="lowerLetter"/>
      <w:start w:val="1"/>
    </w:lvl>
  </w:abstractNum>
  <w:abstractNum w:abstractNumId="101">
    <w:nsid w:val="6A3DD3E8"/>
    <w:multiLevelType w:val="hybridMultilevel"/>
    <w:lvl w:ilvl="0">
      <w:lvlJc w:val="left"/>
      <w:lvlText w:val="%1."/>
      <w:numFmt w:val="decimal"/>
      <w:start w:val="9"/>
    </w:lvl>
  </w:abstractNum>
  <w:abstractNum w:abstractNumId="102">
    <w:nsid w:val="71C91298"/>
    <w:multiLevelType w:val="hybridMultilevel"/>
    <w:lvl w:ilvl="0">
      <w:lvlJc w:val="left"/>
      <w:lvlText w:val="%1."/>
      <w:numFmt w:val="decimal"/>
      <w:start w:val="1"/>
    </w:lvl>
    <w:lvl w:ilvl="1">
      <w:lvlJc w:val="left"/>
      <w:lvlText w:val="%2."/>
      <w:numFmt w:val="lowerLetter"/>
      <w:start w:val="1"/>
    </w:lvl>
  </w:abstractNum>
  <w:abstractNum w:abstractNumId="103">
    <w:nsid w:val="9DAF632"/>
    <w:multiLevelType w:val="hybridMultilevel"/>
    <w:lvl w:ilvl="0">
      <w:lvlJc w:val="left"/>
      <w:lvlText w:val="%1."/>
      <w:numFmt w:val="decimal"/>
      <w:start w:val="1"/>
    </w:lvl>
    <w:lvl w:ilvl="1">
      <w:lvlJc w:val="left"/>
      <w:lvlText w:val="%2."/>
      <w:numFmt w:val="lowerLetter"/>
      <w:start w:val="1"/>
    </w:lvl>
  </w:abstractNum>
  <w:abstractNum w:abstractNumId="104">
    <w:nsid w:val="53299938"/>
    <w:multiLevelType w:val="hybridMultilevel"/>
    <w:lvl w:ilvl="0">
      <w:lvlJc w:val="left"/>
      <w:lvlText w:val="(%1)"/>
      <w:numFmt w:val="decimal"/>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20" Type="http://schemas.openxmlformats.org/officeDocument/2006/relationships/image" Target="media/image312.png"/><Relationship Id="rId322" Type="http://schemas.openxmlformats.org/officeDocument/2006/relationships/image" Target="media/image313.png"/><Relationship Id="rId324" Type="http://schemas.openxmlformats.org/officeDocument/2006/relationships/image" Target="media/image314.png"/><Relationship Id="rId326" Type="http://schemas.openxmlformats.org/officeDocument/2006/relationships/image" Target="media/image315.png"/><Relationship Id="rId328" Type="http://schemas.openxmlformats.org/officeDocument/2006/relationships/image" Target="media/image316.png"/><Relationship Id="rId330" Type="http://schemas.openxmlformats.org/officeDocument/2006/relationships/image" Target="media/image317.png"/><Relationship Id="rId332" Type="http://schemas.openxmlformats.org/officeDocument/2006/relationships/image" Target="media/image318.png"/><Relationship Id="rId334" Type="http://schemas.openxmlformats.org/officeDocument/2006/relationships/image" Target="media/image319.png"/><Relationship Id="rId336" Type="http://schemas.openxmlformats.org/officeDocument/2006/relationships/image" Target="media/image320.png"/><Relationship Id="rId338" Type="http://schemas.openxmlformats.org/officeDocument/2006/relationships/image" Target="media/image321.png"/><Relationship Id="rId340" Type="http://schemas.openxmlformats.org/officeDocument/2006/relationships/image" Target="media/image322.png"/><Relationship Id="rId342" Type="http://schemas.openxmlformats.org/officeDocument/2006/relationships/image" Target="media/image323.png"/><Relationship Id="rId344" Type="http://schemas.openxmlformats.org/officeDocument/2006/relationships/image" Target="media/image324.png"/><Relationship Id="rId346" Type="http://schemas.openxmlformats.org/officeDocument/2006/relationships/image" Target="media/image325.png"/><Relationship Id="rId347" Type="http://schemas.openxmlformats.org/officeDocument/2006/relationships/image" Target="media/image326.png"/><Relationship Id="rId348" Type="http://schemas.openxmlformats.org/officeDocument/2006/relationships/image" Target="media/image327.png"/><Relationship Id="rId349" Type="http://schemas.openxmlformats.org/officeDocument/2006/relationships/image" Target="media/image328.png"/><Relationship Id="rId350" Type="http://schemas.openxmlformats.org/officeDocument/2006/relationships/image" Target="media/image329.png"/><Relationship Id="rId352" Type="http://schemas.openxmlformats.org/officeDocument/2006/relationships/image" Target="media/image330.png"/><Relationship Id="rId354" Type="http://schemas.openxmlformats.org/officeDocument/2006/relationships/image" Target="media/image331.png"/><Relationship Id="rId356" Type="http://schemas.openxmlformats.org/officeDocument/2006/relationships/image" Target="media/image332.png"/><Relationship Id="rId358" Type="http://schemas.openxmlformats.org/officeDocument/2006/relationships/image" Target="media/image333.png"/><Relationship Id="rId360" Type="http://schemas.openxmlformats.org/officeDocument/2006/relationships/image" Target="media/image334.png"/><Relationship Id="rId362" Type="http://schemas.openxmlformats.org/officeDocument/2006/relationships/image" Target="media/image335.png"/><Relationship Id="rId363" Type="http://schemas.openxmlformats.org/officeDocument/2006/relationships/image" Target="media/image336.png"/><Relationship Id="rId364" Type="http://schemas.openxmlformats.org/officeDocument/2006/relationships/image" Target="media/image337.png"/><Relationship Id="rId365" Type="http://schemas.openxmlformats.org/officeDocument/2006/relationships/image" Target="media/image338.png"/><Relationship Id="rId366" Type="http://schemas.openxmlformats.org/officeDocument/2006/relationships/image" Target="media/image339.png"/><Relationship Id="rId367" Type="http://schemas.openxmlformats.org/officeDocument/2006/relationships/image" Target="media/image340.png"/><Relationship Id="rId368" Type="http://schemas.openxmlformats.org/officeDocument/2006/relationships/image" Target="media/image341.png"/><Relationship Id="rId369" Type="http://schemas.openxmlformats.org/officeDocument/2006/relationships/image" Target="media/image342.png"/><Relationship Id="rId370" Type="http://schemas.openxmlformats.org/officeDocument/2006/relationships/image" Target="media/image343.png"/><Relationship Id="rId371" Type="http://schemas.openxmlformats.org/officeDocument/2006/relationships/image" Target="media/image344.png"/><Relationship Id="rId372" Type="http://schemas.openxmlformats.org/officeDocument/2006/relationships/image" Target="media/image345.png"/><Relationship Id="rId373" Type="http://schemas.openxmlformats.org/officeDocument/2006/relationships/image" Target="media/image346.png"/><Relationship Id="rId374" Type="http://schemas.openxmlformats.org/officeDocument/2006/relationships/image" Target="media/image347.png"/><Relationship Id="rId375" Type="http://schemas.openxmlformats.org/officeDocument/2006/relationships/image" Target="media/image348.png"/><Relationship Id="rId376" Type="http://schemas.openxmlformats.org/officeDocument/2006/relationships/image" Target="media/image349.png"/><Relationship Id="rId377" Type="http://schemas.openxmlformats.org/officeDocument/2006/relationships/image" Target="media/image350.png"/><Relationship Id="rId378" Type="http://schemas.openxmlformats.org/officeDocument/2006/relationships/image" Target="media/image351.png"/><Relationship Id="rId379" Type="http://schemas.openxmlformats.org/officeDocument/2006/relationships/image" Target="media/image352.png"/><Relationship Id="rId380" Type="http://schemas.openxmlformats.org/officeDocument/2006/relationships/image" Target="media/image353.png"/><Relationship Id="rId381" Type="http://schemas.openxmlformats.org/officeDocument/2006/relationships/image" Target="media/image354.png"/><Relationship Id="rId382" Type="http://schemas.openxmlformats.org/officeDocument/2006/relationships/image" Target="media/image355.png"/><Relationship Id="rId383" Type="http://schemas.openxmlformats.org/officeDocument/2006/relationships/image" Target="media/image356.png"/><Relationship Id="rId384" Type="http://schemas.openxmlformats.org/officeDocument/2006/relationships/image" Target="media/image357.png"/><Relationship Id="rId385" Type="http://schemas.openxmlformats.org/officeDocument/2006/relationships/image" Target="media/image358.png"/><Relationship Id="rId386" Type="http://schemas.openxmlformats.org/officeDocument/2006/relationships/image" Target="media/image359.png"/><Relationship Id="rId387" Type="http://schemas.openxmlformats.org/officeDocument/2006/relationships/image" Target="media/image360.png"/><Relationship Id="rId388" Type="http://schemas.openxmlformats.org/officeDocument/2006/relationships/image" Target="media/image361.png"/><Relationship Id="rId389" Type="http://schemas.openxmlformats.org/officeDocument/2006/relationships/image" Target="media/image362.png"/><Relationship Id="rId390" Type="http://schemas.openxmlformats.org/officeDocument/2006/relationships/image" Target="media/image363.png"/><Relationship Id="rId391" Type="http://schemas.openxmlformats.org/officeDocument/2006/relationships/image" Target="media/image364.png"/><Relationship Id="rId392" Type="http://schemas.openxmlformats.org/officeDocument/2006/relationships/image" Target="media/image365.png"/><Relationship Id="rId393" Type="http://schemas.openxmlformats.org/officeDocument/2006/relationships/image" Target="media/image366.png"/><Relationship Id="rId394" Type="http://schemas.openxmlformats.org/officeDocument/2006/relationships/image" Target="media/image367.png"/><Relationship Id="rId395" Type="http://schemas.openxmlformats.org/officeDocument/2006/relationships/image" Target="media/image368.png"/><Relationship Id="rId396" Type="http://schemas.openxmlformats.org/officeDocument/2006/relationships/image" Target="media/image369.png"/><Relationship Id="rId397" Type="http://schemas.openxmlformats.org/officeDocument/2006/relationships/image" Target="media/image370.png"/><Relationship Id="rId398" Type="http://schemas.openxmlformats.org/officeDocument/2006/relationships/image" Target="media/image371.png"/><Relationship Id="rId399" Type="http://schemas.openxmlformats.org/officeDocument/2006/relationships/image" Target="media/image372.png"/><Relationship Id="rId400" Type="http://schemas.openxmlformats.org/officeDocument/2006/relationships/image" Target="media/image373.png"/><Relationship Id="rId401" Type="http://schemas.openxmlformats.org/officeDocument/2006/relationships/image" Target="media/image374.png"/><Relationship Id="rId402" Type="http://schemas.openxmlformats.org/officeDocument/2006/relationships/image" Target="media/image375.png"/><Relationship Id="rId403" Type="http://schemas.openxmlformats.org/officeDocument/2006/relationships/image" Target="media/image376.png"/><Relationship Id="rId404" Type="http://schemas.openxmlformats.org/officeDocument/2006/relationships/image" Target="media/image377.png"/><Relationship Id="rId405" Type="http://schemas.openxmlformats.org/officeDocument/2006/relationships/image" Target="media/image378.png"/><Relationship Id="rId406" Type="http://schemas.openxmlformats.org/officeDocument/2006/relationships/image" Target="media/image379.png"/><Relationship Id="rId407" Type="http://schemas.openxmlformats.org/officeDocument/2006/relationships/image" Target="media/image380.png"/><Relationship Id="rId408" Type="http://schemas.openxmlformats.org/officeDocument/2006/relationships/image" Target="media/image381.png"/><Relationship Id="rId413" Type="http://schemas.openxmlformats.org/officeDocument/2006/relationships/image" Target="media/image382.png"/><Relationship Id="rId414" Type="http://schemas.openxmlformats.org/officeDocument/2006/relationships/image" Target="media/image383.png"/><Relationship Id="rId415" Type="http://schemas.openxmlformats.org/officeDocument/2006/relationships/image" Target="media/image384.png"/><Relationship Id="rId416" Type="http://schemas.openxmlformats.org/officeDocument/2006/relationships/image" Target="media/image385.png"/><Relationship Id="rId417" Type="http://schemas.openxmlformats.org/officeDocument/2006/relationships/image" Target="media/image386.png"/><Relationship Id="rId418" Type="http://schemas.openxmlformats.org/officeDocument/2006/relationships/image" Target="media/image387.png"/><Relationship Id="rId419" Type="http://schemas.openxmlformats.org/officeDocument/2006/relationships/image" Target="media/image388.png"/><Relationship Id="rId420" Type="http://schemas.openxmlformats.org/officeDocument/2006/relationships/image" Target="media/image389.png"/><Relationship Id="rId421" Type="http://schemas.openxmlformats.org/officeDocument/2006/relationships/image" Target="media/image390.png"/><Relationship Id="rId422" Type="http://schemas.openxmlformats.org/officeDocument/2006/relationships/image" Target="media/image391.png"/><Relationship Id="rId423" Type="http://schemas.openxmlformats.org/officeDocument/2006/relationships/image" Target="media/image392.png"/><Relationship Id="rId424" Type="http://schemas.openxmlformats.org/officeDocument/2006/relationships/image" Target="media/image393.png"/><Relationship Id="rId425" Type="http://schemas.openxmlformats.org/officeDocument/2006/relationships/image" Target="media/image394.png"/><Relationship Id="rId426" Type="http://schemas.openxmlformats.org/officeDocument/2006/relationships/image" Target="media/image395.png"/><Relationship Id="rId427" Type="http://schemas.openxmlformats.org/officeDocument/2006/relationships/image" Target="media/image396.png"/><Relationship Id="rId428" Type="http://schemas.openxmlformats.org/officeDocument/2006/relationships/image" Target="media/image397.png"/><Relationship Id="rId429" Type="http://schemas.openxmlformats.org/officeDocument/2006/relationships/image" Target="media/image398.png"/><Relationship Id="rId430" Type="http://schemas.openxmlformats.org/officeDocument/2006/relationships/image" Target="media/image399.png"/><Relationship Id="rId431" Type="http://schemas.openxmlformats.org/officeDocument/2006/relationships/image" Target="media/image400.png"/><Relationship Id="rId432" Type="http://schemas.openxmlformats.org/officeDocument/2006/relationships/image" Target="media/image401.png"/><Relationship Id="rId433" Type="http://schemas.openxmlformats.org/officeDocument/2006/relationships/image" Target="media/image402.png"/><Relationship Id="rId434" Type="http://schemas.openxmlformats.org/officeDocument/2006/relationships/image" Target="media/image403.png"/><Relationship Id="rId435" Type="http://schemas.openxmlformats.org/officeDocument/2006/relationships/image" Target="media/image404.png"/><Relationship Id="rId436" Type="http://schemas.openxmlformats.org/officeDocument/2006/relationships/image" Target="media/image405.png"/><Relationship Id="rId437" Type="http://schemas.openxmlformats.org/officeDocument/2006/relationships/image" Target="media/image406.png"/><Relationship Id="rId438" Type="http://schemas.openxmlformats.org/officeDocument/2006/relationships/image" Target="media/image407.png"/><Relationship Id="rId439" Type="http://schemas.openxmlformats.org/officeDocument/2006/relationships/image" Target="media/image408.png"/><Relationship Id="rId440" Type="http://schemas.openxmlformats.org/officeDocument/2006/relationships/image" Target="media/image409.png"/><Relationship Id="rId441" Type="http://schemas.openxmlformats.org/officeDocument/2006/relationships/image" Target="media/image410.png"/><Relationship Id="rId442" Type="http://schemas.openxmlformats.org/officeDocument/2006/relationships/image" Target="media/image411.png"/><Relationship Id="rId443" Type="http://schemas.openxmlformats.org/officeDocument/2006/relationships/image" Target="media/image412.png"/><Relationship Id="rId444" Type="http://schemas.openxmlformats.org/officeDocument/2006/relationships/image" Target="media/image413.png"/><Relationship Id="rId445" Type="http://schemas.openxmlformats.org/officeDocument/2006/relationships/image" Target="media/image414.png"/><Relationship Id="rId446" Type="http://schemas.openxmlformats.org/officeDocument/2006/relationships/image" Target="media/image415.png"/><Relationship Id="rId447" Type="http://schemas.openxmlformats.org/officeDocument/2006/relationships/image" Target="media/image416.png"/><Relationship Id="rId448" Type="http://schemas.openxmlformats.org/officeDocument/2006/relationships/image" Target="media/image417.png"/><Relationship Id="rId449" Type="http://schemas.openxmlformats.org/officeDocument/2006/relationships/image" Target="media/image418.png"/><Relationship Id="rId450" Type="http://schemas.openxmlformats.org/officeDocument/2006/relationships/image" Target="media/image419.png"/><Relationship Id="rId451" Type="http://schemas.openxmlformats.org/officeDocument/2006/relationships/image" Target="media/image420.png"/><Relationship Id="rId452" Type="http://schemas.openxmlformats.org/officeDocument/2006/relationships/image" Target="media/image421.png"/><Relationship Id="rId453" Type="http://schemas.openxmlformats.org/officeDocument/2006/relationships/image" Target="media/image422.png"/><Relationship Id="rId454" Type="http://schemas.openxmlformats.org/officeDocument/2006/relationships/image" Target="media/image423.png"/><Relationship Id="rId455" Type="http://schemas.openxmlformats.org/officeDocument/2006/relationships/image" Target="media/image424.png"/><Relationship Id="rId456" Type="http://schemas.openxmlformats.org/officeDocument/2006/relationships/image" Target="media/image425.png"/><Relationship Id="rId457" Type="http://schemas.openxmlformats.org/officeDocument/2006/relationships/image" Target="media/image426.png"/><Relationship Id="rId458" Type="http://schemas.openxmlformats.org/officeDocument/2006/relationships/image" Target="media/image427.png"/><Relationship Id="rId459" Type="http://schemas.openxmlformats.org/officeDocument/2006/relationships/image" Target="media/image428.png"/><Relationship Id="rId460" Type="http://schemas.openxmlformats.org/officeDocument/2006/relationships/image" Target="media/image429.png"/><Relationship Id="rId461" Type="http://schemas.openxmlformats.org/officeDocument/2006/relationships/image" Target="media/image430.png"/><Relationship Id="rId462" Type="http://schemas.openxmlformats.org/officeDocument/2006/relationships/image" Target="media/image431.png"/><Relationship Id="rId463" Type="http://schemas.openxmlformats.org/officeDocument/2006/relationships/image" Target="media/image432.png"/><Relationship Id="rId464" Type="http://schemas.openxmlformats.org/officeDocument/2006/relationships/image" Target="media/image433.png"/><Relationship Id="rId465" Type="http://schemas.openxmlformats.org/officeDocument/2006/relationships/image" Target="media/image434.png"/><Relationship Id="rId466" Type="http://schemas.openxmlformats.org/officeDocument/2006/relationships/image" Target="media/image435.png"/><Relationship Id="rId467" Type="http://schemas.openxmlformats.org/officeDocument/2006/relationships/image" Target="media/image436.png"/><Relationship Id="rId468" Type="http://schemas.openxmlformats.org/officeDocument/2006/relationships/image" Target="media/image437.png"/><Relationship Id="rId469" Type="http://schemas.openxmlformats.org/officeDocument/2006/relationships/image" Target="media/image438.png"/><Relationship Id="rId470" Type="http://schemas.openxmlformats.org/officeDocument/2006/relationships/image" Target="media/image439.png"/><Relationship Id="rId471" Type="http://schemas.openxmlformats.org/officeDocument/2006/relationships/image" Target="media/image440.png"/><Relationship Id="rId472" Type="http://schemas.openxmlformats.org/officeDocument/2006/relationships/image" Target="media/image441.png"/><Relationship Id="rId473" Type="http://schemas.openxmlformats.org/officeDocument/2006/relationships/image" Target="media/image442.png"/><Relationship Id="rId474" Type="http://schemas.openxmlformats.org/officeDocument/2006/relationships/image" Target="media/image443.png"/><Relationship Id="rId475" Type="http://schemas.openxmlformats.org/officeDocument/2006/relationships/image" Target="media/image444.png"/><Relationship Id="rId476" Type="http://schemas.openxmlformats.org/officeDocument/2006/relationships/image" Target="media/image445.png"/><Relationship Id="rId477" Type="http://schemas.openxmlformats.org/officeDocument/2006/relationships/image" Target="media/image446.png"/><Relationship Id="rId478" Type="http://schemas.openxmlformats.org/officeDocument/2006/relationships/image" Target="media/image447.png"/><Relationship Id="rId479" Type="http://schemas.openxmlformats.org/officeDocument/2006/relationships/image" Target="media/image448.png"/><Relationship Id="rId480" Type="http://schemas.openxmlformats.org/officeDocument/2006/relationships/image" Target="media/image449.png"/><Relationship Id="rId319" Type="http://schemas.openxmlformats.org/officeDocument/2006/relationships/hyperlink" Target="https://www.sec.gov/Archives/edgar/data/1540171/000119312526201434/ck0001540171-ex3_1.htm" TargetMode="External"/><Relationship Id="rId321" Type="http://schemas.openxmlformats.org/officeDocument/2006/relationships/hyperlink" Target="https://www.sec.gov/Archives/edgar/data/1540171/000119312526201434/ck0001540171-ex3_2.htm" TargetMode="External"/><Relationship Id="rId323" Type="http://schemas.openxmlformats.org/officeDocument/2006/relationships/hyperlink" Target="https://www.sec.gov/Archives/edgar/data/1540171/000119312526147573/ck0001540171-ex4_2.htm" TargetMode="External"/><Relationship Id="rId325" Type="http://schemas.openxmlformats.org/officeDocument/2006/relationships/hyperlink" Target="https://www.sec.gov/Archives/edgar/data/1540171/000119312526147573/ck0001540171-ex4_1.htm" TargetMode="External"/><Relationship Id="rId327" Type="http://schemas.openxmlformats.org/officeDocument/2006/relationships/hyperlink" Target="https://www.sec.gov/Archives/edgar/data/1540171/000119312526147573/ck0001540171-ex4_3.htm" TargetMode="External"/><Relationship Id="rId329" Type="http://schemas.openxmlformats.org/officeDocument/2006/relationships/hyperlink" Target="https://www.sec.gov/Archives/edgar/data/1540171/000119312526147573/ck0001540171-ex4_4.htm" TargetMode="External"/><Relationship Id="rId331" Type="http://schemas.openxmlformats.org/officeDocument/2006/relationships/hyperlink" Target="https://www.sec.gov/Archives/edgar/data/1540171/000119312526173632/ck0001540171-ex10_3.htm" TargetMode="External"/><Relationship Id="rId333" Type="http://schemas.openxmlformats.org/officeDocument/2006/relationships/hyperlink" Target="https://www.sec.gov/Archives/edgar/data/1540171/000119312526173632/ck0001540171-ex10_4.htm" TargetMode="External"/><Relationship Id="rId335" Type="http://schemas.openxmlformats.org/officeDocument/2006/relationships/hyperlink" Target="https://www.sec.gov/Archives/edgar/data/1540171/000119312526147573/ck0001540171-ex10_5.htm" TargetMode="External"/><Relationship Id="rId337" Type="http://schemas.openxmlformats.org/officeDocument/2006/relationships/hyperlink" Target="https://www.sec.gov/Archives/edgar/data/1540171/000119312526147573/ck0001540171-ex10_6.htm" TargetMode="External"/><Relationship Id="rId339" Type="http://schemas.openxmlformats.org/officeDocument/2006/relationships/hyperlink" Target="https://www.sec.gov/Archives/edgar/data/1540171/000119312526147573/ck0001540171-ex10_7.htm" TargetMode="External"/><Relationship Id="rId341" Type="http://schemas.openxmlformats.org/officeDocument/2006/relationships/hyperlink" Target="https://www.sec.gov/Archives/edgar/data/1540171/000119312526173632/ck0001540171-ex10_8.htm" TargetMode="External"/><Relationship Id="rId343" Type="http://schemas.openxmlformats.org/officeDocument/2006/relationships/hyperlink" Target="https://www.sec.gov/Archives/edgar/data/1540171/000119312526147573/ck0001540171-ex10_9.htm" TargetMode="External"/><Relationship Id="rId345" Type="http://schemas.openxmlformats.org/officeDocument/2006/relationships/hyperlink" Target="https://www.sec.gov/Archives/edgar/data/1540171/000119312526147573/ck0001540171-ex10_10.htm" TargetMode="External"/><Relationship Id="rId351" Type="http://schemas.openxmlformats.org/officeDocument/2006/relationships/hyperlink" Target="https://www.sec.gov/Archives/edgar/data/1540171/000119312526147573/ck0001540171-ex10_16.htm" TargetMode="External"/><Relationship Id="rId353" Type="http://schemas.openxmlformats.org/officeDocument/2006/relationships/hyperlink" Target="https://www.sec.gov/Archives/edgar/data/1540171/000119312526147573/ck0001540171-ex10_17.htm" TargetMode="External"/><Relationship Id="rId355" Type="http://schemas.openxmlformats.org/officeDocument/2006/relationships/hyperlink" Target="https://www.sec.gov/Archives/edgar/data/1540171/000119312526147573/ck0001540171-ex10_18.htm" TargetMode="External"/><Relationship Id="rId357" Type="http://schemas.openxmlformats.org/officeDocument/2006/relationships/hyperlink" Target="https://www.sec.gov/Archives/edgar/data/1540171/000119312526147573/ck0001540171-ex10_19.htm" TargetMode="External"/><Relationship Id="rId359" Type="http://schemas.openxmlformats.org/officeDocument/2006/relationships/hyperlink" Target="https://www.sec.gov/Archives/edgar/data/1540171/000119312526147573/ck0001540171-ex10_20.htm" TargetMode="External"/><Relationship Id="rId361" Type="http://schemas.openxmlformats.org/officeDocument/2006/relationships/hyperlink" Target="https://www.sec.gov/Archives/edgar/data/1540171/000119312526147573/ck0001540171-ex10_21.htm" TargetMode="External"/><Relationship Id="rId409" Type="http://schemas.openxmlformats.org/officeDocument/2006/relationships/hyperlink" Target="https://www.sec.gov/Archives/edgar/data/1540171/000119312526147573/ck0001540171-ex10_22.htm" TargetMode="External"/><Relationship Id="rId410" Type="http://schemas.openxmlformats.org/officeDocument/2006/relationships/hyperlink" Target="https://www.sec.gov/Archives/edgar/data/1540171/000119312526147573/ck0001540171-ex10_23.htm" TargetMode="External"/><Relationship Id="rId411" Type="http://schemas.openxmlformats.org/officeDocument/2006/relationships/hyperlink" Target="https://www.sec.gov/Archives/edgar/data/1540171/000119312526147573/ck0001540171-ex10_24.htm" TargetMode="External"/><Relationship Id="rId412" Type="http://schemas.openxmlformats.org/officeDocument/2006/relationships/hyperlink" Target="https://www.sec.gov/Archives/edgar/data/1540171/000119312526147573/ck0001540171-ex10_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2026-06-03T07:06:29Z</dcterms:created>
  <dcterms:modified xsi:type="dcterms:W3CDTF">2026-06-03T07:06:29Z</dcterms:modified>
</cp:coreProperties>
</file>