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Avalyn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Voting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Nathanson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Suvretta Capital Management, LLC, 540 Madison Avenue, 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702-5205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2,503,109.00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2,503,109.00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2,503,109.00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Note in relation to Item 13: Based on 44,312,047 shares of Common Stock (as defined below) outstanding, as</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8"/>
              </w:rPr>
              <w:t>indicated by the Issuer (as defined below) in the Final Prospectus (as defined below) on April 30, 2026 (inclusive of</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rPr>
              <w:t>2,500,000 additional shares of Common Stock purchased by the underwriters in the Initial Offering (as defined</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below)).</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1240"/>
          </w:cols>
          <w:pgMar w:left="320" w:top="111"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2,179,283.00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2,179,283.00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2,179,283.00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Note in relation to Item 13: Based on 44,312,047 shares of Common Stock (as defined below) outstanding, as indicated by the Issuer (as defined below) in the Final Prospectus (as defined below) on April 30, 2026 (inclusive of 2,500,000 additional shares of Common Stock purchased by the underwriters in the Initial Offering (as defined below)).</w:t>
      </w:r>
    </w:p>
    <w:p>
      <w:pPr>
        <w:spacing w:after="0" w:line="2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Averill Madison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323,826.00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323,826.00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323,826.00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Note in relation to Item 13: Based on 44,312,047 shares of Common Stock (as defined below) outstanding, as indicated by the Issuer (as defined below) in the Final Prospectus (as defined below) on April 30, 2026 (inclusive of 2,500,000 additional shares of Common Stock purchased by the underwriters in the Initial Offering (as defined below)).</w:t>
      </w:r>
    </w:p>
    <w:p>
      <w:pPr>
        <w:spacing w:after="0" w:line="200" w:lineRule="exact"/>
        <w:rPr>
          <w:sz w:val="20"/>
          <w:szCs w:val="20"/>
          <w:color w:val="auto"/>
        </w:rPr>
      </w:pPr>
    </w:p>
    <w:p>
      <w:pPr>
        <w:sectPr>
          <w:pgSz w:w="11900" w:h="16838"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2,503,109.00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2,503,109.00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2,503,109.00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Note in relation to Item 13: Based on 44,312,047 shares of Common Stock (as defined below) outstanding, as indicated by the Issuer (as defined below) in the Final Prospectus (as defined below) on April 30, 2026 (inclusive of 2,500,000 additional shares of Common Stock purchased by the underwriters in the Initial Offering (as defined below)).</w:t>
      </w:r>
    </w:p>
    <w:p>
      <w:pPr>
        <w:spacing w:after="0" w:line="200" w:lineRule="exact"/>
        <w:rPr>
          <w:sz w:val="20"/>
          <w:szCs w:val="20"/>
          <w:color w:val="auto"/>
        </w:rPr>
      </w:pPr>
    </w:p>
    <w:p>
      <w:pPr>
        <w:sectPr>
          <w:pgSz w:w="11900" w:h="16847"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Voting Common Stock, $0.001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Avalyn 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jc w:val="right"/>
        <w:ind w:right="5260"/>
        <w:spacing w:after="0"/>
        <w:rPr>
          <w:sz w:val="20"/>
          <w:szCs w:val="20"/>
          <w:color w:val="auto"/>
        </w:rPr>
      </w:pPr>
      <w:r>
        <w:rPr>
          <w:rFonts w:ascii="Times New Roman" w:cs="Times New Roman" w:eastAsia="Times New Roman" w:hAnsi="Times New Roman"/>
          <w:sz w:val="22"/>
          <w:szCs w:val="22"/>
          <w:color w:val="auto"/>
        </w:rPr>
        <w:t>105 W First Street, Boston, MASSACHUSETTS , 02127.</w:t>
      </w:r>
    </w:p>
    <w:p>
      <w:pPr>
        <w:sectPr>
          <w:pgSz w:w="11900" w:h="16847" w:orient="portrait"/>
          <w:cols w:equalWidth="0" w:num="1">
            <w:col w:w="11240"/>
          </w:cols>
          <w:pgMar w:left="320" w:top="112" w:right="33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Item 1</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Comment:</w:t>
      </w: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This statement on Schedule 13D (this "Schedule 13D") relates to shares of voting common stock, $0.001 par value per share ("Common Stock"), of Avalyn Pharma Inc., a Delaware corporation (the "Issuer"). The principal executive office of the Issuer is 105 W First Street, Boston, Massachusetts 02127.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1"/>
          <w:szCs w:val="21"/>
          <w:color w:val="auto"/>
        </w:rPr>
        <w:t>The persons filing this Schedule 13D are Averill Master Fund, Ltd., a Cayman Islands exempted company ("Averill Master Fund"), Averill Madison Master Fund, Ltd., a Cayman Islands exempted company ("Averill Madison Master Fund" and, together with Averill Master Fund, the "Funds"), Suvretta Capital Management, LLC, a Delaware limited liability company ("Suvretta Capital"), and Aaron Cowen ("Mr. Cowen") (collectively, the "Reporting Persons").</w:t>
      </w:r>
    </w:p>
    <w:p>
      <w:pPr>
        <w:spacing w:after="0" w:line="4" w:lineRule="exact"/>
        <w:rPr>
          <w:sz w:val="20"/>
          <w:szCs w:val="20"/>
          <w:color w:val="auto"/>
        </w:rPr>
      </w:pPr>
    </w:p>
    <w:p>
      <w:pPr>
        <w:sectPr>
          <w:pgSz w:w="11900" w:h="16847" w:orient="portrait"/>
          <w:cols w:equalWidth="0" w:num="2">
            <w:col w:w="940" w:space="20"/>
            <w:col w:w="10280"/>
          </w:cols>
          <w:pgMar w:left="320" w:top="112" w:right="339" w:bottom="0" w:gutter="0" w:footer="0" w:header="0"/>
          <w:type w:val="continuous"/>
        </w:sectPr>
      </w:pPr>
    </w:p>
    <w:p>
      <w:pPr>
        <w:ind w:left="960" w:right="280"/>
        <w:spacing w:after="0" w:line="253" w:lineRule="auto"/>
        <w:rPr>
          <w:sz w:val="20"/>
          <w:szCs w:val="20"/>
          <w:color w:val="auto"/>
        </w:rPr>
      </w:pPr>
      <w:r>
        <w:rPr>
          <w:rFonts w:ascii="Times New Roman" w:cs="Times New Roman" w:eastAsia="Times New Roman" w:hAnsi="Times New Roman"/>
          <w:sz w:val="21"/>
          <w:szCs w:val="21"/>
          <w:color w:val="auto"/>
        </w:rPr>
        <w:t>The address of the principal office of (i) each of the Funds is c/o Maples Corporate Services Limited, P.O. Box 309, Ugland House, Grand Cayman, KY1-1104, Cayman Islands, (ii) each of Suvretta Capital and Mr. Cowen is c/o</w:t>
      </w:r>
    </w:p>
    <w:p>
      <w:pPr>
        <w:spacing w:after="0" w:line="1" w:lineRule="exact"/>
        <w:rPr>
          <w:sz w:val="20"/>
          <w:szCs w:val="20"/>
          <w:color w:val="auto"/>
        </w:rPr>
      </w:pPr>
    </w:p>
    <w:p>
      <w:pPr>
        <w:ind w:left="960" w:right="260" w:hanging="912"/>
        <w:spacing w:after="0" w:line="235"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Suvretta Capital Management, LLC, 540 Madison Avenue, 7th Floor, New York, New York, 10022 and (iii) each of the directors and executive officers named on Schedule I (each, a "Scheduled Person" and collectively, the "Scheduled Persons") is listed thereon, which Schedule I is incorporated by reference herein.</w:t>
      </w:r>
    </w:p>
    <w:p>
      <w:pPr>
        <w:sectPr>
          <w:pgSz w:w="11900" w:h="16847" w:orient="portrait"/>
          <w:cols w:equalWidth="0" w:num="1">
            <w:col w:w="11240"/>
          </w:cols>
          <w:pgMar w:left="320" w:top="112" w:right="339" w:bottom="0" w:gutter="0" w:footer="0" w:header="0"/>
          <w:type w:val="continuous"/>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180"/>
        <w:spacing w:after="0" w:line="244" w:lineRule="auto"/>
        <w:rPr>
          <w:sz w:val="20"/>
          <w:szCs w:val="20"/>
          <w:color w:val="auto"/>
        </w:rPr>
      </w:pPr>
      <w:r>
        <w:rPr>
          <w:rFonts w:ascii="Times New Roman" w:cs="Times New Roman" w:eastAsia="Times New Roman" w:hAnsi="Times New Roman"/>
          <w:sz w:val="22"/>
          <w:szCs w:val="22"/>
          <w:color w:val="auto"/>
        </w:rPr>
        <w:t>Each of the Funds is a private investment fund. Suvretta Capital serves as the investment manager of each of the Funds. Mr. Cowen is the control person and managing member of Suvretta Capital. The principal occupation of each of the Scheduled Persons is listed on Schedule I, which Schedule I is incorporated herein by reference.</w:t>
      </w:r>
    </w:p>
    <w:p>
      <w:pPr>
        <w:spacing w:after="0" w:line="1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None of the Reporting Persons, nor, to their knowledge, any of the Scheduled Persons, has during the last five years been convicted in a criminal proceeding (excluding traffic violations or similar misdemeanors).</w:t>
      </w:r>
    </w:p>
    <w:p>
      <w:pPr>
        <w:ind w:right="100"/>
        <w:spacing w:after="0" w:line="254" w:lineRule="auto"/>
        <w:rPr>
          <w:sz w:val="20"/>
          <w:szCs w:val="20"/>
          <w:color w:val="auto"/>
        </w:rPr>
      </w:pPr>
      <w:r>
        <w:rPr>
          <w:rFonts w:ascii="Times New Roman" w:cs="Times New Roman" w:eastAsia="Times New Roman" w:hAnsi="Times New Roman"/>
          <w:sz w:val="21"/>
          <w:szCs w:val="21"/>
          <w:color w:val="auto"/>
        </w:rPr>
        <w:t>None of the Reporting Persons, nor, to their knowledge, any of the Scheduled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Averill Master Fund is a Cayman Islands exempted company. Averill Madison Master Fund is a Cayman Islands exempted company. Suvretta Capital is a Delaware limited liability company. Mr. Cowen is a United States citizen. Except as set forth on Schedule I, each of the directors and executive officers named on Schedule I hereto is a United States citizen, which Schedule I is incorporated herein by reference.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820"/>
        <w:spacing w:after="0" w:line="253" w:lineRule="auto"/>
        <w:rPr>
          <w:sz w:val="20"/>
          <w:szCs w:val="20"/>
          <w:color w:val="auto"/>
        </w:rPr>
      </w:pPr>
      <w:r>
        <w:rPr>
          <w:rFonts w:ascii="Times New Roman" w:cs="Times New Roman" w:eastAsia="Times New Roman" w:hAnsi="Times New Roman"/>
          <w:sz w:val="21"/>
          <w:szCs w:val="21"/>
          <w:color w:val="auto"/>
        </w:rPr>
        <w:t>Direct Purchase of Preferred Stock In April 2025, the Funds entered into a Series D Preferred Stock Purchase Agreement with the Issuer and certain other stockholders, pursuant to which Averill Master Fund purchased</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1"/>
          <w:szCs w:val="21"/>
          <w:color w:val="auto"/>
        </w:rPr>
        <w:t>9,544,142 shares of Series D Preferred Stock from the Issuer, at a share price of $0.7963 per share and a total purchase price of $7,600,000.28, and Averill Madison Master Fund purchased 502,323 shares of Series D Preferred Stock from the Issuer, at a share price of $0.7963 per share and a total purchase price of $399,999.81. Reverse Stock Split and Conversion On April 22, 2026, the Issuer effected a 1-for-19.2417 reverse stock split of its issued and outstanding Common Stock and proportionally adjusted the conversion price for each series of the Issuer's preferred stock. Prior to the closing of the Issuer's initial public offering on May 1, 2026 (the "Initial Offering"), each share of the Issuer's Series D Preferred Stock was automatically converted into shares of the Issuer's Common Stock on a 1-for-19.2417 basis. Consequently, Averill Master Fund's 9,544,142 shares of Series D Preferred Stock were converted into 496,013 shares of Common Stock and Averill Madison Master Fund's 502,323 shares of Series D Preferred Stock</w:t>
      </w:r>
    </w:p>
    <w:p>
      <w:pPr>
        <w:sectPr>
          <w:pgSz w:w="11900" w:h="16847" w:orient="portrait"/>
          <w:cols w:equalWidth="0" w:num="2">
            <w:col w:w="660" w:space="300"/>
            <w:col w:w="10280"/>
          </w:cols>
          <w:pgMar w:left="320" w:top="112" w:right="339" w:bottom="0" w:gutter="0" w:footer="0" w:header="0"/>
          <w:type w:val="continuous"/>
        </w:sectPr>
      </w:pPr>
    </w:p>
    <w:bookmarkStart w:id="5" w:name="page6"/>
    <w:bookmarkEnd w:id="5"/>
    <w:p>
      <w:pPr>
        <w:spacing w:after="0" w:line="9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were converted into 26,105 shares of Common Stock. Purchase in Initial Offering On May 1, 2026, Averill Master Fund purchased 1,614,410 shares of the Issuer's Common Stock from the underwriters in the Initial Offering, at a share price of $18.00 per share and a total purchase price of $29,059,380.00, and Averill Madison Master Fund purchased 285,590 shares of the Issuer's Common Stock from the underwriters in the Initial Offering, at a share price $18.00 per share and total purchase price of $5,140,620.00. Such purchases occurred pursuant to and on the terms set forth in the Issuer's Prospectus filed pursuant to Rule 424(b)(4) on April 30, 2026 with the SEC (File No. 333-294932) (the "Final Prospectus"). Open Market Purchases On April 30, 2026, Averill Master Fund purchased an additional 68,160 shares of Common Stock in the open market following the Initial Offering, for which it paid an aggregate total of $1,817,469.14, including brokerage commissions, and Averill Madison Master Fund also purchased an additional 12,031 shares of Common Stock in the open market following the Initial Offering, for which it paid an aggregate total of $320,801.81, including brokerage commissions. During May 2026, Averill Master Fund purchased an additional 700 shares of Common Stock in the open market following the Initial Offering, for which it paid an aggregate total of $19,271.00, including brokerage commissions, and Averill Madison Master Fund also purchased an additional 100 shares of Common Stock in the open market following the Initial Offering, for which it paid an aggregate total of $2,753.00, including brokerage commissions. Source of Funds The total amount of funds used by the Funds to purchase the securities of the Issuer described in this Item 3 was furnished from the working capital of the Funds. The transactions in Common Stock described in this Item 3 are set forth in detail in Schedule II.</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disclosure in Item 3 above is incorporated herein by reference. The Funds hold securities of the Issuer for investment purposes. The Reporting Persons or their affiliates may purchase additional securities or dispose of securities in varying amounts and at varying times depending upon the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the attitudes and actions of the board of directors of the Issuer (the "Board") and management of the Issuer, and the availability and nature of opportunities to dispose of securities of the Issuer. The Reporting Persons may discuss items of mutual interest with the Issuer's management, other members of the Board and other investors, which could include items in subparagraphs (a) through (j) of Item 4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(by means of open market purchases, privately negotiated purchases, or otherwise) or to dispose of some or all of the securities of the Issuer under their control. In April 2025, David Friedman, M.D., was appointed to the Board. Dr. Friedman serves as a Managing Director and Senior Analyst at Suvretta Capital. Dr. Friedman, in his capacity as a director of the Issuer, may have influence over the corporate activities of the Issuer, including activities which may relate to items described in subparagraphs (a) through (j) of Item 4 of Schedule 13D. Except as otherwise disclosed herein, at the present time, the Reporting Persons do not have any plans or proposals with respect to any extraordinary corporate transaction involving the Issuer including, without limitation, those matters described in subparagraphs (a) through (j) of Item 4 of Schedule 13D.</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13D is incorporated by reference into this Item 5. Mr. Cowen is the control person and managing member of Suvretta Capital and may be deemed to control the other Reporting Persons. Mr. Cowen disclaims beneficial ownership of all shares of Common Stock held by the Funds,</w:t>
      </w:r>
    </w:p>
    <w:p>
      <w:pPr>
        <w:spacing w:after="0" w:line="1" w:lineRule="exact"/>
        <w:rPr>
          <w:sz w:val="20"/>
          <w:szCs w:val="20"/>
          <w:color w:val="auto"/>
        </w:rPr>
      </w:pPr>
    </w:p>
    <w:p>
      <w:pPr>
        <w:ind w:left="920" w:right="10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to the extent of any pecuniary interest therein. Neither the filing of this Schedule 13D nor any of its contents shall be deemed to constitute an admission that any Reporting Person or any of its affiliates is the beneficial owner of any shares of Common Stock for purposes of Section 13(d) of the Securities Exchange Act of 1934, as amended, or for any other purpose.</w:t>
      </w:r>
    </w:p>
    <w:p>
      <w:pPr>
        <w:spacing w:after="0" w:line="15" w:lineRule="exact"/>
        <w:rPr>
          <w:rFonts w:ascii="Times New Roman" w:cs="Times New Roman" w:eastAsia="Times New Roman" w:hAnsi="Times New Roman"/>
          <w:sz w:val="22"/>
          <w:szCs w:val="22"/>
          <w:color w:val="auto"/>
        </w:rPr>
      </w:pPr>
    </w:p>
    <w:p>
      <w:pPr>
        <w:ind w:left="920" w:right="20" w:hanging="912"/>
        <w:spacing w:after="0" w:line="267"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pages to this Schedule 13D is incorporated by reference into this Item 5. The information disclosed in Item 3 and on Schedule II is incorporated by reference into this Item 5. Except as disclosed in Item 3 above and in this Item 5(c), the Reporting Persons and, to their knowledge, the Scheduled Persons</w:t>
      </w:r>
    </w:p>
    <w:p>
      <w:pPr>
        <w:spacing w:after="0" w:line="1" w:lineRule="exact"/>
        <w:rPr>
          <w:rFonts w:ascii="Times New Roman" w:cs="Times New Roman" w:eastAsia="Times New Roman" w:hAnsi="Times New Roman"/>
          <w:sz w:val="21"/>
          <w:szCs w:val="21"/>
          <w:color w:val="auto"/>
        </w:rPr>
      </w:pPr>
    </w:p>
    <w:p>
      <w:pPr>
        <w:ind w:left="920" w:right="20" w:hanging="912"/>
        <w:spacing w:after="0" w:line="249"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not effected any transactions in Common Stock during the past sixty days. Schedule II sets forth the transactions in Common Stock that were effected by the Reporting Persons during the past sixty days. The transactions in Common Stock described on Schedule II were effected on securities exchanges unless otherwise indicated therein.</w:t>
      </w:r>
    </w:p>
    <w:p>
      <w:pPr>
        <w:spacing w:after="0" w:line="7"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Investors' Rights Agreement In connection with the issuance of the Series D Preferred Stock, on April 25, 2026, the Issuer entered into an Amended and Restated Investors' Rights Agreement (the "Investors' Rights Agreement") with certain holders of the Issuer's capital stock (the "Investors"), including the purchasers of the Issuer's Series D Preferred Stock and other specified stockholders named therein, including the Funds, pursuant to which the Issuer granted certain registration rights in respect of (i) the Common Stock issuable or issued upon conversion of the Issuer's preferred stock, excluding shares of Common Stock issued upon conversion of the Issuer's preferred stock pursuant to the special mandatory conversion provision of the Company's amended and restated certificate of incorporation, (ii) any Common Stock, or any Common Stock issued or issuable (directly or indirectly) upon conversion and/or exercise of any other securities of the Issuer, acquired by the Investors after the date of the Investors' Rights Agreement, excluding shares of Common Stock issued upon conversion of the Issuer's preferred stock pursuant to the special mandatory conversion provision of the Company's amended and restated certificate of incorporation, and (iii) any Common Stock issued as (or issuable upon the conversion or exercise of any warrant,</w:t>
      </w:r>
    </w:p>
    <w:p>
      <w:pPr>
        <w:sectPr>
          <w:pgSz w:w="11900" w:h="16933" w:orient="portrait"/>
          <w:cols w:equalWidth="0" w:num="1">
            <w:col w:w="11120"/>
          </w:cols>
          <w:pgMar w:left="360" w:top="111" w:right="419" w:bottom="0" w:gutter="0" w:footer="0" w:header="0"/>
        </w:sectPr>
      </w:pPr>
    </w:p>
    <w:bookmarkStart w:id="6" w:name="page7"/>
    <w:bookmarkEnd w:id="6"/>
    <w:p>
      <w:pPr>
        <w:ind w:left="920" w:right="20"/>
        <w:spacing w:after="0" w:line="242" w:lineRule="auto"/>
        <w:rPr>
          <w:sz w:val="20"/>
          <w:szCs w:val="20"/>
          <w:color w:val="auto"/>
        </w:rPr>
      </w:pPr>
      <w:r>
        <w:rPr>
          <w:rFonts w:ascii="Times New Roman" w:cs="Times New Roman" w:eastAsia="Times New Roman" w:hAnsi="Times New Roman"/>
          <w:sz w:val="21"/>
          <w:szCs w:val="21"/>
          <w:color w:val="auto"/>
        </w:rPr>
        <w:t>right, or other security that is issued as) a dividend or other distribution with respect to, or in exchange for or in replacement of, the shares referenced in clauses (i) and (ii) (the "Registrable Securities"). Under the Investors' Rights Agreement, at any time beginning 180 days after April 29, 2026, the Issuer has agreed to file a Form S-1 registration statement under the Securities Act of 1933, as amended, and the rules and regulations promulgated thereunder (the "Securities Act"), covering all Registrable Securities requested to be included in such registration by any Investors owning Registrable Securities, within 60 days after a request by the holders of at least 25% of the Registrable Securities then outstanding, if the Registrable Securities requested to be registered have an anticipated aggregate offering price of at least $5 million, net of any underwriting discounts, selling commissions and other related expenses, subject to specified conditions and limitations. If the Issuer is qualified to file a registration statement on Form S-3, the Issuer has agreed to file a Form S-3 registration statement under the Securities Act covering all Registrable Securities requested to be included in such registration by any Investors owning Registrable Securities, within 45 days after a request by the holders of at least 15% of the Registrable Securities then outstanding, if the Registrable Securities requested to be registered have an anticipated aggregate offering price of at least $5 million, net of any underwriting discounts, selling commissions and other related expenses. In the event that the Issuer proposes to register any of its securities under the Securities Act, either for its own account or for the account of other security holders, the Issuer has agreed to cause to be registered all of the Registrable Securities that each such holder has requested to be included in such registration, subject to certain marketing and other limitations. Whenever required under the Investors' Rights Agreement to effect the registration of any Registrable Securities, the Issuer must use its commercially reasonable efforts to cause such registration statement to become effective as expeditiously as reasonably possible. Lock-Up Agreement Prior to the closing of the Initial Offering, Averill Master Fund and Averill Madison Master Fund entered into a letter agreement with Morgan Stanley &amp; Co. LLC, Jefferies LLC, Evercore L.L.C., and Guggenheim Securities, LLC, as representatives of the underwriters (the "Lock-Up Agreement"). Pursuant to the Lock-Up Agreement, each of Averill Master Fund and Averill Madison Master Fund agreed to certain restrictions on transfer of shares of Common Stock or other securities convertible into or exercisable or exchangeable for Common Stock ending on the 180th day after April 29, 2026. The restrictions on transfer set forth in the Lock-Up Agreement are subject to customary exceptions. The foregoing descriptions of the material terms of the Investors' Rights Agreement and the Lock-Up Agreement are each qualified in their entirety by reference to those documents, each of which is referenced in Exhibits 2 and 3 hereto, respectively, and is incorporated by reference herein. The information disclosed in Items 3, 4 and 5 is incorporated by reference into this Item 6.</w:t>
      </w:r>
    </w:p>
    <w:p>
      <w:pPr>
        <w:spacing w:after="0" w:line="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36" w:lineRule="auto"/>
        <w:rPr>
          <w:sz w:val="20"/>
          <w:szCs w:val="20"/>
          <w:color w:val="auto"/>
        </w:rPr>
      </w:pPr>
      <w:r>
        <w:rPr>
          <w:rFonts w:ascii="Times New Roman" w:cs="Times New Roman" w:eastAsia="Times New Roman" w:hAnsi="Times New Roman"/>
          <w:sz w:val="22"/>
          <w:szCs w:val="22"/>
          <w:color w:val="auto"/>
        </w:rPr>
        <w:t>1 Joint Filing Agreement. 2* Amended and Restated Investors' Rights Agreement, dated April 25, 2025, by and among the Issuer, each of the investors listed on Schedule A thereto and each of the Company's stockholders listed on Schedule B thereto. 3 Lock-Up Agreement by and among Averill Master Fund, Averill Madison Master Fund, Morgan Stanley &amp; Co. LLC, Jefferies LLC, Evercore Group L.L.C. and Guggenheim Securities, LLC. *Incorporated by reference from Exhibit 4.2 of the Issuer's Registration Statement on Form S-1 filed with the Securities and Exchange Commission on April 8, 2026.</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General Counsel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Averill Madison Master Fund, Ltd.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ectPr>
          <w:pgSz w:w="11900" w:h="16838" w:orient="portrait"/>
          <w:cols w:equalWidth="0" w:num="1">
            <w:col w:w="11140"/>
          </w:cols>
          <w:pgMar w:left="360" w:top="111" w:right="399" w:bottom="127"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as promulgated under the Securities Exchange Act of 1934, as amended, the persons named below agree to the joint filing on behalf of each of them a Statement on Schedule 13D (including amendments thereto) with regard to the voting common stock, $0.001 par value per share of Avalyn Pharma Inc. and further agree that this Joint Filing Agreement be included as an Exhibit to such joint filings. In evidence thereof, the undersigned, being duly authorized, hereby execute this Joint Filing Agreement as of May 8,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Nathanson</w:t>
            </w:r>
          </w:p>
        </w:tc>
      </w:tr>
      <w:tr>
        <w:trPr>
          <w:trHeight w:val="198"/>
        </w:trPr>
        <w:tc>
          <w:tcPr>
            <w:tcW w:w="44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970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Andrew Nathanson</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1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AVERILL MADISON MASTER FUND, LTD.</w:t>
            </w:r>
          </w:p>
        </w:tc>
      </w:tr>
      <w:tr>
        <w:trPr>
          <w:trHeight w:val="87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Nathanson</w:t>
            </w:r>
          </w:p>
        </w:tc>
      </w:tr>
      <w:tr>
        <w:trPr>
          <w:trHeight w:val="198"/>
        </w:trPr>
        <w:tc>
          <w:tcPr>
            <w:tcW w:w="44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970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Andrew Nathanson</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1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r>
      <w:tr>
        <w:trPr>
          <w:trHeight w:val="65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Nathanson</w:t>
            </w:r>
          </w:p>
        </w:tc>
      </w:tr>
      <w:tr>
        <w:trPr>
          <w:trHeight w:val="198"/>
        </w:trPr>
        <w:tc>
          <w:tcPr>
            <w:tcW w:w="44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970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Andrew Nathanson</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bl>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637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Aaron Cowen</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Exhibit 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LOCK-UP AGREEMENT</w:t>
      </w:r>
    </w:p>
    <w:p>
      <w:pPr>
        <w:spacing w:after="0" w:line="200" w:lineRule="exact"/>
        <w:rPr>
          <w:sz w:val="20"/>
          <w:szCs w:val="20"/>
          <w:color w:val="auto"/>
        </w:rPr>
      </w:pPr>
    </w:p>
    <w:p>
      <w:pPr>
        <w:spacing w:after="0" w:line="22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21"/>
          <w:szCs w:val="21"/>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230" w:lineRule="auto"/>
        <w:rPr>
          <w:sz w:val="20"/>
          <w:szCs w:val="20"/>
          <w:color w:val="auto"/>
        </w:rPr>
      </w:pPr>
      <w:r>
        <w:rPr>
          <w:rFonts w:ascii="Times New Roman" w:cs="Times New Roman" w:eastAsia="Times New Roman" w:hAnsi="Times New Roman"/>
          <w:sz w:val="22"/>
          <w:szCs w:val="22"/>
          <w:color w:val="auto"/>
        </w:rPr>
        <w:t>Evercore Group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Guggenheim Securities, LLC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Morgan Stanley &amp; Co. LLC</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1585 Broadway</w:t>
      </w:r>
    </w:p>
    <w:p>
      <w:pPr>
        <w:ind w:left="34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Jefferies LLC</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520 Madison Avenue</w:t>
      </w:r>
    </w:p>
    <w:p>
      <w:pPr>
        <w:ind w:left="3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Evercore Group L.L.C.</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55 East 52nd Street, 35th Floor</w:t>
      </w:r>
    </w:p>
    <w:p>
      <w:pPr>
        <w:ind w:left="340"/>
        <w:spacing w:after="0"/>
        <w:rPr>
          <w:sz w:val="20"/>
          <w:szCs w:val="20"/>
          <w:color w:val="auto"/>
        </w:rPr>
      </w:pPr>
      <w:r>
        <w:rPr>
          <w:rFonts w:ascii="Times New Roman" w:cs="Times New Roman" w:eastAsia="Times New Roman" w:hAnsi="Times New Roman"/>
          <w:sz w:val="22"/>
          <w:szCs w:val="22"/>
          <w:color w:val="auto"/>
        </w:rPr>
        <w:t>New York, NY 10055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Guggenheim Securities, LLC</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330 Madison Avenue</w:t>
      </w:r>
    </w:p>
    <w:p>
      <w:pPr>
        <w:ind w:left="3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undersigned understands that Morgan Stanley &amp; Co. LLC, Jefferies LLC, Evercore Group L.L.C. and Guggenheim Securities, LLC (together, the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propose to enter into an Underwriting Agreement (the “</w:t>
      </w:r>
      <w:r>
        <w:rPr>
          <w:rFonts w:ascii="Times New Roman" w:cs="Times New Roman" w:eastAsia="Times New Roman" w:hAnsi="Times New Roman"/>
          <w:sz w:val="22"/>
          <w:szCs w:val="22"/>
          <w:b w:val="1"/>
          <w:bCs w:val="1"/>
          <w:color w:val="auto"/>
        </w:rPr>
        <w:t>Underwriting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Avalyn Pharma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providing for the public offering (the “</w:t>
      </w:r>
      <w:r>
        <w:rPr>
          <w:rFonts w:ascii="Times New Roman" w:cs="Times New Roman" w:eastAsia="Times New Roman" w:hAnsi="Times New Roman"/>
          <w:sz w:val="22"/>
          <w:szCs w:val="22"/>
          <w:b w:val="1"/>
          <w:bCs w:val="1"/>
          <w:color w:val="auto"/>
        </w:rPr>
        <w:t>Public Offering</w:t>
      </w:r>
      <w:r>
        <w:rPr>
          <w:rFonts w:ascii="Times New Roman" w:cs="Times New Roman" w:eastAsia="Times New Roman" w:hAnsi="Times New Roman"/>
          <w:sz w:val="22"/>
          <w:szCs w:val="22"/>
          <w:color w:val="auto"/>
        </w:rPr>
        <w:t>”) by the several Underwriters, including the Representatives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of [•] shares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common stock, par value $0.001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right="120" w:firstLine="648"/>
        <w:spacing w:after="0" w:line="187" w:lineRule="auto"/>
        <w:rPr>
          <w:sz w:val="20"/>
          <w:szCs w:val="20"/>
          <w:color w:val="auto"/>
        </w:rPr>
      </w:pPr>
      <w:r>
        <w:rPr>
          <w:rFonts w:ascii="Times New Roman" w:cs="Times New Roman" w:eastAsia="Times New Roman" w:hAnsi="Times New Roman"/>
          <w:sz w:val="21"/>
          <w:szCs w:val="21"/>
          <w:color w:val="auto"/>
        </w:rPr>
        <w:t>To induce the Underwriters that may participate in the Public Offering to continue their efforts in connection with the Public Offering, the undersigned hereby agrees that, without the prior written consent of Morgan Stanley &amp; Co. LLC, Jefferies LLC and Evercore Group L.L.C., on behalf of the Underwriters, it will not, and will not publicly disclose an intention to, during the period commencing on the date hereof and ending immediately after the close of the Trading Day on the 180</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after the date of the final prospectus (the “</w:t>
      </w:r>
      <w:r>
        <w:rPr>
          <w:rFonts w:ascii="Times New Roman" w:cs="Times New Roman" w:eastAsia="Times New Roman" w:hAnsi="Times New Roman"/>
          <w:sz w:val="21"/>
          <w:szCs w:val="21"/>
          <w:b w:val="1"/>
          <w:bCs w:val="1"/>
          <w:color w:val="auto"/>
        </w:rPr>
        <w:t>180</w:t>
      </w:r>
      <w:r>
        <w:rPr>
          <w:rFonts w:ascii="Times New Roman" w:cs="Times New Roman" w:eastAsia="Times New Roman" w:hAnsi="Times New Roman"/>
          <w:sz w:val="34"/>
          <w:szCs w:val="34"/>
          <w:b w:val="1"/>
          <w:bCs w:val="1"/>
          <w:color w:val="auto"/>
          <w:vertAlign w:val="superscript"/>
        </w:rPr>
        <w:t>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Day</w:t>
      </w:r>
      <w:r>
        <w:rPr>
          <w:rFonts w:ascii="Times New Roman" w:cs="Times New Roman" w:eastAsia="Times New Roman" w:hAnsi="Times New Roman"/>
          <w:sz w:val="21"/>
          <w:szCs w:val="21"/>
          <w:color w:val="auto"/>
        </w:rPr>
        <w:t>”) or, if the 180th Day is not a Trading Day, immediately after the close of the last Trading Day immediately preceding the 180</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relating to the Public Offering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firstLine="8"/>
        <w:spacing w:after="0" w:line="231"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by the undersigned or any other securities so owned convertible into or exercisable or exchangeable for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22"/>
          <w:szCs w:val="22"/>
          <w:color w:val="auto"/>
        </w:rPr>
        <w:t>The foregoing paragraph shall not apply to:</w:t>
      </w:r>
    </w:p>
    <w:p>
      <w:pPr>
        <w:spacing w:after="0" w:line="206" w:lineRule="exact"/>
        <w:rPr>
          <w:sz w:val="20"/>
          <w:szCs w:val="20"/>
          <w:color w:val="auto"/>
        </w:rPr>
      </w:pPr>
    </w:p>
    <w:p>
      <w:pPr>
        <w:jc w:val="both"/>
        <w:ind w:left="-656" w:right="100" w:firstLine="656"/>
        <w:spacing w:after="0" w:line="239" w:lineRule="auto"/>
        <w:tabs>
          <w:tab w:leader="none" w:pos="2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filing under Section 16(a) of the Exchange Act shall be required or shall be voluntarily made in connection with subsequent sales of Common Stock or other securities acquired in the Public Offering or such open market transactions,</w:t>
      </w:r>
    </w:p>
    <w:p>
      <w:pPr>
        <w:spacing w:after="0" w:line="180" w:lineRule="exact"/>
        <w:rPr>
          <w:rFonts w:ascii="Times New Roman" w:cs="Times New Roman" w:eastAsia="Times New Roman" w:hAnsi="Times New Roman"/>
          <w:sz w:val="22"/>
          <w:szCs w:val="22"/>
          <w:color w:val="auto"/>
        </w:rPr>
      </w:pPr>
    </w:p>
    <w:p>
      <w:pPr>
        <w:ind w:left="-656" w:right="80" w:firstLine="656"/>
        <w:spacing w:after="0" w:line="258" w:lineRule="auto"/>
        <w:tabs>
          <w:tab w:leader="none" w:pos="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shares of Common Stock or any security convertible into or exercisable for Common Stock as a bona fide gift or to a charitable organization or educational institution in a transfer not involving a disposition for value;</w:t>
      </w:r>
    </w:p>
    <w:p>
      <w:pPr>
        <w:spacing w:after="0" w:line="158" w:lineRule="exact"/>
        <w:rPr>
          <w:rFonts w:ascii="Times New Roman" w:cs="Times New Roman" w:eastAsia="Times New Roman" w:hAnsi="Times New Roman"/>
          <w:sz w:val="22"/>
          <w:szCs w:val="22"/>
          <w:color w:val="auto"/>
        </w:rPr>
      </w:pPr>
    </w:p>
    <w:p>
      <w:pPr>
        <w:ind w:left="-656" w:right="40" w:firstLine="656"/>
        <w:spacing w:after="0" w:line="244" w:lineRule="auto"/>
        <w:tabs>
          <w:tab w:leader="none" w:pos="2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73" w:lineRule="exact"/>
        <w:rPr>
          <w:rFonts w:ascii="Times New Roman" w:cs="Times New Roman" w:eastAsia="Times New Roman" w:hAnsi="Times New Roman"/>
          <w:sz w:val="22"/>
          <w:szCs w:val="22"/>
          <w:color w:val="auto"/>
        </w:rPr>
      </w:pPr>
    </w:p>
    <w:p>
      <w:pPr>
        <w:ind w:left="-656" w:right="360" w:firstLine="656"/>
        <w:spacing w:after="0" w:line="239" w:lineRule="auto"/>
        <w:tabs>
          <w:tab w:leader="none" w:pos="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of shares of Common Stock or any security convertible into Common Stock to limited partners, members, beneficiaries or other equity holders or stockholders of the undersigned its direct or indirect affiliates (as defined in Rule 405 promulgated under the Securities Act of 1933, as amended) or to an investment fund or other entity that controls or manages, or is under common control with, the undersigned</w:t>
      </w:r>
      <w:r>
        <w:rPr>
          <w:rFonts w:ascii="Times New Roman" w:cs="Times New Roman" w:eastAsia="Times New Roman" w:hAnsi="Times New Roman"/>
          <w:sz w:val="17"/>
          <w:szCs w:val="17"/>
          <w:color w:val="auto"/>
        </w:rPr>
        <w:t>;</w:t>
      </w:r>
    </w:p>
    <w:p>
      <w:pPr>
        <w:spacing w:after="0" w:line="180" w:lineRule="exact"/>
        <w:rPr>
          <w:rFonts w:ascii="Times New Roman" w:cs="Times New Roman" w:eastAsia="Times New Roman" w:hAnsi="Times New Roman"/>
          <w:sz w:val="22"/>
          <w:szCs w:val="22"/>
          <w:color w:val="auto"/>
        </w:rPr>
      </w:pPr>
    </w:p>
    <w:p>
      <w:pPr>
        <w:ind w:left="-656" w:firstLine="656"/>
        <w:spacing w:after="0" w:line="238" w:lineRule="auto"/>
        <w:tabs>
          <w:tab w:leader="none" w:pos="2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w:t>
      </w:r>
    </w:p>
    <w:p>
      <w:pPr>
        <w:spacing w:after="0" w:line="176" w:lineRule="exact"/>
        <w:rPr>
          <w:rFonts w:ascii="Times New Roman" w:cs="Times New Roman" w:eastAsia="Times New Roman" w:hAnsi="Times New Roman"/>
          <w:sz w:val="22"/>
          <w:szCs w:val="22"/>
          <w:color w:val="auto"/>
        </w:rPr>
      </w:pPr>
    </w:p>
    <w:p>
      <w:pPr>
        <w:ind w:left="-656" w:right="40" w:firstLine="656"/>
        <w:spacing w:after="0" w:line="233" w:lineRule="auto"/>
        <w:tabs>
          <w:tab w:leader="none" w:pos="26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or announcement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04" w:right="359" w:bottom="1440" w:gutter="0" w:footer="0" w:header="0"/>
        </w:sectPr>
      </w:pPr>
    </w:p>
    <w:bookmarkStart w:id="10" w:name="page11"/>
    <w:bookmarkEnd w:id="10"/>
    <w:p>
      <w:pPr>
        <w:ind w:firstLine="656"/>
        <w:spacing w:after="0" w:line="233" w:lineRule="auto"/>
        <w:tabs>
          <w:tab w:leader="none" w:pos="9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In addition, the undersigned agrees that, without the prior written consent of Morgan Stanley &amp; Co. LLC, Jefferies LLC and Evercore Group L.L.C.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or</w:t>
      </w:r>
    </w:p>
    <w:p>
      <w:pPr>
        <w:spacing w:after="0" w:line="187" w:lineRule="exact"/>
        <w:rPr>
          <w:rFonts w:ascii="Times New Roman" w:cs="Times New Roman" w:eastAsia="Times New Roman" w:hAnsi="Times New Roman"/>
          <w:sz w:val="22"/>
          <w:szCs w:val="22"/>
          <w:color w:val="auto"/>
        </w:rPr>
      </w:pPr>
    </w:p>
    <w:p>
      <w:pPr>
        <w:ind w:right="20" w:firstLine="656"/>
        <w:spacing w:after="0" w:line="234" w:lineRule="auto"/>
        <w:tabs>
          <w:tab w:leader="none" w:pos="9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75% of the total voting power of the voting stock of the Company; provided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w:t>
      </w:r>
    </w:p>
    <w:p>
      <w:pPr>
        <w:spacing w:after="0" w:line="179" w:lineRule="exact"/>
        <w:rPr>
          <w:sz w:val="20"/>
          <w:szCs w:val="20"/>
          <w:color w:val="auto"/>
        </w:rPr>
      </w:pPr>
    </w:p>
    <w:p>
      <w:pPr>
        <w:ind w:right="180" w:firstLine="648"/>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the case of any transfer or distribution pursuant to clause (b), (c), (d) or (e), (i) each donee or distributee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sign and deliver a lock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agreement substantially in the form of this agreement and (ii) any Form 4 or Form 5 required to be filed under the Exchange Act if the undersigned is subject to Section 16 reporting with respect to the Company under the Exchange Act, will indicate by footnote disclosure or otherwise the nature of the transfer or disposition).</w:t>
      </w:r>
    </w:p>
    <w:p>
      <w:pPr>
        <w:spacing w:after="0" w:line="17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For purposes of this agreement, “immediate family” shall mean any relationship by blood, marriage, domestic partnership or adoption, not more remote than first cousin. For purposes of this agreement, a “Trading Day” is a day on which the Nasdaq Global Market is open for the buying and selling of securities.</w:t>
      </w:r>
    </w:p>
    <w:p>
      <w:pPr>
        <w:spacing w:after="0" w:line="1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If the undersigned is an officer or director of the Company, the undersigned further agrees that the foregoing restrictions shall be equally applicable to any issuer-directed Shares the undersigned may purchase in the offering.</w:t>
      </w:r>
    </w:p>
    <w:p>
      <w:pPr>
        <w:spacing w:after="0" w:line="15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1"/>
          <w:szCs w:val="21"/>
          <w:color w:val="auto"/>
        </w:rPr>
        <w:t>If the undersigned is an officer or director of the Company, (i) Morgan Stanley &amp; Co. LLC, Jefferies LLC and Evercore Group L.L.C. agree that, at least three business days before the effective date of any release or waiver of the foregoing restrictions in connection with a transfer of shares of Common Stock, Morgan Stanley &amp; Co. LLC, Jefferies LLC and Evercore Group L.L.C.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&amp; Co. LLC, Jefferies LLC and Evercore Group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1" w:name="page12"/>
    <w:bookmarkEnd w:id="11"/>
    <w:p>
      <w:pPr>
        <w:ind w:firstLine="648"/>
        <w:spacing w:after="0" w:line="244" w:lineRule="auto"/>
        <w:rPr>
          <w:sz w:val="20"/>
          <w:szCs w:val="20"/>
          <w:color w:val="auto"/>
        </w:rPr>
      </w:pPr>
      <w:r>
        <w:rPr>
          <w:rFonts w:ascii="Times New Roman" w:cs="Times New Roman" w:eastAsia="Times New Roman" w:hAnsi="Times New Roman"/>
          <w:sz w:val="22"/>
          <w:szCs w:val="22"/>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3"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7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7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This agreement may be delivered via facsimile, electronic mail (including any electronic signature complying with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or (iv) the Underwriting Agreement is not executed on or before June 30, 2026, then, in each case, this agreement shall automatically, and without any action on the part of any other party, be of no further force and effect, and the undersigned shall be automatically released from all obligations under this agreement.</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w:t>
      </w: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2" w:name="page13"/>
    <w:bookmarkEnd w:id="12"/>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AVERILL MASTER FUND, LTD.</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2804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041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Andrew Nathanson</w:t>
      </w:r>
    </w:p>
    <w:p>
      <w:pPr>
        <w:ind w:left="45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AVERILL MADISON MASTER FUND, LTD.</w:t>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2838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Andrew Nathanson</w:t>
      </w:r>
    </w:p>
    <w:p>
      <w:pPr>
        <w:ind w:left="450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99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the name, business address, and present principal occupation of each of the executive officers and directors of each of the Funds and Suvretta Capital. Sherri Fleming is a citizen of Canada. Each other such person is a citizen of the United States.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Averill Master Fund, Ltd.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Present Business Address</w:t>
            </w:r>
          </w:p>
        </w:tc>
        <w:tc>
          <w:tcPr>
            <w:tcW w:w="5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Principal Occupation</w:t>
            </w:r>
          </w:p>
        </w:tc>
      </w:tr>
      <w:tr>
        <w:trPr>
          <w:trHeight w:val="223"/>
        </w:trPr>
        <w:tc>
          <w:tcPr>
            <w:tcW w:w="1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Sherri Fleming</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Maples Fiduciary Services (Cayman) Limited</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Vice President of Maples Fiduciary Services (Cayman) Limited</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PO Box 309</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5840" w:type="dxa"/>
            <w:vAlign w:val="bottom"/>
            <w:tcBorders>
              <w:bottom w:val="single" w:sz="8" w:color="auto"/>
              <w:right w:val="single" w:sz="8" w:color="auto"/>
            </w:tcBorders>
          </w:tcPr>
          <w:p>
            <w:pPr>
              <w:spacing w:after="0"/>
              <w:rPr>
                <w:sz w:val="20"/>
                <w:szCs w:val="20"/>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Shaw</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Maples Fiduciary Services (Cayman) Limited</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Senior Vice President of Maples Fiduciary Services (Cayman) Limited</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PO Box 309</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5840" w:type="dxa"/>
            <w:vAlign w:val="bottom"/>
            <w:tcBorders>
              <w:bottom w:val="single" w:sz="8" w:color="auto"/>
              <w:right w:val="single" w:sz="8" w:color="auto"/>
            </w:tcBorders>
          </w:tcPr>
          <w:p>
            <w:pPr>
              <w:spacing w:after="0"/>
              <w:rPr>
                <w:sz w:val="20"/>
                <w:szCs w:val="20"/>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Aaron Cowen</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 Suvretta Capital Management, LLC</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Managing Member, Suvretta Capital Management, LLC</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840" w:type="dxa"/>
            <w:vAlign w:val="bottom"/>
            <w:tcBorders>
              <w:bottom w:val="single" w:sz="8" w:color="auto"/>
              <w:right w:val="single" w:sz="8" w:color="auto"/>
            </w:tcBorders>
          </w:tcPr>
          <w:p>
            <w:pPr>
              <w:spacing w:after="0"/>
              <w:rPr>
                <w:sz w:val="20"/>
                <w:szCs w:val="20"/>
                <w:color w:val="auto"/>
              </w:rPr>
            </w:pPr>
          </w:p>
        </w:tc>
      </w:tr>
      <w:tr>
        <w:trPr>
          <w:trHeight w:val="60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Averill Madison Master Fund, Ltd.</w:t>
            </w:r>
          </w:p>
        </w:tc>
        <w:tc>
          <w:tcPr>
            <w:tcW w:w="5840" w:type="dxa"/>
            <w:vAlign w:val="bottom"/>
          </w:tcPr>
          <w:p>
            <w:pPr>
              <w:spacing w:after="0"/>
              <w:rPr>
                <w:sz w:val="24"/>
                <w:szCs w:val="24"/>
                <w:color w:val="auto"/>
              </w:rPr>
            </w:pPr>
          </w:p>
        </w:tc>
      </w:tr>
      <w:tr>
        <w:trPr>
          <w:trHeight w:val="28"/>
        </w:trPr>
        <w:tc>
          <w:tcPr>
            <w:tcW w:w="15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r>
        <w:trPr>
          <w:trHeight w:val="223"/>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Present Business Address</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Principal Occupation</w:t>
            </w:r>
          </w:p>
        </w:tc>
      </w:tr>
      <w:tr>
        <w:trPr>
          <w:trHeight w:val="223"/>
        </w:trPr>
        <w:tc>
          <w:tcPr>
            <w:tcW w:w="1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Sherri Fleming</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Maples Fiduciary Services (Cayman) Limited</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Vice President of Maples Fiduciary Services (Cayman) Limited</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PO Box 309</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5840" w:type="dxa"/>
            <w:vAlign w:val="bottom"/>
            <w:tcBorders>
              <w:bottom w:val="single" w:sz="8" w:color="auto"/>
              <w:right w:val="single" w:sz="8" w:color="auto"/>
            </w:tcBorders>
          </w:tcPr>
          <w:p>
            <w:pPr>
              <w:spacing w:after="0"/>
              <w:rPr>
                <w:sz w:val="20"/>
                <w:szCs w:val="20"/>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Shaw</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Maples Fiduciary Services (Cayman) Limited</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Senior Vice President of Maples Fiduciary Services (Cayman) Limited</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PO Box 309</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c>
          <w:tcPr>
            <w:tcW w:w="584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5840" w:type="dxa"/>
            <w:vAlign w:val="bottom"/>
            <w:tcBorders>
              <w:bottom w:val="single" w:sz="8" w:color="auto"/>
              <w:right w:val="single" w:sz="8" w:color="auto"/>
            </w:tcBorders>
          </w:tcPr>
          <w:p>
            <w:pPr>
              <w:spacing w:after="0"/>
              <w:rPr>
                <w:sz w:val="20"/>
                <w:szCs w:val="20"/>
                <w:color w:val="auto"/>
              </w:rPr>
            </w:pPr>
          </w:p>
        </w:tc>
      </w:tr>
      <w:tr>
        <w:trPr>
          <w:trHeight w:val="198"/>
        </w:trPr>
        <w:tc>
          <w:tcPr>
            <w:tcW w:w="150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Kishan Mehta</w:t>
            </w:r>
          </w:p>
        </w:tc>
        <w:tc>
          <w:tcPr>
            <w:tcW w:w="390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 Suvretta Capital Management, LLC</w:t>
            </w:r>
          </w:p>
        </w:tc>
        <w:tc>
          <w:tcPr>
            <w:tcW w:w="58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Portfolio Manager, Suvretta Capital Management, LLC</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584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8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Suvretta Capital Management, LLC</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Business Address</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Principal Occupation</w:t>
            </w:r>
          </w:p>
        </w:tc>
      </w:tr>
      <w:tr>
        <w:trPr>
          <w:trHeight w:val="223"/>
        </w:trPr>
        <w:tc>
          <w:tcPr>
            <w:tcW w:w="1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4240" w:type="dxa"/>
            <w:vAlign w:val="bottom"/>
            <w:tcBorders>
              <w:bottom w:val="single" w:sz="8" w:color="auto"/>
            </w:tcBorders>
          </w:tcPr>
          <w:p>
            <w:pPr>
              <w:spacing w:after="0"/>
              <w:rPr>
                <w:sz w:val="19"/>
                <w:szCs w:val="19"/>
                <w:color w:val="auto"/>
              </w:rPr>
            </w:pPr>
          </w:p>
        </w:tc>
        <w:tc>
          <w:tcPr>
            <w:tcW w:w="542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Aaron Cowen</w:t>
            </w:r>
          </w:p>
        </w:tc>
        <w:tc>
          <w:tcPr>
            <w:tcW w:w="42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 Suvretta Capital Management, LLC</w:t>
            </w:r>
          </w:p>
        </w:tc>
        <w:tc>
          <w:tcPr>
            <w:tcW w:w="54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Managing Member</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5420" w:type="dxa"/>
            <w:vAlign w:val="bottom"/>
            <w:tcBorders>
              <w:right w:val="single" w:sz="8" w:color="auto"/>
            </w:tcBorders>
          </w:tcPr>
          <w:p>
            <w:pPr>
              <w:spacing w:after="0"/>
              <w:rPr>
                <w:sz w:val="18"/>
                <w:szCs w:val="18"/>
                <w:color w:val="auto"/>
              </w:rPr>
            </w:pPr>
          </w:p>
        </w:tc>
      </w:tr>
      <w:tr>
        <w:trPr>
          <w:trHeight w:val="241"/>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420" w:type="dxa"/>
            <w:vAlign w:val="bottom"/>
            <w:tcBorders>
              <w:bottom w:val="single" w:sz="8" w:color="auto"/>
              <w:right w:val="single" w:sz="8" w:color="auto"/>
            </w:tcBorders>
          </w:tcPr>
          <w:p>
            <w:pPr>
              <w:spacing w:after="0"/>
              <w:rPr>
                <w:sz w:val="20"/>
                <w:szCs w:val="20"/>
                <w:color w:val="auto"/>
              </w:rPr>
            </w:pPr>
          </w:p>
        </w:tc>
      </w:tr>
      <w:tr>
        <w:trPr>
          <w:trHeight w:val="198"/>
        </w:trPr>
        <w:tc>
          <w:tcPr>
            <w:tcW w:w="158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Glenn Shepard</w:t>
            </w:r>
          </w:p>
        </w:tc>
        <w:tc>
          <w:tcPr>
            <w:tcW w:w="42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 Suvretta Capital Management, LLC</w:t>
            </w:r>
          </w:p>
        </w:tc>
        <w:tc>
          <w:tcPr>
            <w:tcW w:w="54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5420" w:type="dxa"/>
            <w:vAlign w:val="bottom"/>
            <w:tcBorders>
              <w:right w:val="single" w:sz="8" w:color="auto"/>
            </w:tcBorders>
          </w:tcPr>
          <w:p>
            <w:pPr>
              <w:spacing w:after="0"/>
              <w:rPr>
                <w:sz w:val="18"/>
                <w:szCs w:val="18"/>
                <w:color w:val="auto"/>
              </w:rPr>
            </w:pPr>
          </w:p>
        </w:tc>
      </w:tr>
      <w:tr>
        <w:trPr>
          <w:trHeight w:val="241"/>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420" w:type="dxa"/>
            <w:vAlign w:val="bottom"/>
            <w:tcBorders>
              <w:bottom w:val="single" w:sz="8" w:color="auto"/>
              <w:right w:val="single" w:sz="8" w:color="auto"/>
            </w:tcBorders>
          </w:tcPr>
          <w:p>
            <w:pPr>
              <w:spacing w:after="0"/>
              <w:rPr>
                <w:sz w:val="20"/>
                <w:szCs w:val="20"/>
                <w:color w:val="auto"/>
              </w:rPr>
            </w:pPr>
          </w:p>
        </w:tc>
      </w:tr>
      <w:tr>
        <w:trPr>
          <w:trHeight w:val="198"/>
        </w:trPr>
        <w:tc>
          <w:tcPr>
            <w:tcW w:w="158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Andrew Nathanson</w:t>
            </w:r>
          </w:p>
        </w:tc>
        <w:tc>
          <w:tcPr>
            <w:tcW w:w="42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 Suvretta Capital Management, LLC</w:t>
            </w:r>
          </w:p>
        </w:tc>
        <w:tc>
          <w:tcPr>
            <w:tcW w:w="54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General Counsel and Chief Compliance Officer</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5420" w:type="dxa"/>
            <w:vAlign w:val="bottom"/>
            <w:tcBorders>
              <w:right w:val="single" w:sz="8" w:color="auto"/>
            </w:tcBorders>
          </w:tcPr>
          <w:p>
            <w:pPr>
              <w:spacing w:after="0"/>
              <w:rPr>
                <w:sz w:val="18"/>
                <w:szCs w:val="18"/>
                <w:color w:val="auto"/>
              </w:rPr>
            </w:pPr>
          </w:p>
        </w:tc>
      </w:tr>
      <w:tr>
        <w:trPr>
          <w:trHeight w:val="241"/>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4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Schedule II</w:t>
            </w: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630"/>
        </w:trPr>
        <w:tc>
          <w:tcPr>
            <w:tcW w:w="2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Transactions in Common Stock</w:t>
            </w:r>
          </w:p>
        </w:tc>
        <w:tc>
          <w:tcPr>
            <w:tcW w:w="41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(60-day period ended May 8, 2026)</w:t>
            </w:r>
          </w:p>
        </w:tc>
        <w:tc>
          <w:tcPr>
            <w:tcW w:w="4180" w:type="dxa"/>
            <w:vAlign w:val="bottom"/>
          </w:tcPr>
          <w:p>
            <w:pPr>
              <w:spacing w:after="0"/>
              <w:rPr>
                <w:sz w:val="20"/>
                <w:szCs w:val="20"/>
                <w:color w:val="auto"/>
              </w:rPr>
            </w:pPr>
          </w:p>
        </w:tc>
      </w:tr>
      <w:tr>
        <w:trPr>
          <w:trHeight w:val="64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Buy/Sell</w:t>
            </w:r>
          </w:p>
        </w:tc>
        <w:tc>
          <w:tcPr>
            <w:tcW w:w="41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Execution Type</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38,249</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26.00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Buy</w:t>
            </w: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4/30/2026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29,911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27.42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Buy</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Averill Madison Master Fund,</w:t>
            </w:r>
          </w:p>
        </w:tc>
        <w:tc>
          <w:tcPr>
            <w:tcW w:w="1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4/30/2026</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6,751</w:t>
            </w:r>
          </w:p>
        </w:tc>
        <w:tc>
          <w:tcPr>
            <w:tcW w:w="42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26.00</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Buy</w:t>
            </w:r>
          </w:p>
        </w:tc>
        <w:tc>
          <w:tcPr>
            <w:tcW w:w="4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Averill Madison Master Fund,</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4/30/2026</w:t>
            </w: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5,280</w:t>
            </w:r>
          </w:p>
        </w:tc>
        <w:tc>
          <w:tcPr>
            <w:tcW w:w="4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27.42</w:t>
            </w:r>
          </w:p>
        </w:tc>
        <w:tc>
          <w:tcPr>
            <w:tcW w:w="3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7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Buy</w:t>
            </w:r>
          </w:p>
        </w:tc>
        <w:tc>
          <w:tcPr>
            <w:tcW w:w="4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496,013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Buy</w:t>
            </w: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Acquisition upon conversion of Series D Preferred Stock</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1,614,410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18.00</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Buy</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in the Initial Offering</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27.50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Buy</w:t>
            </w: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Averill Madison Master Fund,</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26,105</w:t>
            </w:r>
          </w:p>
        </w:tc>
        <w:tc>
          <w:tcPr>
            <w:tcW w:w="420" w:type="dxa"/>
            <w:vAlign w:val="bottom"/>
          </w:tcPr>
          <w:p>
            <w:pPr>
              <w:spacing w:after="0"/>
              <w:rPr>
                <w:sz w:val="17"/>
                <w:szCs w:val="17"/>
                <w:color w:val="auto"/>
              </w:rPr>
            </w:pPr>
          </w:p>
        </w:tc>
        <w:tc>
          <w:tcPr>
            <w:tcW w:w="9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7"/>
                <w:szCs w:val="17"/>
                <w:color w:val="auto"/>
              </w:rPr>
            </w:pPr>
          </w:p>
        </w:tc>
        <w:tc>
          <w:tcPr>
            <w:tcW w:w="7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Buy</w:t>
            </w:r>
          </w:p>
        </w:tc>
        <w:tc>
          <w:tcPr>
            <w:tcW w:w="4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Acquisition upon conversion of Series D Preferred Stock</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Averill Madison Master Fund,</w:t>
            </w:r>
          </w:p>
        </w:tc>
        <w:tc>
          <w:tcPr>
            <w:tcW w:w="1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285,590</w:t>
            </w:r>
          </w:p>
        </w:tc>
        <w:tc>
          <w:tcPr>
            <w:tcW w:w="42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18.00</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Buy</w:t>
            </w:r>
          </w:p>
        </w:tc>
        <w:tc>
          <w:tcPr>
            <w:tcW w:w="4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Acquisition in the Initial Offering</w:t>
            </w: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Averill Madison Master Fund,</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5/1/2026</w:t>
            </w: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27.50</w:t>
            </w:r>
          </w:p>
        </w:tc>
        <w:tc>
          <w:tcPr>
            <w:tcW w:w="320" w:type="dxa"/>
            <w:vAlign w:val="bottom"/>
          </w:tcPr>
          <w:p>
            <w:pPr>
              <w:spacing w:after="0"/>
              <w:rPr>
                <w:sz w:val="17"/>
                <w:szCs w:val="17"/>
                <w:color w:val="auto"/>
              </w:rPr>
            </w:pPr>
          </w:p>
        </w:tc>
        <w:tc>
          <w:tcPr>
            <w:tcW w:w="7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Buy</w:t>
            </w:r>
          </w:p>
        </w:tc>
        <w:tc>
          <w:tcPr>
            <w:tcW w:w="4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440" w:hanging="432"/>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at prices ranging from $27.13 to $27.50. The Reporting Person undertakes to provide the Issuer, any security holder of the Issuer, or the staff at the Securities and Exchange Commission, upon request, the full information regarding the number of shares purchased at each separate price within the ranges set forth above.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7"/>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7"/>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2026-05-08T17:53:18Z</dcterms:created>
  <dcterms:modified xsi:type="dcterms:W3CDTF">2026-05-08T17:53:18Z</dcterms:modified>
</cp:coreProperties>
</file>