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052026_040501.xml.htm"/>
      <w:bookmarkStart w:id="1" w:name="ksform405052026_040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Novo Holdings A/S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TUBORG HAVNEVEJ 19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HELLERUP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G7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DK-2900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Avalyn Pharma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AVLN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1139"/>
        <w:gridCol w:w="441"/>
        <w:gridCol w:w="604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3,327,734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3,327,734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555,555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3,883,289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1071"/>
        <w:gridCol w:w="906"/>
        <w:gridCol w:w="801"/>
        <w:gridCol w:w="891"/>
        <w:gridCol w:w="11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Series A Preferred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18,000,000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935,466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Series B Preferred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1,986,369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103,232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Series C-1 Preferred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25,899,284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1,345,997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Series C-2 Preferred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5,587,603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290,390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Series D Preferred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12,558,081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652,649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Series A Preferred Stock, Series B Preferred Stock, Series C-1 Preferred Stock, Series C-2 Preferred Stock and Series D Preferred Stock automatically converted into voting common stock upon the closing of the Issuer's initial public offering for no additional consideration, on a 1-for-19.2417 basis, and had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Barbara Fiorini, General Counsel, Finance &amp; Operations of Novo Holdings A/S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8325" TargetMode="External"/><Relationship Id="rId5" Type="http://schemas.openxmlformats.org/officeDocument/2006/relationships/hyperlink" Target="http://www.sec.gov/cgi-bin/browse-edgar?action=getcompany&amp;CIK=0001540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711</Words>
  <Characters>3807</Characters>
  <CharactersWithSpaces>4406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