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FMR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SUMMER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Avalyn Pharma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AVLN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16"/>
        <w:spacing w:after="0"/>
        <w:rPr>
          <w:sz w:val="20"/>
          <w:szCs w:val="20"/>
          <w:color w:val="auto"/>
        </w:rPr>
      </w:pPr>
      <w:r>
        <w:rPr>
          <w:rFonts w:ascii="Times New Roman" w:cs="Times New Roman" w:eastAsia="Times New Roman" w:hAnsi="Times New Roman"/>
          <w:sz w:val="17"/>
          <w:szCs w:val="17"/>
          <w:color w:val="0000FF"/>
        </w:rPr>
        <w:t>See Remark 1</w:t>
      </w:r>
    </w:p>
    <w:p>
      <w:pPr>
        <w:spacing w:after="0" w:line="276"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6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02210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9"/>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05/01/2026</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w w:val="97"/>
              </w:rPr>
              <w:t>727,585</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727,585</w:t>
            </w:r>
          </w:p>
        </w:tc>
        <w:tc>
          <w:tcPr>
            <w:tcW w:w="36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LP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05/01/2026</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w w:val="98"/>
              </w:rPr>
              <w:t>80,291</w:t>
            </w:r>
          </w:p>
        </w:tc>
        <w:tc>
          <w:tcPr>
            <w:tcW w:w="60" w:type="dxa"/>
            <w:vAlign w:val="bottom"/>
          </w:tcPr>
          <w:p>
            <w:pPr>
              <w:spacing w:after="0"/>
              <w:rPr>
                <w:sz w:val="17"/>
                <w:szCs w:val="17"/>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807,876</w:t>
            </w:r>
          </w:p>
        </w:tc>
        <w:tc>
          <w:tcPr>
            <w:tcW w:w="36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LP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05/01/2026</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w w:val="97"/>
              </w:rPr>
              <w:t>872,868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1,680,744</w:t>
            </w:r>
          </w:p>
        </w:tc>
        <w:tc>
          <w:tcPr>
            <w:tcW w:w="36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LP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05/01/2026</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w w:val="97"/>
              </w:rPr>
              <w:t>225,843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1,906,587</w:t>
            </w:r>
          </w:p>
        </w:tc>
        <w:tc>
          <w:tcPr>
            <w:tcW w:w="36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LP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05/01/2026</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w w:val="97"/>
              </w:rPr>
              <w:t>377,948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2,284,535</w:t>
            </w:r>
          </w:p>
        </w:tc>
        <w:tc>
          <w:tcPr>
            <w:tcW w:w="36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LP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F-Prime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A</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727,585</w:t>
            </w:r>
          </w:p>
        </w:tc>
        <w:tc>
          <w:tcPr>
            <w:tcW w:w="20" w:type="dxa"/>
            <w:vAlign w:val="bottom"/>
          </w:tcPr>
          <w:p>
            <w:pPr>
              <w:spacing w:after="0"/>
              <w:rPr>
                <w:sz w:val="12"/>
                <w:szCs w:val="12"/>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4"/>
          </w:tcPr>
          <w:p>
            <w:pPr>
              <w:ind w:left="20"/>
              <w:spacing w:after="0" w:line="140"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05/01/2026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396"/>
              <w:spacing w:after="0" w:line="128" w:lineRule="exact"/>
              <w:rPr>
                <w:sz w:val="20"/>
                <w:szCs w:val="20"/>
                <w:color w:val="auto"/>
              </w:rPr>
            </w:pPr>
            <w:r>
              <w:rPr>
                <w:rFonts w:ascii="Times New Roman" w:cs="Times New Roman" w:eastAsia="Times New Roman" w:hAnsi="Times New Roman"/>
                <w:sz w:val="13"/>
                <w:szCs w:val="13"/>
                <w:color w:val="0000FF"/>
                <w:w w:val="91"/>
              </w:rPr>
              <w:t>C</w:t>
            </w:r>
          </w:p>
        </w:tc>
        <w:tc>
          <w:tcPr>
            <w:tcW w:w="98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727,585</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11"/>
                <w:szCs w:val="11"/>
                <w:color w:val="auto"/>
              </w:rPr>
            </w:pPr>
          </w:p>
        </w:tc>
        <w:tc>
          <w:tcPr>
            <w:tcW w:w="5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11"/>
                <w:szCs w:val="11"/>
                <w:color w:val="auto"/>
              </w:rPr>
            </w:pPr>
          </w:p>
        </w:tc>
        <w:tc>
          <w:tcPr>
            <w:tcW w:w="700" w:type="dxa"/>
            <w:vAlign w:val="bottom"/>
            <w:gridSpan w:val="4"/>
          </w:tcPr>
          <w:p>
            <w:pPr>
              <w:ind w:left="20"/>
              <w:spacing w:after="0" w:line="128"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400"/>
        <w:spacing w:after="0"/>
        <w:rPr>
          <w:sz w:val="20"/>
          <w:szCs w:val="20"/>
          <w:color w:val="auto"/>
        </w:rPr>
      </w:pPr>
      <w:r>
        <w:rPr>
          <w:rFonts w:ascii="Times New Roman" w:cs="Times New Roman" w:eastAsia="Times New Roman" w:hAnsi="Times New Roman"/>
          <w:sz w:val="13"/>
          <w:szCs w:val="13"/>
          <w:color w:val="0000FF"/>
        </w:rPr>
        <w:t>Fund V LP</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3497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3497580"/>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F-Prime</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80,291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05/01/2026</w:t>
            </w:r>
          </w:p>
        </w:tc>
        <w:tc>
          <w:tcPr>
            <w:tcW w:w="1060" w:type="dxa"/>
            <w:vAlign w:val="bottom"/>
          </w:tcPr>
          <w:p>
            <w:pPr>
              <w:spacing w:after="0"/>
              <w:rPr>
                <w:sz w:val="5"/>
                <w:szCs w:val="5"/>
                <w:color w:val="auto"/>
              </w:rPr>
            </w:pPr>
          </w:p>
        </w:tc>
        <w:tc>
          <w:tcPr>
            <w:tcW w:w="8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80,291</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Fund V LP</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F-Prime</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C-1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872,868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05/01/2026</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872,868</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Fund V LP</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F-Prime</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C-2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225,843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05/01/2026</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225,843</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Fund V LP</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F-Prime</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377,948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05/01/2026</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377,948</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380"/>
        <w:spacing w:after="0"/>
        <w:rPr>
          <w:sz w:val="20"/>
          <w:szCs w:val="20"/>
          <w:color w:val="auto"/>
        </w:rPr>
      </w:pPr>
      <w:r>
        <w:rPr>
          <w:rFonts w:ascii="Times New Roman" w:cs="Times New Roman" w:eastAsia="Times New Roman" w:hAnsi="Times New Roman"/>
          <w:sz w:val="13"/>
          <w:szCs w:val="13"/>
          <w:color w:val="0000FF"/>
        </w:rPr>
        <w:t>Fund V LP</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8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 2026, in connection with the completion of the issuer's initial public offering, each share of Series A Preferred Stock, Series B Preferred Stock, Series C-1 Preferred Stock, Series C-2 Preferred Stock, and Series D Preferred Stock converted on a 1-for-1 basis into shares of Common Stock.</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180"/>
        <w:spacing w:after="0" w:line="251" w:lineRule="auto"/>
        <w:rPr>
          <w:sz w:val="20"/>
          <w:szCs w:val="20"/>
          <w:color w:val="auto"/>
        </w:rPr>
      </w:pPr>
      <w:r>
        <w:rPr>
          <w:rFonts w:ascii="Times New Roman" w:cs="Times New Roman" w:eastAsia="Times New Roman" w:hAnsi="Times New Roman"/>
          <w:sz w:val="12"/>
          <w:szCs w:val="12"/>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The general partner of F-Prime Capital Partners Healthcare Fund V LP is F-Prime Capital Partners Healthcare Advisors Fund V LP (FPCPHA). FPCPHA is solely managed by Impresa Management LLC, the managing member of its general partner and its investment manager.</w:t>
      </w:r>
    </w:p>
    <w:p>
      <w:pPr>
        <w:sectPr>
          <w:pgSz w:w="11900" w:h="16838" w:orient="portrait"/>
          <w:cols w:equalWidth="0" w:num="1">
            <w:col w:w="11040"/>
          </w:cols>
          <w:pgMar w:left="480" w:top="190" w:right="379" w:bottom="1440"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Richard Bourgelas,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171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58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236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FMR LLC and its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93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indirect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047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Abigail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81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520" w:space="260"/>
            <w:col w:w="2260"/>
          </w:cols>
          <w:pgMar w:left="480" w:top="190" w:right="3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0315066" TargetMode="External"/><Relationship Id="rId14" Type="http://schemas.openxmlformats.org/officeDocument/2006/relationships/hyperlink" Target="http://www.sec.gov/cgi-bin/browse-edgar?action=getcompany&amp;CIK=0001540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2026-05-05T07:39:20Z</dcterms:created>
  <dcterms:modified xsi:type="dcterms:W3CDTF">2026-05-05T07:39:20Z</dcterms:modified>
</cp:coreProperties>
</file>