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Haviland Kate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16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Avalyn Pharma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AVLN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12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105 W FIRST STREET</w:t>
            </w:r>
          </w:p>
        </w:tc>
        <w:tc>
          <w:tcPr>
            <w:tcW w:w="110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10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1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02127</w:t>
            </w:r>
          </w:p>
        </w:tc>
      </w:tr>
      <w:tr>
        <w:trPr>
          <w:trHeight w:val="177"/>
        </w:trPr>
        <w:tc>
          <w:tcPr>
            <w:tcW w:w="9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1060" w:type="dxa"/>
            <w:vAlign w:val="bottom"/>
          </w:tcPr>
          <w:p>
            <w:pPr>
              <w:ind w:left="120"/>
              <w:spacing w:after="0"/>
              <w:rPr>
                <w:sz w:val="20"/>
                <w:szCs w:val="20"/>
                <w:color w:val="auto"/>
              </w:rPr>
            </w:pPr>
            <w:r>
              <w:rPr>
                <w:rFonts w:ascii="Arial" w:cs="Arial" w:eastAsia="Arial" w:hAnsi="Arial"/>
                <w:sz w:val="15"/>
                <w:szCs w:val="15"/>
                <w:color w:val="auto"/>
              </w:rPr>
              <w:t>(State)</w:t>
            </w:r>
          </w:p>
        </w:tc>
        <w:tc>
          <w:tcPr>
            <w:tcW w:w="1100" w:type="dxa"/>
            <w:vAlign w:val="bottom"/>
          </w:tcPr>
          <w:p>
            <w:pPr>
              <w:ind w:left="1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03/08/2036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43,928</w:t>
            </w:r>
          </w:p>
        </w:tc>
        <w:tc>
          <w:tcPr>
            <w:tcW w:w="9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11.74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1/8th of the shares underlying this option vest and become exercisable in substantially equal quarterly installments on each quarterly anniversary of February 17, 2026,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/s/ Douglas Carlson</w:t>
            </w:r>
          </w:p>
        </w:tc>
        <w:tc>
          <w:tcPr>
            <w:tcW w:w="6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04/29/2026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365"/>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the Chief Executive Officer and the Chief Financial Officer with full power to act as the undersigned’s true and lawful attorneys-in-fact, with full power of substitution, to:</w:t>
      </w:r>
    </w:p>
    <w:p>
      <w:pPr>
        <w:spacing w:after="0" w:line="218" w:lineRule="exact"/>
        <w:rPr>
          <w:sz w:val="20"/>
          <w:szCs w:val="20"/>
          <w:color w:val="auto"/>
        </w:rPr>
      </w:pPr>
    </w:p>
    <w:p>
      <w:pPr>
        <w:jc w:val="both"/>
        <w:ind w:left="700" w:right="740" w:hanging="335"/>
        <w:spacing w:after="0" w:line="245" w:lineRule="auto"/>
        <w:tabs>
          <w:tab w:leader="none" w:pos="70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and/or beneficial owner of Avalyn Pharma Inc. (the “Company”), the Forms 3, 4 and 5 in accordance with Section 16(a) of the Securities Exchange Act of 1934, as amended, and the rules thereunder;</w:t>
      </w:r>
    </w:p>
    <w:p>
      <w:pPr>
        <w:spacing w:after="0" w:line="193" w:lineRule="exact"/>
        <w:rPr>
          <w:rFonts w:ascii="Times New Roman" w:cs="Times New Roman" w:eastAsia="Times New Roman" w:hAnsi="Times New Roman"/>
          <w:sz w:val="24"/>
          <w:szCs w:val="24"/>
          <w:color w:val="auto"/>
        </w:rPr>
      </w:pPr>
    </w:p>
    <w:p>
      <w:pPr>
        <w:jc w:val="both"/>
        <w:ind w:left="700" w:right="740" w:hanging="335"/>
        <w:spacing w:after="0" w:line="245" w:lineRule="auto"/>
        <w:tabs>
          <w:tab w:leader="none" w:pos="70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Forms 3, 4 and 5, complete and execute any amendment or amendments thereto, and timely file such form with the United States Securities and Exchange Commission and any stock exchange or similar authority; and</w:t>
      </w:r>
    </w:p>
    <w:p>
      <w:pPr>
        <w:spacing w:after="0" w:line="193" w:lineRule="exact"/>
        <w:rPr>
          <w:rFonts w:ascii="Times New Roman" w:cs="Times New Roman" w:eastAsia="Times New Roman" w:hAnsi="Times New Roman"/>
          <w:sz w:val="24"/>
          <w:szCs w:val="24"/>
          <w:color w:val="auto"/>
        </w:rPr>
      </w:pPr>
    </w:p>
    <w:p>
      <w:pPr>
        <w:jc w:val="both"/>
        <w:ind w:left="700" w:right="720" w:hanging="335"/>
        <w:spacing w:after="0" w:line="241" w:lineRule="auto"/>
        <w:tabs>
          <w:tab w:leader="none" w:pos="70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jc w:val="both"/>
        <w:ind w:firstLine="365"/>
        <w:spacing w:after="0" w:line="241" w:lineRule="auto"/>
        <w:rPr>
          <w:sz w:val="20"/>
          <w:szCs w:val="20"/>
          <w:color w:val="auto"/>
        </w:rPr>
      </w:pPr>
      <w:r>
        <w:rPr>
          <w:rFonts w:ascii="Times New Roman" w:cs="Times New Roman" w:eastAsia="Times New Roman" w:hAnsi="Times New Roman"/>
          <w:sz w:val="24"/>
          <w:szCs w:val="24"/>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8" w:lineRule="exact"/>
        <w:rPr>
          <w:sz w:val="20"/>
          <w:szCs w:val="20"/>
          <w:color w:val="auto"/>
        </w:rPr>
      </w:pPr>
    </w:p>
    <w:p>
      <w:pPr>
        <w:jc w:val="both"/>
        <w:ind w:right="20" w:firstLine="365"/>
        <w:spacing w:after="0" w:line="266"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revoked by the undersigned in a signed writing delivered to the attorney-in-fact.</w:t>
      </w:r>
    </w:p>
    <w:p>
      <w:pPr>
        <w:spacing w:after="0" w:line="163"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24"/>
          <w:szCs w:val="24"/>
          <w:b w:val="1"/>
          <w:bCs w:val="1"/>
          <w:color w:val="auto"/>
        </w:rPr>
        <w:t>IN WITNESS WHEREOF</w:t>
      </w:r>
      <w:r>
        <w:rPr>
          <w:rFonts w:ascii="Times New Roman" w:cs="Times New Roman" w:eastAsia="Times New Roman" w:hAnsi="Times New Roman"/>
          <w:sz w:val="24"/>
          <w:szCs w:val="24"/>
          <w:color w:val="auto"/>
        </w:rPr>
        <w:t>, the undersigned has caused this Power of Attorney to be executed as of this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28th day of April, 2026.</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5800" w:type="dxa"/>
            <w:vAlign w:val="bottom"/>
          </w:tcPr>
          <w:p>
            <w:pPr>
              <w:ind w:left="4940"/>
              <w:spacing w:after="0"/>
              <w:rPr>
                <w:sz w:val="20"/>
                <w:szCs w:val="20"/>
                <w:color w:val="auto"/>
              </w:rPr>
            </w:pPr>
            <w:r>
              <w:rPr>
                <w:rFonts w:ascii="Times New Roman" w:cs="Times New Roman" w:eastAsia="Times New Roman" w:hAnsi="Times New Roman"/>
                <w:sz w:val="24"/>
                <w:szCs w:val="24"/>
                <w:color w:val="auto"/>
              </w:rPr>
              <w:t>By:</w:t>
            </w:r>
          </w:p>
        </w:tc>
        <w:tc>
          <w:tcPr>
            <w:tcW w:w="514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/s/ Kate Haviland</w:t>
            </w:r>
          </w:p>
        </w:tc>
      </w:tr>
      <w:tr>
        <w:trPr>
          <w:trHeight w:val="307"/>
        </w:trPr>
        <w:tc>
          <w:tcPr>
            <w:tcW w:w="5800" w:type="dxa"/>
            <w:vAlign w:val="bottom"/>
          </w:tcPr>
          <w:p>
            <w:pPr>
              <w:ind w:left="4940"/>
              <w:spacing w:after="0"/>
              <w:rPr>
                <w:sz w:val="20"/>
                <w:szCs w:val="20"/>
                <w:color w:val="auto"/>
              </w:rPr>
            </w:pPr>
            <w:r>
              <w:rPr>
                <w:rFonts w:ascii="Times New Roman" w:cs="Times New Roman" w:eastAsia="Times New Roman" w:hAnsi="Times New Roman"/>
                <w:sz w:val="24"/>
                <w:szCs w:val="24"/>
                <w:color w:val="auto"/>
              </w:rPr>
              <w:t>Name:</w:t>
            </w:r>
          </w:p>
        </w:tc>
        <w:tc>
          <w:tcPr>
            <w:tcW w:w="2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4"/>
                <w:szCs w:val="24"/>
                <w:color w:val="auto"/>
              </w:rPr>
              <w:t>Kate Haviland</w:t>
            </w:r>
          </w:p>
        </w:tc>
        <w:tc>
          <w:tcPr>
            <w:tcW w:w="2740" w:type="dxa"/>
            <w:vAlign w:val="bottom"/>
          </w:tcPr>
          <w:p>
            <w:pPr>
              <w:spacing w:after="0"/>
              <w:rPr>
                <w:sz w:val="24"/>
                <w:szCs w:val="24"/>
                <w:color w:val="auto"/>
              </w:rPr>
            </w:pPr>
          </w:p>
        </w:tc>
      </w:tr>
      <w:tr>
        <w:trPr>
          <w:trHeight w:val="1319"/>
        </w:trPr>
        <w:tc>
          <w:tcPr>
            <w:tcW w:w="58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-31115</wp:posOffset>
            </wp:positionV>
            <wp:extent cx="34925"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-31115</wp:posOffset>
            </wp:positionV>
            <wp:extent cx="34925"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63022" TargetMode="External"/><Relationship Id="rId11" Type="http://schemas.openxmlformats.org/officeDocument/2006/relationships/hyperlink" Target="http://www.sec.gov/cgi-bin/browse-edgar?action=getcompany&amp;CIK=0001540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2026-04-29T18:31:55Z</dcterms:created>
  <dcterms:modified xsi:type="dcterms:W3CDTF">2026-04-29T18:31:55Z</dcterms:modified>
</cp:coreProperties>
</file>