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sAs filed with the Securities and Exchange Commission on April 8, 2026.</w:t>
      </w:r>
    </w:p>
    <w:p>
      <w:pPr>
        <w:spacing w:after="0" w:line="76" w:lineRule="exact"/>
        <w:rPr>
          <w:sz w:val="24"/>
          <w:szCs w:val="24"/>
          <w:color w:val="auto"/>
        </w:rPr>
      </w:pPr>
    </w:p>
    <w:p>
      <w:pPr>
        <w:ind w:left="6120"/>
        <w:spacing w:after="0"/>
        <w:rPr>
          <w:sz w:val="20"/>
          <w:szCs w:val="20"/>
          <w:color w:val="auto"/>
        </w:rPr>
      </w:pPr>
      <w:r>
        <w:rPr>
          <w:rFonts w:ascii="Times New Roman" w:cs="Times New Roman" w:eastAsia="Times New Roman" w:hAnsi="Times New Roman"/>
          <w:sz w:val="14"/>
          <w:szCs w:val="14"/>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780415</wp:posOffset>
            </wp:positionH>
            <wp:positionV relativeFrom="paragraph">
              <wp:posOffset>55245</wp:posOffset>
            </wp:positionV>
            <wp:extent cx="416560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1656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68580</wp:posOffset>
            </wp:positionV>
            <wp:extent cx="416560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12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UNITED STATES</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50800</wp:posOffset>
            </wp:positionV>
            <wp:extent cx="83439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34390" cy="6985"/>
                    </a:xfrm>
                    <a:prstGeom prst="rect">
                      <a:avLst/>
                    </a:prstGeom>
                    <a:noFill/>
                  </pic:spPr>
                </pic:pic>
              </a:graphicData>
            </a:graphic>
          </wp:anchor>
        </w:drawing>
      </w:r>
    </w:p>
    <w:p>
      <w:pPr>
        <w:spacing w:after="0" w:line="1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FORM S-1</w:t>
      </w:r>
    </w:p>
    <w:p>
      <w:pPr>
        <w:spacing w:after="0" w:line="2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REGISTRATION STATEMENT</w:t>
      </w:r>
    </w:p>
    <w:p>
      <w:pPr>
        <w:jc w:val="center"/>
        <w:ind w:right="39"/>
        <w:spacing w:after="0"/>
        <w:rPr>
          <w:sz w:val="20"/>
          <w:szCs w:val="20"/>
          <w:color w:val="auto"/>
        </w:rPr>
      </w:pPr>
      <w:r>
        <w:rPr>
          <w:rFonts w:ascii="Times New Roman" w:cs="Times New Roman" w:eastAsia="Times New Roman" w:hAnsi="Times New Roman"/>
          <w:sz w:val="14"/>
          <w:szCs w:val="14"/>
          <w:b w:val="1"/>
          <w:bCs w:val="1"/>
          <w:i w:val="1"/>
          <w:iCs w:val="1"/>
          <w:color w:val="auto"/>
        </w:rPr>
        <w:t>UNDER</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55245</wp:posOffset>
            </wp:positionV>
            <wp:extent cx="83439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4390" cy="6985"/>
                    </a:xfrm>
                    <a:prstGeom prst="rect">
                      <a:avLst/>
                    </a:prstGeom>
                    <a:noFill/>
                  </pic:spPr>
                </pic:pic>
              </a:graphicData>
            </a:graphic>
          </wp:anchor>
        </w:drawing>
      </w:r>
    </w:p>
    <w:p>
      <w:pPr>
        <w:spacing w:after="0" w:line="10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Avalyn Pharma Inc.</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36195</wp:posOffset>
            </wp:positionV>
            <wp:extent cx="83439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34390" cy="6985"/>
                    </a:xfrm>
                    <a:prstGeom prst="rect">
                      <a:avLst/>
                    </a:prstGeom>
                    <a:noFill/>
                  </pic:spPr>
                </pic:pic>
              </a:graphicData>
            </a:graphic>
          </wp:anchor>
        </w:drawing>
      </w:r>
    </w:p>
    <w:p>
      <w:pPr>
        <w:spacing w:after="0" w:line="74" w:lineRule="exact"/>
        <w:rPr>
          <w:sz w:val="24"/>
          <w:szCs w:val="24"/>
          <w:color w:val="auto"/>
        </w:rPr>
      </w:pPr>
    </w:p>
    <w:tbl>
      <w:tblPr>
        <w:tblLayout w:type="fixed"/>
        <w:tblInd w:w="1740" w:type="dxa"/>
        <w:tblCellMar>
          <w:top w:w="0" w:type="dxa"/>
          <w:left w:w="0" w:type="dxa"/>
          <w:bottom w:w="0" w:type="dxa"/>
          <w:right w:w="0" w:type="dxa"/>
        </w:tblCellMar>
      </w:tblPr>
      <w:tr>
        <w:trPr>
          <w:trHeight w:val="126"/>
        </w:trPr>
        <w:tc>
          <w:tcPr>
            <w:tcW w:w="1720" w:type="dxa"/>
            <w:vAlign w:val="bottom"/>
          </w:tcPr>
          <w:p>
            <w:pPr>
              <w:jc w:val="center"/>
              <w:ind w:right="409"/>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2180" w:type="dxa"/>
            <w:vAlign w:val="bottom"/>
          </w:tcPr>
          <w:p>
            <w:pPr>
              <w:jc w:val="center"/>
              <w:ind w:right="29"/>
              <w:spacing w:after="0"/>
              <w:rPr>
                <w:sz w:val="20"/>
                <w:szCs w:val="20"/>
                <w:color w:val="auto"/>
              </w:rPr>
            </w:pPr>
            <w:r>
              <w:rPr>
                <w:rFonts w:ascii="Times New Roman" w:cs="Times New Roman" w:eastAsia="Times New Roman" w:hAnsi="Times New Roman"/>
                <w:sz w:val="11"/>
                <w:szCs w:val="11"/>
                <w:b w:val="1"/>
                <w:bCs w:val="1"/>
                <w:color w:val="auto"/>
                <w:w w:val="99"/>
              </w:rPr>
              <w:t>2834</w:t>
            </w:r>
          </w:p>
        </w:tc>
        <w:tc>
          <w:tcPr>
            <w:tcW w:w="1480" w:type="dxa"/>
            <w:vAlign w:val="bottom"/>
          </w:tcPr>
          <w:p>
            <w:pPr>
              <w:jc w:val="center"/>
              <w:ind w:left="449"/>
              <w:spacing w:after="0"/>
              <w:rPr>
                <w:sz w:val="20"/>
                <w:szCs w:val="20"/>
                <w:color w:val="auto"/>
              </w:rPr>
            </w:pPr>
            <w:r>
              <w:rPr>
                <w:rFonts w:ascii="Times New Roman" w:cs="Times New Roman" w:eastAsia="Times New Roman" w:hAnsi="Times New Roman"/>
                <w:sz w:val="11"/>
                <w:szCs w:val="11"/>
                <w:b w:val="1"/>
                <w:bCs w:val="1"/>
                <w:color w:val="auto"/>
              </w:rPr>
              <w:t>45-2463191</w:t>
            </w:r>
          </w:p>
        </w:tc>
      </w:tr>
      <w:tr>
        <w:trPr>
          <w:trHeight w:val="105"/>
        </w:trPr>
        <w:tc>
          <w:tcPr>
            <w:tcW w:w="1720" w:type="dxa"/>
            <w:vAlign w:val="bottom"/>
          </w:tcPr>
          <w:p>
            <w:pPr>
              <w:jc w:val="center"/>
              <w:ind w:right="409"/>
              <w:spacing w:after="0" w:line="105" w:lineRule="exact"/>
              <w:rPr>
                <w:sz w:val="20"/>
                <w:szCs w:val="20"/>
                <w:color w:val="auto"/>
              </w:rPr>
            </w:pPr>
            <w:r>
              <w:rPr>
                <w:rFonts w:ascii="Times New Roman" w:cs="Times New Roman" w:eastAsia="Times New Roman" w:hAnsi="Times New Roman"/>
                <w:sz w:val="10"/>
                <w:szCs w:val="10"/>
                <w:b w:val="1"/>
                <w:bCs w:val="1"/>
                <w:color w:val="auto"/>
                <w:w w:val="97"/>
              </w:rPr>
              <w:t>(State or other jurisdiction of</w:t>
            </w:r>
          </w:p>
        </w:tc>
        <w:tc>
          <w:tcPr>
            <w:tcW w:w="2180" w:type="dxa"/>
            <w:vAlign w:val="bottom"/>
          </w:tcPr>
          <w:p>
            <w:pPr>
              <w:jc w:val="center"/>
              <w:ind w:right="9"/>
              <w:spacing w:after="0" w:line="105" w:lineRule="exact"/>
              <w:rPr>
                <w:sz w:val="20"/>
                <w:szCs w:val="20"/>
                <w:color w:val="auto"/>
              </w:rPr>
            </w:pPr>
            <w:r>
              <w:rPr>
                <w:rFonts w:ascii="Times New Roman" w:cs="Times New Roman" w:eastAsia="Times New Roman" w:hAnsi="Times New Roman"/>
                <w:sz w:val="10"/>
                <w:szCs w:val="10"/>
                <w:b w:val="1"/>
                <w:bCs w:val="1"/>
                <w:color w:val="auto"/>
                <w:w w:val="97"/>
              </w:rPr>
              <w:t>(Primary Standard Industrial</w:t>
            </w:r>
          </w:p>
        </w:tc>
        <w:tc>
          <w:tcPr>
            <w:tcW w:w="1480" w:type="dxa"/>
            <w:vAlign w:val="bottom"/>
          </w:tcPr>
          <w:p>
            <w:pPr>
              <w:jc w:val="center"/>
              <w:ind w:left="469"/>
              <w:spacing w:after="0" w:line="105"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29"/>
        </w:trPr>
        <w:tc>
          <w:tcPr>
            <w:tcW w:w="1720" w:type="dxa"/>
            <w:vAlign w:val="bottom"/>
          </w:tcPr>
          <w:p>
            <w:pPr>
              <w:jc w:val="center"/>
              <w:ind w:right="389"/>
              <w:spacing w:after="0"/>
              <w:rPr>
                <w:sz w:val="20"/>
                <w:szCs w:val="20"/>
                <w:color w:val="auto"/>
              </w:rPr>
            </w:pPr>
            <w:r>
              <w:rPr>
                <w:rFonts w:ascii="Times New Roman" w:cs="Times New Roman" w:eastAsia="Times New Roman" w:hAnsi="Times New Roman"/>
                <w:sz w:val="10"/>
                <w:szCs w:val="10"/>
                <w:b w:val="1"/>
                <w:bCs w:val="1"/>
                <w:color w:val="auto"/>
                <w:w w:val="98"/>
              </w:rPr>
              <w:t>incorporation or organization)</w:t>
            </w:r>
          </w:p>
        </w:tc>
        <w:tc>
          <w:tcPr>
            <w:tcW w:w="2180" w:type="dxa"/>
            <w:vAlign w:val="bottom"/>
          </w:tcPr>
          <w:p>
            <w:pPr>
              <w:jc w:val="center"/>
              <w:ind w:right="29"/>
              <w:spacing w:after="0"/>
              <w:rPr>
                <w:sz w:val="20"/>
                <w:szCs w:val="20"/>
                <w:color w:val="auto"/>
              </w:rPr>
            </w:pPr>
            <w:r>
              <w:rPr>
                <w:rFonts w:ascii="Times New Roman" w:cs="Times New Roman" w:eastAsia="Times New Roman" w:hAnsi="Times New Roman"/>
                <w:sz w:val="10"/>
                <w:szCs w:val="10"/>
                <w:b w:val="1"/>
                <w:bCs w:val="1"/>
                <w:color w:val="auto"/>
                <w:w w:val="98"/>
              </w:rPr>
              <w:t>Classification Code Number)</w:t>
            </w:r>
          </w:p>
        </w:tc>
        <w:tc>
          <w:tcPr>
            <w:tcW w:w="1480" w:type="dxa"/>
            <w:vAlign w:val="bottom"/>
          </w:tcPr>
          <w:p>
            <w:pPr>
              <w:jc w:val="center"/>
              <w:ind w:left="469"/>
              <w:spacing w:after="0"/>
              <w:rPr>
                <w:sz w:val="20"/>
                <w:szCs w:val="20"/>
                <w:color w:val="auto"/>
              </w:rPr>
            </w:pPr>
            <w:r>
              <w:rPr>
                <w:rFonts w:ascii="Times New Roman" w:cs="Times New Roman" w:eastAsia="Times New Roman" w:hAnsi="Times New Roman"/>
                <w:sz w:val="10"/>
                <w:szCs w:val="10"/>
                <w:b w:val="1"/>
                <w:bCs w:val="1"/>
                <w:color w:val="auto"/>
                <w:w w:val="96"/>
              </w:rPr>
              <w:t>Identification Number)</w:t>
            </w:r>
          </w:p>
        </w:tc>
      </w:tr>
    </w:tbl>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1"/>
          <w:szCs w:val="11"/>
          <w:b w:val="1"/>
          <w:bCs w:val="1"/>
          <w:color w:val="auto"/>
        </w:rPr>
        <w:t>Avalyn Pharma Inc.</w:t>
      </w:r>
    </w:p>
    <w:p>
      <w:pPr>
        <w:jc w:val="center"/>
        <w:ind w:right="19"/>
        <w:spacing w:after="0" w:line="225" w:lineRule="auto"/>
        <w:rPr>
          <w:sz w:val="20"/>
          <w:szCs w:val="20"/>
          <w:color w:val="auto"/>
        </w:rPr>
      </w:pPr>
      <w:r>
        <w:rPr>
          <w:rFonts w:ascii="Times New Roman" w:cs="Times New Roman" w:eastAsia="Times New Roman" w:hAnsi="Times New Roman"/>
          <w:sz w:val="11"/>
          <w:szCs w:val="11"/>
          <w:b w:val="1"/>
          <w:bCs w:val="1"/>
          <w:color w:val="auto"/>
        </w:rPr>
        <w:t>105 W First Street</w:t>
      </w:r>
    </w:p>
    <w:p>
      <w:pPr>
        <w:jc w:val="center"/>
        <w:ind w:right="19"/>
        <w:spacing w:after="0" w:line="219" w:lineRule="auto"/>
        <w:rPr>
          <w:sz w:val="20"/>
          <w:szCs w:val="20"/>
          <w:color w:val="auto"/>
        </w:rPr>
      </w:pPr>
      <w:r>
        <w:rPr>
          <w:rFonts w:ascii="Times New Roman" w:cs="Times New Roman" w:eastAsia="Times New Roman" w:hAnsi="Times New Roman"/>
          <w:sz w:val="11"/>
          <w:szCs w:val="11"/>
          <w:b w:val="1"/>
          <w:bCs w:val="1"/>
          <w:color w:val="auto"/>
        </w:rPr>
        <w:t>Boston, Massachusetts 02127</w:t>
      </w:r>
    </w:p>
    <w:p>
      <w:pPr>
        <w:jc w:val="center"/>
        <w:ind w:right="39"/>
        <w:spacing w:after="0" w:line="223" w:lineRule="auto"/>
        <w:rPr>
          <w:sz w:val="20"/>
          <w:szCs w:val="20"/>
          <w:color w:val="auto"/>
        </w:rPr>
      </w:pPr>
      <w:r>
        <w:rPr>
          <w:rFonts w:ascii="Times New Roman" w:cs="Times New Roman" w:eastAsia="Times New Roman" w:hAnsi="Times New Roman"/>
          <w:sz w:val="11"/>
          <w:szCs w:val="11"/>
          <w:b w:val="1"/>
          <w:bCs w:val="1"/>
          <w:color w:val="auto"/>
        </w:rPr>
        <w:t>(206) 707-0340</w:t>
      </w: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42545</wp:posOffset>
            </wp:positionV>
            <wp:extent cx="83439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34390" cy="6985"/>
                    </a:xfrm>
                    <a:prstGeom prst="rect">
                      <a:avLst/>
                    </a:prstGeom>
                    <a:noFill/>
                  </pic:spPr>
                </pic:pic>
              </a:graphicData>
            </a:graphic>
          </wp:anchor>
        </w:drawing>
      </w:r>
    </w:p>
    <w:p>
      <w:pPr>
        <w:spacing w:after="0" w:line="91"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1"/>
          <w:szCs w:val="11"/>
          <w:b w:val="1"/>
          <w:bCs w:val="1"/>
          <w:color w:val="auto"/>
        </w:rPr>
        <w:t>Lyn Baranowski</w:t>
      </w:r>
    </w:p>
    <w:p>
      <w:pPr>
        <w:ind w:left="3920"/>
        <w:spacing w:after="0" w:line="225" w:lineRule="auto"/>
        <w:rPr>
          <w:sz w:val="20"/>
          <w:szCs w:val="20"/>
          <w:color w:val="auto"/>
        </w:rPr>
      </w:pPr>
      <w:r>
        <w:rPr>
          <w:rFonts w:ascii="Times New Roman" w:cs="Times New Roman" w:eastAsia="Times New Roman" w:hAnsi="Times New Roman"/>
          <w:sz w:val="11"/>
          <w:szCs w:val="11"/>
          <w:b w:val="1"/>
          <w:bCs w:val="1"/>
          <w:color w:val="auto"/>
        </w:rPr>
        <w:t>Chief Executive Officer</w:t>
      </w:r>
    </w:p>
    <w:p>
      <w:pPr>
        <w:ind w:left="4020"/>
        <w:spacing w:after="0" w:line="219" w:lineRule="auto"/>
        <w:rPr>
          <w:sz w:val="20"/>
          <w:szCs w:val="20"/>
          <w:color w:val="auto"/>
        </w:rPr>
      </w:pPr>
      <w:r>
        <w:rPr>
          <w:rFonts w:ascii="Times New Roman" w:cs="Times New Roman" w:eastAsia="Times New Roman" w:hAnsi="Times New Roman"/>
          <w:sz w:val="11"/>
          <w:szCs w:val="11"/>
          <w:b w:val="1"/>
          <w:bCs w:val="1"/>
          <w:color w:val="auto"/>
        </w:rPr>
        <w:t>Avalyn Pharma Inc.</w:t>
      </w:r>
    </w:p>
    <w:p>
      <w:pPr>
        <w:ind w:left="4060"/>
        <w:spacing w:after="0" w:line="220" w:lineRule="auto"/>
        <w:rPr>
          <w:sz w:val="20"/>
          <w:szCs w:val="20"/>
          <w:color w:val="auto"/>
        </w:rPr>
      </w:pPr>
      <w:r>
        <w:rPr>
          <w:rFonts w:ascii="Times New Roman" w:cs="Times New Roman" w:eastAsia="Times New Roman" w:hAnsi="Times New Roman"/>
          <w:sz w:val="11"/>
          <w:szCs w:val="11"/>
          <w:b w:val="1"/>
          <w:bCs w:val="1"/>
          <w:color w:val="auto"/>
        </w:rPr>
        <w:t>105 W First Street</w:t>
      </w:r>
    </w:p>
    <w:p>
      <w:pPr>
        <w:ind w:left="3820"/>
        <w:spacing w:after="0" w:line="219" w:lineRule="auto"/>
        <w:rPr>
          <w:sz w:val="20"/>
          <w:szCs w:val="20"/>
          <w:color w:val="auto"/>
        </w:rPr>
      </w:pPr>
      <w:r>
        <w:rPr>
          <w:rFonts w:ascii="Times New Roman" w:cs="Times New Roman" w:eastAsia="Times New Roman" w:hAnsi="Times New Roman"/>
          <w:sz w:val="11"/>
          <w:szCs w:val="11"/>
          <w:b w:val="1"/>
          <w:bCs w:val="1"/>
          <w:color w:val="auto"/>
        </w:rPr>
        <w:t>Boston, Massachusetts 02127</w:t>
      </w:r>
    </w:p>
    <w:p>
      <w:pPr>
        <w:ind w:left="4140"/>
        <w:spacing w:after="0" w:line="223" w:lineRule="auto"/>
        <w:rPr>
          <w:sz w:val="20"/>
          <w:szCs w:val="20"/>
          <w:color w:val="auto"/>
        </w:rPr>
      </w:pPr>
      <w:r>
        <w:rPr>
          <w:rFonts w:ascii="Times New Roman" w:cs="Times New Roman" w:eastAsia="Times New Roman" w:hAnsi="Times New Roman"/>
          <w:sz w:val="11"/>
          <w:szCs w:val="11"/>
          <w:b w:val="1"/>
          <w:bCs w:val="1"/>
          <w:color w:val="auto"/>
        </w:rPr>
        <w:t>(206) 707-0340</w:t>
      </w:r>
    </w:p>
    <w:p>
      <w:pPr>
        <w:jc w:val="center"/>
        <w:ind w:right="39"/>
        <w:spacing w:after="0"/>
        <w:rPr>
          <w:sz w:val="20"/>
          <w:szCs w:val="20"/>
          <w:color w:val="auto"/>
        </w:rPr>
      </w:pPr>
      <w:r>
        <w:rPr>
          <w:rFonts w:ascii="Times New Roman" w:cs="Times New Roman" w:eastAsia="Times New Roman" w:hAnsi="Times New Roman"/>
          <w:sz w:val="10"/>
          <w:szCs w:val="10"/>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36195</wp:posOffset>
            </wp:positionV>
            <wp:extent cx="83439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34390" cy="6985"/>
                    </a:xfrm>
                    <a:prstGeom prst="rect">
                      <a:avLst/>
                    </a:prstGeom>
                    <a:noFill/>
                  </pic:spPr>
                </pic:pic>
              </a:graphicData>
            </a:graphic>
          </wp:anchor>
        </w:drawing>
      </w:r>
    </w:p>
    <w:p>
      <w:pPr>
        <w:spacing w:after="0" w:line="80" w:lineRule="exact"/>
        <w:rPr>
          <w:sz w:val="24"/>
          <w:szCs w:val="24"/>
          <w:color w:val="auto"/>
        </w:rPr>
      </w:pPr>
    </w:p>
    <w:tbl>
      <w:tblPr>
        <w:tblLayout w:type="fixed"/>
        <w:tblInd w:w="2140" w:type="dxa"/>
        <w:tblCellMar>
          <w:top w:w="0" w:type="dxa"/>
          <w:left w:w="0" w:type="dxa"/>
          <w:bottom w:w="0" w:type="dxa"/>
          <w:right w:w="0" w:type="dxa"/>
        </w:tblCellMar>
      </w:tblPr>
      <w:tr>
        <w:trPr>
          <w:trHeight w:val="148"/>
        </w:trPr>
        <w:tc>
          <w:tcPr>
            <w:tcW w:w="1760" w:type="dxa"/>
            <w:vAlign w:val="bottom"/>
          </w:tcPr>
          <w:p>
            <w:pPr>
              <w:spacing w:after="0"/>
              <w:rPr>
                <w:sz w:val="12"/>
                <w:szCs w:val="12"/>
                <w:color w:val="auto"/>
              </w:rPr>
            </w:pPr>
          </w:p>
        </w:tc>
        <w:tc>
          <w:tcPr>
            <w:tcW w:w="2960" w:type="dxa"/>
            <w:vAlign w:val="bottom"/>
          </w:tcPr>
          <w:p>
            <w:pPr>
              <w:ind w:left="360"/>
              <w:spacing w:after="0"/>
              <w:rPr>
                <w:sz w:val="20"/>
                <w:szCs w:val="20"/>
                <w:color w:val="auto"/>
              </w:rPr>
            </w:pPr>
            <w:r>
              <w:rPr>
                <w:rFonts w:ascii="Times New Roman" w:cs="Times New Roman" w:eastAsia="Times New Roman" w:hAnsi="Times New Roman"/>
                <w:sz w:val="11"/>
                <w:szCs w:val="11"/>
                <w:b w:val="1"/>
                <w:bCs w:val="1"/>
                <w:i w:val="1"/>
                <w:iCs w:val="1"/>
                <w:color w:val="auto"/>
              </w:rPr>
              <w:t>Copies to:</w:t>
            </w:r>
          </w:p>
        </w:tc>
      </w:tr>
      <w:tr>
        <w:trPr>
          <w:trHeight w:val="136"/>
        </w:trPr>
        <w:tc>
          <w:tcPr>
            <w:tcW w:w="1760" w:type="dxa"/>
            <w:vAlign w:val="bottom"/>
          </w:tcPr>
          <w:p>
            <w:pPr>
              <w:jc w:val="center"/>
              <w:ind w:right="324"/>
              <w:spacing w:after="0"/>
              <w:rPr>
                <w:sz w:val="20"/>
                <w:szCs w:val="20"/>
                <w:color w:val="auto"/>
              </w:rPr>
            </w:pPr>
            <w:r>
              <w:rPr>
                <w:rFonts w:ascii="Times New Roman" w:cs="Times New Roman" w:eastAsia="Times New Roman" w:hAnsi="Times New Roman"/>
                <w:sz w:val="11"/>
                <w:szCs w:val="11"/>
                <w:b w:val="1"/>
                <w:bCs w:val="1"/>
                <w:color w:val="auto"/>
              </w:rPr>
              <w:t>Mitchell S. Bloom</w:t>
            </w:r>
          </w:p>
        </w:tc>
        <w:tc>
          <w:tcPr>
            <w:tcW w:w="2960" w:type="dxa"/>
            <w:vAlign w:val="bottom"/>
          </w:tcPr>
          <w:p>
            <w:pPr>
              <w:jc w:val="center"/>
              <w:ind w:left="1544"/>
              <w:spacing w:after="0"/>
              <w:rPr>
                <w:sz w:val="20"/>
                <w:szCs w:val="20"/>
                <w:color w:val="auto"/>
              </w:rPr>
            </w:pPr>
            <w:r>
              <w:rPr>
                <w:rFonts w:ascii="Times New Roman" w:cs="Times New Roman" w:eastAsia="Times New Roman" w:hAnsi="Times New Roman"/>
                <w:sz w:val="11"/>
                <w:szCs w:val="11"/>
                <w:b w:val="1"/>
                <w:bCs w:val="1"/>
                <w:color w:val="auto"/>
              </w:rPr>
              <w:t>Richard D. Truesdell, Jr.</w:t>
            </w:r>
          </w:p>
        </w:tc>
      </w:tr>
      <w:tr>
        <w:trPr>
          <w:trHeight w:val="116"/>
        </w:trPr>
        <w:tc>
          <w:tcPr>
            <w:tcW w:w="1760" w:type="dxa"/>
            <w:vAlign w:val="bottom"/>
          </w:tcPr>
          <w:p>
            <w:pPr>
              <w:jc w:val="center"/>
              <w:ind w:right="324"/>
              <w:spacing w:after="0" w:line="116" w:lineRule="exact"/>
              <w:rPr>
                <w:sz w:val="20"/>
                <w:szCs w:val="20"/>
                <w:color w:val="auto"/>
              </w:rPr>
            </w:pPr>
            <w:r>
              <w:rPr>
                <w:rFonts w:ascii="Times New Roman" w:cs="Times New Roman" w:eastAsia="Times New Roman" w:hAnsi="Times New Roman"/>
                <w:sz w:val="11"/>
                <w:szCs w:val="11"/>
                <w:b w:val="1"/>
                <w:bCs w:val="1"/>
                <w:color w:val="auto"/>
              </w:rPr>
              <w:t>Stephanie Richards</w:t>
            </w:r>
          </w:p>
        </w:tc>
        <w:tc>
          <w:tcPr>
            <w:tcW w:w="2960" w:type="dxa"/>
            <w:vAlign w:val="bottom"/>
          </w:tcPr>
          <w:p>
            <w:pPr>
              <w:jc w:val="center"/>
              <w:ind w:left="1524"/>
              <w:spacing w:after="0" w:line="116" w:lineRule="exact"/>
              <w:rPr>
                <w:sz w:val="20"/>
                <w:szCs w:val="20"/>
                <w:color w:val="auto"/>
              </w:rPr>
            </w:pPr>
            <w:r>
              <w:rPr>
                <w:rFonts w:ascii="Times New Roman" w:cs="Times New Roman" w:eastAsia="Times New Roman" w:hAnsi="Times New Roman"/>
                <w:sz w:val="11"/>
                <w:szCs w:val="11"/>
                <w:b w:val="1"/>
                <w:bCs w:val="1"/>
                <w:color w:val="auto"/>
              </w:rPr>
              <w:t>Yasin Keshvargar</w:t>
            </w:r>
          </w:p>
        </w:tc>
      </w:tr>
      <w:tr>
        <w:trPr>
          <w:trHeight w:val="116"/>
        </w:trPr>
        <w:tc>
          <w:tcPr>
            <w:tcW w:w="1760" w:type="dxa"/>
            <w:vAlign w:val="bottom"/>
          </w:tcPr>
          <w:p>
            <w:pPr>
              <w:jc w:val="center"/>
              <w:ind w:right="324"/>
              <w:spacing w:after="0" w:line="116" w:lineRule="exact"/>
              <w:rPr>
                <w:sz w:val="20"/>
                <w:szCs w:val="20"/>
                <w:color w:val="auto"/>
              </w:rPr>
            </w:pPr>
            <w:r>
              <w:rPr>
                <w:rFonts w:ascii="Times New Roman" w:cs="Times New Roman" w:eastAsia="Times New Roman" w:hAnsi="Times New Roman"/>
                <w:sz w:val="11"/>
                <w:szCs w:val="11"/>
                <w:b w:val="1"/>
                <w:bCs w:val="1"/>
                <w:color w:val="auto"/>
              </w:rPr>
              <w:t>Kristen M. McCarthy</w:t>
            </w:r>
          </w:p>
        </w:tc>
        <w:tc>
          <w:tcPr>
            <w:tcW w:w="2960" w:type="dxa"/>
            <w:vAlign w:val="bottom"/>
          </w:tcPr>
          <w:p>
            <w:pPr>
              <w:jc w:val="center"/>
              <w:ind w:left="1524"/>
              <w:spacing w:after="0" w:line="116" w:lineRule="exact"/>
              <w:rPr>
                <w:sz w:val="20"/>
                <w:szCs w:val="20"/>
                <w:color w:val="auto"/>
              </w:rPr>
            </w:pPr>
            <w:r>
              <w:rPr>
                <w:rFonts w:ascii="Times New Roman" w:cs="Times New Roman" w:eastAsia="Times New Roman" w:hAnsi="Times New Roman"/>
                <w:sz w:val="11"/>
                <w:szCs w:val="11"/>
                <w:b w:val="1"/>
                <w:bCs w:val="1"/>
                <w:color w:val="auto"/>
              </w:rPr>
              <w:t>Davis Polk &amp; Wardwell LLP</w:t>
            </w:r>
          </w:p>
        </w:tc>
      </w:tr>
      <w:tr>
        <w:trPr>
          <w:trHeight w:val="116"/>
        </w:trPr>
        <w:tc>
          <w:tcPr>
            <w:tcW w:w="1760" w:type="dxa"/>
            <w:vAlign w:val="bottom"/>
          </w:tcPr>
          <w:p>
            <w:pPr>
              <w:jc w:val="center"/>
              <w:ind w:right="324"/>
              <w:spacing w:after="0" w:line="116" w:lineRule="exact"/>
              <w:rPr>
                <w:sz w:val="20"/>
                <w:szCs w:val="20"/>
                <w:color w:val="auto"/>
              </w:rPr>
            </w:pPr>
            <w:r>
              <w:rPr>
                <w:rFonts w:ascii="Times New Roman" w:cs="Times New Roman" w:eastAsia="Times New Roman" w:hAnsi="Times New Roman"/>
                <w:sz w:val="11"/>
                <w:szCs w:val="11"/>
                <w:b w:val="1"/>
                <w:bCs w:val="1"/>
                <w:color w:val="auto"/>
              </w:rPr>
              <w:t>Goodwin Procter LLP</w:t>
            </w:r>
          </w:p>
        </w:tc>
        <w:tc>
          <w:tcPr>
            <w:tcW w:w="2960" w:type="dxa"/>
            <w:vAlign w:val="bottom"/>
          </w:tcPr>
          <w:p>
            <w:pPr>
              <w:jc w:val="center"/>
              <w:ind w:left="1544"/>
              <w:spacing w:after="0" w:line="116" w:lineRule="exact"/>
              <w:rPr>
                <w:sz w:val="20"/>
                <w:szCs w:val="20"/>
                <w:color w:val="auto"/>
              </w:rPr>
            </w:pPr>
            <w:r>
              <w:rPr>
                <w:rFonts w:ascii="Times New Roman" w:cs="Times New Roman" w:eastAsia="Times New Roman" w:hAnsi="Times New Roman"/>
                <w:sz w:val="11"/>
                <w:szCs w:val="11"/>
                <w:b w:val="1"/>
                <w:bCs w:val="1"/>
                <w:color w:val="auto"/>
              </w:rPr>
              <w:t>450 Lexington Avenue</w:t>
            </w:r>
          </w:p>
        </w:tc>
      </w:tr>
      <w:tr>
        <w:trPr>
          <w:trHeight w:val="116"/>
        </w:trPr>
        <w:tc>
          <w:tcPr>
            <w:tcW w:w="1760" w:type="dxa"/>
            <w:vAlign w:val="bottom"/>
          </w:tcPr>
          <w:p>
            <w:pPr>
              <w:jc w:val="center"/>
              <w:ind w:right="324"/>
              <w:spacing w:after="0" w:line="116" w:lineRule="exact"/>
              <w:rPr>
                <w:sz w:val="20"/>
                <w:szCs w:val="20"/>
                <w:color w:val="auto"/>
              </w:rPr>
            </w:pPr>
            <w:r>
              <w:rPr>
                <w:rFonts w:ascii="Times New Roman" w:cs="Times New Roman" w:eastAsia="Times New Roman" w:hAnsi="Times New Roman"/>
                <w:sz w:val="11"/>
                <w:szCs w:val="11"/>
                <w:b w:val="1"/>
                <w:bCs w:val="1"/>
                <w:color w:val="auto"/>
              </w:rPr>
              <w:t>100 Northern Avenue</w:t>
            </w:r>
          </w:p>
        </w:tc>
        <w:tc>
          <w:tcPr>
            <w:tcW w:w="2960" w:type="dxa"/>
            <w:vAlign w:val="bottom"/>
          </w:tcPr>
          <w:p>
            <w:pPr>
              <w:jc w:val="center"/>
              <w:ind w:left="1524"/>
              <w:spacing w:after="0" w:line="116" w:lineRule="exact"/>
              <w:rPr>
                <w:sz w:val="20"/>
                <w:szCs w:val="20"/>
                <w:color w:val="auto"/>
              </w:rPr>
            </w:pPr>
            <w:r>
              <w:rPr>
                <w:rFonts w:ascii="Times New Roman" w:cs="Times New Roman" w:eastAsia="Times New Roman" w:hAnsi="Times New Roman"/>
                <w:sz w:val="11"/>
                <w:szCs w:val="11"/>
                <w:b w:val="1"/>
                <w:bCs w:val="1"/>
                <w:color w:val="auto"/>
              </w:rPr>
              <w:t>New York, New York 10017</w:t>
            </w:r>
          </w:p>
        </w:tc>
      </w:tr>
      <w:tr>
        <w:trPr>
          <w:trHeight w:val="116"/>
        </w:trPr>
        <w:tc>
          <w:tcPr>
            <w:tcW w:w="1760" w:type="dxa"/>
            <w:vAlign w:val="bottom"/>
          </w:tcPr>
          <w:p>
            <w:pPr>
              <w:jc w:val="center"/>
              <w:ind w:right="324"/>
              <w:spacing w:after="0" w:line="116" w:lineRule="exact"/>
              <w:rPr>
                <w:sz w:val="20"/>
                <w:szCs w:val="20"/>
                <w:color w:val="auto"/>
              </w:rPr>
            </w:pPr>
            <w:r>
              <w:rPr>
                <w:rFonts w:ascii="Times New Roman" w:cs="Times New Roman" w:eastAsia="Times New Roman" w:hAnsi="Times New Roman"/>
                <w:sz w:val="11"/>
                <w:szCs w:val="11"/>
                <w:b w:val="1"/>
                <w:bCs w:val="1"/>
                <w:color w:val="auto"/>
              </w:rPr>
              <w:t>Boston, Massachusetts 02210</w:t>
            </w:r>
          </w:p>
        </w:tc>
        <w:tc>
          <w:tcPr>
            <w:tcW w:w="2960" w:type="dxa"/>
            <w:vAlign w:val="bottom"/>
          </w:tcPr>
          <w:p>
            <w:pPr>
              <w:jc w:val="center"/>
              <w:ind w:left="1524"/>
              <w:spacing w:after="0" w:line="116" w:lineRule="exact"/>
              <w:rPr>
                <w:sz w:val="20"/>
                <w:szCs w:val="20"/>
                <w:color w:val="auto"/>
              </w:rPr>
            </w:pPr>
            <w:r>
              <w:rPr>
                <w:rFonts w:ascii="Times New Roman" w:cs="Times New Roman" w:eastAsia="Times New Roman" w:hAnsi="Times New Roman"/>
                <w:sz w:val="11"/>
                <w:szCs w:val="11"/>
                <w:b w:val="1"/>
                <w:bCs w:val="1"/>
                <w:color w:val="auto"/>
              </w:rPr>
              <w:t>(212) 450-4000</w:t>
            </w:r>
          </w:p>
        </w:tc>
      </w:tr>
      <w:tr>
        <w:trPr>
          <w:trHeight w:val="148"/>
        </w:trPr>
        <w:tc>
          <w:tcPr>
            <w:tcW w:w="1760" w:type="dxa"/>
            <w:vAlign w:val="bottom"/>
          </w:tcPr>
          <w:p>
            <w:pPr>
              <w:jc w:val="center"/>
              <w:ind w:right="324"/>
              <w:spacing w:after="0"/>
              <w:rPr>
                <w:sz w:val="20"/>
                <w:szCs w:val="20"/>
                <w:color w:val="auto"/>
              </w:rPr>
            </w:pPr>
            <w:r>
              <w:rPr>
                <w:rFonts w:ascii="Times New Roman" w:cs="Times New Roman" w:eastAsia="Times New Roman" w:hAnsi="Times New Roman"/>
                <w:sz w:val="11"/>
                <w:szCs w:val="11"/>
                <w:b w:val="1"/>
                <w:bCs w:val="1"/>
                <w:color w:val="auto"/>
              </w:rPr>
              <w:t>(617) 570-1000</w:t>
            </w:r>
          </w:p>
        </w:tc>
        <w:tc>
          <w:tcPr>
            <w:tcW w:w="2960" w:type="dxa"/>
            <w:vAlign w:val="bottom"/>
          </w:tcPr>
          <w:p>
            <w:pPr>
              <w:spacing w:after="0"/>
              <w:rPr>
                <w:sz w:val="12"/>
                <w:szCs w:val="1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2442845</wp:posOffset>
            </wp:positionH>
            <wp:positionV relativeFrom="paragraph">
              <wp:posOffset>45085</wp:posOffset>
            </wp:positionV>
            <wp:extent cx="83439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34390" cy="6985"/>
                    </a:xfrm>
                    <a:prstGeom prst="rect">
                      <a:avLst/>
                    </a:prstGeom>
                    <a:noFill/>
                  </pic:spPr>
                </pic:pic>
              </a:graphicData>
            </a:graphic>
          </wp:anchor>
        </w:drawing>
      </w:r>
    </w:p>
    <w:p>
      <w:pPr>
        <w:spacing w:after="0" w:line="116" w:lineRule="exact"/>
        <w:rPr>
          <w:sz w:val="24"/>
          <w:szCs w:val="24"/>
          <w:color w:val="auto"/>
        </w:rPr>
      </w:pPr>
    </w:p>
    <w:p>
      <w:pPr>
        <w:ind w:left="1560"/>
        <w:spacing w:after="0"/>
        <w:rPr>
          <w:sz w:val="20"/>
          <w:szCs w:val="20"/>
          <w:color w:val="auto"/>
        </w:rPr>
      </w:pPr>
      <w:r>
        <w:rPr>
          <w:rFonts w:ascii="Times New Roman" w:cs="Times New Roman" w:eastAsia="Times New Roman" w:hAnsi="Times New Roman"/>
          <w:sz w:val="9"/>
          <w:szCs w:val="9"/>
          <w:b w:val="1"/>
          <w:bCs w:val="1"/>
          <w:color w:val="auto"/>
        </w:rPr>
        <w:t>A</w:t>
      </w:r>
      <w:r>
        <w:rPr>
          <w:rFonts w:ascii="Times New Roman" w:cs="Times New Roman" w:eastAsia="Times New Roman" w:hAnsi="Times New Roman"/>
          <w:sz w:val="9"/>
          <w:szCs w:val="9"/>
          <w:color w:val="auto"/>
        </w:rPr>
        <w:t>pproximate date of commencement of proposed sale to the public: As soon as practicable after this registration statement becomes effective.</w:t>
      </w:r>
    </w:p>
    <w:p>
      <w:pPr>
        <w:spacing w:after="0" w:line="25" w:lineRule="exact"/>
        <w:rPr>
          <w:sz w:val="24"/>
          <w:szCs w:val="24"/>
          <w:color w:val="auto"/>
        </w:rPr>
      </w:pPr>
    </w:p>
    <w:p>
      <w:pPr>
        <w:jc w:val="both"/>
        <w:ind w:left="1220" w:right="1239" w:firstLine="333"/>
        <w:spacing w:after="0" w:line="120" w:lineRule="exact"/>
        <w:rPr>
          <w:sz w:val="20"/>
          <w:szCs w:val="20"/>
          <w:color w:val="auto"/>
        </w:rPr>
      </w:pPr>
      <w:r>
        <w:rPr>
          <w:rFonts w:ascii="Times New Roman" w:cs="Times New Roman" w:eastAsia="Times New Roman" w:hAnsi="Times New Roman"/>
          <w:sz w:val="9"/>
          <w:szCs w:val="9"/>
          <w:color w:val="auto"/>
        </w:rPr>
        <w:t xml:space="preserve">If any of the securities being registered on this Form are to be offered on a delayed or continuous basis pursuant to Rule 415 under the Securities Act of 1933, as amended, check the following box:  </w:t>
      </w:r>
      <w:r>
        <w:rPr>
          <w:rFonts w:ascii="MS PGothic" w:cs="MS PGothic" w:eastAsia="MS PGothic" w:hAnsi="MS PGothic"/>
          <w:sz w:val="9"/>
          <w:szCs w:val="9"/>
          <w:color w:val="auto"/>
        </w:rPr>
        <w:t>☐</w:t>
      </w:r>
    </w:p>
    <w:p>
      <w:pPr>
        <w:spacing w:after="0" w:line="4" w:lineRule="exact"/>
        <w:rPr>
          <w:sz w:val="24"/>
          <w:szCs w:val="24"/>
          <w:color w:val="auto"/>
        </w:rPr>
      </w:pPr>
    </w:p>
    <w:p>
      <w:pPr>
        <w:jc w:val="both"/>
        <w:ind w:left="1220" w:right="1239" w:firstLine="333"/>
        <w:spacing w:after="0" w:line="120" w:lineRule="exact"/>
        <w:rPr>
          <w:sz w:val="20"/>
          <w:szCs w:val="20"/>
          <w:color w:val="auto"/>
        </w:rPr>
      </w:pPr>
      <w:r>
        <w:rPr>
          <w:rFonts w:ascii="Times New Roman" w:cs="Times New Roman" w:eastAsia="Times New Roman" w:hAnsi="Times New Roman"/>
          <w:sz w:val="9"/>
          <w:szCs w:val="9"/>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spacing w:after="0" w:line="4" w:lineRule="exact"/>
        <w:rPr>
          <w:sz w:val="24"/>
          <w:szCs w:val="24"/>
          <w:color w:val="auto"/>
        </w:rPr>
      </w:pPr>
    </w:p>
    <w:p>
      <w:pPr>
        <w:jc w:val="both"/>
        <w:ind w:left="1220" w:right="1239" w:firstLine="333"/>
        <w:spacing w:after="0" w:line="120" w:lineRule="exact"/>
        <w:rPr>
          <w:sz w:val="20"/>
          <w:szCs w:val="20"/>
          <w:color w:val="auto"/>
        </w:rPr>
      </w:pPr>
      <w:r>
        <w:rPr>
          <w:rFonts w:ascii="Times New Roman" w:cs="Times New Roman" w:eastAsia="Times New Roman" w:hAnsi="Times New Roman"/>
          <w:sz w:val="9"/>
          <w:szCs w:val="9"/>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jc w:val="both"/>
        <w:ind w:left="1220" w:right="1239" w:firstLine="333"/>
        <w:spacing w:after="0" w:line="116" w:lineRule="exact"/>
        <w:rPr>
          <w:sz w:val="20"/>
          <w:szCs w:val="20"/>
          <w:color w:val="auto"/>
        </w:rPr>
      </w:pPr>
      <w:r>
        <w:rPr>
          <w:rFonts w:ascii="Times New Roman" w:cs="Times New Roman" w:eastAsia="Times New Roman" w:hAnsi="Times New Roman"/>
          <w:sz w:val="9"/>
          <w:szCs w:val="9"/>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9"/>
          <w:szCs w:val="9"/>
          <w:color w:val="auto"/>
        </w:rPr>
        <w:t>☐</w:t>
      </w:r>
    </w:p>
    <w:p>
      <w:pPr>
        <w:spacing w:after="0" w:line="4" w:lineRule="exact"/>
        <w:rPr>
          <w:sz w:val="24"/>
          <w:szCs w:val="24"/>
          <w:color w:val="auto"/>
        </w:rPr>
      </w:pPr>
    </w:p>
    <w:p>
      <w:pPr>
        <w:jc w:val="both"/>
        <w:ind w:left="1220" w:right="1239" w:firstLine="333"/>
        <w:spacing w:after="0" w:line="275" w:lineRule="auto"/>
        <w:rPr>
          <w:sz w:val="20"/>
          <w:szCs w:val="20"/>
          <w:color w:val="auto"/>
        </w:rPr>
      </w:pPr>
      <w:r>
        <w:rPr>
          <w:rFonts w:ascii="Times New Roman" w:cs="Times New Roman" w:eastAsia="Times New Roman" w:hAnsi="Times New Roman"/>
          <w:sz w:val="9"/>
          <w:szCs w:val="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 w:lineRule="exact"/>
        <w:rPr>
          <w:sz w:val="24"/>
          <w:szCs w:val="24"/>
          <w:color w:val="auto"/>
        </w:rPr>
      </w:pPr>
    </w:p>
    <w:tbl>
      <w:tblPr>
        <w:tblLayout w:type="fixed"/>
        <w:tblInd w:w="1220" w:type="dxa"/>
        <w:tblCellMar>
          <w:top w:w="0" w:type="dxa"/>
          <w:left w:w="0" w:type="dxa"/>
          <w:bottom w:w="0" w:type="dxa"/>
          <w:right w:w="0" w:type="dxa"/>
        </w:tblCellMar>
      </w:tblPr>
      <w:tr>
        <w:trPr>
          <w:trHeight w:val="110"/>
        </w:trPr>
        <w:tc>
          <w:tcPr>
            <w:tcW w:w="980" w:type="dxa"/>
            <w:vAlign w:val="bottom"/>
          </w:tcPr>
          <w:p>
            <w:pPr>
              <w:spacing w:after="0"/>
              <w:rPr>
                <w:sz w:val="20"/>
                <w:szCs w:val="20"/>
                <w:color w:val="auto"/>
              </w:rPr>
            </w:pPr>
            <w:r>
              <w:rPr>
                <w:rFonts w:ascii="Times New Roman" w:cs="Times New Roman" w:eastAsia="Times New Roman" w:hAnsi="Times New Roman"/>
                <w:sz w:val="9"/>
                <w:szCs w:val="9"/>
                <w:color w:val="auto"/>
              </w:rPr>
              <w:t>Large accelerated filer</w:t>
            </w:r>
          </w:p>
        </w:tc>
        <w:tc>
          <w:tcPr>
            <w:tcW w:w="1980" w:type="dxa"/>
            <w:vAlign w:val="bottom"/>
          </w:tcPr>
          <w:p>
            <w:pPr>
              <w:ind w:left="140"/>
              <w:spacing w:after="0" w:line="91" w:lineRule="exact"/>
              <w:rPr>
                <w:sz w:val="20"/>
                <w:szCs w:val="20"/>
                <w:color w:val="auto"/>
              </w:rPr>
            </w:pPr>
            <w:r>
              <w:rPr>
                <w:rFonts w:ascii="MS PGothic" w:cs="MS PGothic" w:eastAsia="MS PGothic" w:hAnsi="MS PGothic"/>
                <w:sz w:val="9"/>
                <w:szCs w:val="9"/>
                <w:color w:val="auto"/>
              </w:rPr>
              <w:t>☐</w:t>
            </w:r>
          </w:p>
        </w:tc>
        <w:tc>
          <w:tcPr>
            <w:tcW w:w="3060" w:type="dxa"/>
            <w:vAlign w:val="bottom"/>
          </w:tcPr>
          <w:p>
            <w:pPr>
              <w:ind w:left="1740"/>
              <w:spacing w:after="0"/>
              <w:rPr>
                <w:sz w:val="20"/>
                <w:szCs w:val="20"/>
                <w:color w:val="auto"/>
              </w:rPr>
            </w:pPr>
            <w:r>
              <w:rPr>
                <w:rFonts w:ascii="Times New Roman" w:cs="Times New Roman" w:eastAsia="Times New Roman" w:hAnsi="Times New Roman"/>
                <w:sz w:val="9"/>
                <w:szCs w:val="9"/>
                <w:color w:val="auto"/>
              </w:rPr>
              <w:t>Accelerated filer</w:t>
            </w:r>
          </w:p>
        </w:tc>
        <w:tc>
          <w:tcPr>
            <w:tcW w:w="420" w:type="dxa"/>
            <w:vAlign w:val="bottom"/>
          </w:tcPr>
          <w:p>
            <w:pPr>
              <w:ind w:left="340"/>
              <w:spacing w:after="0" w:line="81" w:lineRule="exact"/>
              <w:rPr>
                <w:sz w:val="20"/>
                <w:szCs w:val="20"/>
                <w:color w:val="auto"/>
              </w:rPr>
            </w:pPr>
            <w:r>
              <w:rPr>
                <w:rFonts w:ascii="MS PGothic" w:cs="MS PGothic" w:eastAsia="MS PGothic" w:hAnsi="MS PGothic"/>
                <w:sz w:val="8"/>
                <w:szCs w:val="8"/>
                <w:color w:val="auto"/>
                <w:w w:val="74"/>
              </w:rPr>
              <w:t>☐</w:t>
            </w:r>
          </w:p>
        </w:tc>
      </w:tr>
      <w:tr>
        <w:trPr>
          <w:trHeight w:val="105"/>
        </w:trPr>
        <w:tc>
          <w:tcPr>
            <w:tcW w:w="980" w:type="dxa"/>
            <w:vAlign w:val="bottom"/>
          </w:tcPr>
          <w:p>
            <w:pPr>
              <w:spacing w:after="0"/>
              <w:rPr>
                <w:sz w:val="20"/>
                <w:szCs w:val="20"/>
                <w:color w:val="auto"/>
              </w:rPr>
            </w:pPr>
            <w:r>
              <w:rPr>
                <w:rFonts w:ascii="Times New Roman" w:cs="Times New Roman" w:eastAsia="Times New Roman" w:hAnsi="Times New Roman"/>
                <w:sz w:val="9"/>
                <w:szCs w:val="9"/>
                <w:color w:val="auto"/>
              </w:rPr>
              <w:t>Non-accelerated filer</w:t>
            </w:r>
          </w:p>
        </w:tc>
        <w:tc>
          <w:tcPr>
            <w:tcW w:w="1980" w:type="dxa"/>
            <w:vAlign w:val="bottom"/>
          </w:tcPr>
          <w:p>
            <w:pPr>
              <w:ind w:left="140"/>
              <w:spacing w:after="0" w:line="91" w:lineRule="exact"/>
              <w:rPr>
                <w:sz w:val="20"/>
                <w:szCs w:val="20"/>
                <w:color w:val="auto"/>
              </w:rPr>
            </w:pPr>
            <w:r>
              <w:rPr>
                <w:rFonts w:ascii="MS PGothic" w:cs="MS PGothic" w:eastAsia="MS PGothic" w:hAnsi="MS PGothic"/>
                <w:sz w:val="9"/>
                <w:szCs w:val="9"/>
                <w:color w:val="auto"/>
              </w:rPr>
              <w:t>☒</w:t>
            </w:r>
          </w:p>
        </w:tc>
        <w:tc>
          <w:tcPr>
            <w:tcW w:w="3060" w:type="dxa"/>
            <w:vAlign w:val="bottom"/>
          </w:tcPr>
          <w:p>
            <w:pPr>
              <w:ind w:left="1740"/>
              <w:spacing w:after="0"/>
              <w:rPr>
                <w:sz w:val="20"/>
                <w:szCs w:val="20"/>
                <w:color w:val="auto"/>
              </w:rPr>
            </w:pPr>
            <w:r>
              <w:rPr>
                <w:rFonts w:ascii="Times New Roman" w:cs="Times New Roman" w:eastAsia="Times New Roman" w:hAnsi="Times New Roman"/>
                <w:sz w:val="9"/>
                <w:szCs w:val="9"/>
                <w:color w:val="auto"/>
              </w:rPr>
              <w:t>Smaller reporting company</w:t>
            </w:r>
          </w:p>
        </w:tc>
        <w:tc>
          <w:tcPr>
            <w:tcW w:w="420" w:type="dxa"/>
            <w:vAlign w:val="bottom"/>
          </w:tcPr>
          <w:p>
            <w:pPr>
              <w:ind w:left="340"/>
              <w:spacing w:after="0" w:line="81" w:lineRule="exact"/>
              <w:rPr>
                <w:sz w:val="20"/>
                <w:szCs w:val="20"/>
                <w:color w:val="auto"/>
              </w:rPr>
            </w:pPr>
            <w:r>
              <w:rPr>
                <w:rFonts w:ascii="MS PGothic" w:cs="MS PGothic" w:eastAsia="MS PGothic" w:hAnsi="MS PGothic"/>
                <w:sz w:val="8"/>
                <w:szCs w:val="8"/>
                <w:color w:val="auto"/>
                <w:w w:val="74"/>
              </w:rPr>
              <w:t>☒</w:t>
            </w:r>
          </w:p>
        </w:tc>
      </w:tr>
      <w:tr>
        <w:trPr>
          <w:trHeight w:val="152"/>
        </w:trPr>
        <w:tc>
          <w:tcPr>
            <w:tcW w:w="98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3060" w:type="dxa"/>
            <w:vAlign w:val="bottom"/>
          </w:tcPr>
          <w:p>
            <w:pPr>
              <w:ind w:left="1740"/>
              <w:spacing w:after="0"/>
              <w:rPr>
                <w:sz w:val="20"/>
                <w:szCs w:val="20"/>
                <w:color w:val="auto"/>
              </w:rPr>
            </w:pPr>
            <w:r>
              <w:rPr>
                <w:rFonts w:ascii="Times New Roman" w:cs="Times New Roman" w:eastAsia="Times New Roman" w:hAnsi="Times New Roman"/>
                <w:sz w:val="9"/>
                <w:szCs w:val="9"/>
                <w:color w:val="auto"/>
              </w:rPr>
              <w:t>Emerging growth company</w:t>
            </w:r>
          </w:p>
        </w:tc>
        <w:tc>
          <w:tcPr>
            <w:tcW w:w="420" w:type="dxa"/>
            <w:vAlign w:val="bottom"/>
          </w:tcPr>
          <w:p>
            <w:pPr>
              <w:ind w:left="340"/>
              <w:spacing w:after="0" w:line="81" w:lineRule="exact"/>
              <w:rPr>
                <w:sz w:val="20"/>
                <w:szCs w:val="20"/>
                <w:color w:val="auto"/>
              </w:rPr>
            </w:pPr>
            <w:r>
              <w:rPr>
                <w:rFonts w:ascii="MS PGothic" w:cs="MS PGothic" w:eastAsia="MS PGothic" w:hAnsi="MS PGothic"/>
                <w:sz w:val="8"/>
                <w:szCs w:val="8"/>
                <w:color w:val="auto"/>
                <w:w w:val="74"/>
              </w:rPr>
              <w:t>☒</w:t>
            </w:r>
          </w:p>
        </w:tc>
      </w:tr>
    </w:tbl>
    <w:p>
      <w:pPr>
        <w:spacing w:after="0" w:line="30" w:lineRule="exact"/>
        <w:rPr>
          <w:sz w:val="24"/>
          <w:szCs w:val="24"/>
          <w:color w:val="auto"/>
        </w:rPr>
      </w:pPr>
    </w:p>
    <w:p>
      <w:pPr>
        <w:jc w:val="both"/>
        <w:ind w:left="1220" w:right="1239" w:firstLine="333"/>
        <w:spacing w:after="0" w:line="120" w:lineRule="exact"/>
        <w:rPr>
          <w:sz w:val="20"/>
          <w:szCs w:val="20"/>
          <w:color w:val="auto"/>
        </w:rPr>
      </w:pPr>
      <w:r>
        <w:rPr>
          <w:rFonts w:ascii="Times New Roman" w:cs="Times New Roman" w:eastAsia="Times New Roman" w:hAnsi="Times New Roman"/>
          <w:sz w:val="9"/>
          <w:szCs w:val="9"/>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9"/>
          <w:szCs w:val="9"/>
          <w:color w:val="auto"/>
        </w:rPr>
        <w:t>☐</w:t>
      </w:r>
    </w:p>
    <w:p>
      <w:pPr>
        <w:spacing w:after="0" w:line="20" w:lineRule="exact"/>
        <w:rPr>
          <w:sz w:val="24"/>
          <w:szCs w:val="24"/>
          <w:color w:val="auto"/>
        </w:rPr>
      </w:pPr>
    </w:p>
    <w:p>
      <w:pPr>
        <w:jc w:val="both"/>
        <w:ind w:left="1220" w:right="1239" w:firstLine="333"/>
        <w:spacing w:after="0" w:line="268" w:lineRule="auto"/>
        <w:rPr>
          <w:sz w:val="20"/>
          <w:szCs w:val="20"/>
          <w:color w:val="auto"/>
        </w:rPr>
      </w:pPr>
      <w:r>
        <w:rPr>
          <w:rFonts w:ascii="Times New Roman" w:cs="Times New Roman" w:eastAsia="Times New Roman" w:hAnsi="Times New Roman"/>
          <w:sz w:val="8"/>
          <w:szCs w:val="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120650</wp:posOffset>
            </wp:positionH>
            <wp:positionV relativeFrom="paragraph">
              <wp:posOffset>847090</wp:posOffset>
            </wp:positionV>
            <wp:extent cx="54857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38735</wp:posOffset>
            </wp:positionV>
            <wp:extent cx="416560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165600"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52070</wp:posOffset>
            </wp:positionV>
            <wp:extent cx="416560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00" w:type="dxa"/>
        <w:tblCellMar>
          <w:top w:w="0" w:type="dxa"/>
          <w:left w:w="0" w:type="dxa"/>
          <w:bottom w:w="0" w:type="dxa"/>
          <w:right w:w="0" w:type="dxa"/>
        </w:tblCellMar>
      </w:tblPr>
      <w:tr>
        <w:trPr>
          <w:trHeight w:val="3493"/>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DE1A1E"/>
                <w:w w:val="99"/>
              </w:rPr>
              <w:t>sell these securities until the registration statement filed with</w:t>
            </w:r>
          </w:p>
        </w:tc>
        <w:tc>
          <w:tcPr>
            <w:tcW w:w="240" w:type="dxa"/>
            <w:vAlign w:val="bottom"/>
            <w:textDirection w:val="btLr"/>
          </w:tcPr>
          <w:p>
            <w:pPr>
              <w:ind w:left="16"/>
              <w:spacing w:after="0"/>
              <w:rPr>
                <w:sz w:val="20"/>
                <w:szCs w:val="20"/>
                <w:color w:val="auto"/>
              </w:rPr>
            </w:pPr>
            <w:r>
              <w:rPr>
                <w:rFonts w:ascii="Arial" w:cs="Arial" w:eastAsia="Arial" w:hAnsi="Arial"/>
                <w:sz w:val="12"/>
                <w:szCs w:val="12"/>
                <w:b w:val="1"/>
                <w:bCs w:val="1"/>
                <w:color w:val="DE1A1E"/>
              </w:rPr>
              <w:t>to sell these securities and it is not soliciting an offer to buy</w:t>
            </w:r>
          </w:p>
        </w:tc>
      </w:tr>
      <w:tr>
        <w:trPr>
          <w:trHeight w:val="4509"/>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DE1A1E"/>
              </w:rPr>
              <w:t>this preliminary prospectus is not complete and may be changed. We may not</w:t>
            </w:r>
          </w:p>
        </w:tc>
        <w:tc>
          <w:tcPr>
            <w:tcW w:w="240" w:type="dxa"/>
            <w:vAlign w:val="bottom"/>
            <w:textDirection w:val="btLr"/>
          </w:tcPr>
          <w:p>
            <w:pPr>
              <w:ind w:left="148"/>
              <w:spacing w:after="0"/>
              <w:rPr>
                <w:sz w:val="20"/>
                <w:szCs w:val="20"/>
                <w:color w:val="auto"/>
              </w:rPr>
            </w:pPr>
            <w:r>
              <w:rPr>
                <w:rFonts w:ascii="Arial" w:cs="Arial" w:eastAsia="Arial" w:hAnsi="Arial"/>
                <w:sz w:val="8"/>
                <w:szCs w:val="8"/>
                <w:b w:val="1"/>
                <w:bCs w:val="1"/>
                <w:color w:val="DE1A1E"/>
                <w:w w:val="83"/>
              </w:rPr>
              <w:t>Exchange Commission is effective. This preliminary prospectus is not an offeranystateorotherjurisdictionwheretheofferorsaleisnotpermitted.</w:t>
            </w:r>
          </w:p>
        </w:tc>
      </w:tr>
      <w:tr>
        <w:trPr>
          <w:trHeight w:val="1072"/>
        </w:trPr>
        <w:tc>
          <w:tcPr>
            <w:tcW w:w="120" w:type="dxa"/>
            <w:vAlign w:val="bottom"/>
            <w:textDirection w:val="btLr"/>
          </w:tcPr>
          <w:p>
            <w:pPr>
              <w:spacing w:after="0"/>
              <w:rPr>
                <w:sz w:val="20"/>
                <w:szCs w:val="20"/>
                <w:color w:val="auto"/>
              </w:rPr>
            </w:pPr>
            <w:r>
              <w:rPr>
                <w:rFonts w:ascii="Arial" w:cs="Arial" w:eastAsia="Arial" w:hAnsi="Arial"/>
                <w:sz w:val="12"/>
                <w:szCs w:val="12"/>
                <w:b w:val="1"/>
                <w:bCs w:val="1"/>
                <w:color w:val="DE1A1E"/>
                <w:w w:val="99"/>
              </w:rPr>
              <w:t>The information in</w:t>
            </w:r>
          </w:p>
        </w:tc>
        <w:tc>
          <w:tcPr>
            <w:tcW w:w="240" w:type="dxa"/>
            <w:vAlign w:val="bottom"/>
            <w:textDirection w:val="btLr"/>
          </w:tcPr>
          <w:p>
            <w:pPr>
              <w:ind w:left="148"/>
              <w:spacing w:after="0"/>
              <w:rPr>
                <w:sz w:val="20"/>
                <w:szCs w:val="20"/>
                <w:color w:val="auto"/>
              </w:rPr>
            </w:pPr>
            <w:r>
              <w:rPr>
                <w:rFonts w:ascii="Arial" w:cs="Arial" w:eastAsia="Arial" w:hAnsi="Arial"/>
                <w:sz w:val="8"/>
                <w:szCs w:val="8"/>
                <w:b w:val="1"/>
                <w:bCs w:val="1"/>
                <w:color w:val="DE1A1E"/>
                <w:w w:val="75"/>
              </w:rPr>
              <w:t>the Securities andthesesecuritiesin</w:t>
            </w:r>
          </w:p>
        </w:tc>
      </w:tr>
    </w:tbl>
    <w:p>
      <w:pPr>
        <w:spacing w:after="0" w:line="20" w:lineRule="exact"/>
        <w:rPr>
          <w:sz w:val="20"/>
          <w:szCs w:val="20"/>
          <w:color w:val="auto"/>
        </w:rPr>
      </w:pPr>
      <w:r>
        <w:rPr>
          <w:sz w:val="20"/>
          <w:szCs w:val="20"/>
          <w:color w:val="auto"/>
        </w:rPr>
        <w:br w:type="column"/>
      </w:r>
    </w:p>
    <w:p>
      <w:pPr>
        <w:ind w:left="68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CC0000"/>
        </w:rPr>
        <w:t>PRELIMINARY PROSPECTUS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CC0000"/>
        </w:rPr>
        <w:t>Subject to Completion, Dated April 8, 2026</w:t>
      </w:r>
    </w:p>
    <w:p>
      <w:pPr>
        <w:spacing w:after="0" w:line="129" w:lineRule="exact"/>
        <w:rPr>
          <w:sz w:val="20"/>
          <w:szCs w:val="20"/>
          <w:color w:val="auto"/>
        </w:rPr>
      </w:pPr>
    </w:p>
    <w:p>
      <w:pPr>
        <w:ind w:left="2960" w:hanging="203"/>
        <w:spacing w:after="0"/>
        <w:tabs>
          <w:tab w:leader="none" w:pos="296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5"/>
          <w:szCs w:val="25"/>
          <w:i w:val="1"/>
          <w:i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1400810</wp:posOffset>
            </wp:positionH>
            <wp:positionV relativeFrom="paragraph">
              <wp:posOffset>80645</wp:posOffset>
            </wp:positionV>
            <wp:extent cx="1368425" cy="767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68425" cy="767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279"/>
        <w:spacing w:after="0"/>
        <w:rPr>
          <w:sz w:val="20"/>
          <w:szCs w:val="20"/>
          <w:color w:val="auto"/>
        </w:rPr>
      </w:pPr>
      <w:r>
        <w:rPr>
          <w:rFonts w:ascii="Times New Roman" w:cs="Times New Roman" w:eastAsia="Times New Roman" w:hAnsi="Times New Roman"/>
          <w:sz w:val="17"/>
          <w:szCs w:val="17"/>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78740</wp:posOffset>
            </wp:positionV>
            <wp:extent cx="96139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60" w:lineRule="exact"/>
        <w:rPr>
          <w:sz w:val="20"/>
          <w:szCs w:val="20"/>
          <w:color w:val="auto"/>
        </w:rPr>
      </w:pPr>
    </w:p>
    <w:p>
      <w:pPr>
        <w:jc w:val="both"/>
        <w:ind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This is the initial public offering of shares of common stock of Avalyn Pharma Inc. We are offering shares of our common stock.</w:t>
      </w:r>
    </w:p>
    <w:p>
      <w:pPr>
        <w:spacing w:after="0" w:line="37" w:lineRule="exact"/>
        <w:rPr>
          <w:sz w:val="20"/>
          <w:szCs w:val="20"/>
          <w:color w:val="auto"/>
        </w:rPr>
      </w:pPr>
    </w:p>
    <w:p>
      <w:pPr>
        <w:jc w:val="both"/>
        <w:ind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Prior to this offering, there has been no public market for our common stock. It is currently estimated that the initial public offering price per share will be between $      and $      . We have applied to list our common stock on the Nasdaq Global Market under the symbol “AVLN.” We believe that upon the completion of this offering, we will meet the standards for listing on the Nasdaq Global Market, and the completion of this offering is contingent upon such listing.</w:t>
      </w:r>
    </w:p>
    <w:p>
      <w:pPr>
        <w:spacing w:after="0" w:line="56" w:lineRule="exact"/>
        <w:rPr>
          <w:sz w:val="20"/>
          <w:szCs w:val="20"/>
          <w:color w:val="auto"/>
        </w:rPr>
      </w:pPr>
    </w:p>
    <w:p>
      <w:pPr>
        <w:jc w:val="both"/>
        <w:ind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are an “emerging growth company” and “smaller reporting company” as defined under the U.S. federal securities laws and, as such, we have elected to comply with certain reduced public company reporting requirements in this prospectus. For additional information, see “Prospectus Summary—Implications of Being an Emerging Growth Company and a Smaller Reporting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58420</wp:posOffset>
            </wp:positionV>
            <wp:extent cx="96139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42" w:lineRule="exact"/>
        <w:rPr>
          <w:sz w:val="20"/>
          <w:szCs w:val="20"/>
          <w:color w:val="auto"/>
        </w:rPr>
      </w:pPr>
    </w:p>
    <w:p>
      <w:pPr>
        <w:jc w:val="both"/>
        <w:ind w:right="1239"/>
        <w:spacing w:after="0" w:line="248" w:lineRule="auto"/>
        <w:rPr>
          <w:sz w:val="20"/>
          <w:szCs w:val="20"/>
          <w:color w:val="auto"/>
        </w:rPr>
      </w:pPr>
      <w:r>
        <w:rPr>
          <w:rFonts w:ascii="Times New Roman" w:cs="Times New Roman" w:eastAsia="Times New Roman" w:hAnsi="Times New Roman"/>
          <w:sz w:val="17"/>
          <w:szCs w:val="17"/>
          <w:b w:val="1"/>
          <w:bCs w:val="1"/>
          <w:i w:val="1"/>
          <w:iCs w:val="1"/>
          <w:color w:val="auto"/>
        </w:rPr>
        <w:t>Investing in shares of our common stock involves a high degree of risk. See the section titled “</w:t>
      </w:r>
      <w:r>
        <w:rPr>
          <w:rFonts w:ascii="Times New Roman" w:cs="Times New Roman" w:eastAsia="Times New Roman" w:hAnsi="Times New Roman"/>
          <w:sz w:val="17"/>
          <w:szCs w:val="17"/>
          <w:b w:val="1"/>
          <w:bCs w:val="1"/>
          <w:i w:val="1"/>
          <w:iCs w:val="1"/>
          <w:u w:val="single" w:color="auto"/>
          <w:color w:val="0000FF"/>
        </w:rPr>
        <w:t>Risk Factors</w:t>
      </w:r>
      <w:r>
        <w:rPr>
          <w:rFonts w:ascii="Times New Roman" w:cs="Times New Roman" w:eastAsia="Times New Roman" w:hAnsi="Times New Roman"/>
          <w:sz w:val="17"/>
          <w:szCs w:val="17"/>
          <w:b w:val="1"/>
          <w:bCs w:val="1"/>
          <w:i w:val="1"/>
          <w:iCs w:val="1"/>
          <w:color w:val="auto"/>
        </w:rPr>
        <w:t>” beginning on page 14 to read about factors you should consider before deciding to invest in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57785</wp:posOffset>
            </wp:positionV>
            <wp:extent cx="96139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49" w:lineRule="exact"/>
        <w:rPr>
          <w:sz w:val="20"/>
          <w:szCs w:val="20"/>
          <w:color w:val="auto"/>
        </w:rPr>
      </w:pPr>
    </w:p>
    <w:p>
      <w:pPr>
        <w:jc w:val="both"/>
        <w:ind w:right="1239"/>
        <w:spacing w:after="0" w:line="268" w:lineRule="auto"/>
        <w:rPr>
          <w:sz w:val="20"/>
          <w:szCs w:val="20"/>
          <w:color w:val="auto"/>
        </w:rPr>
      </w:pPr>
      <w:r>
        <w:rPr>
          <w:rFonts w:ascii="Times New Roman" w:cs="Times New Roman" w:eastAsia="Times New Roman" w:hAnsi="Times New Roman"/>
          <w:sz w:val="14"/>
          <w:szCs w:val="14"/>
          <w:i w:val="1"/>
          <w:i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b w:val="1"/>
                <w:bCs w:val="1"/>
                <w:i w:val="1"/>
                <w:iCs w:val="1"/>
                <w:color w:val="auto"/>
              </w:rPr>
              <w:t>Per Share</w:t>
            </w:r>
          </w:p>
        </w:tc>
        <w:tc>
          <w:tcPr>
            <w:tcW w:w="340" w:type="dxa"/>
            <w:vAlign w:val="bottom"/>
          </w:tcPr>
          <w:p>
            <w:pPr>
              <w:spacing w:after="0"/>
              <w:rPr>
                <w:sz w:val="11"/>
                <w:szCs w:val="11"/>
                <w:color w:val="auto"/>
              </w:rPr>
            </w:pPr>
          </w:p>
        </w:tc>
        <w:tc>
          <w:tcPr>
            <w:tcW w:w="10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1"/>
                <w:szCs w:val="11"/>
                <w:b w:val="1"/>
                <w:bCs w:val="1"/>
                <w:i w:val="1"/>
                <w:iCs w:val="1"/>
                <w:color w:val="auto"/>
              </w:rPr>
              <w:t>Total</w:t>
            </w:r>
          </w:p>
        </w:tc>
      </w:tr>
      <w:tr>
        <w:trPr>
          <w:trHeight w:val="159"/>
        </w:trPr>
        <w:tc>
          <w:tcPr>
            <w:tcW w:w="3540" w:type="dxa"/>
            <w:vAlign w:val="bottom"/>
            <w:shd w:val="clear" w:color="auto" w:fill="CCEEFF"/>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Initial public offering price</w:t>
            </w:r>
          </w:p>
        </w:tc>
        <w:tc>
          <w:tcPr>
            <w:tcW w:w="1660" w:type="dxa"/>
            <w:vAlign w:val="bottom"/>
            <w:gridSpan w:val="2"/>
            <w:shd w:val="clear" w:color="auto" w:fill="CCEEFF"/>
          </w:tcPr>
          <w:p>
            <w:pPr>
              <w:jc w:val="right"/>
              <w:ind w:right="824"/>
              <w:spacing w:after="0" w:line="159" w:lineRule="exact"/>
              <w:rPr>
                <w:sz w:val="20"/>
                <w:szCs w:val="20"/>
                <w:color w:val="auto"/>
              </w:rPr>
            </w:pPr>
            <w:r>
              <w:rPr>
                <w:rFonts w:ascii="Times New Roman" w:cs="Times New Roman" w:eastAsia="Times New Roman" w:hAnsi="Times New Roman"/>
                <w:sz w:val="14"/>
                <w:szCs w:val="14"/>
                <w:i w:val="1"/>
                <w:iCs w:val="1"/>
                <w:color w:val="auto"/>
              </w:rPr>
              <w:t>$</w:t>
            </w:r>
          </w:p>
        </w:tc>
        <w:tc>
          <w:tcPr>
            <w:tcW w:w="1360" w:type="dxa"/>
            <w:vAlign w:val="bottom"/>
            <w:gridSpan w:val="2"/>
            <w:shd w:val="clear" w:color="auto" w:fill="CCEEFF"/>
          </w:tcPr>
          <w:p>
            <w:pPr>
              <w:jc w:val="right"/>
              <w:ind w:right="904"/>
              <w:spacing w:after="0" w:line="159" w:lineRule="exact"/>
              <w:rPr>
                <w:sz w:val="20"/>
                <w:szCs w:val="20"/>
                <w:color w:val="auto"/>
              </w:rPr>
            </w:pPr>
            <w:r>
              <w:rPr>
                <w:rFonts w:ascii="Times New Roman" w:cs="Times New Roman" w:eastAsia="Times New Roman" w:hAnsi="Times New Roman"/>
                <w:sz w:val="14"/>
                <w:szCs w:val="14"/>
                <w:i w:val="1"/>
                <w:iCs w:val="1"/>
                <w:color w:val="auto"/>
              </w:rPr>
              <w:t>$</w:t>
            </w:r>
          </w:p>
        </w:tc>
      </w:tr>
      <w:tr>
        <w:trPr>
          <w:trHeight w:val="168"/>
        </w:trPr>
        <w:tc>
          <w:tcPr>
            <w:tcW w:w="35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Underwriting discounts and commissions (1)</w:t>
            </w:r>
          </w:p>
        </w:tc>
        <w:tc>
          <w:tcPr>
            <w:tcW w:w="1660" w:type="dxa"/>
            <w:vAlign w:val="bottom"/>
            <w:gridSpan w:val="2"/>
          </w:tcPr>
          <w:p>
            <w:pPr>
              <w:jc w:val="right"/>
              <w:ind w:right="824"/>
              <w:spacing w:after="0"/>
              <w:rPr>
                <w:sz w:val="20"/>
                <w:szCs w:val="20"/>
                <w:color w:val="auto"/>
              </w:rPr>
            </w:pPr>
            <w:r>
              <w:rPr>
                <w:rFonts w:ascii="Times New Roman" w:cs="Times New Roman" w:eastAsia="Times New Roman" w:hAnsi="Times New Roman"/>
                <w:sz w:val="14"/>
                <w:szCs w:val="14"/>
                <w:i w:val="1"/>
                <w:iCs w:val="1"/>
                <w:color w:val="auto"/>
              </w:rPr>
              <w:t>$</w:t>
            </w:r>
          </w:p>
        </w:tc>
        <w:tc>
          <w:tcPr>
            <w:tcW w:w="1360" w:type="dxa"/>
            <w:vAlign w:val="bottom"/>
            <w:gridSpan w:val="2"/>
          </w:tcPr>
          <w:p>
            <w:pPr>
              <w:jc w:val="right"/>
              <w:ind w:right="904"/>
              <w:spacing w:after="0"/>
              <w:rPr>
                <w:sz w:val="20"/>
                <w:szCs w:val="20"/>
                <w:color w:val="auto"/>
              </w:rPr>
            </w:pPr>
            <w:r>
              <w:rPr>
                <w:rFonts w:ascii="Times New Roman" w:cs="Times New Roman" w:eastAsia="Times New Roman" w:hAnsi="Times New Roman"/>
                <w:sz w:val="14"/>
                <w:szCs w:val="14"/>
                <w:i w:val="1"/>
                <w:iCs w:val="1"/>
                <w:color w:val="auto"/>
              </w:rPr>
              <w:t>$</w:t>
            </w:r>
          </w:p>
        </w:tc>
      </w:tr>
      <w:tr>
        <w:trPr>
          <w:trHeight w:val="168"/>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i w:val="1"/>
                <w:iCs w:val="1"/>
                <w:color w:val="auto"/>
              </w:rPr>
              <w:t>Proceeds, before expenses, to Avalyn Pharma Inc.</w:t>
            </w:r>
          </w:p>
        </w:tc>
        <w:tc>
          <w:tcPr>
            <w:tcW w:w="1660" w:type="dxa"/>
            <w:vAlign w:val="bottom"/>
            <w:gridSpan w:val="2"/>
            <w:shd w:val="clear" w:color="auto" w:fill="CCEEFF"/>
          </w:tcPr>
          <w:p>
            <w:pPr>
              <w:jc w:val="right"/>
              <w:ind w:right="824"/>
              <w:spacing w:after="0"/>
              <w:rPr>
                <w:sz w:val="20"/>
                <w:szCs w:val="20"/>
                <w:color w:val="auto"/>
              </w:rPr>
            </w:pPr>
            <w:r>
              <w:rPr>
                <w:rFonts w:ascii="Times New Roman" w:cs="Times New Roman" w:eastAsia="Times New Roman" w:hAnsi="Times New Roman"/>
                <w:sz w:val="14"/>
                <w:szCs w:val="14"/>
                <w:i w:val="1"/>
                <w:iCs w:val="1"/>
                <w:color w:val="auto"/>
              </w:rPr>
              <w:t>$</w:t>
            </w:r>
          </w:p>
        </w:tc>
        <w:tc>
          <w:tcPr>
            <w:tcW w:w="1360" w:type="dxa"/>
            <w:vAlign w:val="bottom"/>
            <w:gridSpan w:val="2"/>
            <w:shd w:val="clear" w:color="auto" w:fill="CCEEFF"/>
          </w:tcPr>
          <w:p>
            <w:pPr>
              <w:jc w:val="right"/>
              <w:ind w:right="904"/>
              <w:spacing w:after="0"/>
              <w:rPr>
                <w:sz w:val="20"/>
                <w:szCs w:val="20"/>
                <w:color w:val="auto"/>
              </w:rPr>
            </w:pPr>
            <w:r>
              <w:rPr>
                <w:rFonts w:ascii="Times New Roman" w:cs="Times New Roman" w:eastAsia="Times New Roman" w:hAnsi="Times New Roman"/>
                <w:sz w:val="14"/>
                <w:szCs w:val="14"/>
                <w:i w:val="1"/>
                <w:i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73660</wp:posOffset>
            </wp:positionV>
            <wp:extent cx="640715"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10" w:lineRule="exact"/>
        <w:rPr>
          <w:sz w:val="20"/>
          <w:szCs w:val="20"/>
          <w:color w:val="auto"/>
        </w:rPr>
      </w:pPr>
    </w:p>
    <w:p>
      <w:pPr>
        <w:ind w:left="340" w:right="1239" w:hanging="336"/>
        <w:spacing w:after="0" w:line="286" w:lineRule="auto"/>
        <w:tabs>
          <w:tab w:leader="none" w:pos="340" w:val="left"/>
        </w:tabs>
        <w:numPr>
          <w:ilvl w:val="0"/>
          <w:numId w:val="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For additional information regarding compensation payable to the underwriters, see the section titled “Underwriting.”</w:t>
      </w:r>
    </w:p>
    <w:p>
      <w:pPr>
        <w:spacing w:after="0" w:line="26" w:lineRule="exact"/>
        <w:rPr>
          <w:sz w:val="20"/>
          <w:szCs w:val="20"/>
          <w:color w:val="auto"/>
        </w:rPr>
      </w:pPr>
    </w:p>
    <w:p>
      <w:pPr>
        <w:ind w:right="1239"/>
        <w:spacing w:after="0" w:line="286" w:lineRule="auto"/>
        <w:rPr>
          <w:sz w:val="20"/>
          <w:szCs w:val="20"/>
          <w:color w:val="auto"/>
        </w:rPr>
      </w:pPr>
      <w:r>
        <w:rPr>
          <w:rFonts w:ascii="Times New Roman" w:cs="Times New Roman" w:eastAsia="Times New Roman" w:hAnsi="Times New Roman"/>
          <w:sz w:val="14"/>
          <w:szCs w:val="14"/>
          <w:i w:val="1"/>
          <w:iCs w:val="1"/>
          <w:color w:val="auto"/>
        </w:rPr>
        <w:t>We have granted the underwriters the option to purchase up to an additional         shares of common stock from us, at the initial public offering price, less the underwriting discounts and commissions.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The underwriters expect to deliver the shares against payment on or about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81915</wp:posOffset>
            </wp:positionV>
            <wp:extent cx="96139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192" w:lineRule="exact"/>
        <w:rPr>
          <w:sz w:val="20"/>
          <w:szCs w:val="20"/>
          <w:color w:val="auto"/>
        </w:rPr>
      </w:pPr>
    </w:p>
    <w:p>
      <w:pPr>
        <w:ind w:left="80"/>
        <w:spacing w:after="0"/>
        <w:tabs>
          <w:tab w:leader="none" w:pos="1800" w:val="left"/>
          <w:tab w:leader="none" w:pos="3180" w:val="left"/>
          <w:tab w:leader="none" w:pos="4580" w:val="left"/>
        </w:tabs>
        <w:rPr>
          <w:sz w:val="20"/>
          <w:szCs w:val="20"/>
          <w:color w:val="auto"/>
        </w:rPr>
      </w:pPr>
      <w:r>
        <w:rPr>
          <w:rFonts w:ascii="Times New Roman" w:cs="Times New Roman" w:eastAsia="Times New Roman" w:hAnsi="Times New Roman"/>
          <w:sz w:val="20"/>
          <w:szCs w:val="20"/>
          <w:b w:val="1"/>
          <w:bCs w:val="1"/>
          <w:i w:val="1"/>
          <w:iCs w:val="1"/>
          <w:color w:val="auto"/>
        </w:rPr>
        <w:t>Morgan Stanley</w:t>
      </w:r>
      <w:r>
        <w:rPr>
          <w:sz w:val="20"/>
          <w:szCs w:val="20"/>
          <w:color w:val="auto"/>
        </w:rPr>
        <w:tab/>
      </w:r>
      <w:r>
        <w:rPr>
          <w:rFonts w:ascii="Times New Roman" w:cs="Times New Roman" w:eastAsia="Times New Roman" w:hAnsi="Times New Roman"/>
          <w:sz w:val="20"/>
          <w:szCs w:val="20"/>
          <w:b w:val="1"/>
          <w:bCs w:val="1"/>
          <w:i w:val="1"/>
          <w:iCs w:val="1"/>
          <w:color w:val="auto"/>
        </w:rPr>
        <w:t>Jefferies</w:t>
      </w:r>
      <w:r>
        <w:rPr>
          <w:sz w:val="20"/>
          <w:szCs w:val="20"/>
          <w:color w:val="auto"/>
        </w:rPr>
        <w:tab/>
      </w:r>
      <w:r>
        <w:rPr>
          <w:rFonts w:ascii="Times New Roman" w:cs="Times New Roman" w:eastAsia="Times New Roman" w:hAnsi="Times New Roman"/>
          <w:sz w:val="20"/>
          <w:szCs w:val="20"/>
          <w:b w:val="1"/>
          <w:bCs w:val="1"/>
          <w:i w:val="1"/>
          <w:iCs w:val="1"/>
          <w:color w:val="auto"/>
        </w:rPr>
        <w:t>Evercore ISI</w:t>
      </w:r>
      <w:r>
        <w:rPr>
          <w:sz w:val="20"/>
          <w:szCs w:val="20"/>
          <w:color w:val="auto"/>
        </w:rPr>
        <w:tab/>
      </w:r>
      <w:r>
        <w:rPr>
          <w:rFonts w:ascii="Times New Roman" w:cs="Times New Roman" w:eastAsia="Times New Roman" w:hAnsi="Times New Roman"/>
          <w:sz w:val="19"/>
          <w:szCs w:val="19"/>
          <w:b w:val="1"/>
          <w:bCs w:val="1"/>
          <w:i w:val="1"/>
          <w:iCs w:val="1"/>
          <w:color w:val="auto"/>
        </w:rPr>
        <w:t>Guggenheim Securities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Prospectus dated             ,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-653415</wp:posOffset>
            </wp:positionH>
            <wp:positionV relativeFrom="paragraph">
              <wp:posOffset>696595</wp:posOffset>
            </wp:positionV>
            <wp:extent cx="54857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2">
            <w:col w:w="760" w:space="460"/>
            <w:col w:w="7799"/>
          </w:cols>
          <w:pgMar w:left="1440" w:top="291" w:right="1440" w:bottom="1440" w:gutter="0" w:footer="0" w:header="0"/>
        </w:sectPr>
      </w:pPr>
    </w:p>
    <w:bookmarkStart w:id="2" w:name="page3"/>
    <w:bookmarkEnd w:id="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ectPr>
          <w:pgSz w:w="11900" w:h="16838" w:orient="portrait"/>
          <w:cols w:equalWidth="0" w:num="1">
            <w:col w:w="9019"/>
          </w:cols>
          <w:pgMar w:left="1440" w:top="291" w:right="1440" w:bottom="1440" w:gutter="0" w:footer="0" w:header="0"/>
        </w:sectPr>
      </w:pPr>
    </w:p>
    <w:p>
      <w:pPr>
        <w:spacing w:after="0" w:line="36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THE OFFERING</w:t>
      </w:r>
    </w:p>
    <w:p>
      <w:pPr>
        <w:spacing w:after="0" w:line="22" w:lineRule="exact"/>
        <w:rPr>
          <w:sz w:val="20"/>
          <w:szCs w:val="20"/>
          <w:color w:val="auto"/>
        </w:rPr>
      </w:pPr>
    </w:p>
    <w:p>
      <w:pPr>
        <w:ind w:left="1220"/>
        <w:spacing w:after="0" w:line="250" w:lineRule="auto"/>
        <w:rPr>
          <w:sz w:val="20"/>
          <w:szCs w:val="20"/>
          <w:color w:val="auto"/>
        </w:rPr>
      </w:pPr>
      <w:r>
        <w:rPr>
          <w:rFonts w:ascii="Times New Roman" w:cs="Times New Roman" w:eastAsia="Times New Roman" w:hAnsi="Times New Roman"/>
          <w:sz w:val="14"/>
          <w:szCs w:val="14"/>
          <w:u w:val="single" w:color="auto"/>
          <w:color w:val="0000FF"/>
        </w:rPr>
        <w:t>SUMMARY CONSOLIDATED FINANCIAL DATA</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RISK FACTORS</w:t>
      </w:r>
    </w:p>
    <w:p>
      <w:pPr>
        <w:spacing w:after="0" w:line="7" w:lineRule="exact"/>
        <w:rPr>
          <w:sz w:val="20"/>
          <w:szCs w:val="20"/>
          <w:color w:val="auto"/>
        </w:rPr>
      </w:pPr>
    </w:p>
    <w:p>
      <w:pPr>
        <w:ind w:left="1220" w:right="20"/>
        <w:spacing w:after="0" w:line="250" w:lineRule="auto"/>
        <w:rPr>
          <w:sz w:val="20"/>
          <w:szCs w:val="20"/>
          <w:color w:val="auto"/>
        </w:rPr>
      </w:pPr>
      <w:r>
        <w:rPr>
          <w:rFonts w:ascii="Times New Roman" w:cs="Times New Roman" w:eastAsia="Times New Roman" w:hAnsi="Times New Roman"/>
          <w:sz w:val="14"/>
          <w:szCs w:val="14"/>
          <w:u w:val="single" w:color="auto"/>
          <w:color w:val="0000FF"/>
        </w:rPr>
        <w:t>SPECIAL NOTE REGARDING FORWARD-LOOKING STATEMENTS USE OF PROCEEDS</w:t>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DIVIDEND POLICY</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CAPITALIZATION</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DILUTION</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MANAGEMENT’S DISCUSSION AND</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ANALYSIS OF FINANCIAL CONDITION</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AND RESULTS OF OPERATIONS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BUSINESS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MANAGEMENT</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u w:val="single" w:color="auto"/>
          <w:color w:val="0000FF"/>
        </w:rPr>
        <w:t>EXECUTIVE COMPENSATION</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420" w:type="dxa"/>
            <w:vAlign w:val="bottom"/>
            <w:gridSpan w:val="4"/>
          </w:tcPr>
          <w:p>
            <w:pPr>
              <w:jc w:val="center"/>
              <w:ind w:right="310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32"/>
        </w:trPr>
        <w:tc>
          <w:tcPr>
            <w:tcW w:w="340" w:type="dxa"/>
            <w:vAlign w:val="bottom"/>
            <w:tcBorders>
              <w:top w:val="single" w:sz="8" w:color="auto"/>
            </w:tcBorders>
          </w:tcPr>
          <w:p>
            <w:pPr>
              <w:jc w:val="right"/>
              <w:ind w:right="30"/>
              <w:spacing w:after="0" w:line="127" w:lineRule="exact"/>
              <w:rPr>
                <w:sz w:val="20"/>
                <w:szCs w:val="20"/>
                <w:color w:val="auto"/>
              </w:rPr>
            </w:pPr>
            <w:r>
              <w:rPr>
                <w:rFonts w:ascii="Times New Roman" w:cs="Times New Roman" w:eastAsia="Times New Roman" w:hAnsi="Times New Roman"/>
                <w:sz w:val="14"/>
                <w:szCs w:val="14"/>
                <w:color w:val="auto"/>
              </w:rPr>
              <w:t>10</w:t>
            </w:r>
          </w:p>
        </w:tc>
        <w:tc>
          <w:tcPr>
            <w:tcW w:w="300" w:type="dxa"/>
            <w:vAlign w:val="bottom"/>
          </w:tcPr>
          <w:p>
            <w:pPr>
              <w:spacing w:after="0"/>
              <w:rPr>
                <w:sz w:val="11"/>
                <w:szCs w:val="11"/>
                <w:color w:val="auto"/>
              </w:rPr>
            </w:pPr>
          </w:p>
        </w:tc>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color w:val="0000FF"/>
              </w:rPr>
              <w:t>DIRECTOR COMPENSATION</w:t>
            </w:r>
          </w:p>
        </w:tc>
        <w:tc>
          <w:tcPr>
            <w:tcW w:w="920" w:type="dxa"/>
            <w:vAlign w:val="bottom"/>
            <w:vMerge w:val="restart"/>
          </w:tcPr>
          <w:p>
            <w:pPr>
              <w:spacing w:after="0"/>
              <w:rPr>
                <w:sz w:val="11"/>
                <w:szCs w:val="11"/>
                <w:color w:val="auto"/>
              </w:rPr>
            </w:pPr>
          </w:p>
        </w:tc>
        <w:tc>
          <w:tcPr>
            <w:tcW w:w="3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60" w:type="dxa"/>
            <w:vAlign w:val="bottom"/>
            <w:tcBorders>
              <w:bottom w:val="single" w:sz="8" w:color="0000FF"/>
            </w:tcBorders>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40" w:type="dxa"/>
            <w:vAlign w:val="bottom"/>
          </w:tcPr>
          <w:p>
            <w:pPr>
              <w:jc w:val="right"/>
              <w:spacing w:after="0" w:line="127" w:lineRule="exact"/>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bl>
    <w:p>
      <w:pPr>
        <w:spacing w:after="0" w:line="6" w:lineRule="exact"/>
        <w:rPr>
          <w:sz w:val="20"/>
          <w:szCs w:val="20"/>
          <w:color w:val="auto"/>
        </w:rPr>
      </w:pPr>
    </w:p>
    <w:p>
      <w:pPr>
        <w:ind w:left="640" w:hanging="549"/>
        <w:spacing w:after="0"/>
        <w:tabs>
          <w:tab w:leader="none" w:pos="6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CERTAIN RELATIONSHIPS AND RELATED</w:t>
      </w:r>
    </w:p>
    <w:tbl>
      <w:tblPr>
        <w:tblLayout w:type="fixed"/>
        <w:tblInd w:w="60" w:type="dxa"/>
        <w:tblCellMar>
          <w:top w:w="0" w:type="dxa"/>
          <w:left w:w="0" w:type="dxa"/>
          <w:bottom w:w="0" w:type="dxa"/>
          <w:right w:w="0" w:type="dxa"/>
        </w:tblCellMar>
      </w:tblPr>
      <w:tr>
        <w:trPr>
          <w:trHeight w:val="159"/>
        </w:trPr>
        <w:tc>
          <w:tcPr>
            <w:tcW w:w="580" w:type="dxa"/>
            <w:vAlign w:val="bottom"/>
          </w:tcPr>
          <w:p>
            <w:pPr>
              <w:jc w:val="center"/>
              <w:ind w:right="290"/>
              <w:spacing w:after="0" w:line="149" w:lineRule="exact"/>
              <w:rPr>
                <w:sz w:val="20"/>
                <w:szCs w:val="20"/>
                <w:color w:val="auto"/>
              </w:rPr>
            </w:pPr>
            <w:r>
              <w:rPr>
                <w:rFonts w:ascii="Times New Roman" w:cs="Times New Roman" w:eastAsia="Times New Roman" w:hAnsi="Times New Roman"/>
                <w:sz w:val="14"/>
                <w:szCs w:val="14"/>
                <w:color w:val="auto"/>
                <w:w w:val="99"/>
              </w:rPr>
              <w:t>14</w:t>
            </w:r>
          </w:p>
        </w:tc>
        <w:tc>
          <w:tcPr>
            <w:tcW w:w="1700" w:type="dxa"/>
            <w:vAlign w:val="bottom"/>
            <w:tcBorders>
              <w:bottom w:val="single" w:sz="8" w:color="0000FF"/>
            </w:tcBorders>
            <w:gridSpan w:val="5"/>
          </w:tcPr>
          <w:p>
            <w:pPr>
              <w:spacing w:after="0" w:line="139" w:lineRule="exact"/>
              <w:rPr>
                <w:sz w:val="20"/>
                <w:szCs w:val="20"/>
                <w:color w:val="auto"/>
              </w:rPr>
            </w:pPr>
            <w:r>
              <w:rPr>
                <w:rFonts w:ascii="Times New Roman" w:cs="Times New Roman" w:eastAsia="Times New Roman" w:hAnsi="Times New Roman"/>
                <w:sz w:val="14"/>
                <w:szCs w:val="14"/>
                <w:color w:val="0000FF"/>
              </w:rPr>
              <w:t>PERSON TRANSACTIONS</w:t>
            </w: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w w:val="95"/>
              </w:rPr>
              <w:t>193</w:t>
            </w:r>
          </w:p>
        </w:tc>
      </w:tr>
      <w:tr>
        <w:trPr>
          <w:trHeight w:val="148"/>
        </w:trPr>
        <w:tc>
          <w:tcPr>
            <w:tcW w:w="580" w:type="dxa"/>
            <w:vAlign w:val="bottom"/>
          </w:tcPr>
          <w:p>
            <w:pPr>
              <w:spacing w:after="0"/>
              <w:rPr>
                <w:sz w:val="12"/>
                <w:szCs w:val="12"/>
                <w:color w:val="auto"/>
              </w:rPr>
            </w:pPr>
          </w:p>
        </w:tc>
        <w:tc>
          <w:tcPr>
            <w:tcW w:w="1940" w:type="dxa"/>
            <w:vAlign w:val="bottom"/>
            <w:tcBorders>
              <w:bottom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FF"/>
              </w:rPr>
              <w:t>PRINCIPAL STOCKHOLDERS</w:t>
            </w:r>
          </w:p>
        </w:tc>
        <w:tc>
          <w:tcPr>
            <w:tcW w:w="820" w:type="dxa"/>
            <w:vAlign w:val="bottom"/>
            <w:gridSpan w:val="6"/>
          </w:tcPr>
          <w:p>
            <w:pPr>
              <w:spacing w:after="0"/>
              <w:rPr>
                <w:sz w:val="12"/>
                <w:szCs w:val="12"/>
                <w:color w:val="auto"/>
              </w:rPr>
            </w:pP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197</w:t>
            </w:r>
          </w:p>
        </w:tc>
      </w:tr>
      <w:tr>
        <w:trPr>
          <w:trHeight w:val="148"/>
        </w:trPr>
        <w:tc>
          <w:tcPr>
            <w:tcW w:w="580" w:type="dxa"/>
            <w:vAlign w:val="bottom"/>
          </w:tcPr>
          <w:p>
            <w:pPr>
              <w:jc w:val="center"/>
              <w:ind w:right="290"/>
              <w:spacing w:after="0" w:line="148" w:lineRule="exact"/>
              <w:rPr>
                <w:sz w:val="20"/>
                <w:szCs w:val="20"/>
                <w:color w:val="auto"/>
              </w:rPr>
            </w:pPr>
            <w:r>
              <w:rPr>
                <w:rFonts w:ascii="Times New Roman" w:cs="Times New Roman" w:eastAsia="Times New Roman" w:hAnsi="Times New Roman"/>
                <w:sz w:val="14"/>
                <w:szCs w:val="14"/>
                <w:color w:val="auto"/>
                <w:w w:val="99"/>
              </w:rPr>
              <w:t>81</w:t>
            </w:r>
          </w:p>
        </w:tc>
        <w:tc>
          <w:tcPr>
            <w:tcW w:w="2280" w:type="dxa"/>
            <w:vAlign w:val="bottom"/>
            <w:tcBorders>
              <w:bottom w:val="single" w:sz="8" w:color="0000FF"/>
            </w:tcBorders>
            <w:gridSpan w:val="7"/>
          </w:tcPr>
          <w:p>
            <w:pPr>
              <w:spacing w:after="0" w:line="138" w:lineRule="exact"/>
              <w:rPr>
                <w:sz w:val="20"/>
                <w:szCs w:val="20"/>
                <w:color w:val="auto"/>
              </w:rPr>
            </w:pPr>
            <w:r>
              <w:rPr>
                <w:rFonts w:ascii="Times New Roman" w:cs="Times New Roman" w:eastAsia="Times New Roman" w:hAnsi="Times New Roman"/>
                <w:sz w:val="14"/>
                <w:szCs w:val="14"/>
                <w:color w:val="0000FF"/>
              </w:rPr>
              <w:t>DESCRIPTION OF CAPITAL STOCK</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202</w:t>
            </w:r>
          </w:p>
        </w:tc>
      </w:tr>
      <w:tr>
        <w:trPr>
          <w:trHeight w:val="148"/>
        </w:trPr>
        <w:tc>
          <w:tcPr>
            <w:tcW w:w="580" w:type="dxa"/>
            <w:vAlign w:val="bottom"/>
          </w:tcPr>
          <w:p>
            <w:pPr>
              <w:jc w:val="center"/>
              <w:ind w:right="290"/>
              <w:spacing w:after="0" w:line="148" w:lineRule="exact"/>
              <w:rPr>
                <w:sz w:val="20"/>
                <w:szCs w:val="20"/>
                <w:color w:val="auto"/>
              </w:rPr>
            </w:pPr>
            <w:r>
              <w:rPr>
                <w:rFonts w:ascii="Times New Roman" w:cs="Times New Roman" w:eastAsia="Times New Roman" w:hAnsi="Times New Roman"/>
                <w:sz w:val="14"/>
                <w:szCs w:val="14"/>
                <w:color w:val="auto"/>
                <w:w w:val="99"/>
              </w:rPr>
              <w:t>83</w:t>
            </w:r>
          </w:p>
        </w:tc>
        <w:tc>
          <w:tcPr>
            <w:tcW w:w="2500" w:type="dxa"/>
            <w:vAlign w:val="bottom"/>
            <w:tcBorders>
              <w:bottom w:val="single" w:sz="8" w:color="0000FF"/>
            </w:tcBorders>
            <w:gridSpan w:val="9"/>
          </w:tcPr>
          <w:p>
            <w:pPr>
              <w:spacing w:after="0" w:line="138" w:lineRule="exact"/>
              <w:rPr>
                <w:sz w:val="20"/>
                <w:szCs w:val="20"/>
                <w:color w:val="auto"/>
              </w:rPr>
            </w:pPr>
            <w:r>
              <w:rPr>
                <w:rFonts w:ascii="Times New Roman" w:cs="Times New Roman" w:eastAsia="Times New Roman" w:hAnsi="Times New Roman"/>
                <w:sz w:val="14"/>
                <w:szCs w:val="14"/>
                <w:color w:val="0000FF"/>
              </w:rPr>
              <w:t>SHARES ELIGIBLE FOR FUTURE SALE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208</w:t>
            </w:r>
          </w:p>
        </w:tc>
      </w:tr>
      <w:tr>
        <w:trPr>
          <w:trHeight w:val="148"/>
        </w:trPr>
        <w:tc>
          <w:tcPr>
            <w:tcW w:w="580" w:type="dxa"/>
            <w:vAlign w:val="bottom"/>
          </w:tcPr>
          <w:p>
            <w:pPr>
              <w:jc w:val="center"/>
              <w:ind w:right="290"/>
              <w:spacing w:after="0" w:line="148" w:lineRule="exact"/>
              <w:rPr>
                <w:sz w:val="20"/>
                <w:szCs w:val="20"/>
                <w:color w:val="auto"/>
              </w:rPr>
            </w:pPr>
            <w:r>
              <w:rPr>
                <w:rFonts w:ascii="Times New Roman" w:cs="Times New Roman" w:eastAsia="Times New Roman" w:hAnsi="Times New Roman"/>
                <w:sz w:val="14"/>
                <w:szCs w:val="14"/>
                <w:color w:val="auto"/>
                <w:w w:val="99"/>
              </w:rPr>
              <w:t>85</w:t>
            </w:r>
          </w:p>
        </w:tc>
        <w:tc>
          <w:tcPr>
            <w:tcW w:w="2620" w:type="dxa"/>
            <w:vAlign w:val="bottom"/>
            <w:tcBorders>
              <w:bottom w:val="single" w:sz="8" w:color="0000FF"/>
            </w:tcBorders>
            <w:gridSpan w:val="10"/>
          </w:tcPr>
          <w:p>
            <w:pPr>
              <w:spacing w:after="0" w:line="138" w:lineRule="exact"/>
              <w:rPr>
                <w:sz w:val="20"/>
                <w:szCs w:val="20"/>
                <w:color w:val="auto"/>
              </w:rPr>
            </w:pPr>
            <w:r>
              <w:rPr>
                <w:rFonts w:ascii="Times New Roman" w:cs="Times New Roman" w:eastAsia="Times New Roman" w:hAnsi="Times New Roman"/>
                <w:sz w:val="14"/>
                <w:szCs w:val="14"/>
                <w:color w:val="0000FF"/>
              </w:rPr>
              <w:t>MATERIAL U.S. FEDERAL INCOME TAX</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580" w:type="dxa"/>
            <w:vAlign w:val="bottom"/>
          </w:tcPr>
          <w:p>
            <w:pPr>
              <w:jc w:val="center"/>
              <w:ind w:right="290"/>
              <w:spacing w:after="0" w:line="148" w:lineRule="exact"/>
              <w:rPr>
                <w:sz w:val="20"/>
                <w:szCs w:val="20"/>
                <w:color w:val="auto"/>
              </w:rPr>
            </w:pPr>
            <w:r>
              <w:rPr>
                <w:rFonts w:ascii="Times New Roman" w:cs="Times New Roman" w:eastAsia="Times New Roman" w:hAnsi="Times New Roman"/>
                <w:sz w:val="14"/>
                <w:szCs w:val="14"/>
                <w:color w:val="auto"/>
                <w:w w:val="99"/>
              </w:rPr>
              <w:t>86</w:t>
            </w:r>
          </w:p>
        </w:tc>
        <w:tc>
          <w:tcPr>
            <w:tcW w:w="2760" w:type="dxa"/>
            <w:vAlign w:val="bottom"/>
            <w:tcBorders>
              <w:bottom w:val="single" w:sz="8" w:color="0000FF"/>
            </w:tcBorders>
            <w:gridSpan w:val="12"/>
          </w:tcPr>
          <w:p>
            <w:pPr>
              <w:spacing w:after="0" w:line="138" w:lineRule="exact"/>
              <w:rPr>
                <w:sz w:val="20"/>
                <w:szCs w:val="20"/>
                <w:color w:val="auto"/>
              </w:rPr>
            </w:pPr>
            <w:r>
              <w:rPr>
                <w:rFonts w:ascii="Times New Roman" w:cs="Times New Roman" w:eastAsia="Times New Roman" w:hAnsi="Times New Roman"/>
                <w:sz w:val="14"/>
                <w:szCs w:val="14"/>
                <w:color w:val="0000FF"/>
              </w:rPr>
              <w:t>CONSEQUENCES FOR NON-U.S. HOLDERS</w:t>
            </w: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210</w:t>
            </w:r>
          </w:p>
        </w:tc>
      </w:tr>
      <w:tr>
        <w:trPr>
          <w:trHeight w:val="148"/>
        </w:trPr>
        <w:tc>
          <w:tcPr>
            <w:tcW w:w="580" w:type="dxa"/>
            <w:vAlign w:val="bottom"/>
          </w:tcPr>
          <w:p>
            <w:pPr>
              <w:jc w:val="center"/>
              <w:ind w:right="290"/>
              <w:spacing w:after="0" w:line="148" w:lineRule="exact"/>
              <w:rPr>
                <w:sz w:val="20"/>
                <w:szCs w:val="20"/>
                <w:color w:val="auto"/>
              </w:rPr>
            </w:pPr>
            <w:r>
              <w:rPr>
                <w:rFonts w:ascii="Times New Roman" w:cs="Times New Roman" w:eastAsia="Times New Roman" w:hAnsi="Times New Roman"/>
                <w:sz w:val="14"/>
                <w:szCs w:val="14"/>
                <w:color w:val="auto"/>
                <w:w w:val="99"/>
              </w:rPr>
              <w:t>88</w:t>
            </w:r>
          </w:p>
        </w:tc>
        <w:tc>
          <w:tcPr>
            <w:tcW w:w="1120" w:type="dxa"/>
            <w:vAlign w:val="bottom"/>
            <w:tcBorders>
              <w:bottom w:val="single" w:sz="8" w:color="0000FF"/>
            </w:tcBorders>
            <w:gridSpan w:val="3"/>
          </w:tcPr>
          <w:p>
            <w:pPr>
              <w:spacing w:after="0" w:line="138" w:lineRule="exact"/>
              <w:rPr>
                <w:sz w:val="20"/>
                <w:szCs w:val="20"/>
                <w:color w:val="auto"/>
              </w:rPr>
            </w:pPr>
            <w:r>
              <w:rPr>
                <w:rFonts w:ascii="Times New Roman" w:cs="Times New Roman" w:eastAsia="Times New Roman" w:hAnsi="Times New Roman"/>
                <w:sz w:val="14"/>
                <w:szCs w:val="14"/>
                <w:color w:val="0000FF"/>
              </w:rPr>
              <w:t>UNDERWRITING</w:t>
            </w:r>
          </w:p>
        </w:tc>
        <w:tc>
          <w:tcPr>
            <w:tcW w:w="60" w:type="dxa"/>
            <w:vAlign w:val="bottom"/>
          </w:tcPr>
          <w:p>
            <w:pPr>
              <w:spacing w:after="0"/>
              <w:rPr>
                <w:sz w:val="12"/>
                <w:szCs w:val="12"/>
                <w:color w:val="auto"/>
              </w:rPr>
            </w:pPr>
          </w:p>
        </w:tc>
        <w:tc>
          <w:tcPr>
            <w:tcW w:w="1280" w:type="dxa"/>
            <w:vAlign w:val="bottom"/>
            <w:gridSpan w:val="4"/>
          </w:tcPr>
          <w:p>
            <w:pPr>
              <w:spacing w:after="0"/>
              <w:rPr>
                <w:sz w:val="12"/>
                <w:szCs w:val="12"/>
                <w:color w:val="auto"/>
              </w:rPr>
            </w:pPr>
          </w:p>
        </w:tc>
        <w:tc>
          <w:tcPr>
            <w:tcW w:w="2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214</w:t>
            </w:r>
          </w:p>
        </w:tc>
      </w:tr>
      <w:tr>
        <w:trPr>
          <w:trHeight w:val="148"/>
        </w:trPr>
        <w:tc>
          <w:tcPr>
            <w:tcW w:w="580" w:type="dxa"/>
            <w:vAlign w:val="bottom"/>
          </w:tcPr>
          <w:p>
            <w:pPr>
              <w:spacing w:after="0"/>
              <w:rPr>
                <w:sz w:val="12"/>
                <w:szCs w:val="12"/>
                <w:color w:val="auto"/>
              </w:rPr>
            </w:pPr>
          </w:p>
        </w:tc>
        <w:tc>
          <w:tcPr>
            <w:tcW w:w="1180" w:type="dxa"/>
            <w:vAlign w:val="bottom"/>
            <w:tcBorders>
              <w:bottom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FF"/>
              </w:rPr>
              <w:t>LEGAL MATTERS</w:t>
            </w:r>
          </w:p>
        </w:tc>
        <w:tc>
          <w:tcPr>
            <w:tcW w:w="1580" w:type="dxa"/>
            <w:vAlign w:val="bottom"/>
            <w:gridSpan w:val="8"/>
          </w:tcPr>
          <w:p>
            <w:pPr>
              <w:spacing w:after="0"/>
              <w:rPr>
                <w:sz w:val="12"/>
                <w:szCs w:val="12"/>
                <w:color w:val="auto"/>
              </w:rPr>
            </w:pP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222</w:t>
            </w:r>
          </w:p>
        </w:tc>
      </w:tr>
      <w:tr>
        <w:trPr>
          <w:trHeight w:val="148"/>
        </w:trPr>
        <w:tc>
          <w:tcPr>
            <w:tcW w:w="580" w:type="dxa"/>
            <w:vAlign w:val="bottom"/>
          </w:tcPr>
          <w:p>
            <w:pPr>
              <w:spacing w:after="0"/>
              <w:rPr>
                <w:sz w:val="12"/>
                <w:szCs w:val="12"/>
                <w:color w:val="auto"/>
              </w:rPr>
            </w:pPr>
          </w:p>
        </w:tc>
        <w:tc>
          <w:tcPr>
            <w:tcW w:w="680" w:type="dxa"/>
            <w:vAlign w:val="bottom"/>
            <w:tcBorders>
              <w:bottom w:val="single" w:sz="8" w:color="0000FF"/>
            </w:tcBorders>
          </w:tcPr>
          <w:p>
            <w:pPr>
              <w:spacing w:after="0" w:line="148" w:lineRule="exact"/>
              <w:rPr>
                <w:sz w:val="20"/>
                <w:szCs w:val="20"/>
                <w:color w:val="auto"/>
              </w:rPr>
            </w:pPr>
            <w:r>
              <w:rPr>
                <w:rFonts w:ascii="Times New Roman" w:cs="Times New Roman" w:eastAsia="Times New Roman" w:hAnsi="Times New Roman"/>
                <w:sz w:val="14"/>
                <w:szCs w:val="14"/>
                <w:color w:val="0000FF"/>
              </w:rPr>
              <w:t>EXPERTS</w:t>
            </w:r>
          </w:p>
        </w:tc>
        <w:tc>
          <w:tcPr>
            <w:tcW w:w="2080" w:type="dxa"/>
            <w:vAlign w:val="bottom"/>
            <w:gridSpan w:val="11"/>
          </w:tcPr>
          <w:p>
            <w:pPr>
              <w:spacing w:after="0"/>
              <w:rPr>
                <w:sz w:val="12"/>
                <w:szCs w:val="12"/>
                <w:color w:val="auto"/>
              </w:rPr>
            </w:pP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223</w:t>
            </w:r>
          </w:p>
        </w:tc>
      </w:tr>
      <w:tr>
        <w:trPr>
          <w:trHeight w:val="148"/>
        </w:trPr>
        <w:tc>
          <w:tcPr>
            <w:tcW w:w="580" w:type="dxa"/>
            <w:vAlign w:val="bottom"/>
          </w:tcPr>
          <w:p>
            <w:pPr>
              <w:jc w:val="center"/>
              <w:ind w:right="290"/>
              <w:spacing w:after="0" w:line="148" w:lineRule="exact"/>
              <w:rPr>
                <w:sz w:val="20"/>
                <w:szCs w:val="20"/>
                <w:color w:val="auto"/>
              </w:rPr>
            </w:pPr>
            <w:r>
              <w:rPr>
                <w:rFonts w:ascii="Times New Roman" w:cs="Times New Roman" w:eastAsia="Times New Roman" w:hAnsi="Times New Roman"/>
                <w:sz w:val="14"/>
                <w:szCs w:val="14"/>
                <w:color w:val="auto"/>
                <w:w w:val="99"/>
              </w:rPr>
              <w:t>91</w:t>
            </w:r>
          </w:p>
        </w:tc>
        <w:tc>
          <w:tcPr>
            <w:tcW w:w="2460" w:type="dxa"/>
            <w:vAlign w:val="bottom"/>
            <w:tcBorders>
              <w:bottom w:val="single" w:sz="8" w:color="0000FF"/>
            </w:tcBorders>
            <w:gridSpan w:val="8"/>
          </w:tcPr>
          <w:p>
            <w:pPr>
              <w:spacing w:after="0" w:line="138" w:lineRule="exact"/>
              <w:rPr>
                <w:sz w:val="20"/>
                <w:szCs w:val="20"/>
                <w:color w:val="auto"/>
              </w:rPr>
            </w:pPr>
            <w:r>
              <w:rPr>
                <w:rFonts w:ascii="Times New Roman" w:cs="Times New Roman" w:eastAsia="Times New Roman" w:hAnsi="Times New Roman"/>
                <w:sz w:val="14"/>
                <w:szCs w:val="14"/>
                <w:color w:val="0000FF"/>
              </w:rPr>
              <w:t>WHERE YOU CAN FIND ADDITIONAL</w:t>
            </w:r>
          </w:p>
        </w:tc>
        <w:tc>
          <w:tcPr>
            <w:tcW w:w="24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r>
      <w:tr>
        <w:trPr>
          <w:trHeight w:val="148"/>
        </w:trPr>
        <w:tc>
          <w:tcPr>
            <w:tcW w:w="580" w:type="dxa"/>
            <w:vAlign w:val="bottom"/>
          </w:tcPr>
          <w:p>
            <w:pPr>
              <w:jc w:val="center"/>
              <w:ind w:right="310"/>
              <w:spacing w:after="0" w:line="148" w:lineRule="exact"/>
              <w:rPr>
                <w:sz w:val="20"/>
                <w:szCs w:val="20"/>
                <w:color w:val="auto"/>
              </w:rPr>
            </w:pPr>
            <w:r>
              <w:rPr>
                <w:rFonts w:ascii="Times New Roman" w:cs="Times New Roman" w:eastAsia="Times New Roman" w:hAnsi="Times New Roman"/>
                <w:sz w:val="14"/>
                <w:szCs w:val="14"/>
                <w:color w:val="auto"/>
                <w:w w:val="95"/>
              </w:rPr>
              <w:t>104</w:t>
            </w:r>
          </w:p>
        </w:tc>
        <w:tc>
          <w:tcPr>
            <w:tcW w:w="1020" w:type="dxa"/>
            <w:vAlign w:val="bottom"/>
            <w:tcBorders>
              <w:bottom w:val="single" w:sz="8" w:color="0000FF"/>
            </w:tcBorders>
            <w:gridSpan w:val="2"/>
          </w:tcPr>
          <w:p>
            <w:pPr>
              <w:spacing w:after="0" w:line="138" w:lineRule="exact"/>
              <w:rPr>
                <w:sz w:val="20"/>
                <w:szCs w:val="20"/>
                <w:color w:val="auto"/>
              </w:rPr>
            </w:pPr>
            <w:r>
              <w:rPr>
                <w:rFonts w:ascii="Times New Roman" w:cs="Times New Roman" w:eastAsia="Times New Roman" w:hAnsi="Times New Roman"/>
                <w:sz w:val="14"/>
                <w:szCs w:val="14"/>
                <w:color w:val="0000FF"/>
              </w:rPr>
              <w:t>INFORMATION</w:t>
            </w:r>
          </w:p>
        </w:tc>
        <w:tc>
          <w:tcPr>
            <w:tcW w:w="1680" w:type="dxa"/>
            <w:vAlign w:val="bottom"/>
            <w:gridSpan w:val="9"/>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ind w:left="80"/>
              <w:spacing w:after="0" w:line="148" w:lineRule="exact"/>
              <w:rPr>
                <w:sz w:val="20"/>
                <w:szCs w:val="20"/>
                <w:color w:val="auto"/>
              </w:rPr>
            </w:pPr>
            <w:r>
              <w:rPr>
                <w:rFonts w:ascii="Times New Roman" w:cs="Times New Roman" w:eastAsia="Times New Roman" w:hAnsi="Times New Roman"/>
                <w:sz w:val="14"/>
                <w:szCs w:val="14"/>
                <w:color w:val="auto"/>
                <w:w w:val="95"/>
              </w:rPr>
              <w:t>224</w:t>
            </w:r>
          </w:p>
        </w:tc>
      </w:tr>
      <w:tr>
        <w:trPr>
          <w:trHeight w:val="148"/>
        </w:trPr>
        <w:tc>
          <w:tcPr>
            <w:tcW w:w="580" w:type="dxa"/>
            <w:vAlign w:val="bottom"/>
          </w:tcPr>
          <w:p>
            <w:pPr>
              <w:jc w:val="center"/>
              <w:ind w:right="310"/>
              <w:spacing w:after="0" w:line="148" w:lineRule="exact"/>
              <w:rPr>
                <w:sz w:val="20"/>
                <w:szCs w:val="20"/>
                <w:color w:val="auto"/>
              </w:rPr>
            </w:pPr>
            <w:r>
              <w:rPr>
                <w:rFonts w:ascii="Times New Roman" w:cs="Times New Roman" w:eastAsia="Times New Roman" w:hAnsi="Times New Roman"/>
                <w:sz w:val="14"/>
                <w:szCs w:val="14"/>
                <w:color w:val="auto"/>
                <w:w w:val="95"/>
              </w:rPr>
              <w:t>167</w:t>
            </w:r>
          </w:p>
        </w:tc>
        <w:tc>
          <w:tcPr>
            <w:tcW w:w="2700" w:type="dxa"/>
            <w:vAlign w:val="bottom"/>
            <w:tcBorders>
              <w:bottom w:val="single" w:sz="8" w:color="0000FF"/>
            </w:tcBorders>
            <w:gridSpan w:val="11"/>
          </w:tcPr>
          <w:p>
            <w:pPr>
              <w:spacing w:after="0" w:line="138" w:lineRule="exact"/>
              <w:rPr>
                <w:sz w:val="20"/>
                <w:szCs w:val="20"/>
                <w:color w:val="auto"/>
              </w:rPr>
            </w:pPr>
            <w:r>
              <w:rPr>
                <w:rFonts w:ascii="Times New Roman" w:cs="Times New Roman" w:eastAsia="Times New Roman" w:hAnsi="Times New Roman"/>
                <w:sz w:val="14"/>
                <w:szCs w:val="14"/>
                <w:color w:val="0000FF"/>
                <w:w w:val="99"/>
              </w:rPr>
              <w:t>INDEX TO THE FINANCIAL STATEMENTS</w:t>
            </w:r>
          </w:p>
        </w:tc>
        <w:tc>
          <w:tcPr>
            <w:tcW w:w="60" w:type="dxa"/>
            <w:vAlign w:val="bottom"/>
          </w:tcPr>
          <w:p>
            <w:pPr>
              <w:spacing w:after="0"/>
              <w:rPr>
                <w:sz w:val="12"/>
                <w:szCs w:val="12"/>
                <w:color w:val="auto"/>
              </w:rPr>
            </w:pPr>
          </w:p>
        </w:tc>
        <w:tc>
          <w:tcPr>
            <w:tcW w:w="300" w:type="dxa"/>
            <w:vAlign w:val="bottom"/>
          </w:tcPr>
          <w:p>
            <w:pPr>
              <w:ind w:left="100"/>
              <w:spacing w:after="0" w:line="148" w:lineRule="exact"/>
              <w:rPr>
                <w:sz w:val="20"/>
                <w:szCs w:val="20"/>
                <w:color w:val="auto"/>
              </w:rPr>
            </w:pPr>
            <w:r>
              <w:rPr>
                <w:rFonts w:ascii="Times New Roman" w:cs="Times New Roman" w:eastAsia="Times New Roman" w:hAnsi="Times New Roman"/>
                <w:sz w:val="14"/>
                <w:szCs w:val="14"/>
                <w:color w:val="auto"/>
                <w:w w:val="92"/>
              </w:rPr>
              <w:t>F-1</w:t>
            </w:r>
          </w:p>
        </w:tc>
      </w:tr>
      <w:tr>
        <w:trPr>
          <w:trHeight w:val="201"/>
        </w:trPr>
        <w:tc>
          <w:tcPr>
            <w:tcW w:w="580" w:type="dxa"/>
            <w:vAlign w:val="bottom"/>
          </w:tcPr>
          <w:p>
            <w:pPr>
              <w:jc w:val="center"/>
              <w:ind w:right="310"/>
              <w:spacing w:after="0"/>
              <w:rPr>
                <w:sz w:val="20"/>
                <w:szCs w:val="20"/>
                <w:color w:val="auto"/>
              </w:rPr>
            </w:pPr>
            <w:r>
              <w:rPr>
                <w:rFonts w:ascii="Times New Roman" w:cs="Times New Roman" w:eastAsia="Times New Roman" w:hAnsi="Times New Roman"/>
                <w:sz w:val="14"/>
                <w:szCs w:val="14"/>
                <w:color w:val="auto"/>
                <w:w w:val="95"/>
              </w:rPr>
              <w:t>178</w:t>
            </w: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wp:posOffset>
            </wp:positionH>
            <wp:positionV relativeFrom="paragraph">
              <wp:posOffset>280670</wp:posOffset>
            </wp:positionV>
            <wp:extent cx="96139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60" w:space="160"/>
            <w:col w:w="4999"/>
          </w:cols>
          <w:pgMar w:left="1440" w:top="291" w:right="1440" w:bottom="1440" w:gutter="0" w:footer="0" w:header="0"/>
          <w:type w:val="continuous"/>
        </w:sectPr>
      </w:pPr>
    </w:p>
    <w:p>
      <w:pPr>
        <w:spacing w:after="0" w:line="200" w:lineRule="exact"/>
        <w:rPr>
          <w:sz w:val="20"/>
          <w:szCs w:val="20"/>
          <w:color w:val="auto"/>
        </w:rPr>
      </w:pPr>
    </w:p>
    <w:p>
      <w:pPr>
        <w:spacing w:after="0" w:line="20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Unless otherwise indicated, all references in this prospectus to “Avalyn,” the “company,” “we,” “our,” “us” or similar terms refer to Avalyn Pharma Inc. and its wholly owned subsidiary, or either or both of them as the context may require.</w:t>
      </w:r>
    </w:p>
    <w:p>
      <w:pPr>
        <w:spacing w:after="0" w:line="136"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4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our common stock and the distribution of this prospectus outside of the United States.</w:t>
      </w:r>
    </w:p>
    <w:p>
      <w:pPr>
        <w:spacing w:after="0" w:line="144" w:lineRule="exact"/>
        <w:rPr>
          <w:sz w:val="20"/>
          <w:szCs w:val="20"/>
          <w:color w:val="auto"/>
        </w:rPr>
      </w:pPr>
    </w:p>
    <w:p>
      <w:pPr>
        <w:jc w:val="both"/>
        <w:ind w:left="1220" w:right="1239" w:firstLine="333"/>
        <w:spacing w:after="0" w:line="247" w:lineRule="auto"/>
        <w:rPr>
          <w:sz w:val="20"/>
          <w:szCs w:val="20"/>
          <w:color w:val="auto"/>
        </w:rPr>
      </w:pPr>
      <w:r>
        <w:rPr>
          <w:rFonts w:ascii="Times New Roman" w:cs="Times New Roman" w:eastAsia="Times New Roman" w:hAnsi="Times New Roman"/>
          <w:sz w:val="14"/>
          <w:szCs w:val="14"/>
          <w:color w:val="auto"/>
        </w:rPr>
        <w:t xml:space="preserve">We have rights to use one or more registered and common law trademarks, service marks and/or trade names in connection with our business in the United States, which may be used throughout this prospectus. This prospectus also includes trademarks, tradenames, and service marks of third parties which are the property of their respective owners. Our use or display of third-parties’ trademarks, service marks, tradenames or products in this prospectus and our other public filings is not intended to, and does not imply a relationship with, or endorsement or sponsorship by us. Solely for convenience, the trademarks, service marks, logos and trade names referred to in this prospectus and our other public filings may appear without the </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TM or SM symbols, but the omission of such references is not intended to indicate, in any way, that we will not assert, to the fullest extent under applicable law, our rights or the rights of the applicable owner of or licensor to these trademarks, service marks and trade names.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3" w:name="page4"/>
    <w:bookmarkEnd w:id="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MARKET, INDUSTRY AND OTHER DATA</w:t>
      </w:r>
    </w:p>
    <w:p>
      <w:pPr>
        <w:spacing w:after="0" w:line="17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market data and certain other statistical information used throughout this prospectus are based on independent industry publications, governmental publications, reports by market research firms, or other independent sources that we believe to be reliable sources. Industry publications and third-party research, surveys, and studies generally indicate that their information has been obtained from sources believed to be reliable, although they do not guarantee the accuracy or completeness of such information. We are responsible for all of the disclosures contained in this prospectus, and we believe that these sources are reliable; however, we have not independently verified the information contained in such publications. While we are not aware of any misstatements regarding any third-party information presented in this prospectus, their estimates, in particular, as they relate to projections, involve numerous assumptions, are subject to risks and uncertainties, and are subject to change based on various factors, including those discussed under the section titled “Risk Factors” and elsewhere in this prospectus. Some data are also based on our good faith estimates.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 w:name="page5"/>
    <w:bookmarkEnd w:id="4"/>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5800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026025" cy="580009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SUMMARY</w:t>
      </w:r>
    </w:p>
    <w:p>
      <w:pPr>
        <w:spacing w:after="0" w:line="17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contained elsewhere in this prospectus and does not contain all of the information that you should consider in making your investment decision. Before investing in our common stock, you should carefully read this entire prospectus, including our financial statements and the related notes thereto and the information set forth under the sections titled “Risk Factors” and “Management’s Discussion and Analysis of Financial Condition and Results of Operations,” in each case included in this prospectus. Some of the statements in this prospectus constitute forward-looking statements that involve risks and uncertainties. See the section titled “Special Note Regarding Forward-Looking Statements” for additional information. Unless the context otherwise requires, we use the terms “Avalyn Pharma Inc.,” “Avalyn Pharma,” “Avalyn,” the “Company,” “we,” “us” and “our” in this prospectus to refer to Avalyn Pharma Inc.</w:t>
      </w:r>
    </w:p>
    <w:p>
      <w:pPr>
        <w:spacing w:after="0" w:line="2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are a clinical-stage biopharmaceutical company pioneering inhaled therapies to transform the treatment paradigm of serious, rare respiratory diseases with significant unmet needs. Our approach is designed to address the limitations of current oral therapies by delivering optimized inhaled formulations of approved oral medicines directly to the lungs to enhance efficacy and minimize systemic exposure that contributes to side effects and treatment discontinuation.</w:t>
      </w:r>
    </w:p>
    <w:p>
      <w:pPr>
        <w:spacing w:after="0" w:line="144" w:lineRule="exact"/>
        <w:rPr>
          <w:sz w:val="20"/>
          <w:szCs w:val="20"/>
          <w:color w:val="auto"/>
        </w:rPr>
      </w:pPr>
    </w:p>
    <w:p>
      <w:pPr>
        <w:jc w:val="both"/>
        <w:ind w:left="1220" w:right="1239" w:firstLine="333"/>
        <w:spacing w:after="0" w:line="245" w:lineRule="auto"/>
        <w:rPr>
          <w:sz w:val="20"/>
          <w:szCs w:val="20"/>
          <w:color w:val="auto"/>
        </w:rPr>
      </w:pPr>
      <w:r>
        <w:rPr>
          <w:rFonts w:ascii="Times New Roman" w:cs="Times New Roman" w:eastAsia="Times New Roman" w:hAnsi="Times New Roman"/>
          <w:sz w:val="14"/>
          <w:szCs w:val="14"/>
          <w:color w:val="auto"/>
        </w:rPr>
        <w:t>Our current pipeline is focused on treating pulmonary fibrosis, a life-threatening disease with a median survival of three to five years, which is a significantly shorter prognosis than that observed for many forms of cancer. Pulmonary fibrosis is characterized by scarring of the lungs, which can lead to a decline in lung function, progressive shortness of breath, reduced quality of life, and increased mortality risk. There are currently three approved oral antifibrotic therapies for pulmonary fibrosis: pirfenidone, or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nintedanib, or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nerandomilast, or JASCAYD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While these oral antifibrotics slow fibrosis progression, none stop progression entirely. In addition, their use is frequently limited by tolerability challenges associated with their systemic delivery. Due to their side effects, around 50% of patients who start treatment with available therapies discontinue within one year. Despite limited use,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generated more than $4.0 billion in gross global sales in 2024.</w:t>
      </w:r>
    </w:p>
    <w:p>
      <w:pPr>
        <w:spacing w:after="0" w:line="9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most clinically advanced candidates, AP01 and AP02, are inhaled formulations of pirfenidone and nintedanib for the treatment of progressive pulmonary fibrosis, or PPF, and idiopathic pulmonary fibrosis, or IPF, respectively. We have completed ATLAS, a Phase 1b clinical trial of AP01 in patients with IPF. Patients from ATLAS transitioned into an ongoing open-label extension, or OLE, trial, along with compassionate-use cohorts of patients with IPF and PPF. We currently have over four and a half years of data demonstrating a favorable tolerability profile and preliminary data on clinical activity, including near-stabilization of lung function.</w:t>
      </w:r>
    </w:p>
    <w:p>
      <w:pPr>
        <w:spacing w:after="0" w:line="14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AP01 is currently being evaluated in MIST, a global Phase 2b clinical trial for the treatment of PPF. We have also completed Phase 1 trials of AP02 in healthy adult volunteers and patients with IPF. AP02 is currently being evaluated in AURA, a global Phase 2 clinical trial for the treatment of IPF. We are also advancing AP03 into a Phase 1 clinical trial. AP03 is a fixed-dose combination of inhaled pirfenidone and nintedanib designed to deliver dual antifibrotic mechanisms with the potential for additive or synergistic benefit.</w:t>
      </w:r>
    </w:p>
    <w:p>
      <w:pPr>
        <w:spacing w:after="0" w:line="14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believe our inhaled therapies, if successfully developed and approved, may offer improved tolerability and efficacy for long-term treatment. These programs are intentionally designed, leveraging our deep expertise in rare respiratory diseases, advanced inhaled drug formulation, and our exclusive license to customize the delivery device.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5" w:name="page6"/>
    <w:bookmarkEnd w:id="5"/>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6814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026025" cy="668147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Approach to Transforming the Treatment Paradigm for Pulmonary Fibrosis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Interstitial lung diseases, or ILDs, are a heterogeneous group of rare pulmonary disorders, comprising over 200 distinct conditions, many of which lack approved or effective treatments. ILDs are characterized by varying degrees of inflammation, fibrosis, or both. These conditions impair gas exchange and patients’ quality of life, or QoL, by causing chronic breathlessness, fatigue, coughing, and reduced ability to perform daily activities.</w:t>
      </w:r>
    </w:p>
    <w:p>
      <w:pPr>
        <w:spacing w:after="0" w:line="57"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Pulmonary fibrosis is a pathologic phenotype observed across a large subset of ILDs characterized by chronic injury, aberrant repair, progressive, typically irreversible, fibrosis, and stiffening of lung tissue. Although different ILDs have distinct underlying etiologies, pathophysiology, and clinical courses, many forms of ILD can ultimately result in pulmonary fibrosis. Once pulmonary fibrosis develops, disease progression may continue even if the underlying cause of ILD is treated or removed. ILDs represent a significant global health burden, affecting over 650,000 in the U.S. alone, of which approximately 300,000 have pulmonary fibrosis. The median survival of pulmonary fibrosis is three to five years, which is a significantly shorter prognosis than that observed for many forms of cancer.</w:t>
      </w:r>
    </w:p>
    <w:p>
      <w:pPr>
        <w:spacing w:after="0" w:line="61" w:lineRule="exact"/>
        <w:rPr>
          <w:sz w:val="20"/>
          <w:szCs w:val="20"/>
          <w:color w:val="auto"/>
        </w:rPr>
      </w:pPr>
    </w:p>
    <w:p>
      <w:pPr>
        <w:jc w:val="both"/>
        <w:ind w:left="1220" w:right="1219" w:firstLine="333"/>
        <w:spacing w:after="0" w:line="258" w:lineRule="auto"/>
        <w:rPr>
          <w:sz w:val="20"/>
          <w:szCs w:val="20"/>
          <w:color w:val="auto"/>
        </w:rPr>
      </w:pPr>
      <w:r>
        <w:rPr>
          <w:rFonts w:ascii="Times New Roman" w:cs="Times New Roman" w:eastAsia="Times New Roman" w:hAnsi="Times New Roman"/>
          <w:sz w:val="14"/>
          <w:szCs w:val="14"/>
          <w:color w:val="auto"/>
        </w:rPr>
        <w:t>There are two primary clinical forms of pulmonary fibrosis: IPF and PPF. IPF is an ILD of unknown etiology, affecting approximately 120,000 people in the U.S. PPF, by contrast, refers to ILDs with a known etiological factor, such as autoimmune disease or exposure to allergens, where a subset of patients develop a progressive pulmonary fibrotic phenotype. PPF represents a more prevalent form of pulmonary fibrosis, affecting approximately 180,000 people in the U.S.</w:t>
      </w:r>
    </w:p>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Types of Interstitial Lung Disease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0"/>
          <w:szCs w:val="10"/>
          <w:color w:val="auto"/>
        </w:rPr>
        <w:t>Sources: 1. Jeganathan et al., 2024; 2. Avalyn Market Research; 3. Olson et al., 2021.</w:t>
      </w:r>
    </w:p>
    <w:p>
      <w:pPr>
        <w:jc w:val="center"/>
        <w:spacing w:after="0"/>
        <w:rPr>
          <w:sz w:val="20"/>
          <w:szCs w:val="20"/>
          <w:color w:val="auto"/>
        </w:rPr>
      </w:pPr>
      <w:r>
        <w:rPr>
          <w:rFonts w:ascii="Times New Roman" w:cs="Times New Roman" w:eastAsia="Times New Roman" w:hAnsi="Times New Roman"/>
          <w:sz w:val="10"/>
          <w:szCs w:val="10"/>
          <w:color w:val="auto"/>
        </w:rPr>
        <w:t>PPF, previously referred to as Progressive Fibrosing ILD (PF-ILD)</w:t>
      </w:r>
    </w:p>
    <w:p>
      <w:pPr>
        <w:spacing w:after="0" w:line="147" w:lineRule="exact"/>
        <w:rPr>
          <w:sz w:val="20"/>
          <w:szCs w:val="20"/>
          <w:color w:val="auto"/>
        </w:rPr>
      </w:pPr>
    </w:p>
    <w:p>
      <w:pPr>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Current standard of care oral antifibrotic therapies slow, but do not halt nor reverse, disease progression. As a result, current oral antifibrotic therapies expose patients to chronic systemic drug exposure without directly targeting the site of disease, contributing to significant limitations including safety concerns and tolerability issues. Although oral pirfenidone and nintedanib are approved for the treatment of pulmonary fibrosis, both agents are associated with high rates of gastrointestinal, or GI, and other treatment-limiting toxicities that frequently require dose reductions, treatment interruptions, or permanent discontinuations. As a result, only approximately 30% of patients with IPF are actively treated with antifibrotics and 50% of patients discontinue within one year of treatment, largely due to systemic</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6" w:name="page7"/>
    <w:bookmarkEnd w:id="6"/>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741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026025" cy="674116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adverse events, or AEs. We believe we may be able to address these limitations through the development of optimized inhaled formulations of these established oral antifibrotic agents.</w:t>
      </w:r>
    </w:p>
    <w:p>
      <w:pPr>
        <w:spacing w:after="0" w:line="12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By delivering drugs directly to the lungs, our approach is designed to fundamentally improve the benefit-risk profile of antifibrotic therapy by achieving higher drug concentration at the site of disease while substantially reducing systemic exposure. We believe this lung-targeted delivery strategy enables sustained long-term treatment, addressing key limitations of existing systemic therapies and supporting better treatment adherence and long-term disease management for patients with pulmonary fibrosis.</w:t>
      </w:r>
    </w:p>
    <w:p>
      <w:pPr>
        <w:spacing w:after="0" w:line="60" w:lineRule="exact"/>
        <w:rPr>
          <w:sz w:val="20"/>
          <w:szCs w:val="20"/>
          <w:color w:val="auto"/>
        </w:rPr>
      </w:pPr>
    </w:p>
    <w:p>
      <w:pPr>
        <w:jc w:val="both"/>
        <w:ind w:left="1220" w:right="1239" w:firstLine="333"/>
        <w:spacing w:after="0" w:line="278" w:lineRule="auto"/>
        <w:rPr>
          <w:sz w:val="20"/>
          <w:szCs w:val="20"/>
          <w:color w:val="auto"/>
        </w:rPr>
      </w:pPr>
      <w:r>
        <w:rPr>
          <w:rFonts w:ascii="Times New Roman" w:cs="Times New Roman" w:eastAsia="Times New Roman" w:hAnsi="Times New Roman"/>
          <w:sz w:val="13"/>
          <w:szCs w:val="13"/>
          <w:color w:val="auto"/>
        </w:rPr>
        <w:t>The change we aim to make in the treatment paradigm of pulmonary fibrosis and other ILDs parallels the decades-long evolution seen in the treatment of asthma and COPD. In those diseases, treatments advanced through successive innovations, moving from broad, systemic oral therapies to targeted inhaled treatments, and ultimately to combination inhalers. We see a similar opportunity in pulmonary fibrosis, where the field still relies on oral antifibrotics today. Our programs are designed to drive a similar evolution, first by shifting treatment toward inhaled, lung-targeted formulations of existing antifibrotics that aim to improve safety and efficacy. We aspire to deliver inhaled therapies that combine complementary mechanisms into a single device for even greater therapeutic impact.</w:t>
      </w:r>
    </w:p>
    <w:p>
      <w:pPr>
        <w:spacing w:after="0" w:line="13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Importantly, most investigational therapies for pulmonary fibrosis, including those targeting novel biological pathways, are in development as potential add-on systemic treatments to existing oral antifibrotics. Given we are developing inhaled formulations of these background standard-of-care antifibrotics, we believe our product candidates could be used as standalone therapies or in combination with other approved medicines. The commercial performance of current oral treatments is limited by their suboptimal benefit-risk profile, highlighting a significant unmet medical need. This gap creates a substantial commercial opportunity for therapies like our product candidates, which aim to preserve lung function while offering a more favorable tolerability profile.</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wholly owned pipeline is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AP01 (Inhaled Pirfenidone)</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wholly owned product candidate, AP01, is an optimized inhaled formulation of pirfenidone that we are advancing as a treatment for PPF. AP01 demonstrated encouraging tolerability and clinical activity data in ATLAS, a Phase 1b clinical trial in patients with IPF, and an OLE trial in IPF and PPF patients, which has supported development in PPF. ATLAS was a randomized, open-label trial comparing AP01 50 mg once-daily, or QD, and AP01 100 mg twice-daily, or BID. Both dose regimens of AP01 showed low rates of side effects, including GI toxicities and liver</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7" w:name="page8"/>
    <w:bookmarkEnd w:id="7"/>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267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026025" cy="626745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220" w:right="1239"/>
        <w:spacing w:after="0" w:line="258" w:lineRule="auto"/>
        <w:rPr>
          <w:sz w:val="20"/>
          <w:szCs w:val="20"/>
          <w:color w:val="auto"/>
        </w:rPr>
      </w:pPr>
      <w:r>
        <w:rPr>
          <w:rFonts w:ascii="Times New Roman" w:cs="Times New Roman" w:eastAsia="Times New Roman" w:hAnsi="Times New Roman"/>
          <w:sz w:val="14"/>
          <w:szCs w:val="14"/>
          <w:color w:val="auto"/>
        </w:rPr>
        <w:t>enzyme elevations, which have been commonly seen with oral products. At 48 weeks, the high-dose AP01 achieved near stabilization of lung function, as measured by forced vital capacity, or FVC. In addition, analyses of high-resolution computed tomography, or HRCT, imaging indicated fibrosis stabilization or improvement in over 70% of patients evaluated, with reduced lung scarring and improved lung volume, suggesting a potential disease-modifying effect.</w:t>
      </w:r>
    </w:p>
    <w:p>
      <w:pPr>
        <w:spacing w:after="0" w:line="1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An ongoing OLE trial of AP01 has further supported its long-term favorable tolerability potential and the</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potential to stabilize lung function decline. Patients from ATLAS transitioned into the OLE trial with AP01 100 mg</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BID treatment, along with compassionate-use cohorts of patients with IPF and PPF. Long-term data show a</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consistent tolerability profile and clinical activity data as ATLAS. The OLE trial has now been underway for more</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than four and a half years, with 23 of the 100 initially enrolled patients continuing to receive AP01 100 mg BID</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treatment. Many of these continuing patients are surpassing six years post-diagnosis, exceeding the three to five</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years median survival for patients with pulmonary fibrosis after diagnosis, with other patients having</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discontinued due to mortality, disease progression, or other clinical considerations, including one patient who</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discontinued due to tolerability considerations.</w:t>
      </w:r>
    </w:p>
    <w:p>
      <w:pPr>
        <w:spacing w:after="0" w:line="161" w:lineRule="exact"/>
        <w:rPr>
          <w:sz w:val="20"/>
          <w:szCs w:val="20"/>
          <w:color w:val="auto"/>
        </w:rPr>
      </w:pPr>
    </w:p>
    <w:p>
      <w:pPr>
        <w:jc w:val="both"/>
        <w:ind w:left="1220" w:right="1219" w:firstLine="333"/>
        <w:spacing w:after="0" w:line="247" w:lineRule="auto"/>
        <w:rPr>
          <w:sz w:val="20"/>
          <w:szCs w:val="20"/>
          <w:color w:val="auto"/>
        </w:rPr>
      </w:pPr>
      <w:r>
        <w:rPr>
          <w:rFonts w:ascii="Times New Roman" w:cs="Times New Roman" w:eastAsia="Times New Roman" w:hAnsi="Times New Roman"/>
          <w:sz w:val="14"/>
          <w:szCs w:val="14"/>
          <w:color w:val="auto"/>
        </w:rPr>
        <w:t>These results supported our initiation of MIST, a global, randomized, 52-week Phase 2b clinical trial evaluating AP01 in PPF. We strategically selected PPF for Phase 2b development based on the clinical activity and observed anatomical changes seen with AP01; the higher global prevalence of PPF, which is nearly double that of IPF; and a potentially more efficient development and regulatory path. Given pirfenidone, or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is not approved for the treatment of PPF, we are not required to include a comparator arm to oral pirfenidone in the MIST trial. We believe there will be fewer commercial restrictions given pirfenidone is not approved for PPF, leading to potentially greater market access. MIST enrollment is ongoing, with initial data expected in the second half of 2027.</w:t>
      </w:r>
    </w:p>
    <w:p>
      <w:pPr>
        <w:spacing w:after="0" w:line="23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AP02 (Inhaled Nintedanib)</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AP02, our inhaled formulation of nintedanib, has completed a Phase 1 single-ascending dose, or SAD, trial in healthy volunteers and patients with IPF and a Phase 1 SAD and multiple-ascending dose, or MAD, trial in healthy volunteers. AP02 was generally well-tolerated following single doses and throughout 7 days BID, up to the highest dose of 8 mg BID. AP02 also showed favorable pharmacokinetic, or PK, properties, notably no difference in systemic exposure between healthy volunteers and IPF patients, and an increase in pulmonary exposure and significantly lower systemic exposure with AP02, supporting its targeted lung delivery in contrast to data observed with oral delivery. Based on these data, we initiated AURA, a global Phase 2 clinical trial of AP02 in patients with IPF. The first patient was dosed in the first quarter of 2026 and data from AURA is expected in late 2027.</w:t>
      </w:r>
    </w:p>
    <w:p>
      <w:pPr>
        <w:spacing w:after="0" w:line="22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AP03 (Inhaled Fixed-Dose Combination of Pirfenidone and Nintedanib)</w:t>
      </w:r>
    </w:p>
    <w:p>
      <w:pPr>
        <w:spacing w:after="0" w:line="93" w:lineRule="exact"/>
        <w:rPr>
          <w:sz w:val="20"/>
          <w:szCs w:val="20"/>
          <w:color w:val="auto"/>
        </w:rPr>
      </w:pPr>
    </w:p>
    <w:p>
      <w:pPr>
        <w:jc w:val="both"/>
        <w:ind w:left="1220" w:right="1219" w:firstLine="333"/>
        <w:spacing w:after="0" w:line="253" w:lineRule="auto"/>
        <w:rPr>
          <w:sz w:val="20"/>
          <w:szCs w:val="20"/>
          <w:color w:val="auto"/>
        </w:rPr>
      </w:pPr>
      <w:r>
        <w:rPr>
          <w:rFonts w:ascii="Times New Roman" w:cs="Times New Roman" w:eastAsia="Times New Roman" w:hAnsi="Times New Roman"/>
          <w:sz w:val="14"/>
          <w:szCs w:val="14"/>
          <w:color w:val="auto"/>
        </w:rPr>
        <w:t>Combination therapies targeting multiple mechanisms are well established in other chronic lung diseases such as asthma, chronic obstructive pulmonary disease, or COPD, and pulmonary arterial hypertension, or PAH. We designed AP03 as a fixed-dose combination of inhaled pirfenidone and inhaled nintedanib, leveraging the two complementary antifibrotic mechanisms of action that have shown signals of enhanced treatment response in pulmonary fibrosis, but have been historically limited by overlapping systemic toxicities. A historical, independent clinical trial in IPF demonstrated that combined use of oral pirfenidone and oral nintedanib exhibit potential for additive or even synergistic effects, improving lung function decline more than monotherapy. However, the challenging systemic side effects have limited the clinical feasibility of oral combination, given the overlapping adverse event, or AE, profiles of nintedanib and pirfenidone. We believe that delivering both molecules via inhalation has the potential to be transformative in the treatment of pulmonary fibrosis, where treatment options remain limited. AP03 reflects our initial effort to advance the treatment algorithm in pulmonary fibrosis. We are advancing manufacturing activities through a CMO for AP03. Pending alignment with regulatory authorities, we plan to initiate a Phase 1 clinical trial of AP03 as an inhaled fixed-dose combination in late 2026.</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8" w:name="page9"/>
    <w:bookmarkEnd w:id="8"/>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727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26025" cy="672782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Lung-Targeted Inhalation Delivery Method</w:t>
      </w:r>
    </w:p>
    <w:p>
      <w:pPr>
        <w:spacing w:after="0" w:line="183" w:lineRule="exact"/>
        <w:rPr>
          <w:sz w:val="20"/>
          <w:szCs w:val="20"/>
          <w:color w:val="auto"/>
        </w:rPr>
      </w:pPr>
    </w:p>
    <w:p>
      <w:pPr>
        <w:jc w:val="both"/>
        <w:ind w:left="1220" w:right="1219" w:firstLine="333"/>
        <w:spacing w:after="0" w:line="227" w:lineRule="auto"/>
        <w:rPr>
          <w:sz w:val="20"/>
          <w:szCs w:val="20"/>
          <w:color w:val="auto"/>
        </w:rPr>
      </w:pPr>
      <w:r>
        <w:rPr>
          <w:rFonts w:ascii="Times New Roman" w:cs="Times New Roman" w:eastAsia="Times New Roman" w:hAnsi="Times New Roman"/>
          <w:sz w:val="14"/>
          <w:szCs w:val="14"/>
          <w:color w:val="auto"/>
        </w:rPr>
        <w:t>Our pipeline benefits from an exclusive license to PARI Technology Services’, or PARI’s,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with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for their delivery. PARI’s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nebulizers are clinically and commercially validated, with five drug-device combinations products using their nebulizers approved by regulatory authorities in North America, Europe, and Japan, including LAMIRA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ARIKAYCE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ALTERA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CAYSTON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PARI exclusivity offers a key competitive advantage, as the proprietary device would be included in any potential product labels approved by the U.S. Food and Drug Administration, or the FDA, and other foreign regulatory authorities given that we plan to seek approval for our drug product and the device under a single application.</w:t>
      </w:r>
    </w:p>
    <w:p>
      <w:pPr>
        <w:spacing w:after="0" w:line="159" w:lineRule="exact"/>
        <w:rPr>
          <w:sz w:val="20"/>
          <w:szCs w:val="20"/>
          <w:color w:val="auto"/>
        </w:rPr>
      </w:pPr>
    </w:p>
    <w:p>
      <w:pPr>
        <w:jc w:val="both"/>
        <w:ind w:left="1220" w:right="1219" w:firstLine="333"/>
        <w:spacing w:after="0" w:line="254" w:lineRule="auto"/>
        <w:rPr>
          <w:sz w:val="20"/>
          <w:szCs w:val="20"/>
          <w:color w:val="auto"/>
        </w:rPr>
      </w:pPr>
      <w:r>
        <w:rPr>
          <w:rFonts w:ascii="Times New Roman" w:cs="Times New Roman" w:eastAsia="Times New Roman" w:hAnsi="Times New Roman"/>
          <w:sz w:val="14"/>
          <w:szCs w:val="14"/>
          <w:color w:val="auto"/>
        </w:rPr>
        <w:t>We have chosen nebulized delivery for our current programs, as we believe it offers the best solution for patients with pulmonary fibrosis, who often suffer from chronic cough and compromised lung function. Nebulized formulation produces a soft, gentle mist that allows for normal tidal breathing without requiring forceful inhalation. This minimizes cough induction and improves usability for the vast majority of patients. In contrast, other approaches like dry powder inhalers, or DPIs, require a powder formulation that is aerosolized through the device and depend on patients initiating a deep, vigorous inhalation to deliver the dose. Such inhalation can trigger cough, and if the patient coughs immediately afterward, much of the drug may be expelled, reducing efficacy. While a segment of the population with pulmonary fibrosis could successfully use a DPI, the size of that segment remains uncertain. We believe that nebulization offers a more reliable and patient-friendly solution.</w:t>
      </w:r>
    </w:p>
    <w:p>
      <w:pPr>
        <w:spacing w:after="0" w:line="149"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By advancing a portfolio of optimized inhaled therapies, we aim to deliver transformative, patient-centered treatment solutions for pulmonary fibrosis and other interstitial lung diseases, or ILDs, setting a new standard of care for these underserved populations.</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17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Our mission is to transform the lives of patients with serious, rare respiratory diseases through innovative inhaled therapies, beginning with pulmonary fibrosis. To achieve our mission, we are focused on the following strategic priorities:</w:t>
      </w:r>
    </w:p>
    <w:p>
      <w:pPr>
        <w:spacing w:after="0" w:line="51" w:lineRule="exact"/>
        <w:rPr>
          <w:sz w:val="20"/>
          <w:szCs w:val="20"/>
          <w:color w:val="auto"/>
        </w:rPr>
      </w:pPr>
    </w:p>
    <w:p>
      <w:pPr>
        <w:ind w:left="1800" w:right="1239" w:hanging="250"/>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efficiently advance AP01, our optimized inhaled formulation of pirfenidone, through late-stage clinical development for the treatment of PPF.</w:t>
      </w:r>
    </w:p>
    <w:p>
      <w:pPr>
        <w:spacing w:after="0" w:line="40" w:lineRule="exact"/>
        <w:rPr>
          <w:rFonts w:ascii="Times New Roman" w:cs="Times New Roman" w:eastAsia="Times New Roman" w:hAnsi="Times New Roman"/>
          <w:sz w:val="14"/>
          <w:szCs w:val="14"/>
          <w:color w:val="auto"/>
        </w:rPr>
      </w:pPr>
    </w:p>
    <w:p>
      <w:pPr>
        <w:ind w:left="1800" w:right="1239" w:hanging="250"/>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Efficiently progress clinical development of AP02, our optimized inhaled formulation of nintedanib, for the treatment of IPF.</w:t>
      </w:r>
    </w:p>
    <w:p>
      <w:pPr>
        <w:spacing w:after="0" w:line="40" w:lineRule="exact"/>
        <w:rPr>
          <w:rFonts w:ascii="Times New Roman" w:cs="Times New Roman" w:eastAsia="Times New Roman" w:hAnsi="Times New Roman"/>
          <w:sz w:val="14"/>
          <w:szCs w:val="14"/>
          <w:color w:val="auto"/>
        </w:rPr>
      </w:pPr>
    </w:p>
    <w:p>
      <w:pPr>
        <w:ind w:left="1800" w:right="1239" w:hanging="250"/>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Unlock the potential of combination therapy with AP03, our innovative inhaled fixed-dose combination therapy.</w:t>
      </w:r>
    </w:p>
    <w:p>
      <w:pPr>
        <w:spacing w:after="0" w:line="40" w:lineRule="exact"/>
        <w:rPr>
          <w:rFonts w:ascii="Times New Roman" w:cs="Times New Roman" w:eastAsia="Times New Roman" w:hAnsi="Times New Roman"/>
          <w:sz w:val="14"/>
          <w:szCs w:val="14"/>
          <w:color w:val="auto"/>
        </w:rPr>
      </w:pPr>
    </w:p>
    <w:p>
      <w:pPr>
        <w:ind w:left="1800" w:right="1239" w:hanging="250"/>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competitive advantage through proprietary drug-device combinations and intellectual property.</w:t>
      </w:r>
    </w:p>
    <w:p>
      <w:pPr>
        <w:spacing w:after="0" w:line="40" w:lineRule="exact"/>
        <w:rPr>
          <w:rFonts w:ascii="Times New Roman" w:cs="Times New Roman" w:eastAsia="Times New Roman" w:hAnsi="Times New Roman"/>
          <w:sz w:val="14"/>
          <w:szCs w:val="14"/>
          <w:color w:val="auto"/>
        </w:rPr>
      </w:pPr>
    </w:p>
    <w:p>
      <w:pPr>
        <w:ind w:left="1800" w:right="1219" w:hanging="250"/>
        <w:spacing w:after="0" w:line="283" w:lineRule="auto"/>
        <w:tabs>
          <w:tab w:leader="none" w:pos="180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Avalyn as a leader in developing and delivering transformative therapies to patients suffering from a broad range of rare pulmonary diseases.</w:t>
      </w:r>
    </w:p>
    <w:p>
      <w:pPr>
        <w:spacing w:after="0" w:line="209" w:lineRule="exact"/>
        <w:rPr>
          <w:sz w:val="20"/>
          <w:szCs w:val="20"/>
          <w:color w:val="auto"/>
        </w:rPr>
      </w:pPr>
    </w:p>
    <w:p>
      <w:pPr>
        <w:jc w:val="both"/>
        <w:ind w:left="1220" w:right="1219" w:firstLine="333"/>
        <w:spacing w:after="0" w:line="283" w:lineRule="auto"/>
        <w:rPr>
          <w:sz w:val="20"/>
          <w:szCs w:val="20"/>
          <w:color w:val="auto"/>
        </w:rPr>
      </w:pPr>
      <w:r>
        <w:rPr>
          <w:rFonts w:ascii="Times New Roman" w:cs="Times New Roman" w:eastAsia="Times New Roman" w:hAnsi="Times New Roman"/>
          <w:sz w:val="14"/>
          <w:szCs w:val="14"/>
          <w:color w:val="auto"/>
        </w:rPr>
        <w:t>We believe in the value our approach could unlock and are committed to growing into a company fully capable of realizing that potential opportunity.</w:t>
      </w:r>
    </w:p>
    <w:p>
      <w:pPr>
        <w:spacing w:after="0" w:line="1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Team</w:t>
      </w:r>
    </w:p>
    <w:p>
      <w:pPr>
        <w:spacing w:after="0" w:line="177" w:lineRule="exact"/>
        <w:rPr>
          <w:sz w:val="20"/>
          <w:szCs w:val="20"/>
          <w:color w:val="auto"/>
        </w:rPr>
      </w:pPr>
    </w:p>
    <w:p>
      <w:pPr>
        <w:jc w:val="both"/>
        <w:ind w:left="1220" w:right="1239" w:firstLine="333"/>
        <w:spacing w:after="0" w:line="277" w:lineRule="auto"/>
        <w:rPr>
          <w:sz w:val="20"/>
          <w:szCs w:val="20"/>
          <w:color w:val="auto"/>
        </w:rPr>
      </w:pPr>
      <w:r>
        <w:rPr>
          <w:rFonts w:ascii="Times New Roman" w:cs="Times New Roman" w:eastAsia="Times New Roman" w:hAnsi="Times New Roman"/>
          <w:sz w:val="13"/>
          <w:szCs w:val="13"/>
          <w:color w:val="auto"/>
        </w:rPr>
        <w:t>We have a seasoned leadership team with deep experience in developing and commercializing respiratory medicines and inhaled therapeutics. Collectively, our team members have played key roles in the development, regulatory review, and commercial launches of several respiratory and inhaled therapeutics, including ESBRIET</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OFEV</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JASCAYD</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BREZTRI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BEVESPI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XOLAIR</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TOBI</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and BAXDELA</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Lyn Baranowski, our Chief</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9" w:name="page10"/>
    <w:bookmarkEnd w:id="9"/>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6414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26025" cy="664146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220" w:right="1219"/>
        <w:spacing w:after="0" w:line="249" w:lineRule="auto"/>
        <w:rPr>
          <w:sz w:val="20"/>
          <w:szCs w:val="20"/>
          <w:color w:val="auto"/>
        </w:rPr>
      </w:pPr>
      <w:r>
        <w:rPr>
          <w:rFonts w:ascii="Times New Roman" w:cs="Times New Roman" w:eastAsia="Times New Roman" w:hAnsi="Times New Roman"/>
          <w:sz w:val="14"/>
          <w:szCs w:val="14"/>
          <w:color w:val="auto"/>
        </w:rPr>
        <w:t>Executive Officer, has over 20 years of experience in biopharmaceuticals and venture capital, with a significant focus on the immunology and respiratory therapeutic areas. Ms. Baranowski most recently served as Chief Operating Officer at Altavant Sciences, or Altavant, overseeing development of therapies for rare respiratory diseases and culminating in the company’s acquisition by Sumitomo Dainippon in 2019. Prior to Altavant, she served as Vice President of Commercial Development at Pearl Therapeutics, which successfully developed a portfolio of inhaled respiratory medicines that led to its $1.15 billion acquisition by AstraZeneca. Douglas Carlson, our Chief Financial Officer and Chief Business Officer, has more than 23 years of corporate finance, M&amp;A, business development and commercial experience in public and private biopharma companies. He was Chief Financial Officer and Chief Operating Officer at Avenge Bio and Ikena Oncology, and prior to that, held senior positions at Collegium Pharmaceutical, BTG plc (acquired by Boston Scientific) and Lundbeck Inc. (formerly Ovation Pharmaceuticals, acquired by H. Lundbeck A/S). Melissa Rhodes, Ph.D., D.A.B.T., our Chief Operating Officer, previously held leadership roles at Kriya Therapeutics, Aerami Therapeutics, and Altavant, focusing on the development of inhaled therapies. Howard Lazarus, M.D., FCCP, our Chief Medical Officer, is a board-certified pulmonary and critical care physician with more than 20 years of biopharmaceutical and academic experience. He was Chief Medical Officer of Altavant, and, prior to that, was a key contributor to the development of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its non-IPF ILD indications at Boehringer Ingelheim and contributed to the development of Gilead’s PAH and IPF portfolios. The prior experience of our team does not provide any guarantee or increased probability that we will be successful in developing and commercializing our product candidates.</w:t>
      </w:r>
    </w:p>
    <w:p>
      <w:pPr>
        <w:spacing w:after="0" w:line="152"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Since our inception, we have raised approximately $389 million in equity capital from a syndicate of premier investors in healthcare and life sciences, including our greater than 5% holders: Novo Holdings A/S; SR One; F-Prime; Perceptive Xontogeny Venture Funds; Norwest Venture Funds; Eventide Asset Management; Wellington Management; and Vida Ventures, among other leading investors in our industry. Potential investors should not consider investments made by our existing investors as a factor when making a decision to purchase shares in this offering since our existing investors likely have different risk tolerances and paid significantly less per share than the price at which the shares are being offered in this offering. See the section titled “Principal Stockholders” for more information on prior purchases by and current holdings of our greater than 5% holders and other leading investors.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Summary of Risks Associated With Our Business</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Our business is subject to a number of risks of which you should be aware before making an investment decision. These risks include, but are not limited to, the following:</w:t>
      </w:r>
    </w:p>
    <w:p>
      <w:pPr>
        <w:spacing w:after="0" w:line="41" w:lineRule="exact"/>
        <w:rPr>
          <w:sz w:val="20"/>
          <w:szCs w:val="20"/>
          <w:color w:val="auto"/>
        </w:rPr>
      </w:pPr>
    </w:p>
    <w:p>
      <w:pPr>
        <w:jc w:val="both"/>
        <w:ind w:left="1800" w:right="1219" w:hanging="250"/>
        <w:spacing w:after="0" w:line="258"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a clinical-stage biopharmaceutical company and have incurred significant operating losses since inception and anticipate that we will continue to incur significant operating losses for the foreseeable future. Our net losses were $85.2 million and $49.7 million for the years ended December 31, 2025 and 2024, respectively. We had an accumulated deficit of $265.4 million and $180.2 million as of December 31, 2025 and 2024, respectively. We may never achieve or maintain profitability.</w:t>
      </w:r>
    </w:p>
    <w:p>
      <w:pPr>
        <w:spacing w:after="0" w:line="59" w:lineRule="exact"/>
        <w:rPr>
          <w:rFonts w:ascii="Times New Roman" w:cs="Times New Roman" w:eastAsia="Times New Roman" w:hAnsi="Times New Roman"/>
          <w:sz w:val="14"/>
          <w:szCs w:val="14"/>
          <w:color w:val="auto"/>
        </w:rPr>
      </w:pPr>
    </w:p>
    <w:p>
      <w:pPr>
        <w:jc w:val="both"/>
        <w:ind w:left="1800" w:right="1239" w:hanging="250"/>
        <w:spacing w:after="0" w:line="267"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this offering is successful, we will need substantial additional funding. We may be unable to raise capital on acceptable terms, if at all, and, as a result, we may be required to delay, reduce, or eliminate our product development programs or commercialization efforts.</w:t>
      </w:r>
    </w:p>
    <w:p>
      <w:pPr>
        <w:spacing w:after="0" w:line="51" w:lineRule="exact"/>
        <w:rPr>
          <w:rFonts w:ascii="Times New Roman" w:cs="Times New Roman" w:eastAsia="Times New Roman" w:hAnsi="Times New Roman"/>
          <w:sz w:val="14"/>
          <w:szCs w:val="14"/>
          <w:color w:val="auto"/>
        </w:rPr>
      </w:pPr>
    </w:p>
    <w:p>
      <w:pPr>
        <w:jc w:val="both"/>
        <w:ind w:left="1800" w:right="1239" w:hanging="250"/>
        <w:spacing w:after="0" w:line="261"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substantially dependent on the success of our lead candidates, AP01 and AP02. If we are unable to advance such product candidates into later-stage clinical development or unable to obtain regulatory approval and commercialize a therapy for the treatment of pulmonary fibrosis, or PF, or experience significant delays in doing so, our business will be materially harmed.</w:t>
      </w:r>
    </w:p>
    <w:p>
      <w:pPr>
        <w:spacing w:after="0" w:line="56" w:lineRule="exact"/>
        <w:rPr>
          <w:rFonts w:ascii="Times New Roman" w:cs="Times New Roman" w:eastAsia="Times New Roman" w:hAnsi="Times New Roman"/>
          <w:sz w:val="14"/>
          <w:szCs w:val="14"/>
          <w:color w:val="auto"/>
        </w:rPr>
      </w:pPr>
    </w:p>
    <w:p>
      <w:pPr>
        <w:jc w:val="both"/>
        <w:ind w:left="1800" w:right="1219" w:hanging="250"/>
        <w:spacing w:after="0" w:line="267"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early in our development efforts. If we are unable to successfully develop, receive regulatory approval for and commercialize any product candidate or successfully develop any other product candidate or experience significant delays in doing so, our business will be substantially harmed.</w:t>
      </w:r>
    </w:p>
    <w:p>
      <w:pPr>
        <w:spacing w:after="0" w:line="51" w:lineRule="exact"/>
        <w:rPr>
          <w:rFonts w:ascii="Times New Roman" w:cs="Times New Roman" w:eastAsia="Times New Roman" w:hAnsi="Times New Roman"/>
          <w:sz w:val="14"/>
          <w:szCs w:val="14"/>
          <w:color w:val="auto"/>
        </w:rPr>
      </w:pPr>
    </w:p>
    <w:p>
      <w:pPr>
        <w:jc w:val="both"/>
        <w:ind w:left="1800" w:right="1239" w:hanging="250"/>
        <w:spacing w:after="0" w:line="261" w:lineRule="auto"/>
        <w:tabs>
          <w:tab w:leader="none" w:pos="180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0" w:name="page11"/>
    <w:bookmarkEnd w:id="10"/>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5411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026025" cy="65411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800" w:right="1239"/>
        <w:spacing w:after="0" w:line="267" w:lineRule="auto"/>
        <w:rPr>
          <w:sz w:val="20"/>
          <w:szCs w:val="20"/>
          <w:color w:val="auto"/>
        </w:rPr>
      </w:pPr>
      <w:r>
        <w:rPr>
          <w:rFonts w:ascii="Times New Roman" w:cs="Times New Roman" w:eastAsia="Times New Roman" w:hAnsi="Times New Roman"/>
          <w:sz w:val="14"/>
          <w:szCs w:val="14"/>
          <w:color w:val="auto"/>
        </w:rPr>
        <w:t>positive results, or if we suffer any other significant setbacks in our later clinical trials, we may be unable to successfully develop, obtain regulatory approval for and commercialize our current or potential future product candidates.</w:t>
      </w:r>
    </w:p>
    <w:p>
      <w:pPr>
        <w:spacing w:after="0" w:line="51" w:lineRule="exact"/>
        <w:rPr>
          <w:sz w:val="20"/>
          <w:szCs w:val="20"/>
          <w:color w:val="auto"/>
        </w:rPr>
      </w:pPr>
    </w:p>
    <w:p>
      <w:pPr>
        <w:jc w:val="both"/>
        <w:ind w:left="1800" w:right="1219" w:hanging="250"/>
        <w:spacing w:after="0" w:line="258"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of our trials did not include a placebo or an oral antifibrotic comparator arm, and interpretability of the findings and whether these findings are robust enough to warrant approval will be reviewed closely by the FDA. The FDA may ultimately determine that our data are insufficient for approval and may require that we conduct additional clinical trials, or nonclinical or other studies, before our candidates can be approved.</w:t>
      </w:r>
    </w:p>
    <w:p>
      <w:pPr>
        <w:spacing w:after="0" w:line="59" w:lineRule="exact"/>
        <w:rPr>
          <w:rFonts w:ascii="Times New Roman" w:cs="Times New Roman" w:eastAsia="Times New Roman" w:hAnsi="Times New Roman"/>
          <w:sz w:val="14"/>
          <w:szCs w:val="14"/>
          <w:color w:val="auto"/>
        </w:rPr>
      </w:pPr>
    </w:p>
    <w:p>
      <w:pPr>
        <w:ind w:left="1800" w:right="1239" w:hanging="250"/>
        <w:spacing w:after="0" w:line="283"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Targeting PF with inhaled formulations of antifibrotic therapies is novel, and we do not know whether we will be able to successfully develop any inhaled products.</w:t>
      </w:r>
    </w:p>
    <w:p>
      <w:pPr>
        <w:spacing w:after="0" w:line="40" w:lineRule="exact"/>
        <w:rPr>
          <w:rFonts w:ascii="Times New Roman" w:cs="Times New Roman" w:eastAsia="Times New Roman" w:hAnsi="Times New Roman"/>
          <w:sz w:val="14"/>
          <w:szCs w:val="14"/>
          <w:color w:val="auto"/>
        </w:rPr>
      </w:pPr>
    </w:p>
    <w:p>
      <w:pPr>
        <w:jc w:val="both"/>
        <w:ind w:left="1800" w:right="1239" w:hanging="250"/>
        <w:spacing w:after="0" w:line="257"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spacing w:after="0" w:line="58" w:lineRule="exact"/>
        <w:rPr>
          <w:rFonts w:ascii="Times New Roman" w:cs="Times New Roman" w:eastAsia="Times New Roman" w:hAnsi="Times New Roman"/>
          <w:sz w:val="14"/>
          <w:szCs w:val="14"/>
          <w:color w:val="auto"/>
        </w:rPr>
      </w:pPr>
    </w:p>
    <w:p>
      <w:pPr>
        <w:ind w:left="1800" w:right="1239" w:hanging="250"/>
        <w:spacing w:after="0" w:line="283"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incur additional costs and experience delays in completing, or ultimately be unable to complete, the development and commercialization of our product candidates.</w:t>
      </w:r>
    </w:p>
    <w:p>
      <w:pPr>
        <w:spacing w:after="0" w:line="40" w:lineRule="exact"/>
        <w:rPr>
          <w:rFonts w:ascii="Times New Roman" w:cs="Times New Roman" w:eastAsia="Times New Roman" w:hAnsi="Times New Roman"/>
          <w:sz w:val="14"/>
          <w:szCs w:val="14"/>
          <w:color w:val="auto"/>
        </w:rPr>
      </w:pPr>
    </w:p>
    <w:p>
      <w:pPr>
        <w:ind w:left="1800" w:right="1239" w:hanging="250"/>
        <w:spacing w:after="0" w:line="261"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intend to deliver AP01 and AP02 and our other product candidates via a drug delivery device that will have its own regulatory, development, supply and other risks. Where approval of the drug</w:t>
      </w:r>
    </w:p>
    <w:p>
      <w:pPr>
        <w:ind w:left="1800" w:right="1899"/>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and device is sought under a single application, the increased complexity of the review process may delay approval.</w:t>
      </w:r>
    </w:p>
    <w:p>
      <w:pPr>
        <w:spacing w:after="0" w:line="55" w:lineRule="exact"/>
        <w:rPr>
          <w:rFonts w:ascii="Times New Roman" w:cs="Times New Roman" w:eastAsia="Times New Roman" w:hAnsi="Times New Roman"/>
          <w:sz w:val="14"/>
          <w:szCs w:val="14"/>
          <w:color w:val="auto"/>
        </w:rPr>
      </w:pPr>
    </w:p>
    <w:p>
      <w:pPr>
        <w:jc w:val="both"/>
        <w:ind w:left="1800" w:right="1239" w:hanging="250"/>
        <w:spacing w:after="0" w:line="267"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spacing w:after="0" w:line="51" w:lineRule="exact"/>
        <w:rPr>
          <w:rFonts w:ascii="Times New Roman" w:cs="Times New Roman" w:eastAsia="Times New Roman" w:hAnsi="Times New Roman"/>
          <w:sz w:val="14"/>
          <w:szCs w:val="14"/>
          <w:color w:val="auto"/>
        </w:rPr>
      </w:pPr>
    </w:p>
    <w:p>
      <w:pPr>
        <w:jc w:val="both"/>
        <w:ind w:left="1800" w:right="1219" w:hanging="250"/>
        <w:spacing w:after="0" w:line="267"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conducted at clinical trial sites outside the U.S. might not be accepted by the FDA, and data developed outside of a foreign jurisdiction similarly might not be accepted by such foreign regulatory authority.</w:t>
      </w:r>
    </w:p>
    <w:p>
      <w:pPr>
        <w:spacing w:after="0" w:line="51" w:lineRule="exact"/>
        <w:rPr>
          <w:rFonts w:ascii="Times New Roman" w:cs="Times New Roman" w:eastAsia="Times New Roman" w:hAnsi="Times New Roman"/>
          <w:sz w:val="14"/>
          <w:szCs w:val="14"/>
          <w:color w:val="auto"/>
        </w:rPr>
      </w:pPr>
    </w:p>
    <w:p>
      <w:pPr>
        <w:jc w:val="both"/>
        <w:ind w:left="1800" w:right="1219" w:hanging="250"/>
        <w:spacing w:after="0" w:line="249"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dependent on licensed intellectual property rights pursuant to the PARI Agreement relating to the PARI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and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and we may in the future enter into additional intellectual property licensing agreements on which we could similarly become dependent. If we were to lose our rights to licensed intellectual property, we may not be able to continue developing or commercializing our product candidates, if approved, on the intended timeline. If we breach the PARI Agreement or any other future agreements in which we license the use, development and commercialization rights to our product candidates from third parties or, in certain cases, we fail to meet certain deadlines, we could lose license rights that are important to our business.</w:t>
      </w:r>
    </w:p>
    <w:p>
      <w:pPr>
        <w:spacing w:after="0" w:line="66" w:lineRule="exact"/>
        <w:rPr>
          <w:rFonts w:ascii="Times New Roman" w:cs="Times New Roman" w:eastAsia="Times New Roman" w:hAnsi="Times New Roman"/>
          <w:sz w:val="14"/>
          <w:szCs w:val="14"/>
          <w:color w:val="auto"/>
        </w:rPr>
      </w:pPr>
    </w:p>
    <w:p>
      <w:pPr>
        <w:jc w:val="both"/>
        <w:ind w:left="1800" w:right="1239" w:hanging="250"/>
        <w:spacing w:after="0" w:line="261"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seek to establish collaborations, license agreements and other similar arrangements with third parties for the development or commercialization of our product candidates. If we are not able to establish them on commercially reasonable terms, or if those arrangements are not successful, we may have to alter our development and commercialization plans.</w:t>
      </w:r>
    </w:p>
    <w:p>
      <w:pPr>
        <w:spacing w:after="0" w:line="56" w:lineRule="exact"/>
        <w:rPr>
          <w:rFonts w:ascii="Times New Roman" w:cs="Times New Roman" w:eastAsia="Times New Roman" w:hAnsi="Times New Roman"/>
          <w:sz w:val="14"/>
          <w:szCs w:val="14"/>
          <w:color w:val="auto"/>
        </w:rPr>
      </w:pPr>
    </w:p>
    <w:p>
      <w:pPr>
        <w:ind w:left="1800" w:hanging="250"/>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face substantial competition and we may not be able to compete successfully in this environment.</w:t>
      </w:r>
    </w:p>
    <w:p>
      <w:pPr>
        <w:spacing w:after="0" w:line="91" w:lineRule="exact"/>
        <w:rPr>
          <w:rFonts w:ascii="Times New Roman" w:cs="Times New Roman" w:eastAsia="Times New Roman" w:hAnsi="Times New Roman"/>
          <w:sz w:val="14"/>
          <w:szCs w:val="14"/>
          <w:color w:val="auto"/>
        </w:rPr>
      </w:pPr>
    </w:p>
    <w:p>
      <w:pPr>
        <w:jc w:val="both"/>
        <w:ind w:left="1800" w:right="1239" w:hanging="250"/>
        <w:spacing w:after="0" w:line="267" w:lineRule="auto"/>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any of our product candidates receive marketing approval, it may fail to achieve the degree of market acceptance by physicians, patients, third-party payors and others in the medical community necessary for commercial success.</w:t>
      </w:r>
    </w:p>
    <w:p>
      <w:pPr>
        <w:spacing w:after="0" w:line="51" w:lineRule="exact"/>
        <w:rPr>
          <w:rFonts w:ascii="Times New Roman" w:cs="Times New Roman" w:eastAsia="Times New Roman" w:hAnsi="Times New Roman"/>
          <w:sz w:val="14"/>
          <w:szCs w:val="14"/>
          <w:color w:val="auto"/>
        </w:rPr>
      </w:pPr>
    </w:p>
    <w:p>
      <w:pPr>
        <w:ind w:left="1800" w:hanging="250"/>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market for our product candidates may be smaller than we estimate.</w:t>
      </w:r>
    </w:p>
    <w:p>
      <w:pPr>
        <w:spacing w:after="0" w:line="91" w:lineRule="exact"/>
        <w:rPr>
          <w:rFonts w:ascii="Times New Roman" w:cs="Times New Roman" w:eastAsia="Times New Roman" w:hAnsi="Times New Roman"/>
          <w:sz w:val="14"/>
          <w:szCs w:val="14"/>
          <w:color w:val="auto"/>
        </w:rPr>
      </w:pPr>
    </w:p>
    <w:p>
      <w:pPr>
        <w:ind w:left="1800" w:hanging="250"/>
        <w:spacing w:after="0"/>
        <w:tabs>
          <w:tab w:leader="none" w:pos="180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encounter difficulties in managing our growth, which could disrupt our operations.</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1" w:name="page12"/>
    <w:bookmarkEnd w:id="11"/>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7951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026025" cy="67951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1800" w:right="1239" w:hanging="250"/>
        <w:spacing w:after="0" w:line="283"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has been no prior public market for our common stock. An active trading market for our common stock may not develop or be sustained.</w:t>
      </w:r>
    </w:p>
    <w:p>
      <w:pPr>
        <w:spacing w:after="0" w:line="40" w:lineRule="exact"/>
        <w:rPr>
          <w:rFonts w:ascii="Times New Roman" w:cs="Times New Roman" w:eastAsia="Times New Roman" w:hAnsi="Times New Roman"/>
          <w:sz w:val="14"/>
          <w:szCs w:val="14"/>
          <w:color w:val="auto"/>
        </w:rPr>
      </w:pPr>
    </w:p>
    <w:p>
      <w:pPr>
        <w:jc w:val="both"/>
        <w:ind w:left="1800" w:right="1239" w:hanging="250"/>
        <w:spacing w:after="0" w:line="258" w:lineRule="auto"/>
        <w:tabs>
          <w:tab w:leader="none" w:pos="180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obtain and maintain patent protection for any products we develop and for our technology, or if the scope of the patent protection obtained is not sufficiently broad, our competitors or other third parties could develop and commercialize products and technology similar or identical to ours, and our ability to commercialize any product candidates we may develop, and our technology may be adversely affected.</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summary risk factors described above should be read together with the text of the full risk factors in the section titled “Risk Factors” and the other information set forth in this prospectus, including our consolidated financial statements and the related notes, as well as in other documents that we file with the Securities and Exchange Commission, or the SEC. The risks summarized above or described in full elsewhere in this prospectus are not the only risks that we face. Additional risks and uncertainties not presently known to us, or that we currently deem to be immaterial may also materially adversely affect our business, financial condition, results of operations, and future growth prospects.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 xml:space="preserve">We were incorporated under the laws of the State of Delaware as Genoa Pharmaceuticals, Inc. in May 2011 and changed our name to Avalyn Pharma Inc. in July 2017. Our principal executive offices are located at 105 W. First Street, Boston, Massachusetts 02127, and our telephone number is 206-707-0340. We have one subsidiary, Avalyn Pharma Pty Ltd, formed in August 2017 under the laws of Australia. Our website address is </w:t>
      </w:r>
      <w:r>
        <w:rPr>
          <w:rFonts w:ascii="Times New Roman" w:cs="Times New Roman" w:eastAsia="Times New Roman" w:hAnsi="Times New Roman"/>
          <w:sz w:val="14"/>
          <w:szCs w:val="14"/>
          <w:i w:val="1"/>
          <w:iCs w:val="1"/>
          <w:color w:val="auto"/>
        </w:rPr>
        <w:t>www.avalynpharma.com</w:t>
      </w:r>
      <w:r>
        <w:rPr>
          <w:rFonts w:ascii="Times New Roman" w:cs="Times New Roman" w:eastAsia="Times New Roman" w:hAnsi="Times New Roman"/>
          <w:sz w:val="14"/>
          <w:szCs w:val="14"/>
          <w:color w:val="auto"/>
        </w:rPr>
        <w:t>. The information contained in or accessible from our website is not incorporated into this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prospectus, and you should not consider it part of this prospectus. We have included our website address in this prospectus solely as an inactive textual reference.</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Implications of Being an Emerging Growth Company and a Smaller Reporting Company</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as amended, or the JOBS Act. As an emerging growth company, we may take advantage of specified reduced disclosure and other requirements that are otherwise applicable generally to public companies. These provisions include:</w:t>
      </w:r>
    </w:p>
    <w:p>
      <w:pPr>
        <w:spacing w:after="0" w:line="57" w:lineRule="exact"/>
        <w:rPr>
          <w:sz w:val="20"/>
          <w:szCs w:val="20"/>
          <w:color w:val="auto"/>
        </w:rPr>
      </w:pPr>
    </w:p>
    <w:p>
      <w:pPr>
        <w:jc w:val="both"/>
        <w:ind w:left="1800" w:right="1239" w:hanging="250"/>
        <w:spacing w:after="0" w:line="267"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51" w:lineRule="exact"/>
        <w:rPr>
          <w:rFonts w:ascii="Times New Roman" w:cs="Times New Roman" w:eastAsia="Times New Roman" w:hAnsi="Times New Roman"/>
          <w:sz w:val="14"/>
          <w:szCs w:val="14"/>
          <w:color w:val="auto"/>
        </w:rPr>
      </w:pPr>
    </w:p>
    <w:p>
      <w:pPr>
        <w:ind w:left="1800" w:hanging="250"/>
        <w:spacing w:after="0"/>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w:t>
      </w:r>
    </w:p>
    <w:p>
      <w:pPr>
        <w:spacing w:after="0" w:line="91" w:lineRule="exact"/>
        <w:rPr>
          <w:rFonts w:ascii="Times New Roman" w:cs="Times New Roman" w:eastAsia="Times New Roman" w:hAnsi="Times New Roman"/>
          <w:sz w:val="14"/>
          <w:szCs w:val="14"/>
          <w:color w:val="auto"/>
        </w:rPr>
      </w:pPr>
    </w:p>
    <w:p>
      <w:pPr>
        <w:ind w:left="1800" w:right="1239" w:hanging="250"/>
        <w:spacing w:after="0" w:line="283"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advisory votes on executive compensation or to obtain stockholder approval of any golden parachute arrangements not previously approved;</w:t>
      </w:r>
    </w:p>
    <w:p>
      <w:pPr>
        <w:spacing w:after="0" w:line="40" w:lineRule="exact"/>
        <w:rPr>
          <w:rFonts w:ascii="Times New Roman" w:cs="Times New Roman" w:eastAsia="Times New Roman" w:hAnsi="Times New Roman"/>
          <w:sz w:val="14"/>
          <w:szCs w:val="14"/>
          <w:color w:val="auto"/>
        </w:rPr>
      </w:pPr>
    </w:p>
    <w:p>
      <w:pPr>
        <w:jc w:val="both"/>
        <w:ind w:left="1800" w:right="1239" w:hanging="250"/>
        <w:spacing w:after="0" w:line="267"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in the assessment of our internal control over financial reporting pursuant to Section 404 of the Sarbanes-Oxley Act of 2002, or the Sarbanes-Oxley Act; and</w:t>
      </w:r>
    </w:p>
    <w:p>
      <w:pPr>
        <w:spacing w:after="0" w:line="51" w:lineRule="exact"/>
        <w:rPr>
          <w:rFonts w:ascii="Times New Roman" w:cs="Times New Roman" w:eastAsia="Times New Roman" w:hAnsi="Times New Roman"/>
          <w:sz w:val="14"/>
          <w:szCs w:val="14"/>
          <w:color w:val="auto"/>
        </w:rPr>
      </w:pPr>
    </w:p>
    <w:p>
      <w:pPr>
        <w:ind w:left="1800" w:right="1219" w:hanging="250"/>
        <w:spacing w:after="0" w:line="283" w:lineRule="auto"/>
        <w:tabs>
          <w:tab w:leader="none" w:pos="18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compliance with the requirements of the Public Company Accounting Oversight Board regarding the communication of critical audit matters in the auditor’s report on the financial statements.</w:t>
      </w:r>
    </w:p>
    <w:p>
      <w:pPr>
        <w:spacing w:after="0" w:line="12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We may remain an emerging growth company for up to five years from the date of the first sale in this offering. We would cease to be an emerging growth company on the date that is the earliest of (i) the last day of the fiscal year in which we have total annual gross revenues of $1.235 billion or more; (ii) the last day of our fiscal year following the fifth anniversary of the date of the completion of this offering; (iii) the date on which we have issued more than $1.0 billion in nonconvertible debt during the previous three years; or (iv) the date on which we are deemed to be a large accelerated filer under the rules of the SEC. We may choose to take advantage of some but not all of these exemptions. We have taken advantage of reduced reporting requirements in this prospectus. Accordingly, the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2" w:name="page13"/>
    <w:bookmarkEnd w:id="12"/>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3550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26025" cy="355092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information contained herein may be different from the information you receive from other public companies in which you hold stock. Additionally,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to avail ourselves of this exemption and, therefore, while we are an emerging growth company we may not be subject to new or revised accounting standards at the same time that they become applicable to other public companies that are not emerging growth companies. As a result of this election, our financial statements may not be comparable to those of other public companies that comply with new or revised accounting pronouncements as of public company effective dates. We have in the past chosen and may in the future choose to early adopt any new or revised accounting standards whenever such early adoptions is permitted for private companies.</w:t>
      </w:r>
    </w:p>
    <w:p>
      <w:pPr>
        <w:spacing w:after="0" w:line="144" w:lineRule="exact"/>
        <w:rPr>
          <w:sz w:val="20"/>
          <w:szCs w:val="20"/>
          <w:color w:val="auto"/>
        </w:rPr>
      </w:pPr>
    </w:p>
    <w:p>
      <w:pPr>
        <w:jc w:val="both"/>
        <w:ind w:left="1220" w:right="1219" w:firstLine="333"/>
        <w:spacing w:after="0" w:line="256" w:lineRule="auto"/>
        <w:rPr>
          <w:sz w:val="20"/>
          <w:szCs w:val="20"/>
          <w:color w:val="auto"/>
        </w:rPr>
      </w:pPr>
      <w:r>
        <w:rPr>
          <w:rFonts w:ascii="Times New Roman" w:cs="Times New Roman" w:eastAsia="Times New Roman" w:hAnsi="Times New Roman"/>
          <w:sz w:val="14"/>
          <w:szCs w:val="14"/>
          <w:color w:val="auto"/>
        </w:rPr>
        <w:t>We are also a “smaller reporting company,” meaning that the market value of our shares held by non-affiliates plus the proposed aggregate amount of gross proceeds to us as a result of this offering is less than $700 million and our annual revenue was less than $100 million during the most recently completed fiscal year. We may continue to be a smaller reporting company after this offering if either (i) the market value of our shares held by non-affiliates is less than $250 million measured on the last business day of our second fiscal quarter or (ii) our annual revenue was less than $100 million during the most recently completed fiscal year and the market value of our shares held by non-affiliates is less than $700 million measured on the last business day of our second fiscal quarter.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3" w:name="page14"/>
    <w:bookmarkEnd w:id="13"/>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8503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026025" cy="850392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OFFERING</w:t>
      </w:r>
    </w:p>
    <w:p>
      <w:pPr>
        <w:spacing w:after="0" w:line="346" w:lineRule="exact"/>
        <w:rPr>
          <w:sz w:val="20"/>
          <w:szCs w:val="20"/>
          <w:color w:val="auto"/>
        </w:rPr>
      </w:pPr>
    </w:p>
    <w:tbl>
      <w:tblPr>
        <w:tblLayout w:type="fixed"/>
        <w:tblInd w:w="1220" w:type="dxa"/>
        <w:tblCellMar>
          <w:top w:w="0" w:type="dxa"/>
          <w:left w:w="0" w:type="dxa"/>
          <w:bottom w:w="0" w:type="dxa"/>
          <w:right w:w="0" w:type="dxa"/>
        </w:tblCellMar>
      </w:tblP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Comm</w:t>
            </w:r>
          </w:p>
        </w:tc>
        <w:tc>
          <w:tcPr>
            <w:tcW w:w="460" w:type="dxa"/>
            <w:vAlign w:val="bottom"/>
          </w:tcPr>
          <w:p>
            <w:pPr>
              <w:spacing w:after="0"/>
              <w:rPr>
                <w:sz w:val="14"/>
                <w:szCs w:val="14"/>
                <w:color w:val="auto"/>
              </w:rPr>
            </w:pPr>
          </w:p>
        </w:tc>
        <w:tc>
          <w:tcPr>
            <w:tcW w:w="10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shares</w:t>
            </w: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on</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offere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d by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us</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22"/>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Option</w:t>
            </w:r>
          </w:p>
        </w:tc>
        <w:tc>
          <w:tcPr>
            <w:tcW w:w="55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We have granted the underwriters an option for a period of 30 days to purchase up to</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additional</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to</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shares of common stock from us at the public offering price, less underwriting discounts and commissions</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purcha</w:t>
            </w:r>
          </w:p>
        </w:tc>
        <w:tc>
          <w:tcPr>
            <w:tcW w:w="55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on the same terms as set forth in this prospectus.</w:t>
            </w: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se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additio</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nal</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shares</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of</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comm</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on</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offere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d by</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us</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22"/>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Comm</w:t>
            </w:r>
          </w:p>
        </w:tc>
        <w:tc>
          <w:tcPr>
            <w:tcW w:w="460" w:type="dxa"/>
            <w:vAlign w:val="bottom"/>
          </w:tcPr>
          <w:p>
            <w:pPr>
              <w:spacing w:after="0"/>
              <w:rPr>
                <w:sz w:val="24"/>
                <w:szCs w:val="24"/>
                <w:color w:val="auto"/>
              </w:rPr>
            </w:pPr>
          </w:p>
        </w:tc>
        <w:tc>
          <w:tcPr>
            <w:tcW w:w="10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shares (or</w:t>
            </w:r>
          </w:p>
        </w:tc>
        <w:tc>
          <w:tcPr>
            <w:tcW w:w="46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shares if the underwriters exercise their option to purchase additional shares of</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on</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common stock in full)</w:t>
            </w: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stock</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to be</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We will have two series of common stock authorized immediately following this offering: voting common</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outsta</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stock and non-voting common stock. We are offering shares of voting common stock in this offering and</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nding</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unless otherwise noted or context otherwise requires, all references in this prospectus to our “common</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immed</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w w:val="99"/>
              </w:rPr>
              <w:t>stock” refer to our voting common stock. The non-voting common stock will not be listed for trading on any</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iately</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securities exchange. Immediately after consummation of this offering, no shares of non-voting common</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after</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stock will be outstanding, and we have no present intention to issue any shares of non-voting common</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this</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w:t>
            </w: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offerin</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g</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22"/>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Use of</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We estimate that the net proceeds from the sale of our common stock in this offering will be approximately</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procee</w:t>
            </w:r>
          </w:p>
        </w:tc>
        <w:tc>
          <w:tcPr>
            <w:tcW w:w="4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million (or approximately $</w:t>
            </w:r>
          </w:p>
        </w:tc>
        <w:tc>
          <w:tcPr>
            <w:tcW w:w="3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million if the underwriters exercise their option to purchase</w:t>
            </w: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ds</w:t>
            </w:r>
          </w:p>
        </w:tc>
        <w:tc>
          <w:tcPr>
            <w:tcW w:w="55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additional shares of common stock in full), based on the assumed initial public offering price of $</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per</w:t>
            </w:r>
          </w:p>
        </w:tc>
      </w:tr>
      <w:tr>
        <w:trPr>
          <w:trHeight w:val="168"/>
        </w:trPr>
        <w:tc>
          <w:tcPr>
            <w:tcW w:w="440" w:type="dxa"/>
            <w:vAlign w:val="bottom"/>
          </w:tcPr>
          <w:p>
            <w:pPr>
              <w:spacing w:after="0"/>
              <w:rPr>
                <w:sz w:val="14"/>
                <w:szCs w:val="1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w w:val="99"/>
              </w:rPr>
              <w:t>share, which is the midpoint of the price range set forth on the cover page of this prospectus, after deducting</w:t>
            </w:r>
          </w:p>
        </w:tc>
      </w:tr>
      <w:tr>
        <w:trPr>
          <w:trHeight w:val="168"/>
        </w:trPr>
        <w:tc>
          <w:tcPr>
            <w:tcW w:w="440" w:type="dxa"/>
            <w:vAlign w:val="bottom"/>
          </w:tcPr>
          <w:p>
            <w:pPr>
              <w:spacing w:after="0"/>
              <w:rPr>
                <w:sz w:val="14"/>
                <w:szCs w:val="1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the estimated underwriting discounts and commissions and estimated offering expenses payable by us. We</w:t>
            </w:r>
          </w:p>
        </w:tc>
      </w:tr>
      <w:tr>
        <w:trPr>
          <w:trHeight w:val="168"/>
        </w:trPr>
        <w:tc>
          <w:tcPr>
            <w:tcW w:w="440" w:type="dxa"/>
            <w:vAlign w:val="bottom"/>
          </w:tcPr>
          <w:p>
            <w:pPr>
              <w:spacing w:after="0"/>
              <w:rPr>
                <w:sz w:val="14"/>
                <w:szCs w:val="1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currently intend to use the net proceeds we receive from this offering, together with our existing cash, cash</w:t>
            </w:r>
          </w:p>
        </w:tc>
      </w:tr>
      <w:tr>
        <w:trPr>
          <w:trHeight w:val="168"/>
        </w:trPr>
        <w:tc>
          <w:tcPr>
            <w:tcW w:w="440" w:type="dxa"/>
            <w:vAlign w:val="bottom"/>
          </w:tcPr>
          <w:p>
            <w:pPr>
              <w:spacing w:after="0"/>
              <w:rPr>
                <w:sz w:val="14"/>
                <w:szCs w:val="1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equivalents, and marketable securities to fund the continued development of AP01 and AP02, our two</w:t>
            </w:r>
          </w:p>
        </w:tc>
      </w:tr>
      <w:tr>
        <w:trPr>
          <w:trHeight w:val="168"/>
        </w:trPr>
        <w:tc>
          <w:tcPr>
            <w:tcW w:w="440" w:type="dxa"/>
            <w:vAlign w:val="bottom"/>
          </w:tcPr>
          <w:p>
            <w:pPr>
              <w:spacing w:after="0"/>
              <w:rPr>
                <w:sz w:val="14"/>
                <w:szCs w:val="1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clinical stage programs, and AP03, our preclinical stage program, as well as to fund research and</w:t>
            </w:r>
          </w:p>
        </w:tc>
      </w:tr>
      <w:tr>
        <w:trPr>
          <w:trHeight w:val="168"/>
        </w:trPr>
        <w:tc>
          <w:tcPr>
            <w:tcW w:w="440" w:type="dxa"/>
            <w:vAlign w:val="bottom"/>
          </w:tcPr>
          <w:p>
            <w:pPr>
              <w:spacing w:after="0"/>
              <w:rPr>
                <w:sz w:val="14"/>
                <w:szCs w:val="14"/>
                <w:color w:val="auto"/>
              </w:rPr>
            </w:pP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development activities for additional programs, and the remainder for working capital and general corporate</w:t>
            </w:r>
          </w:p>
        </w:tc>
      </w:tr>
      <w:tr>
        <w:trPr>
          <w:trHeight w:val="183"/>
        </w:trPr>
        <w:tc>
          <w:tcPr>
            <w:tcW w:w="440" w:type="dxa"/>
            <w:vAlign w:val="bottom"/>
          </w:tcPr>
          <w:p>
            <w:pPr>
              <w:spacing w:after="0"/>
              <w:rPr>
                <w:sz w:val="15"/>
                <w:szCs w:val="15"/>
                <w:color w:val="auto"/>
              </w:rPr>
            </w:pPr>
          </w:p>
        </w:tc>
        <w:tc>
          <w:tcPr>
            <w:tcW w:w="5540" w:type="dxa"/>
            <w:vAlign w:val="bottom"/>
            <w:gridSpan w:val="4"/>
          </w:tcPr>
          <w:p>
            <w:pPr>
              <w:ind w:left="40"/>
              <w:spacing w:after="0"/>
              <w:rPr>
                <w:sz w:val="20"/>
                <w:szCs w:val="20"/>
                <w:color w:val="auto"/>
              </w:rPr>
            </w:pPr>
            <w:r>
              <w:rPr>
                <w:rFonts w:ascii="Times New Roman" w:cs="Times New Roman" w:eastAsia="Times New Roman" w:hAnsi="Times New Roman"/>
                <w:sz w:val="14"/>
                <w:szCs w:val="14"/>
                <w:color w:val="auto"/>
              </w:rPr>
              <w:t>purposes.  For additional information, see the section titled “Use of Proceeds.”</w:t>
            </w:r>
          </w:p>
        </w:tc>
        <w:tc>
          <w:tcPr>
            <w:tcW w:w="580" w:type="dxa"/>
            <w:vAlign w:val="bottom"/>
          </w:tcPr>
          <w:p>
            <w:pPr>
              <w:spacing w:after="0"/>
              <w:rPr>
                <w:sz w:val="15"/>
                <w:szCs w:val="15"/>
                <w:color w:val="auto"/>
              </w:rPr>
            </w:pPr>
          </w:p>
        </w:tc>
      </w:tr>
      <w:tr>
        <w:trPr>
          <w:trHeight w:val="322"/>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Risk</w:t>
            </w:r>
          </w:p>
        </w:tc>
        <w:tc>
          <w:tcPr>
            <w:tcW w:w="6120" w:type="dxa"/>
            <w:vAlign w:val="bottom"/>
            <w:gridSpan w:val="5"/>
          </w:tcPr>
          <w:p>
            <w:pPr>
              <w:ind w:left="40"/>
              <w:spacing w:after="0"/>
              <w:rPr>
                <w:sz w:val="20"/>
                <w:szCs w:val="20"/>
                <w:color w:val="auto"/>
              </w:rPr>
            </w:pPr>
            <w:r>
              <w:rPr>
                <w:rFonts w:ascii="Times New Roman" w:cs="Times New Roman" w:eastAsia="Times New Roman" w:hAnsi="Times New Roman"/>
                <w:sz w:val="14"/>
                <w:szCs w:val="14"/>
                <w:color w:val="auto"/>
              </w:rPr>
              <w:t>For a discussion of factors you should carefully consider before deciding whether to invest in our common</w:t>
            </w:r>
          </w:p>
        </w:tc>
      </w:tr>
      <w:tr>
        <w:trPr>
          <w:trHeight w:val="18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factors</w:t>
            </w:r>
          </w:p>
        </w:tc>
        <w:tc>
          <w:tcPr>
            <w:tcW w:w="256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stock, see the section titled “Risk Factors.”</w:t>
            </w:r>
          </w:p>
        </w:tc>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22"/>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Propos</w:t>
            </w: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“AVLN”</w:t>
            </w:r>
          </w:p>
        </w:tc>
        <w:tc>
          <w:tcPr>
            <w:tcW w:w="10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ed</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Nasda</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q</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Global</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Marke</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trading</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symbo</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3"/>
        </w:trPr>
        <w:tc>
          <w:tcPr>
            <w:tcW w:w="440" w:type="dxa"/>
            <w:vAlign w:val="bottom"/>
          </w:tcPr>
          <w:p>
            <w:pPr>
              <w:spacing w:after="0"/>
              <w:rPr>
                <w:sz w:val="20"/>
                <w:szCs w:val="20"/>
                <w:color w:val="auto"/>
              </w:rPr>
            </w:pPr>
            <w:r>
              <w:rPr>
                <w:rFonts w:ascii="Times New Roman" w:cs="Times New Roman" w:eastAsia="Times New Roman" w:hAnsi="Times New Roman"/>
                <w:sz w:val="14"/>
                <w:szCs w:val="14"/>
                <w:color w:val="auto"/>
              </w:rPr>
              <w:t>l</w:t>
            </w:r>
          </w:p>
        </w:tc>
        <w:tc>
          <w:tcPr>
            <w:tcW w:w="4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580" w:type="dxa"/>
            <w:vAlign w:val="bottom"/>
          </w:tcPr>
          <w:p>
            <w:pPr>
              <w:spacing w:after="0"/>
              <w:rPr>
                <w:sz w:val="15"/>
                <w:szCs w:val="15"/>
                <w:color w:val="auto"/>
              </w:rPr>
            </w:pPr>
          </w:p>
        </w:tc>
      </w:tr>
    </w:tbl>
    <w:p>
      <w:pPr>
        <w:spacing w:after="0" w:line="15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Unless otherwise noted, the number of shares of our common stock that will be outstanding after this offering is based on 483,842,421 shares of common stock outstanding as of December 31, 2025, after giving effect to the automatic conversion of all outstanding shares of our convertible preferred stock into an aggregate of 460,228,341 shares of common stock immediately prior to the completion of this offering, or the Preferred Stock Conversion, and excludes:</w:t>
      </w:r>
    </w:p>
    <w:p>
      <w:pPr>
        <w:spacing w:after="0" w:line="60" w:lineRule="exact"/>
        <w:rPr>
          <w:sz w:val="20"/>
          <w:szCs w:val="20"/>
          <w:color w:val="auto"/>
        </w:rPr>
      </w:pPr>
    </w:p>
    <w:p>
      <w:pPr>
        <w:jc w:val="both"/>
        <w:ind w:left="1800" w:right="1239" w:hanging="250"/>
        <w:spacing w:after="0" w:line="267" w:lineRule="auto"/>
        <w:tabs>
          <w:tab w:leader="none" w:pos="180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5,269,073 shares of common stock issuable upon exercise of outstanding stock options as of December 31, 2025 under our 2012 Equity Incentive Plan, as amended, or the 2012 Plan, with a weighted-average exercise price of $0.28 per share;</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4" w:name="page15"/>
    <w:bookmarkEnd w:id="14"/>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51930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6025" cy="519303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both"/>
        <w:ind w:left="1800" w:right="1219" w:hanging="250"/>
        <w:spacing w:after="0" w:line="258"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73,410,032 shares of common stock issuable upon exercise of outstanding stock options as of December 31, 2025 under our 2022 Equity Incentive Plan, as amended, or the 2022 Plan, with a weighted-average exercise price of $0.25 per share and 7,051,652 shares of common stock issuable upon exercise of outstanding stock options granted after December 31, 2025 pursuant to our 2022 Plan, with a weighted-average exercise price of $0.43 per share;</w:t>
      </w:r>
    </w:p>
    <w:p>
      <w:pPr>
        <w:spacing w:after="0" w:line="59" w:lineRule="exact"/>
        <w:rPr>
          <w:rFonts w:ascii="Times New Roman" w:cs="Times New Roman" w:eastAsia="Times New Roman" w:hAnsi="Times New Roman"/>
          <w:sz w:val="14"/>
          <w:szCs w:val="14"/>
          <w:color w:val="auto"/>
        </w:rPr>
      </w:pPr>
    </w:p>
    <w:p>
      <w:pPr>
        <w:jc w:val="both"/>
        <w:ind w:left="1800" w:right="1239" w:hanging="250"/>
        <w:spacing w:after="0" w:line="267"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4,287,641 shares of common stock issuable upon the exercise of a warrant to purchase shares of common stock outstanding as of December 31, 2025, which warrant shall become exercisable upon completion of the offering, with an exercise price of $0.29 per share;</w:t>
      </w:r>
    </w:p>
    <w:p>
      <w:pPr>
        <w:spacing w:after="0" w:line="51" w:lineRule="exact"/>
        <w:rPr>
          <w:rFonts w:ascii="Times New Roman" w:cs="Times New Roman" w:eastAsia="Times New Roman" w:hAnsi="Times New Roman"/>
          <w:sz w:val="14"/>
          <w:szCs w:val="14"/>
          <w:color w:val="auto"/>
        </w:rPr>
      </w:pPr>
    </w:p>
    <w:p>
      <w:pPr>
        <w:ind w:left="1800" w:right="1239" w:hanging="250"/>
        <w:spacing w:after="0" w:line="283"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432,939 shares of common stock issuable upon the exercise of a warrant to purchase shares of common stock issued subsequent to December 31, 2025, with an exercise price of $0.51 per share;</w:t>
      </w:r>
    </w:p>
    <w:p>
      <w:pPr>
        <w:spacing w:after="0" w:line="40" w:lineRule="exact"/>
        <w:rPr>
          <w:rFonts w:ascii="Times New Roman" w:cs="Times New Roman" w:eastAsia="Times New Roman" w:hAnsi="Times New Roman"/>
          <w:sz w:val="14"/>
          <w:szCs w:val="14"/>
          <w:color w:val="auto"/>
        </w:rPr>
      </w:pPr>
    </w:p>
    <w:p>
      <w:pPr>
        <w:jc w:val="both"/>
        <w:ind w:left="1800" w:right="1239" w:hanging="250"/>
        <w:spacing w:after="0" w:line="267" w:lineRule="auto"/>
        <w:tabs>
          <w:tab w:leader="none" w:pos="18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941,150 shares of common stock reserved for future issuance as of December 31, 2025 under the 2022 Plan, which will cease to be available for issuance at the time that our 2026 Stock Option and Incentive Plan, or the 2026 Plan, becomes effective;</w:t>
      </w:r>
    </w:p>
    <w:p>
      <w:pPr>
        <w:spacing w:after="0" w:line="51" w:lineRule="exact"/>
        <w:rPr>
          <w:rFonts w:ascii="Times New Roman" w:cs="Times New Roman" w:eastAsia="Times New Roman" w:hAnsi="Times New Roman"/>
          <w:sz w:val="14"/>
          <w:szCs w:val="14"/>
          <w:color w:val="auto"/>
        </w:rPr>
      </w:pPr>
    </w:p>
    <w:p>
      <w:pPr>
        <w:jc w:val="both"/>
        <w:ind w:left="1800" w:right="1219" w:hanging="250"/>
        <w:spacing w:after="0" w:line="257" w:lineRule="auto"/>
        <w:tabs>
          <w:tab w:leader="none" w:pos="2324"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 that will become available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2012 Plan and 2022 Plan that expire or are repurchased, forfeited, cancelled, or withheld; and</w:t>
      </w:r>
    </w:p>
    <w:p>
      <w:pPr>
        <w:spacing w:after="0" w:line="58" w:lineRule="exact"/>
        <w:rPr>
          <w:rFonts w:ascii="Times New Roman" w:cs="Times New Roman" w:eastAsia="Times New Roman" w:hAnsi="Times New Roman"/>
          <w:sz w:val="14"/>
          <w:szCs w:val="14"/>
          <w:color w:val="auto"/>
        </w:rPr>
      </w:pPr>
    </w:p>
    <w:p>
      <w:pPr>
        <w:jc w:val="both"/>
        <w:ind w:left="1800" w:right="1239" w:hanging="250"/>
        <w:spacing w:after="0" w:line="261" w:lineRule="auto"/>
        <w:tabs>
          <w:tab w:leader="none" w:pos="2443"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reserved for future issuance under our 2026 Employee Stock Purchase Plan, or the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14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Unless otherwise indicated, the information in this prospectus reflects or assumes the following:</w:t>
      </w:r>
    </w:p>
    <w:p>
      <w:pPr>
        <w:spacing w:after="0" w:line="91" w:lineRule="exact"/>
        <w:rPr>
          <w:sz w:val="20"/>
          <w:szCs w:val="20"/>
          <w:color w:val="auto"/>
        </w:rPr>
      </w:pPr>
    </w:p>
    <w:p>
      <w:pPr>
        <w:ind w:left="1560"/>
        <w:spacing w:after="0"/>
        <w:tabs>
          <w:tab w:leader="none" w:pos="1780" w:val="left"/>
          <w:tab w:leader="none" w:pos="2960" w:val="left"/>
        </w:tabs>
        <w:rPr>
          <w:sz w:val="20"/>
          <w:szCs w:val="20"/>
          <w:color w:val="auto"/>
        </w:rPr>
      </w:pPr>
      <w:r>
        <w:rPr>
          <w:rFonts w:ascii="Times New Roman" w:cs="Times New Roman" w:eastAsia="Times New Roman" w:hAnsi="Times New Roman"/>
          <w:sz w:val="14"/>
          <w:szCs w:val="14"/>
          <w:color w:val="auto"/>
        </w:rPr>
        <w:t>•</w:t>
        <w:tab/>
        <w:t>a 1-for-</w:t>
      </w:r>
      <w:r>
        <w:rPr>
          <w:sz w:val="20"/>
          <w:szCs w:val="20"/>
          <w:color w:val="auto"/>
        </w:rPr>
        <w:tab/>
      </w:r>
      <w:r>
        <w:rPr>
          <w:rFonts w:ascii="Times New Roman" w:cs="Times New Roman" w:eastAsia="Times New Roman" w:hAnsi="Times New Roman"/>
          <w:sz w:val="14"/>
          <w:szCs w:val="14"/>
          <w:color w:val="auto"/>
        </w:rPr>
        <w:t>stock split of our common stock, which will become effective prior to the completion</w:t>
      </w:r>
    </w:p>
    <w:p>
      <w:pPr>
        <w:spacing w:after="0" w:line="2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of this offering;</w:t>
      </w:r>
    </w:p>
    <w:p>
      <w:pPr>
        <w:spacing w:after="0" w:line="77" w:lineRule="exact"/>
        <w:rPr>
          <w:sz w:val="20"/>
          <w:szCs w:val="20"/>
          <w:color w:val="auto"/>
        </w:rPr>
      </w:pPr>
    </w:p>
    <w:p>
      <w:pPr>
        <w:ind w:left="1800" w:right="1239" w:hanging="250"/>
        <w:spacing w:after="0" w:line="283" w:lineRule="auto"/>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automatic conversion of all outstanding shares of our convertible preferred stock into an aggregate of shares of common stock immediately prior to the completion of this offering;</w:t>
      </w:r>
    </w:p>
    <w:p>
      <w:pPr>
        <w:spacing w:after="0" w:line="40" w:lineRule="exact"/>
        <w:rPr>
          <w:rFonts w:ascii="Times New Roman" w:cs="Times New Roman" w:eastAsia="Times New Roman" w:hAnsi="Times New Roman"/>
          <w:sz w:val="14"/>
          <w:szCs w:val="14"/>
          <w:color w:val="auto"/>
        </w:rPr>
      </w:pPr>
    </w:p>
    <w:p>
      <w:pPr>
        <w:ind w:left="1800" w:hanging="250"/>
        <w:spacing w:after="0"/>
        <w:tabs>
          <w:tab w:leader="none" w:pos="18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exercise of the outstanding stock options or warrants described above after December 31, 2025;</w:t>
      </w:r>
    </w:p>
    <w:p>
      <w:pPr>
        <w:spacing w:after="0" w:line="91" w:lineRule="exact"/>
        <w:rPr>
          <w:sz w:val="20"/>
          <w:szCs w:val="20"/>
          <w:color w:val="auto"/>
        </w:rPr>
      </w:pPr>
    </w:p>
    <w:p>
      <w:pPr>
        <w:ind w:left="1560"/>
        <w:spacing w:after="0"/>
        <w:tabs>
          <w:tab w:leader="none" w:pos="1780" w:val="left"/>
          <w:tab w:leader="none" w:pos="6260" w:val="left"/>
        </w:tabs>
        <w:rPr>
          <w:sz w:val="20"/>
          <w:szCs w:val="20"/>
          <w:color w:val="auto"/>
        </w:rPr>
      </w:pPr>
      <w:r>
        <w:rPr>
          <w:rFonts w:ascii="Times New Roman" w:cs="Times New Roman" w:eastAsia="Times New Roman" w:hAnsi="Times New Roman"/>
          <w:sz w:val="14"/>
          <w:szCs w:val="14"/>
          <w:color w:val="auto"/>
        </w:rPr>
        <w:t>•</w:t>
        <w:tab/>
        <w:t>no exercise of the underwriters’ option to purchase up to an additional</w:t>
      </w:r>
      <w:r>
        <w:rPr>
          <w:sz w:val="20"/>
          <w:szCs w:val="20"/>
          <w:color w:val="auto"/>
        </w:rPr>
        <w:tab/>
      </w:r>
      <w:r>
        <w:rPr>
          <w:rFonts w:ascii="Times New Roman" w:cs="Times New Roman" w:eastAsia="Times New Roman" w:hAnsi="Times New Roman"/>
          <w:sz w:val="13"/>
          <w:szCs w:val="13"/>
          <w:color w:val="auto"/>
        </w:rPr>
        <w:t>shares of common stock in</w:t>
      </w:r>
    </w:p>
    <w:p>
      <w:pPr>
        <w:spacing w:after="0" w:line="2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4"/>
          <w:szCs w:val="14"/>
          <w:color w:val="auto"/>
        </w:rPr>
        <w:t>this offering; and</w:t>
      </w:r>
    </w:p>
    <w:p>
      <w:pPr>
        <w:spacing w:after="0" w:line="77" w:lineRule="exact"/>
        <w:rPr>
          <w:sz w:val="20"/>
          <w:szCs w:val="20"/>
          <w:color w:val="auto"/>
        </w:rPr>
      </w:pPr>
    </w:p>
    <w:p>
      <w:pPr>
        <w:jc w:val="both"/>
        <w:ind w:left="1800" w:right="1239" w:hanging="250"/>
        <w:spacing w:after="0" w:line="267" w:lineRule="auto"/>
        <w:tabs>
          <w:tab w:leader="none" w:pos="180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and effectiveness of our amended and restated certificate of incorporation immediately prior to the completion of this offering and the adoption of our amended and restated bylaws to be in effect upon the effectiveness of the registration statement of which this prospectus forms a part.</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5" w:name="page16"/>
    <w:bookmarkEnd w:id="15"/>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64077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26025" cy="640778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SUMMARY CONSOLIDATED FINANCIAL DATA</w:t>
      </w:r>
    </w:p>
    <w:p>
      <w:pPr>
        <w:spacing w:after="0" w:line="194"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jc w:val="right"/>
              <w:ind w:right="49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ind w:right="551"/>
              <w:spacing w:after="0" w:line="106" w:lineRule="exact"/>
              <w:rPr>
                <w:sz w:val="20"/>
                <w:szCs w:val="20"/>
                <w:color w:val="auto"/>
              </w:rPr>
            </w:pPr>
            <w:r>
              <w:rPr>
                <w:rFonts w:ascii="Times New Roman" w:cs="Times New Roman" w:eastAsia="Times New Roman" w:hAnsi="Times New Roman"/>
                <w:sz w:val="11"/>
                <w:szCs w:val="11"/>
                <w:b w:val="1"/>
                <w:bCs w:val="1"/>
                <w:color w:val="auto"/>
                <w:w w:val="90"/>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40" w:type="dxa"/>
            <w:vAlign w:val="bottom"/>
            <w:gridSpan w:val="6"/>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(in thousands, except for share and per share data)</w:t>
            </w:r>
          </w:p>
        </w:tc>
        <w:tc>
          <w:tcPr>
            <w:tcW w:w="0" w:type="dxa"/>
            <w:vAlign w:val="bottom"/>
          </w:tcPr>
          <w:p>
            <w:pPr>
              <w:spacing w:after="0"/>
              <w:rPr>
                <w:sz w:val="1"/>
                <w:szCs w:val="1"/>
                <w:color w:val="auto"/>
              </w:rPr>
            </w:pPr>
          </w:p>
        </w:tc>
      </w:tr>
      <w:tr>
        <w:trPr>
          <w:trHeight w:val="83"/>
        </w:trPr>
        <w:tc>
          <w:tcPr>
            <w:tcW w:w="20" w:type="dxa"/>
            <w:vAlign w:val="bottom"/>
            <w:vMerge w:val="restart"/>
          </w:tcPr>
          <w:p>
            <w:pPr>
              <w:spacing w:after="0"/>
              <w:rPr>
                <w:sz w:val="7"/>
                <w:szCs w:val="7"/>
                <w:color w:val="auto"/>
              </w:rPr>
            </w:pPr>
          </w:p>
        </w:tc>
        <w:tc>
          <w:tcPr>
            <w:tcW w:w="3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Statements of Operations Data:</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76,614</w:t>
            </w:r>
          </w:p>
        </w:tc>
        <w:tc>
          <w:tcPr>
            <w:tcW w:w="100" w:type="dxa"/>
            <w:vAlign w:val="bottom"/>
            <w:shd w:val="clear" w:color="auto" w:fill="CFF0FC"/>
          </w:tcPr>
          <w:p>
            <w:pPr>
              <w:spacing w:after="0"/>
              <w:rPr>
                <w:sz w:val="14"/>
                <w:szCs w:val="14"/>
                <w:color w:val="auto"/>
              </w:rPr>
            </w:pPr>
          </w:p>
        </w:tc>
        <w:tc>
          <w:tcPr>
            <w:tcW w:w="66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45,759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14,678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24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91,292</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600" w:type="dxa"/>
            <w:vAlign w:val="bottom"/>
            <w:tcBorders>
              <w:bottom w:val="single" w:sz="8" w:color="auto"/>
            </w:tcBorders>
            <w:shd w:val="clear" w:color="auto" w:fill="CFF0FC"/>
          </w:tcPr>
          <w:p>
            <w:pPr>
              <w:spacing w:after="0"/>
              <w:rPr>
                <w:sz w:val="13"/>
                <w:szCs w:val="13"/>
                <w:color w:val="auto"/>
              </w:rPr>
            </w:pPr>
          </w:p>
        </w:tc>
        <w:tc>
          <w:tcPr>
            <w:tcW w:w="8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57,121</w:t>
            </w:r>
          </w:p>
        </w:tc>
        <w:tc>
          <w:tcPr>
            <w:tcW w:w="6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34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(91,292)</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0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(57,121)</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(85,204)</w:t>
            </w:r>
          </w:p>
        </w:tc>
        <w:tc>
          <w:tcPr>
            <w:tcW w:w="66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334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Net loss per share, basic and diluted(1)</w:t>
            </w:r>
          </w:p>
        </w:tc>
        <w:tc>
          <w:tcPr>
            <w:tcW w:w="380" w:type="dxa"/>
            <w:vAlign w:val="bottom"/>
            <w:gridSpan w:val="2"/>
            <w:shd w:val="clear" w:color="auto" w:fill="CFF0FC"/>
          </w:tcPr>
          <w:p>
            <w:pPr>
              <w:jc w:val="right"/>
              <w:ind w:right="80"/>
              <w:spacing w:after="0" w:line="140" w:lineRule="exact"/>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shd w:val="clear" w:color="auto" w:fill="CFF0FC"/>
          </w:tcPr>
          <w:p>
            <w:pPr>
              <w:jc w:val="right"/>
              <w:ind w:right="60"/>
              <w:spacing w:after="0" w:line="140" w:lineRule="exact"/>
              <w:rPr>
                <w:sz w:val="20"/>
                <w:szCs w:val="20"/>
                <w:color w:val="auto"/>
              </w:rPr>
            </w:pPr>
            <w:r>
              <w:rPr>
                <w:rFonts w:ascii="Times New Roman" w:cs="Times New Roman" w:eastAsia="Times New Roman" w:hAnsi="Times New Roman"/>
                <w:sz w:val="14"/>
                <w:szCs w:val="14"/>
                <w:color w:val="auto"/>
              </w:rPr>
              <w:t>(4.56)</w:t>
            </w:r>
          </w:p>
        </w:tc>
        <w:tc>
          <w:tcPr>
            <w:tcW w:w="660" w:type="dxa"/>
            <w:vAlign w:val="bottom"/>
            <w:gridSpan w:val="2"/>
            <w:shd w:val="clear" w:color="auto" w:fill="CFF0FC"/>
          </w:tcPr>
          <w:p>
            <w:pPr>
              <w:jc w:val="right"/>
              <w:ind w:right="520"/>
              <w:spacing w:after="0" w:line="140"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20"/>
              <w:spacing w:after="0" w:line="140" w:lineRule="exact"/>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340" w:type="dxa"/>
            <w:vAlign w:val="bottom"/>
            <w:tcBorders>
              <w:top w:val="single" w:sz="8" w:color="CFF0FC"/>
            </w:tcBorders>
          </w:tcPr>
          <w:p>
            <w:pPr>
              <w:spacing w:after="0" w:line="125" w:lineRule="exact"/>
              <w:rPr>
                <w:sz w:val="20"/>
                <w:szCs w:val="20"/>
                <w:color w:val="auto"/>
              </w:rPr>
            </w:pPr>
            <w:r>
              <w:rPr>
                <w:rFonts w:ascii="Times New Roman" w:cs="Times New Roman" w:eastAsia="Times New Roman" w:hAnsi="Times New Roman"/>
                <w:sz w:val="14"/>
                <w:szCs w:val="14"/>
                <w:color w:val="auto"/>
              </w:rPr>
              <w:t>Weighted-average shares of common stock outstanding,</w:t>
            </w:r>
          </w:p>
        </w:tc>
        <w:tc>
          <w:tcPr>
            <w:tcW w:w="24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18,684,834</w:t>
            </w:r>
          </w:p>
        </w:tc>
        <w:tc>
          <w:tcPr>
            <w:tcW w:w="100" w:type="dxa"/>
            <w:vAlign w:val="bottom"/>
            <w:tcBorders>
              <w:top w:val="single" w:sz="8" w:color="CFF0FC"/>
            </w:tcBorders>
          </w:tcPr>
          <w:p>
            <w:pPr>
              <w:spacing w:after="0"/>
              <w:rPr>
                <w:sz w:val="10"/>
                <w:szCs w:val="10"/>
                <w:color w:val="auto"/>
              </w:rPr>
            </w:pPr>
          </w:p>
        </w:tc>
        <w:tc>
          <w:tcPr>
            <w:tcW w:w="60" w:type="dxa"/>
            <w:vAlign w:val="bottom"/>
            <w:tcBorders>
              <w:top w:val="single" w:sz="8" w:color="CFF0FC"/>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5,197,971</w:t>
            </w:r>
          </w:p>
        </w:tc>
        <w:tc>
          <w:tcPr>
            <w:tcW w:w="6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340" w:type="dxa"/>
            <w:vAlign w:val="bottom"/>
          </w:tcPr>
          <w:p>
            <w:pPr>
              <w:ind w:left="80"/>
              <w:spacing w:after="0" w:line="151" w:lineRule="exact"/>
              <w:rPr>
                <w:sz w:val="20"/>
                <w:szCs w:val="20"/>
                <w:color w:val="auto"/>
              </w:rPr>
            </w:pPr>
            <w:r>
              <w:rPr>
                <w:rFonts w:ascii="Times New Roman" w:cs="Times New Roman" w:eastAsia="Times New Roman" w:hAnsi="Times New Roman"/>
                <w:sz w:val="14"/>
                <w:szCs w:val="14"/>
                <w:color w:val="auto"/>
              </w:rPr>
              <w:t>basic and diluted(1)</w:t>
            </w: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220"/>
        <w:spacing w:after="0"/>
        <w:rPr>
          <w:sz w:val="20"/>
          <w:szCs w:val="20"/>
          <w:color w:val="auto"/>
        </w:rPr>
      </w:pPr>
      <w:r>
        <w:rPr>
          <w:rFonts w:ascii="Times New Roman" w:cs="Times New Roman" w:eastAsia="Times New Roman" w:hAnsi="Times New Roman"/>
          <w:sz w:val="14"/>
          <w:szCs w:val="14"/>
          <w:color w:val="auto"/>
        </w:rPr>
        <w:t>Pro forma net loss per share, basic and diluted</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(unaudited)(2)</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Pro forma weighted average shares of common stock</w:t>
      </w:r>
    </w:p>
    <w:p>
      <w:pPr>
        <w:spacing w:after="0" w:line="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outstanding, basic and diluted (unaudited)(2)</w:t>
      </w:r>
    </w:p>
    <w:p>
      <w:pPr>
        <w:spacing w:after="0" w:line="140" w:lineRule="exact"/>
        <w:rPr>
          <w:sz w:val="20"/>
          <w:szCs w:val="20"/>
          <w:color w:val="auto"/>
        </w:rPr>
      </w:pPr>
    </w:p>
    <w:p>
      <w:pPr>
        <w:jc w:val="both"/>
        <w:ind w:left="1460" w:right="1219" w:hanging="246"/>
        <w:spacing w:after="0" w:line="256" w:lineRule="auto"/>
        <w:tabs>
          <w:tab w:leader="none" w:pos="1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2 and Note 13 to our audited consolidated financial statements included elsewhere in this prospectus for an explanation of the method used to calculate historical net loss attributable to common stockholders per share, basic and diluted, and the weighted-average number of shares of common stock used in the computation of the per share amounts.</w:t>
      </w:r>
    </w:p>
    <w:p>
      <w:pPr>
        <w:jc w:val="both"/>
        <w:ind w:left="1460" w:right="1219" w:hanging="246"/>
        <w:spacing w:after="0" w:line="250" w:lineRule="auto"/>
        <w:tabs>
          <w:tab w:leader="none" w:pos="146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Unaudited pro forma net loss per share, basic and diluted, attributable to common stockholders, is calculated giving effect to the conversion of all outstanding shares of our convertible preferred stock into shares of our common stock. Unaudited pro forma net loss per share attributable to common stockholders does not include the shares expected to be sold and related proceeds to be received in this offering. Unaudited pro forma net loss per share attributable to common stockholders for the years ended December 31, 2025 and 2024 was calculated</w:t>
      </w:r>
    </w:p>
    <w:p>
      <w:pPr>
        <w:spacing w:after="0" w:line="3"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color w:val="auto"/>
        </w:rPr>
        <w:t>using the weighted-average number of shares of common stock outstanding as of such date, including the pro</w:t>
      </w:r>
    </w:p>
    <w:p>
      <w:pPr>
        <w:spacing w:after="0" w:line="7" w:lineRule="exact"/>
        <w:rPr>
          <w:sz w:val="20"/>
          <w:szCs w:val="20"/>
          <w:color w:val="auto"/>
        </w:rPr>
      </w:pPr>
    </w:p>
    <w:p>
      <w:pPr>
        <w:jc w:val="both"/>
        <w:ind w:left="1460" w:right="1219"/>
        <w:spacing w:after="0" w:line="261" w:lineRule="auto"/>
        <w:rPr>
          <w:sz w:val="20"/>
          <w:szCs w:val="20"/>
          <w:color w:val="auto"/>
        </w:rPr>
      </w:pPr>
      <w:r>
        <w:rPr>
          <w:rFonts w:ascii="Times New Roman" w:cs="Times New Roman" w:eastAsia="Times New Roman" w:hAnsi="Times New Roman"/>
          <w:sz w:val="14"/>
          <w:szCs w:val="14"/>
          <w:color w:val="auto"/>
        </w:rPr>
        <w:t>forma effect of the conversion of all outstanding shares of our convertible preferred stock into shares of our common stock, as if such conversion had occurred at the beginning of the period, or their issuance dates, if later.</w:t>
      </w:r>
    </w:p>
    <w:p>
      <w:pPr>
        <w:spacing w:after="0" w:line="324"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3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3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vMerge w:val="restart"/>
          </w:tcPr>
          <w:p>
            <w:pPr>
              <w:jc w:val="right"/>
              <w:ind w:right="174"/>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60" w:type="dxa"/>
            <w:vAlign w:val="bottom"/>
            <w:vMerge w:val="restart"/>
          </w:tcPr>
          <w:p>
            <w:pPr>
              <w:spacing w:after="0"/>
              <w:rPr>
                <w:sz w:val="7"/>
                <w:szCs w:val="7"/>
                <w:color w:val="auto"/>
              </w:rPr>
            </w:pPr>
          </w:p>
        </w:tc>
        <w:tc>
          <w:tcPr>
            <w:tcW w:w="100" w:type="dxa"/>
            <w:vAlign w:val="bottom"/>
          </w:tcPr>
          <w:p>
            <w:pPr>
              <w:spacing w:after="0"/>
              <w:rPr>
                <w:sz w:val="7"/>
                <w:szCs w:val="7"/>
                <w:color w:val="auto"/>
              </w:rPr>
            </w:pPr>
          </w:p>
        </w:tc>
        <w:tc>
          <w:tcPr>
            <w:tcW w:w="900" w:type="dxa"/>
            <w:vAlign w:val="bottom"/>
            <w:gridSpan w:val="2"/>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Pro</w:t>
            </w:r>
          </w:p>
        </w:tc>
        <w:tc>
          <w:tcPr>
            <w:tcW w:w="840" w:type="dxa"/>
            <w:vAlign w:val="bottom"/>
          </w:tcPr>
          <w:p>
            <w:pPr>
              <w:ind w:left="80"/>
              <w:spacing w:after="0" w:line="87" w:lineRule="exact"/>
              <w:rPr>
                <w:sz w:val="20"/>
                <w:szCs w:val="20"/>
                <w:color w:val="auto"/>
              </w:rPr>
            </w:pPr>
            <w:r>
              <w:rPr>
                <w:rFonts w:ascii="Times New Roman" w:cs="Times New Roman" w:eastAsia="Times New Roman" w:hAnsi="Times New Roman"/>
                <w:sz w:val="10"/>
                <w:szCs w:val="10"/>
                <w:b w:val="1"/>
                <w:bCs w:val="1"/>
                <w:color w:val="auto"/>
              </w:rPr>
              <w:t>Pro Forma As</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Forma(1)(3)</w:t>
            </w:r>
          </w:p>
        </w:tc>
        <w:tc>
          <w:tcPr>
            <w:tcW w:w="80" w:type="dxa"/>
            <w:vAlign w:val="bottom"/>
          </w:tcPr>
          <w:p>
            <w:pPr>
              <w:spacing w:after="0"/>
              <w:rPr>
                <w:sz w:val="11"/>
                <w:szCs w:val="11"/>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Adjusted(2)(3)</w:t>
            </w:r>
          </w:p>
        </w:tc>
        <w:tc>
          <w:tcPr>
            <w:tcW w:w="0" w:type="dxa"/>
            <w:vAlign w:val="bottom"/>
          </w:tcPr>
          <w:p>
            <w:pPr>
              <w:spacing w:after="0"/>
              <w:rPr>
                <w:sz w:val="1"/>
                <w:szCs w:val="1"/>
                <w:color w:val="auto"/>
              </w:rPr>
            </w:pPr>
          </w:p>
        </w:tc>
      </w:tr>
      <w:tr>
        <w:trPr>
          <w:trHeight w:val="87"/>
        </w:trPr>
        <w:tc>
          <w:tcPr>
            <w:tcW w:w="3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560" w:type="dxa"/>
            <w:vAlign w:val="bottom"/>
            <w:gridSpan w:val="6"/>
          </w:tcPr>
          <w:p>
            <w:pPr>
              <w:jc w:val="center"/>
              <w:ind w:right="121"/>
              <w:spacing w:after="0" w:line="87" w:lineRule="exact"/>
              <w:rPr>
                <w:sz w:val="20"/>
                <w:szCs w:val="20"/>
                <w:color w:val="auto"/>
              </w:rPr>
            </w:pPr>
            <w:r>
              <w:rPr>
                <w:rFonts w:ascii="Times New Roman" w:cs="Times New Roman" w:eastAsia="Times New Roman" w:hAnsi="Times New Roman"/>
                <w:sz w:val="10"/>
                <w:szCs w:val="10"/>
                <w:b w:val="1"/>
                <w:bCs w:val="1"/>
                <w:color w:val="auto"/>
              </w:rPr>
              <w:t>(in thousands, except for share data)</w:t>
            </w: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gridSpan w:val="3"/>
          </w:tcPr>
          <w:p>
            <w:pPr>
              <w:jc w:val="right"/>
              <w:ind w:right="541"/>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0" w:type="dxa"/>
            <w:vAlign w:val="bottom"/>
          </w:tcPr>
          <w:p>
            <w:pPr>
              <w:spacing w:after="0"/>
              <w:rPr>
                <w:sz w:val="1"/>
                <w:szCs w:val="1"/>
                <w:color w:val="auto"/>
              </w:rPr>
            </w:pPr>
          </w:p>
        </w:tc>
      </w:tr>
      <w:tr>
        <w:trPr>
          <w:trHeight w:val="16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Balance Sheet Data:</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marketable securities</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138,359</w:t>
            </w:r>
          </w:p>
        </w:tc>
        <w:tc>
          <w:tcPr>
            <w:tcW w:w="60" w:type="dxa"/>
            <w:vAlign w:val="bottom"/>
          </w:tcPr>
          <w:p>
            <w:pPr>
              <w:spacing w:after="0"/>
              <w:rPr>
                <w:sz w:val="14"/>
                <w:szCs w:val="14"/>
                <w:color w:val="auto"/>
              </w:rPr>
            </w:pPr>
          </w:p>
        </w:tc>
        <w:tc>
          <w:tcPr>
            <w:tcW w:w="920" w:type="dxa"/>
            <w:vAlign w:val="bottom"/>
            <w:gridSpan w:val="2"/>
          </w:tcPr>
          <w:p>
            <w:pPr>
              <w:jc w:val="right"/>
              <w:ind w:right="666"/>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40" w:type="dxa"/>
            <w:vAlign w:val="bottom"/>
          </w:tcPr>
          <w:p>
            <w:pPr>
              <w:jc w:val="right"/>
              <w:ind w:right="68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Working capital(4)</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129,469</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Total assets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148,881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liabilities</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15,316</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Convertible preferred stock</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372,221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5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(265,362)</w:t>
            </w:r>
          </w:p>
        </w:tc>
        <w:tc>
          <w:tcPr>
            <w:tcW w:w="10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30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(deficit) equity</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(238,656)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(1)  Pro forma amounts give effect to adjustments reflecting the accounting for the automatic conversion of all</w:t>
      </w:r>
    </w:p>
    <w:p>
      <w:pPr>
        <w:spacing w:after="0" w:line="22" w:lineRule="exact"/>
        <w:rPr>
          <w:sz w:val="20"/>
          <w:szCs w:val="20"/>
          <w:color w:val="auto"/>
        </w:rPr>
      </w:pPr>
    </w:p>
    <w:p>
      <w:pPr>
        <w:jc w:val="both"/>
        <w:ind w:left="1460" w:right="1239"/>
        <w:spacing w:after="0" w:line="256" w:lineRule="auto"/>
        <w:rPr>
          <w:sz w:val="20"/>
          <w:szCs w:val="20"/>
          <w:color w:val="auto"/>
        </w:rPr>
      </w:pPr>
      <w:r>
        <w:rPr>
          <w:rFonts w:ascii="Times New Roman" w:cs="Times New Roman" w:eastAsia="Times New Roman" w:hAnsi="Times New Roman"/>
          <w:sz w:val="14"/>
          <w:szCs w:val="14"/>
          <w:color w:val="auto"/>
        </w:rPr>
        <w:t>outstanding shares of our convertible preferred stock into an aggregate of shares of our common stock and the related reclassification of the carrying value of the convertible preferred stock to total stockholders’ (deficit) equity (the “pro forma adjustments”) immediately prior to the closing of this offering.</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6" w:name="page17"/>
    <w:bookmarkEnd w:id="16"/>
    <w:p>
      <w:pPr>
        <w:ind w:left="1900"/>
        <w:spacing w:after="0"/>
        <w:rPr>
          <w:sz w:val="20"/>
          <w:szCs w:val="20"/>
          <w:color w:val="auto"/>
        </w:rPr>
      </w:pPr>
      <w:r>
        <w:rPr>
          <w:rFonts w:ascii="Times New Roman" w:cs="Times New Roman" w:eastAsia="Times New Roman" w:hAnsi="Times New Roman"/>
          <w:sz w:val="13"/>
          <w:szCs w:val="13"/>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233045</wp:posOffset>
            </wp:positionV>
            <wp:extent cx="5026025" cy="3317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026025" cy="3317240"/>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1460" w:right="1219" w:hanging="246"/>
        <w:spacing w:after="0" w:line="256" w:lineRule="auto"/>
        <w:tabs>
          <w:tab w:leader="none" w:pos="146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as adjusted amounts give effect to (i) the pro forma adjustments set forth in footnote (1) above and (ii) the issuance and sale of shares of our common stock in this offering at the initial public offering price of $ per share, the midpoint of the price range set forth on the cover page of this prospectus, after deducting the estimated underwriting discounts and commissions and estimated offering expenses payable by us. Each $1.00</w:t>
      </w:r>
    </w:p>
    <w:p>
      <w:pPr>
        <w:spacing w:after="0" w:line="1" w:lineRule="exact"/>
        <w:rPr>
          <w:sz w:val="20"/>
          <w:szCs w:val="20"/>
          <w:color w:val="auto"/>
        </w:rPr>
      </w:pPr>
    </w:p>
    <w:p>
      <w:pPr>
        <w:jc w:val="both"/>
        <w:ind w:left="1460" w:right="1219"/>
        <w:spacing w:after="0" w:line="250" w:lineRule="auto"/>
        <w:rPr>
          <w:sz w:val="20"/>
          <w:szCs w:val="20"/>
          <w:color w:val="auto"/>
        </w:rPr>
      </w:pPr>
      <w:r>
        <w:rPr>
          <w:rFonts w:ascii="Times New Roman" w:cs="Times New Roman" w:eastAsia="Times New Roman" w:hAnsi="Times New Roman"/>
          <w:sz w:val="14"/>
          <w:szCs w:val="14"/>
          <w:color w:val="auto"/>
        </w:rPr>
        <w:t>increase or decrease in the assumed initial public offering price of $ per share would increase or decrease, as applicable, the pro forma as adjusted amount of each of our cash, cash equivalents and marketable securities,</w:t>
      </w:r>
    </w:p>
    <w:p>
      <w:pPr>
        <w:spacing w:after="0" w:line="1" w:lineRule="exact"/>
        <w:rPr>
          <w:sz w:val="20"/>
          <w:szCs w:val="20"/>
          <w:color w:val="auto"/>
        </w:rPr>
      </w:pPr>
    </w:p>
    <w:p>
      <w:pPr>
        <w:jc w:val="both"/>
        <w:ind w:left="1460" w:right="1219"/>
        <w:spacing w:after="0" w:line="250" w:lineRule="auto"/>
        <w:rPr>
          <w:sz w:val="20"/>
          <w:szCs w:val="20"/>
          <w:color w:val="auto"/>
        </w:rPr>
      </w:pPr>
      <w:r>
        <w:rPr>
          <w:rFonts w:ascii="Times New Roman" w:cs="Times New Roman" w:eastAsia="Times New Roman" w:hAnsi="Times New Roman"/>
          <w:sz w:val="14"/>
          <w:szCs w:val="14"/>
          <w:color w:val="auto"/>
        </w:rPr>
        <w:t>working capital, total assets and total stockholders’ (deficit) equity by approximately $ million, assuming that the number of shares offered by us, as set forth on the cover page of this prospectus, remains the same and after deducting the estimated underwriting discounts and commissions and estimated offering expenses payable by us. Each increase or decrease of 1.0 million shares in the number of shares offered by us at the assumed</w:t>
      </w:r>
    </w:p>
    <w:p>
      <w:pPr>
        <w:spacing w:after="0" w:line="2" w:lineRule="exact"/>
        <w:rPr>
          <w:sz w:val="20"/>
          <w:szCs w:val="20"/>
          <w:color w:val="auto"/>
        </w:rPr>
      </w:pPr>
    </w:p>
    <w:p>
      <w:pPr>
        <w:jc w:val="both"/>
        <w:ind w:left="1460" w:right="1219"/>
        <w:spacing w:after="0" w:line="250" w:lineRule="auto"/>
        <w:rPr>
          <w:sz w:val="20"/>
          <w:szCs w:val="20"/>
          <w:color w:val="auto"/>
        </w:rPr>
      </w:pPr>
      <w:r>
        <w:rPr>
          <w:rFonts w:ascii="Times New Roman" w:cs="Times New Roman" w:eastAsia="Times New Roman" w:hAnsi="Times New Roman"/>
          <w:sz w:val="14"/>
          <w:szCs w:val="14"/>
          <w:color w:val="auto"/>
        </w:rPr>
        <w:t>initial public offering price of $ per share would increase or decrease, as applicable, the pro forma as adjusted amounts of each of our cash, cash equivalents and marketable securities, working capital, total assets and total stockholders’ (deficit) equity by approximately $ million, assuming no change in the assumed initial public offering price per share, and after deducting the estimated underwriting discounts and commissions and estimated offering expenses payable by us.</w:t>
      </w:r>
    </w:p>
    <w:p>
      <w:pPr>
        <w:spacing w:after="0" w:line="3" w:lineRule="exact"/>
        <w:rPr>
          <w:sz w:val="20"/>
          <w:szCs w:val="20"/>
          <w:color w:val="auto"/>
        </w:rPr>
      </w:pPr>
    </w:p>
    <w:p>
      <w:pPr>
        <w:jc w:val="both"/>
        <w:ind w:left="1460" w:right="1219" w:hanging="246"/>
        <w:spacing w:after="0" w:line="250" w:lineRule="auto"/>
        <w:tabs>
          <w:tab w:leader="none" w:pos="1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 forma and pro forma as adjusted amounts are reflective of $15.0 million in borrowings outstanding as of April 1, 2026 under our term loan facility, or the Term Loan Facility, entered into in February 2026 with Banc of California.</w:t>
      </w:r>
    </w:p>
    <w:p>
      <w:pPr>
        <w:spacing w:after="0" w:line="1" w:lineRule="exact"/>
        <w:rPr>
          <w:rFonts w:ascii="Times New Roman" w:cs="Times New Roman" w:eastAsia="Times New Roman" w:hAnsi="Times New Roman"/>
          <w:sz w:val="14"/>
          <w:szCs w:val="14"/>
          <w:color w:val="auto"/>
        </w:rPr>
      </w:pPr>
    </w:p>
    <w:p>
      <w:pPr>
        <w:jc w:val="both"/>
        <w:ind w:left="1460" w:right="1239" w:hanging="246"/>
        <w:spacing w:after="0" w:line="256" w:lineRule="auto"/>
        <w:tabs>
          <w:tab w:leader="none" w:pos="1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define working capital as current assets less current liabilities. See our consolidated financial statements and the related notes included elsewhere in this prospectus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328295</wp:posOffset>
            </wp:positionV>
            <wp:extent cx="54857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17" w:name="page18"/>
    <w:bookmarkEnd w:id="1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75"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You should consider and read carefully all of the risks and uncertainties described below, as well as the other information in this prospectus, including our consolidated financial statements and the related notes appearing elsewhere in this prospectus and “Management’s Discussion and Analysis of Financial Condition and Results of Operations” before deciding whether to invest in our common stock. The risks described below are not the only ones facing us. The following risks or additional risks and uncertainties not presently known to us or that we currently believe to be immaterial could materially and adversely affect our business, financial condition, results of operations and growth prospects. In such an event, the trading price of our common stock could decline, and you may lose all or part of your investment. This prospectus also contains forward-looking statements and estimates that involve risks and uncertainties not presently known to us or that we currently deem immaterial that also may impair our business operations. Our actual results could differ materially from those anticipated in our forward-looking statements as a result of specific factors, including the risks and uncertainties described below.</w:t>
      </w:r>
    </w:p>
    <w:p>
      <w:pPr>
        <w:spacing w:after="0" w:line="2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Our Financial Condition and Need for Additional Capital</w:t>
      </w:r>
    </w:p>
    <w:p>
      <w:pPr>
        <w:spacing w:after="0" w:line="91"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are a clinical-stage biopharmaceutical company and have incurred significant operating losses since inception and anticipate that we will continue to incur significant operating losses for the foreseeable future. Our net losses were $85.2 million and $49.7 million for the years ended December 31, 2025 and 2024, respectively. We had an accumulated deficit of $265.4 million and $180.2 million as of December 31, 2025 and 2024, respectively. We may never achieve or maintain profitability.</w:t>
      </w:r>
    </w:p>
    <w:p>
      <w:pPr>
        <w:spacing w:after="0" w:line="58"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are a clinical-stage biopharmaceutical company and have incurred operating losses in each year since our inception. Our net losses were $85.2 million and $49.7 million for the years ended December 31, 2025 and 2024, respectively. We had an accumulated deficit of $265.4 million and $180.2 million as of December 31, 2025 and 2024, respectively. Substantially all of our operating losses have resulted from costs incurred in connection with our research and development programs and from general and administrative costs associated with our operations. Our prior losses, combined with expected future losses, have had and will continue to have an adverse effect on our stockholders’ deficit and working capital.</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Since our inception in 2011, we have devoted substantially all of our efforts and financial resources to the development of our product candidates, the continuation of ongoing clinical trials, the commencement of new clinical trials and ongoing manufacturing to support our product candidates. Biopharmaceutical product development is a highly speculative undertaking and involves a substantial degree of risk. We have not yet demonstrated an ability to conduct later-stage clinical trials, obtain regulatory approval, manufacture any product on a commercial scale or conduct sales and marketing activities necessary for successful product commercialization, and there is no assurance that we will accomplish any of these abilities in the future. Our operating history makes any assessment of our future success and viability subject to significant uncertainty. In addition, if we obtain marketing approval for any of our product candidates, we will incur significant sales, marketing, and manufacturing expenses. Once we are a public company, we will incur additional costs associated with operating as a public company. As a result, we expect to continue to incur significant expenses and increasing operating losses for the foreseeable future. Because of the numerous risks and uncertainties associated with developing pharmaceutical products, we are unable to predict the extent of any future losses or when we will become profitable, if at all. Even if we become profitable, we may not be able to sustain or increase our profitability on a quarterly or annual basis.</w:t>
      </w:r>
    </w:p>
    <w:p>
      <w:pPr>
        <w:spacing w:after="0" w:line="14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amount of our future losses is uncertain, and our quarterly operating results may fluctuate significantly or may fall below the expectations of investors or securities analysts, each of which may cause our stock price to fluctuate or decline. Our operating losses may fluctuate significantly from quarter to quarter and from year to year. We anticipate that our expenses will increase substantially if, and as, we:</w:t>
      </w:r>
    </w:p>
    <w:p>
      <w:pPr>
        <w:spacing w:after="0" w:line="57" w:lineRule="exact"/>
        <w:rPr>
          <w:sz w:val="20"/>
          <w:szCs w:val="20"/>
          <w:color w:val="auto"/>
        </w:rPr>
      </w:pPr>
    </w:p>
    <w:p>
      <w:pPr>
        <w:jc w:val="both"/>
        <w:ind w:left="1880" w:right="1239" w:hanging="323"/>
        <w:spacing w:after="0" w:line="267" w:lineRule="auto"/>
        <w:tabs>
          <w:tab w:leader="none" w:pos="188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advance clinical development of our lead candidates, AP01 (inhaled pirfenidone), or AP01, and AP02 (inhaled nintedanib), or AP02, and our other current and future product candidates, including conducting our ongoing clinical trials;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 w:name="page19"/>
    <w:bookmarkEnd w:id="1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advance our research and preclinical activities and seek to discover and develop additional product candidates;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utilize third parties to manufacture our product candidates and ensure sufficient supply of our manufacturing of drug substances, drug products and related medical devices;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maintain, expand and protect our intellectual property portfolio (including intellectual property obtained through license agreements) and provide reimbursement of third-party expenses related to our patent portfolio;</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hire and retain additional qualified personnel;</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regulatory approvals for any current or future product candidates that successfully complete clinical trials;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any potential milestones, royalties or other payments due under any current or future in-license, collaboration or other agreements;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any pre-commercial activities and scale up external commercial-scale manufacturing capabilities;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 a sales, marketing and distribution infrastructure to commercialize any product candidates for which we may obtain regulatory approval;</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additional operational, financial, clinical, quality and management information systems;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audit, legal, regulatory, tax and other expenses with being a public company.</w:t>
      </w:r>
    </w:p>
    <w:p>
      <w:pPr>
        <w:spacing w:after="0" w:line="17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may encounter unforeseen expenses, difficulties, complications, delays and other unknown factors that may adversely affect our business. The size of our future net losses will depend, in part, on the rate of future growth of our expenses and our ability to generate revenue.</w:t>
      </w:r>
    </w:p>
    <w:p>
      <w:pPr>
        <w:spacing w:after="0" w:line="136"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Given the numerous risks and uncertainties associated with pharmaceutical product development, it is not certain if any of our current or future product candidates will advance through late-stage development or be approved for commercial sale; therefore, we are unable to predict if or when we will generate product revenue or achieve or maintain profitability.</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Even if we successfully complete development and obtain the necessary regulatory approval for commercialization for any of our product candidates, we anticipate incurring significant costs associated with launching and commercializing such products. If we fail to become profitable or do not sustain profitability on a continuing basis, we may be unable to continue our operations at planned levels and be forced to reduce or cease operations.</w:t>
      </w:r>
    </w:p>
    <w:p>
      <w:pPr>
        <w:spacing w:after="0" w:line="226"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Even if this offering is successful, we will need substantial additional funding. We may be unable to raise capital on acceptable terms, if at all, and, as a result, we may be required to delay, reduce, or eliminate our product development programs or commercialization efforts.</w:t>
      </w:r>
    </w:p>
    <w:p>
      <w:pPr>
        <w:spacing w:after="0" w:line="5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operations have consumed substantial amounts of cash since inception. Identifying potential product candidates and conducting preclinical testing and clinical trials is a time-consuming, expensive and uncertain process that takes years to complete, and we may never generate the necessary data or results required to obtain regulatory approvals and achieve product sales. We expect to continue to incur significant and increasing expenses and operating losses for the foreseeable future as we initiate and conduct clinical trials of our current and future product candidates, scale-up and manufacture our product candidates, advance our preclinical programs, seek marketing and regulatory approvals for any product candidates that successfully complete clinical trials and commercialize our products, if approved. Because the outcome of any clinical trial or preclinical study is highly uncertain, we cannot reliably estimate the actual amount of financing necessary to successfully complete the development and commercialization of any of our product candidates.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 w:name="page20"/>
    <w:bookmarkEnd w:id="1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believe that the anticipated net proceeds from this offering, together with our existing cash, cash equivalents and marketable securities, inclusive of the $15.0 million borrowed under Term Loan Facility, will be</w:t>
      </w:r>
    </w:p>
    <w:p>
      <w:pPr>
        <w:spacing w:after="0" w:line="1"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sufficient to fund our operating expenses and capital requirements into . This estimate is based on assumptions that may prove to be wrong, and we could use our available capital resources sooner than we expect. Changes may occur beyond our control that would cause us to consume our available capital before that time, including but not limited to changes in progress of our development activities, acquisitions of additional product candidates, and changes in regulation. Our future capital requirements will depend on many factors, including:</w:t>
      </w:r>
    </w:p>
    <w:p>
      <w:pPr>
        <w:spacing w:after="0" w:line="62" w:lineRule="exact"/>
        <w:rPr>
          <w:sz w:val="20"/>
          <w:szCs w:val="20"/>
          <w:color w:val="auto"/>
        </w:rPr>
      </w:pPr>
    </w:p>
    <w:p>
      <w:pPr>
        <w:jc w:val="both"/>
        <w:ind w:left="1880" w:right="1239" w:hanging="323"/>
        <w:spacing w:after="0" w:line="267"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timing, progress, costs, complexity and results of discovery, preclinical development and clinical trials for our current or future product candidates, including our ongoing clinical trials of our lead candidates, AP01 and AP02;</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clinical trials required for regulatory approvals of our current or future product candidates;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extent to which we develop, in-license or acquire other product candidates in our pipeline;</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process development and manufacturing scale-up activities associated with our product candidates and other programs as we advance them through preclinical and clinical development and, if approved, commercialization;</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and development requirements of product candidates that we may pursue;</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the milestone, royalty or other payments we must make to PARI, pursuant to the PARI License Agreement (as defined below), and any other third parties;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royalty payments we must make pursuant to the terms of a confidential settlement agreement;</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product candidates;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headcount growth and associated costs as we expand our research and development capabilities and establish a commercial infrastructure;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future commercialization activities, including product manufacturing, marketing, sales and distribution, for any of our product candidates for which we receive marketing approval;</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preparing, filing and prosecuting patent applications, maintaining and enforcing our intellectual property rights and defending any intellectual property-related claims;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payors (or patients’ willingness to pay out-of-pocket for any approved products in the absence of such coverage) and adequate market share and revenue for any approved products;</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revenue, if any, received from commercial sales of any product candidates for which we receive marketing approval;</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macroeconomic trends including inflation, tariffs and interest rates;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addressing any potential supply chain interruptions or delays, which may be due in part to international tariffs;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of operating as a public company.</w:t>
      </w:r>
    </w:p>
    <w:p>
      <w:pPr>
        <w:spacing w:after="0" w:line="17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We will require additional capital to achieve our business objectives. Additional funds may not be available on a timely basis, on favorable terms or at all, and such funds, if raised, may not be sufficient to enable us to continue implementing our long-term business strategy. Further, our ability to raise additional capital may be adversely impacted by global economic conditions and disruptions to and volatility in the credit and financial markets in the United States, or the U.S., and worldwide resulting from factors that include but are not limited to, inflation, tariffs, global conflicts, diminished liquidity and credit availability, declines in consumer confidence, declines in economic growth, increases in unemployment rates, uncertainty about economic stability and other factors. If the equity and credit markets deteriorate, it may make any necessary debt or equity financing more difficult to obtain, more costly</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 w:name="page21"/>
    <w:bookmarkEnd w:id="2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and more dilutive. If we are unable to raise sufficient additional capital, we could be forced to curtail our planned operations and the pursuit of our growth strategy, or even cease operations.</w:t>
      </w:r>
    </w:p>
    <w:p>
      <w:pPr>
        <w:spacing w:after="0" w:line="207"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Raising additional capital may cause dilution to our stockholders, including purchasers of our common stock in this offering, restrict our operations or require us to relinquish rights to our product candidates.</w:t>
      </w:r>
    </w:p>
    <w:p>
      <w:pPr>
        <w:spacing w:after="0" w:line="39"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Until such time, if ever, as we can generate substantial revenues from product sales, we expect to finance our cash needs through a combination of equity offerings, debt financings or other capital sources, such as grants, collaborations, licenses or other similar arrangements. We do not currently have any committed external source of funds other than the $30 million loan facility. To the extent that we raise additional capital through the sale of equity or convertible debt securities, your ownership interest may be diluted, and the terms of these securities may include liquidation or other preferences that adversely affect your rights as a common stockholder. Debt financing and preferred equity financing may involve agreements that include covenants limiting or restricting our ability to take specific actions, such as incurring additional debt or making capital expenditures. Such restrictions could adversely impact our ability to conduct our operations and execute our business plan. If we raise additional funds through grants, collaborations, licenses or other similar arrangements with third parties, we may be required to relinquish valuable rights to our future revenue streams, intellectual property or product candidates, grant licenses on terms that may not be favorable to us and/or that may reduce the value of our common stock or commit us to future payment streams. If we are unable to raise additional funds through equity or debt financings when needed or on terms acceptable to us, we may be required to delay, limit, reduce or terminate our product development or future commercialization efforts or grant rights to develop and market product candidates that we would otherwise prefer to develop and market ourselves, or on less favorable terms than we would otherwise choose.</w:t>
      </w:r>
    </w:p>
    <w:p>
      <w:pPr>
        <w:spacing w:after="0" w:line="15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We maintain the majority of our cash and cash equivalents in accounts with major U.S. and multi-national financial institutions, and our deposits at certain of these institutions exceed insured limits. Market conditions and changes in financial regulations and policies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 In addition, changes in regulations governing financial institutions are beyond our control and difficult to predict; consequently, the impact of such changes on our business and results of operations is difficult to predict and may have an adverse effect on us.</w:t>
      </w:r>
    </w:p>
    <w:p>
      <w:pPr>
        <w:spacing w:after="0" w:line="59"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terms of our loan and security agreement place restrictions on our operating and financial flexibility. If we raise additional capital through debt financing, the terms of any new debt could further restrict our ability to operate our business.</w:t>
      </w:r>
    </w:p>
    <w:p>
      <w:pPr>
        <w:spacing w:after="0" w:line="5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Our Loan and Security Agreement, or the LSA, with Banc of California provides us with up to $30.0 million of borrowing capacity, of which we have borrowed $15.0 million as of April 1, 2026. Our overall leverage, certain obligations and affirmative and negative covenants contained in the related documentation could adversely affect our financial health and business and future operations by limiting our ability to, among other things, satisfy our obligations under the LSA, refinance our debt on terms acceptable to us or at all, plan for and adjust to changing business, industry and market conditions, use our available cash flow to fund future acquisitions and make dividend payments, and obtain additional financing for working capital, to fund growth or for general corporate purposes, even when necessary to maintain adequate liquidity. With certain exceptions, the LSA prohibits us from taking certain actions without Banc of California’s prior consent, including, but not limited to any material transfers of our assets, changes in our business, management, directorship (in certain circumstances), ownership, or business locations; certain mergers or consolidations; incurring any indebtedness, other than permitted indebtedness; granting or permitting liens against our assets, other than permitted liens; making certain capitalized expenditures; entering into any material transaction with any affiliate, other than in the ordinary course of business; or making any payments in respect of any subordinated debt.</w:t>
      </w:r>
    </w:p>
    <w:p>
      <w:pPr>
        <w:spacing w:after="0" w:line="14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intend to satisfy our current and future debt service obligations with our cash and cash equivalents and short-term investments and funds from external sources. However, we may not have sufficient funds or may be unable to arrange for additional financing to pay the amounts due under our existing debt. Funds from external sources may not be available on acceptable terms, if at all. Additionally, if we raise any additional debt financing, the terms of such</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 w:name="page22"/>
    <w:bookmarkEnd w:id="2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additional debt could further restrict our operating and financial flexibility. In the event of an acceleration of amounts due as a result of an event of default, we may not have sufficient funds and may be unable to arrange for additional financing to repay our indebtedness, and our lender could seek to enforce security interests in the collateral securing such indebtedness. Any declaration by the lender of an event of default could significantly harm our business and prospects and could cause the price of our common stock to decline. Further, if we are liquidated, the lenders’ right to repayment would be senior to the rights of the holders of our common stock to receive any proceeds from the liquidation.</w:t>
      </w:r>
    </w:p>
    <w:p>
      <w:pPr>
        <w:spacing w:after="0" w:line="5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the Discovery and Development of Our Product Candidates</w:t>
      </w:r>
    </w:p>
    <w:p>
      <w:pPr>
        <w:spacing w:after="0" w:line="91"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are substantially dependent on the success of our lead candidates, AP01 and AP02. If we are unable to advance such product candidates into later-stage clinical development or unable to obtain regulatory approval and commercialize a therapy for the treatment of pulmonary fibrosis, or PF, or experience significant delays in doing so, our business will be materially harmed.</w:t>
      </w:r>
    </w:p>
    <w:p>
      <w:pPr>
        <w:spacing w:after="0" w:line="56"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To date, as an organization, we have not completed the development of any product candidates. We are substantially dependent on the success of at least one of our product candidates, including AP01, which is currently in Phase 2b clinical development for the treatment of PPF and AP02, which is currently in Phase 2 clinical development for the treatment of IPF.</w:t>
      </w:r>
    </w:p>
    <w:p>
      <w:pPr>
        <w:spacing w:after="0" w:line="141"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success of AP01, AP02, and our other current and any future product candidates will depend on several factors, including the following:</w:t>
      </w:r>
    </w:p>
    <w:p>
      <w:pPr>
        <w:spacing w:after="0" w:line="41" w:lineRule="exact"/>
        <w:rPr>
          <w:sz w:val="20"/>
          <w:szCs w:val="20"/>
          <w:color w:val="auto"/>
        </w:rPr>
      </w:pPr>
    </w:p>
    <w:p>
      <w:pPr>
        <w:ind w:left="1880" w:right="1239" w:hanging="323"/>
        <w:spacing w:after="0" w:line="283"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successful and timely initiation and enrollment of clinical trials and completion of clinical trials with favorable results;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safety, tolerability and PK profile of our product candidates observed in clinical trials;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regulatory submissions by the FDA and/or comparable foreign regulatory authorities for the conduct of clinical trials of our product candidates;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frequency and severity of adverse safety findings in nonclinical studies and AEs in clinical trials;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timely and successful completion of preclinical studies, including toxicology studies and in vitro dose projection studies in animals, where applicable;</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acceptance of our products, if approved, by PF patients, the medical community and third-party payors, and their perspective on the cost, safety, tolerability and efficacy and perceived advantages of alternative therapies for PF, including the current standard of care;</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relationships with contract research organizations, or CROs, and clinical sites for the clinical development of our product candidates and ability of such CROs and clinical sites to comply with clinical trial protocols, Good Clinical Practices, or GCPs, and other applicable requirements;</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demonstrating the safety and efficacy of our product candidates to the satisfaction of applicable regulatory authorities;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and maintenance of marketing approvals from applicable regulatory authorities for our initial target indication and label expansions to include new populations;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relationships with our third-party manufacturers and their ability to comply with current good manufacturing practices, or cGMPs, as well as making arrangements with our third-party manufacturers for commercial manufacturing capabilities at a cost and scale sufficient to support commercialization;</w:t>
      </w:r>
    </w:p>
    <w:p>
      <w:pPr>
        <w:spacing w:after="0" w:line="56"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sales, marketing and distribution capabilities and launching commercial sales of our product candidates, if and when approved, whether alone or in collaboration with others;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obtaining, establishing, maintaining and enforcing patent and any potential trade secret protection or regulatory exclusivity for our product candidates;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 w:name="page23"/>
    <w:bookmarkEnd w:id="2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7" w:lineRule="auto"/>
        <w:tabs>
          <w:tab w:leader="none" w:pos="18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our arrangement with PARI pursuant to the PARI License Agreement for the exclusive license to PARI’s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and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w:t>
      </w:r>
    </w:p>
    <w:p>
      <w:pPr>
        <w:spacing w:after="0" w:line="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 acceptable safety profile of our product candidates following regulatory approvals, if any;</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sufficiency of our financial resources to fund our operations;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maintaining and growing an organization of people who can develop and, if approved, commercialize, market and sell our current or future product candidates.</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If we are unable to develop, receive marketing approval for and successfully commercialize our product candidates, or if we experience delays as a result of any of the above factors or otherwise, our business would be significantly harmed.</w:t>
      </w:r>
    </w:p>
    <w:p>
      <w:pPr>
        <w:spacing w:after="0" w:line="218"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early in our development efforts. If we are unable to successfully develop, receive regulatory approval for and commercialize any product candidate or successfully develop any other product candidate or experience significant delays in doing so, our business will be substantially harmed.</w:t>
      </w:r>
    </w:p>
    <w:p>
      <w:pPr>
        <w:spacing w:after="0" w:line="5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are early in our development efforts. Each of our product candidates will require additional preclinical and/or clinical development, regulatory approval, obtaining manufacturing supply, capacity and expertise, building a commercial organization or successfully outsourcing commercialization, substantial investment and significant marketing efforts before we generate any revenue from product sales.</w:t>
      </w:r>
    </w:p>
    <w:p>
      <w:pPr>
        <w:spacing w:after="0" w:line="141"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Our assumptions about the development potential of AP01 and AP02 are based on the data generated from our clinical trials and from preclinical studies. We may also observe materially and adversely different safety results as we continue to conduct our clinical trials.</w:t>
      </w:r>
    </w:p>
    <w:p>
      <w:pPr>
        <w:spacing w:after="0" w:line="13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Our product candidates will require substantial additional investment, clinical development, regulatory review, approval in one or more jurisdictions and significant marketing efforts before we could generate any revenue from product sales, if ever. Given our stage of development, it will take additional clinical development before we can demonstrate the safety and efficacy of a product candidate sufficient to warrant approval for commercialization, if we can do so at all.</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 If we are not successful with respect to one or more of these factors in a timely manner or at all, we could experience significant delays or an inability to successfully commercialize the product candidates we develop, which would materially harm our business. If we do not receive marketing approvals for our product candidates or any future product candidate we develop or if we experience delays in such approvals, we may not be able to continue our operations.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Further, conducting clinical trials in foreign countries, as we are currently doing, presents additional risks that may delay completion of our clinical trials. These risks include the failure of enrolled patients in foreign countries to adhere to clinical protocol as a result of differences in healthcare services or cultural customs, failure to properly translate or interpret patient-reported outcome endpoints, managing additional administrative burdens associated with foreign regulatory schemes as well as political and economic risks relevant to such foreign countries.</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foregoing makes our ability to successfully and timely complete development of our product candidates and obtain regulatory approval for them less certain. If we are unable to develop, or obtain marketing approval for, or, if approved, successfully commercialize our product candidates, our business, financial condition, results of operations and prospects could be materially harmed.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 w:name="page24"/>
    <w:bookmarkEnd w:id="2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Additional time may be required to obtain marketing authorizations for product candidates that we develop as drug-device combination products.</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Our nebulizer-delivered product candidates, AP01 and AP02, are subject to combination product development and approval regulatory requirements. Development of a product candidate as a combination product candidate requires close coordination with the FDA and comparable foreign regulatory authorities for review of each of the drug and device components that comprise the product. Although the FDA and comparable foreign regulatory authorities have or may have systems in place for the review and approval of such combination products, we may experience additional delays in the development and commercialization of such product candidates due to regulatory timing constraints and uncertainties in the product development and approval process.</w:t>
      </w:r>
    </w:p>
    <w:p>
      <w:pPr>
        <w:spacing w:after="0" w:line="226"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regulatory approval processes of the FDA, European Medicines Agency, or EMA, and comparable foreign authorities are lengthy, time-consuming and inherently unpredictable. If we are not able to obtain the required regulatory approval for any product candidate, our business will be substantially harmed.</w:t>
      </w:r>
    </w:p>
    <w:p>
      <w:pPr>
        <w:spacing w:after="0" w:line="5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are not permitted to market, commercialize, sell, or promote any product candidate in the U.S. until we receive regulatory approval of a new drug application, or NDA, for such product candidate in a specific indication from the FDA. Our business is dependent on our ability to successfully complete preclinical and clinical development of, obtain regulatory approval for, and, if approved, successfully commercialize our product candidates and any future product candidates in a timely manner. The time required to obtain approval or other marketing authorizations by the FDA and comparable foreign authorities is unpredictable, and it typically takes many years following the commencement of clinical trials and depends upon numerous factors, including the substantial discretion of the regulatory authorities. In addition, approval policies, regulations and the type and amount of clinical data necessary to gain approval may change during the course of a product candidate’s clinical development and may vary among jurisdictions. We have not obtained regulatory approval for any product candidate, and it is possible that we may never obtain regulatory approval for any product candidates we may seek to develop in the future.</w:t>
      </w:r>
    </w:p>
    <w:p>
      <w:pPr>
        <w:spacing w:after="0" w:line="150"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Prior to obtaining approval to commercialize any product candidate in the U.S. or abroad, we must demonstrate with substantial evidence from well-controlled clinical trials, to the satisfaction of the FDA, EMA or comparable foreign regulatory authorities, that such product candidates are safe and effective for their intended uses. Results from preclinical studies and clinical trials can be interpreted in different ways. Even if we believe the preclinical or clinical data for our product candidates are promising, such data may not be sufficient to support approval by the FDA, EMA, and other regulatory authorities. For example, certain of our trials did not include a placebo or an oral antifibrotic comparator arm, and interpretability of the findings and whether these findings are robust enough to warrant approval will be reviewed closely by the FDA, EMA, or other regulatory authorities. Such authorities may ultimately determine that our data are insufficient for approval and may require that we conduct additional clinical trials, or nonclinical or other studies, before our candidates can be approved. The FDA may also require us to conduct additional preclinical studies or clinical trials for our product candidates either prior to or after approval, or it may object to elements of our clinical development programs.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including our Phase 2 trial, if successful, will provide compelling support to open an IND in the U.S. while enabling an efficient use of our resources.</w:t>
      </w:r>
    </w:p>
    <w:p>
      <w:pPr>
        <w:spacing w:after="0" w:line="151"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Our current and future product candidates could fail to receive regulatory approval for many reasons, including the following:</w:t>
      </w:r>
    </w:p>
    <w:p>
      <w:pPr>
        <w:spacing w:after="0" w:line="41" w:lineRule="exact"/>
        <w:rPr>
          <w:sz w:val="20"/>
          <w:szCs w:val="20"/>
          <w:color w:val="auto"/>
        </w:rPr>
      </w:pPr>
    </w:p>
    <w:p>
      <w:pPr>
        <w:ind w:left="1880" w:right="1239" w:hanging="323"/>
        <w:spacing w:after="0" w:line="283" w:lineRule="auto"/>
        <w:tabs>
          <w:tab w:leader="none" w:pos="18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disagree as to the design or implementation of our clinical trials and interpretation of data from clinical trials or preclinical studies;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 w:name="page25"/>
    <w:bookmarkEnd w:id="2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to the satisfaction of the FDA or comparable foreign regulatory authorities that a product candidate is safe and effective for its proposed indication;</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clinical trials may not meet the level of statistical significance required by the FDA or comparable foreign regulatory authorities for approval;</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unable to demonstrate that a product candidate’s clinical and other benefits outweigh its safety risks;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data collected from clinical trials of our product candidates may not be sufficient to support the submission of an NDA to the FDA or other submission to obtain regulatory approval in the European Union or elsewhere;</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FDA or comparable foreign regulatory authorities may find deficiencies with or fail to accept device validation data or to approve the manufacturing processes or facilities of third-party manufacturers with which we contract for clinical and commercial supplies; and</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policies or regulations of the FDA or comparable foreign regulatory authorities may significantly change in a manner rendering our clinical data insufficient for approval.</w:t>
      </w:r>
    </w:p>
    <w:p>
      <w:pPr>
        <w:spacing w:after="0" w:line="125"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Of the large number of products in development, only a small percentage successfully complete the FDA or foreign regulatory approval processes and are commercialized. The lengthy approval and marketing authorization process as well as the unpredictability of future clinical trial results may result in our failing to obtain regulatory approval to market our product candidates, which would significantly harm our business, financial condition, results of operations and prospects. The FDA, EMA and comparable foreign authorities have substantial discretion in the approval process and determining when or whether regulatory approval will be granted for any product candidate that we develop. The U.S. Supreme Court’s July 2024 decision to overturn prior established case law giving deference to regulatory agencies’ interpretations of ambiguous statutory language has introduced uncertainty regarding the extent to which the FDA’s regulations, policies and decisions may become subject to increasing legal challenges, delays or changes. Even if we believe the data collected from future clinical trials of our product candidates are promising, such data may not be sufficient to support approval by the FDA, EMA or any other regulatory authority.</w:t>
      </w:r>
    </w:p>
    <w:p>
      <w:pPr>
        <w:spacing w:after="0" w:line="150"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Even if we complete clinical testing and receive approval of a NDA or foreign marketing application for our current or future product candidates, the FDA, EMA or the applicable foreign regulatory agency may grant approval or other marketing authorization contingent on the performance of costly additional clinical trials, including post-marketing clinical trials. The FDA, EMA or the applicable foreign regulatory agency also may approve or authorize for marketing a product candidate for a more limited indication or patient population than we originally request, and the FDA, EMA or applicable foreign regulatory authority may not approve or authorize the labeling that we believe is necessary or desirable for the successful commercialization of a product candidate. Any delay in obtaining, or inability to obtain, applicable regulatory approval or other marketing authorization, or failure to obtain our desired product label, would delay or prevent commercialization of that product candidate and would materially adversely impact our business and prospects.</w:t>
      </w:r>
    </w:p>
    <w:p>
      <w:pPr>
        <w:spacing w:after="0" w:line="146"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addition, the FDA, EMA and other regulatory authorities may change their policies, issue additional regulations or revise existing regulations or take other actions, which may prevent or delay approval of our future product candidates under development on a timely basis. Such policy or regulatory changes could impose additional requirements upon us that could delay our ability to obtain approvals, increase the costs of compliance or restrict our ability to maintain any marketing authorizations we may have obtained. Further, macroeconomic and other global conditions have impacted and could in the future impact the ability of the FDA, EMA and comparable foreign regulatory authorities to provide any required approvals or marketing authorizations for our product candidates or result in the delay of such approvals or authorizations.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 w:name="page26"/>
    <w:bookmarkEnd w:id="2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Preclinical and clinical product development involves a lengthy and expensive process, with an uncertain outcome.</w:t>
      </w:r>
    </w:p>
    <w:p>
      <w:pPr>
        <w:spacing w:after="0" w:line="39"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Our current assumptions about our product candidates’ development potential are based on the data generated from preclinical studies and clinical trials; however, we may observe materially and adversely different safety results as we continue to conduct our clinical trials. In order to obtain FDA, EMA or other comparable foreign regulatory authorities approval to market a new drug product, we must demonstrate the safety and efficacy of the drug in humans in a manner that satisfies the applicable authority’s standards. It is impossible to predict when or if any of our product candidates will prove effective or safe in humans or will receive regulatory approval. Before obtaining marketing approval from regulatory authorities, including the FDA, EMA and comparable foreign regulatory authorities, we must complete preclinical development and then conduct extensive clinical trials to demonstrate the safety, potency and efficacy of our product candidates in humans. A failure of one or more clinical trials can occur at any stage of testing or at any time during the trial process. The outcome of preclinical testing and early clinical trials may not be predictive of the results of later clinical trials as to safety or efficacy, particularly if later clinical trials have a materially different trial design. The historical failure rate for product candidates in our industry is high, particularly in the earlier stages of development.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5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have not completed all of the clinical trials required for the approval of any of our product candidates. We cannot assure you that any preclinical study or clinical trial that we are conducting, or may conduct in the future, will demonstrate consistent or adequate efficacy and safety to obtain regulatory approval to market our product candidates in the United States or in any other jurisdiction.</w:t>
      </w:r>
    </w:p>
    <w:p>
      <w:pPr>
        <w:spacing w:after="0" w:line="14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Additionally, we have in the past and intend in the future to utilize an “open-label” clinical trial design for certain of our clinical trials. An “open-label” clinical trial is one where both the patient and investigator know whether the patient is receiving the investigational product candidate or either an existing approved drug or placebo. Most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may not be predictive of future clinical trial results of a product candidate when studied in a controlled environment with a placebo or active control.</w:t>
      </w:r>
    </w:p>
    <w:p>
      <w:pPr>
        <w:spacing w:after="0" w:line="232"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incur additional costs and experience delays in completing, or ultimately be unable to complete, the development and commercialization of our product candidates.</w:t>
      </w:r>
    </w:p>
    <w:p>
      <w:pPr>
        <w:spacing w:after="0" w:line="39"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may incur additional costs and experience delays in ongoing clinical trials for our product candidates, and we do not know whether future clinical trials, if any, will begin on time, need to be redesigned, enroll an adequate number of patients on time or be completed on schedule, if at all. We may experience numerous unforeseen events during or as a result of preclinical studies or clinical trials that could delay or prevent our ability to continue or complete clinical development, receive marketing approval or commercialize our product candidates, including:</w:t>
      </w:r>
    </w:p>
    <w:p>
      <w:pPr>
        <w:spacing w:after="0" w:line="60" w:lineRule="exact"/>
        <w:rPr>
          <w:sz w:val="20"/>
          <w:szCs w:val="20"/>
          <w:color w:val="auto"/>
        </w:rPr>
      </w:pPr>
    </w:p>
    <w:p>
      <w:pPr>
        <w:ind w:left="1880" w:right="1239" w:hanging="323"/>
        <w:spacing w:after="0" w:line="283"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institutional review boards not authorizing us or our investigators to commence a clinical trial or conduct a clinical trial at a prospective trial site;</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experiencing delays in reaching, or failing to reach, agreement on acceptable clinical trial contracts or clinical trial protocols with prospective trial sites or prospective CROs, the terms of which can be subject to extensive negotiation and may vary significantly among different CROs and trial sites;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 w:name="page27"/>
    <w:bookmarkEnd w:id="2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hanging="323"/>
        <w:spacing w:after="0" w:line="267"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clinical trials of our product candidates producing negative or inconclusive results, including failure to demonstrate statistical significance, and we may decide, or regulators may require us, to conduct additional clinical trials or abandon product development programs;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failing to demonstrate statistical significance in clinical trials of our product candidates, which may impact the timing and design of late-stage clinical trials for such product candidates, or failing to demonstrate statistical significance in late-stage trials despite promising early stage results;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57"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patients required for clinical trials of our product candidates being larger than we anticipate; enrollment in these clinical trials being slower than we anticipate, for example, due to the availability of standard of care therapy, changes to standard of care therapy, and the reluctance of patients to discontinue standard of care therapy in order to participate in certain of our future clinical trials; or participants dropping out of these clinical trials or failing to return for post-treatment follow-up at a higher rate than we anticipate;</w:t>
      </w:r>
    </w:p>
    <w:p>
      <w:pPr>
        <w:spacing w:after="0" w:line="58"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product candidates having undesirable side effects (including drug-drug interactions), unexpected toxicology findings, or other unexpected characteristics, causing us or our investigators, regulators or institutional review boards to suspend or terminate the trials;</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third-party contractors failing to comply with regulatory requirements or meet their contractual obligations to us in a timely manner, or at all;</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regulators or institutional review boards requiring that we or our investigators suspend or terminate clinical development for various reasons, including noncompliance with regulatory requirements or a finding that the participants are being exposed to unacceptable health risks;</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collaborators, if any, may conduct clinical trials in ways they view as advantageous to them but that are suboptimal to us;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clinical trials of our product candidates being greater than we anticipate;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supply or quality of our product candidates or other materials necessary, including comparator drug, to conduct clinical trials of our product candidates being insufficient, inadequate or too costly.</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favorable or if there are safety concerns, we may, among other things:</w:t>
      </w:r>
    </w:p>
    <w:p>
      <w:pPr>
        <w:spacing w:after="0" w:line="57" w:lineRule="exact"/>
        <w:rPr>
          <w:sz w:val="20"/>
          <w:szCs w:val="20"/>
          <w:color w:val="auto"/>
        </w:rPr>
      </w:pPr>
    </w:p>
    <w:p>
      <w:pPr>
        <w:ind w:left="1880" w:hanging="323"/>
        <w:spacing w:after="0"/>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delayed in obtaining marketing approval for our product candidates;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obtain marketing approval at all;</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for indications or patient populations that are not as broad as intended or desired;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approval with labeling that includes significant use or distribution restrictions or safety warnings;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 subject to additional post-marketing testing requirements; or</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have the product removed from the market after obtaining marketing approval.</w:t>
      </w:r>
    </w:p>
    <w:p>
      <w:pPr>
        <w:spacing w:after="0" w:line="17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Moreover, principal investigators for our current and future clinical trials have in the past and may in the future serve as scientific advisors or consultants to us from time to time and receive compensation in connection with such services. Under certain circumstances, we may be required to report some of these relationships to the FDA or comparable foreign regulatory authorities. The FDA or a comparable foreign regulatory authority may conclude that a financial relationship between us and a principal investigator has created a conflict of interest or otherwise affected interpretation of the study. The FDA or a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a comparable foreign regulatory authority, as the case may be, and may ultimately lead to the denial of marketing approval.</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7" w:name="page28"/>
    <w:bookmarkEnd w:id="2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have not yet completed all testing of any product candidate in clinical trials. Preclinical, interim, topline and preliminary results from our preclinical studies or clinical trials are not necessarily predictive of the results or analyses of such results of later clinical trials. If we cannot replicate the positive results from any preclinical studies or clinical trials of our current or potential future product candidates that have positive results, or if we suffer any other significant setbacks in our later clinical trials, we may be unable to successfully develop, obtain regulatory approval for and commercialize our current or potential future product candidates.</w:t>
      </w:r>
    </w:p>
    <w:p>
      <w:pPr>
        <w:spacing w:after="0" w:line="6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Success in preclinical testing and early clinical trials does not ensure that later clinical trials will generate the same results or otherwise provide adequate data to demonstrate the efficacy and safety of a product candidate. Preclinical studies, Phase 1 and Phase 2a clinical trials are primarily designed to test safety, to study pharmacokinetics and pharmacodynamics, and to understand the side effects of product candidates at various doses and dosing schedules. Success in preclinical or animal studies and early clinical trials does not ensure that later large-scale efficacy trials will be successful, nor does it predict final results. Our product candidates may fail to show the desired safety, tolerability, PK profile, and efficacy in clinical development despite positive results in preclinical studies or having successfully advanced through initial clinical trials, particularly because of our product candidates leveraging an inhalation approach.</w:t>
      </w:r>
    </w:p>
    <w:p>
      <w:pPr>
        <w:spacing w:after="0" w:line="14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Many companies in the pharmaceutical and biotechnology industries have suffered significant setbacks in late-stage clinical trials even after achieving promising results in preclinical testing and earlier-stage clinical trials. Such setbacks have occurred and may occur for many reasons, including: clinical sites and investigators may deviate from clinical trial protocols, whether due to lack of training or otherwise, and we may fail to detect any such deviations in a timely manner; patients may fail to adhere to any required clinical trial procedures, including post-treatment follow-up; our product candidates may fail to demonstrate effectiveness or safety in certain patient subpopulations or at all; or our clinical trials may not adequately represent the patient populations we intend to treat, whether due to limitations in our trial designs or otherwise. Data obtained from preclinical and clinical activities are subject to varying interpretations, which may delay, limit or prevent regulatory approval. In addition, we may experience regulatory delays or rejections as a result of many factors, including changes in regulatory policy during the period of our product candidate development.</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Similarly, from time to time, we may publish interim, topline or preliminary results from our preclinical studies and clinical trials, which are based on a preliminary analysis of then-available data. We also make assumptions, estimations, calculations and conclusions as part of our preliminary analyses of data, and we may not have received or had the opportunity to fully and carefully evaluate all data. As a result, the results and related findings and conclusions are subject to change following a more comprehensive review of the data related to the particular study or trial. Interim results from clinical trials that we may complete are subject to the risk that one or more of the clinical outcomes may materially change as patient enrollment continues and more patient data become available. Preliminary or topline results also remain subject to audit and verification procedures that may result in the final data being materially different from the preliminary data we previously published. As a result, interim, topline and preliminary data should be viewed with caution until the final data are available. Adverse differences between interim, topline or preliminary data and final data could significantly harm our business prospects and may cause the trading price of our common stock to fluctuate significantly.</w:t>
      </w:r>
    </w:p>
    <w:p>
      <w:pPr>
        <w:spacing w:after="0" w:line="150"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investors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8" w:name="page29"/>
    <w:bookmarkEnd w:id="2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Targeting PF with inhaled formulations of antifibrotic therapies is novel, and we do not know whether we will be able to successfully develop any inhaled products.</w:t>
      </w:r>
    </w:p>
    <w:p>
      <w:pPr>
        <w:spacing w:after="0" w:line="39" w:lineRule="exact"/>
        <w:rPr>
          <w:sz w:val="20"/>
          <w:szCs w:val="20"/>
          <w:color w:val="auto"/>
        </w:rPr>
      </w:pPr>
    </w:p>
    <w:p>
      <w:pPr>
        <w:jc w:val="both"/>
        <w:ind w:left="1220" w:right="1239" w:firstLine="333"/>
        <w:spacing w:after="0" w:line="266" w:lineRule="auto"/>
        <w:rPr>
          <w:sz w:val="20"/>
          <w:szCs w:val="20"/>
          <w:color w:val="auto"/>
        </w:rPr>
      </w:pPr>
      <w:r>
        <w:rPr>
          <w:rFonts w:ascii="Times New Roman" w:cs="Times New Roman" w:eastAsia="Times New Roman" w:hAnsi="Times New Roman"/>
          <w:sz w:val="14"/>
          <w:szCs w:val="14"/>
          <w:color w:val="auto"/>
        </w:rPr>
        <w:t>Our product candidates target PF with an inhaled formulation approach. Other companies have discontinued programs targeting PF as they were unable to develop compounds that could demonstrate safety or efficacy or whose dosing regimens were commercially unviable. Given our approach, we may not be able to successfully develop any products.</w:t>
      </w:r>
    </w:p>
    <w:p>
      <w:pPr>
        <w:spacing w:after="0" w:line="138"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PF market currently relies on oral systemic medications: nintedanib, pirfenidone, and nerandomilast. We aim to optimize inhaled formulations of the current oral antifibrotic medicines, as with AP01 and AP02, inhaled formulations of pirfenidone or nintedanib, for potentially improved safety and efficacy. While products for the treatment of PF have been approved by the FDA and comparable foreign regulatory authorities, to date, no inhaled antifibrotic therapy of pirfenidone or nintedanib, or combination of pirfenidone and nintedanib, has been approved, and to our knowledge, no product candidate combining these agents in an inhaled formulation is currently in clinical development. As a result, it is difficult to predict the developmental challenges we may encounter as our lead product candidates proceed through clinical trials, including our planned future clinical trials. It is also difficult for us to predict the time and cost of development, whether any of our clinical trials will be successful, whether any unexpected side effects that have not been associated with oral nintedanib and pirfenidone will be identified in our product development activities and whether our novel approach will result in the successful development and regulatory approval of any product candidates. For example, although we have not observed this to date in clinical trials, airway irritation is a potential risk for inhaled administration, which can be manifested by coughing, increased secretions, or bronchospasm. Any development problems we experience in the future related to our lead product candidates may cause significant delays or unanticipated costs, and such development problems may not be able to be solved. The novelty of our approach may lengthen the regulatory review process, require us to conduct additional studies or clinical trials, increase our development costs, lead to changes in regulatory positions and interpretations, delay or prevent approval and commercialization of our product candidates or lead to significant post-approval limitations or restrictions. For example, the FDA could require additional studies that may be difficult or impossible to perform, or prohibitively costly. Any of these factors may prevent us from completing clinical trials that we may initiate, and obtaining regulatory approval of or commercializing any product candidates we may develop, on a timely or profitable basis, if at all.</w:t>
      </w:r>
    </w:p>
    <w:p>
      <w:pPr>
        <w:spacing w:after="0" w:line="228"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preclinical studies and clinical trials may fail to demonstrate the safety and efficacy of our product candidates, or serious or unacceptable adverse side effects or unexpected toxicology findings may be identified during the development of our product candidates, which could prevent or delay further clinical development, regulatory approvals and commercialization, impact the product’s labeling, if approved, increase our costs or necessitate the abandonment or limitation of the development of some of our product candidates.</w:t>
      </w:r>
    </w:p>
    <w:p>
      <w:pPr>
        <w:spacing w:after="0" w:line="58"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Clinical trials often fail to demonstrate safety or efficacy of the product candidate studied for the target indication. If our product candidates are associated with serious or significant adverse side effects in clinical trials or have adverse safety findings in nonclinical studies, we may need to abandon their development or limit development to more narrow uses in which the side effects or other characteristics are less prevalent, less severe or more acceptable from a benefit-risk perspective. The FDA, EMA or other comparable foreign regulatory authority or an institutional review board or ethics committee may also require that we suspend, discontinue or limit our clinical trials based on safety information, or that we conduct additional animal or human studies regarding the safety and efficacy of our product candidates, which we have not planned or anticipated.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from our Phase 2 trial, if successful, will provide compelling support to open an IND in the U.S. while enabling an efficient use of our resources. If we are unable to obtain IND clearance from the FDA for AP02, our market opportunity may be adversely affected, and we may have to expend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9" w:name="page30"/>
    <w:bookmarkEnd w:id="2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additional resources to complete additional preclinical testing if required by the FDA. There is no guarantee that our efforts or further testing, if required, will be successful or will enable the clearance of an IND by the FDA.</w:t>
      </w:r>
    </w:p>
    <w:p>
      <w:pPr>
        <w:spacing w:after="0" w:line="12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Such findings could further result in regulatory authorities failing to provide marketing authorization for our product candidates or limiting the scope of the indication, if approved. Many product candidates that initially showed promise in early-stage testing have later been found to cause adverse side effects that prevented further development of the product candidate. For example, the long-term safety impacts of our product candidates are unknown and may not be discoverable in preclinical studies or clinical trials that we may conduct. Additionally, if one or more of our product candidates receives marketing approval, and we or others subsequently identify undesirable side effects caused by such products a number of potentially significant negative consequences could result, including:</w:t>
      </w:r>
    </w:p>
    <w:p>
      <w:pPr>
        <w:spacing w:after="0" w:line="61" w:lineRule="exact"/>
        <w:rPr>
          <w:sz w:val="20"/>
          <w:szCs w:val="20"/>
          <w:color w:val="auto"/>
        </w:rPr>
      </w:pPr>
    </w:p>
    <w:p>
      <w:pPr>
        <w:ind w:left="1880" w:right="1239" w:hanging="323"/>
        <w:spacing w:after="0" w:line="283" w:lineRule="auto"/>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withdraw, suspend or limit approvals of such product or seek an injunction against its manufacture or distribution;</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recall a product;</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authorities may require additional warnings on the labels, such as a boxed warning or a contraindication;</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create a medication guide outlining the risks of such side effects for distribution to patients;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change the way a product is distributed or administered, conduct additional clinical trials or change the labeling of a product or be required to conduct additional post-marketing studies or surveillance;</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could be sued and held liable for harm caused to patients;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the product may decrease significantly or the product could become less competitive;</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achieve or maintain third-party payor coverage and adequate reimbursement;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reputation and physician or patient acceptance of our products may suffer.</w:t>
      </w:r>
    </w:p>
    <w:p>
      <w:pPr>
        <w:spacing w:after="0" w:line="17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There can be no assurance that we will resolve any issues related to any product-related AEs to the satisfaction of the FDA, EMA or comparable foreign regulatory authorities in a timely manner or at all. Moreover, any of these events could prevent us from achieving or maintaining market acceptance of a particular product candidate, if approved, and could significantly harm our business, results of operations and prospects.</w:t>
      </w:r>
    </w:p>
    <w:p>
      <w:pPr>
        <w:spacing w:after="0" w:line="223"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have obtained orphan designation for AP01 for the treatment of IPF and may in the future seek orphan drug designation for additional product candidates. Even if we obtain designation, we may be unable to maintain the benefits associated with orphan drug designation, including the potential for market exclusivity.</w:t>
      </w:r>
    </w:p>
    <w:p>
      <w:pPr>
        <w:spacing w:after="0" w:line="5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In July 2014, we obtained orphan drug designation from the FDA for AP01 for the treatment of IPF. We may seek orphan drug designation or exclusivity in the indications targeted by our current or future product candidates. Regulatory authorities in some jurisdictions, including the United States and Europe, may designate drugs for relatively small patient populations as orphan drugs. For example, under the Orphan Drug Act, the FDA may designate a product candidate as an orphan drug if it is intended to treat a rare disease or condition. In order for the FDA to grant orphan drug exclusivity to one of our product candidates, the agency must find that the product candidate is indicated for the treatment of a condition or disease that affects fewer than 200,000 individuals in the U.S. or that affects 200,000 or more individuals in the U.S. and for which there is no reasonable expectation that the cost of developing and making the product candidate available for the disease or condition will be recovered from sales of the product in the U.S. Orphan drug designation must be requested before submitting an NDA. The FDA may conclude that the condition or disease for which we seek orphan drug exclusivity does not meet the required standard.</w:t>
      </w: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0" w:name="page31"/>
    <w:bookmarkEnd w:id="3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If a product that has orphan drug designation subsequently receives the first FDA approval for a particular drug for the disease for which it has such designation, the product is entitled to orphan product exclusivity, which means that the FDA may not approve any other applications to market the same drug for the same indication for seven years, except in limited circumstances such as if the FDA finds that the holder of the orphan drug exclusivity has not shown that it can assure the availability of sufficient quantities of the orphan drug to meet the needs of patients with the disease or condition for which the drug was designated.</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addition, even after an orphan drug is approved, the FDA can subsequently approve the same product candidate for the same condition if the FDA concludes that the later product candidate is clinically superior in that it is shown to be safer, more effective or makes a major contribution to patient care compared with the product that has orphan exclusivity. In the U.S., orphan drug designation entitles a party to financial incentives such as opportunities for grant funding towards clinical trial costs, tax advantages, and user-fee waivers. After the FDA grants orphan drug designation, the generic identity of the drug or biologic and its potential orphan use are disclosed publicly by the FDA. Orphan drug designation does not convey any advantage in, or shorten the duration of, the regulatory review and approval process.</w:t>
      </w:r>
    </w:p>
    <w:p>
      <w:pPr>
        <w:spacing w:after="0" w:line="14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 similar regulatory scheme governs approval of orphan product candidates by the EMA in the European Union. Generally, if a product with an orphan drug designation subsequently receives the first marketing approval for the indication for which it has such designation, the product is entitled to a period of marketing exclusivity, which precludes the FDA or the EMA (as applicable) from approving another marketing application for the same or another similar product candidate for the same orphan therapeutic indication for that time period. The applicable period is seven years in the U.S. and ten years in the European Union. The exclusivity period in the European Union can be reduced to six years if at the end of the fifth year it is determined that a product no longer meets the criteria for orphan designation, including if the product is sufficiently profitable so that market exclusivity is no longer justified.</w:t>
      </w:r>
    </w:p>
    <w:p>
      <w:pPr>
        <w:spacing w:after="0" w:line="231"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While we may in the future seek designations for our product candidates with the FDA, EMA and comparable foreign regulatory authorities that are intended to confer benefits such as a faster development process, an accelerated regulatory pathway or priority review, there can be no assurance that we will successfully obtain such designations. In addition, even if one or more of our product candidates are granted such designations, we may not be able to realize the intended benefits of such designations.</w:t>
      </w:r>
    </w:p>
    <w:p>
      <w:pPr>
        <w:spacing w:after="0" w:line="58"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FDA, EMA and comparable regulatory authorities offer certain designations for product candidates that are designed to encourage the research and development of product candidates that are intended to address conditions with significant unmet medical need. These designations may confer benefits such as additional interaction with regulatory authorities, a potentially accelerated regulatory pathway and priority review of the marketing application(s). However, there can be no assurance that we will successfully obtain such designations for our product candidates. In addition, while such designations could expedite the development or approval process, they generally do not change the standards of product quality, safety or efficacy required to be demonstrated in support of approval. Even if we obtain such designations for our product candidates, there can be no assurance that we will realize their intended benefits.</w:t>
      </w:r>
    </w:p>
    <w:p>
      <w:pPr>
        <w:spacing w:after="0" w:line="14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For example, we may seek a Fast Track Designation for one or more of our product candidates. 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activities.</w:t>
      </w:r>
    </w:p>
    <w:p>
      <w:pPr>
        <w:spacing w:after="0" w:line="14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1" w:name="page32"/>
    <w:bookmarkEnd w:id="3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8" w:lineRule="auto"/>
        <w:rPr>
          <w:sz w:val="20"/>
          <w:szCs w:val="20"/>
          <w:color w:val="auto"/>
        </w:rPr>
      </w:pPr>
      <w:r>
        <w:rPr>
          <w:rFonts w:ascii="Times New Roman" w:cs="Times New Roman" w:eastAsia="Times New Roman" w:hAnsi="Times New Roman"/>
          <w:sz w:val="14"/>
          <w:szCs w:val="14"/>
          <w:color w:val="auto"/>
        </w:rPr>
        <w:t>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Further, the receipt of Breakthrough Therapy Designation for a product candidate may not result in a faster development process, review or approval compared to conventional FDA procedures and does not assure approval by the FDA. In addition, even if any product candidate we develop qualifies for Breakthrough Therapy Designation, the FDA may later decide that the drug no longer meets the conditions for qualification and rescind the designation.</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Even in the absence of obtaining Fast Track and/or Breakthrough Therapy Designations, a sponsor can seek priority review at the time of submitting a marketing application. The FDA may designate a product for priority review if it is a product that treats a serious condition and, if approved, would provide a significant improvement in safety or effectiveness when compared with other available therapies. Significant improvement may be illustrated by evidence of increased effectiveness in the treatment of a condition, elimination or substantial reduction of a treatment-limiting adverse reaction, documented enhancement of patient compliance that may lead to improvement in serious outcomes, or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from FDA’s acceptance of the application for review. Priority review designation may be rescinded if a product no longer meets the qualifying criteria.</w:t>
      </w:r>
    </w:p>
    <w:p>
      <w:pPr>
        <w:spacing w:after="0" w:line="226"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submit investigational new drug, or IND, applications or IND amendments to commence clinical trials on the timelines we expect, and even if we are able to, the FDA may not permit us to proceed.</w:t>
      </w:r>
    </w:p>
    <w:p>
      <w:pPr>
        <w:spacing w:after="0" w:line="39"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We may not be able to submit INDs, including the IND for our lead product candidates, on the timelines we expect. We may experience manufacturing delays or other delays with IND-enabling studies or it may require time to align with the FDA or comparable regulatory authorities on data packages. For example, in July 2025, in our pre-IND discussions for AP02, the FDA, but no other regulatory agency, asked us to complete an additional device compatibility study (which we have since successfully completed) and also commented on a nonclinical rat toxicology study that showed findings that were considered non-adverse and/or species-specific. Due to this and our desire for a faster start-up time, we proceeded to initiate our Phase 2 clinical trial outside of the U.S. We intend to submit such IND with the safety and efficacy clinical data from our Phase 2 trial, if successful, to potentially enable a future Phase 3 clinical trial that includes U.S. sites. We believe that the data package from our Phase 2 trial, if successful, will provide compelling support to open an IND in the U.S. while enabling an efficient use of our resources. If we are unable to obtain IND clearance from the FDA for AP02, our market opportunity may be adversely affected, and we may have to expend additional resources to complete additional preclinical testing if required by the FDA. There is no guarantee that our efforts or further testing, if required, will be successful or will enable the clearance of an IND by the FDA. Moreover, we cannot be sure that submission of an IND will result in the FDA allowing clinical trials to begin, or that,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2" w:name="page33"/>
    <w:bookmarkEnd w:id="3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intend to deliver AP01 and AP02 and our other product candidates via a drug delivery device that will have its own regulatory, development, supply and other risks.</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intend to deliver AP01 and AP02 and our other product candidates via a drug delivery device, a nebulizer, and there may be unforeseen technical complications related to the development activities required to bring such a product to market, including container compatibility and/or dose volume requirements. AP01 and AP02 and our other product candidates which may be delivered via drug delivery devices may not be approved or may be substantially delayed in receiving approval if the devices do not gain and/or maintain their own regulatory approvals or clearances. Where approval of the drug product and device is sought under a single application, the increased complexity of the review process may delay approval.</w:t>
      </w:r>
    </w:p>
    <w:p>
      <w:pPr>
        <w:spacing w:after="0" w:line="149" w:lineRule="exact"/>
        <w:rPr>
          <w:sz w:val="20"/>
          <w:szCs w:val="20"/>
          <w:color w:val="auto"/>
        </w:rPr>
      </w:pPr>
    </w:p>
    <w:p>
      <w:pPr>
        <w:jc w:val="both"/>
        <w:ind w:left="1220" w:right="1239" w:firstLine="333"/>
        <w:spacing w:after="0" w:line="243" w:lineRule="auto"/>
        <w:rPr>
          <w:sz w:val="20"/>
          <w:szCs w:val="20"/>
          <w:color w:val="auto"/>
        </w:rPr>
      </w:pPr>
      <w:r>
        <w:rPr>
          <w:rFonts w:ascii="Times New Roman" w:cs="Times New Roman" w:eastAsia="Times New Roman" w:hAnsi="Times New Roman"/>
          <w:sz w:val="14"/>
          <w:szCs w:val="14"/>
          <w:color w:val="auto"/>
        </w:rPr>
        <w:t>We benefit from an exclusive license to PARI’s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with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for AP01’s delivery, and we retain an exclusive right to negotiate a separate license agreement with respect to AP02 and AP03 for exclusive licenses for PARI’s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with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This exclusivity offers a key competitive advantage, as the proprietary device would be included in any potential U.S. FDA-approved product labels, however, we cannot guarantee that we will maintain preferable commercial terms for such license. We are dependent on the sustained cooperation and effort of PARI both to supply the device and, in some cases, to conduct the studies required for approval or other regulatory clearance of the device, and if received, we expect we will be dependent on PARI for continuing to maintain such approvals or clearances. Failure of PARI to supply the device, to successfully complete studies on the device or for any future devices we may utilize for any of our product candidates in a timely manner, or to obtain or maintain required approvals or clearances of the devices could result in increased development costs, delays in or failure to obtain regulatory approval, and delays in our product candidates reaching the market initially and/or expanding to new indications. For more information on the PARI Agreement, see “Business—Material Agreements”.</w:t>
      </w:r>
    </w:p>
    <w:p>
      <w:pPr>
        <w:spacing w:after="0" w:line="241"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Any product candidate for which we obtain marketing approval could be subject to restrictions or withdrawal from the market, and we may be subject to substantial penalties if we fail to comply with regulatory requirements or if we experience unanticipated problems with our products, when and if any of them are approved.</w:t>
      </w:r>
    </w:p>
    <w:p>
      <w:pPr>
        <w:spacing w:after="0" w:line="51"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As part of its decision to approve or grant marketing authorization for one or more of our product candidates, the FDA, European Commission, or EC, or other regulatory agencies may require us to perform certain post-marketing activities, such as completion of ongoing or planned studies, initiation of new studies or post-marketing clinical trials (including to assess safety risks), or additional analyses of existing data. Typically, we are required to provide annual updates on the progress of such required activities and to complete the activities by the assigned completion dates. Later discovery of previously unknown problems with our product candidates, including AEs of unanticipated severity or frequency, or with our third-party manufacturers or manufacturing processes, or failure to comply with regulatory requirements, may result in, among other things:</w:t>
      </w:r>
    </w:p>
    <w:p>
      <w:pPr>
        <w:spacing w:after="0" w:line="61" w:lineRule="exact"/>
        <w:rPr>
          <w:sz w:val="20"/>
          <w:szCs w:val="20"/>
          <w:color w:val="auto"/>
        </w:rPr>
      </w:pPr>
    </w:p>
    <w:p>
      <w:pPr>
        <w:ind w:left="1880" w:right="1239" w:hanging="323"/>
        <w:spacing w:after="0" w:line="283" w:lineRule="auto"/>
        <w:tabs>
          <w:tab w:leader="none" w:pos="18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such products, withdrawal of the product from the market or voluntary or mandatory product recalls;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or revisions to the labeling or marketing of a medicine;</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distribution or use of a medicine, including under a risk evaluation and mitigation strategy, or REMS, program;</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receipt of warning or untitled letters or suspension of clinical trials;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by the FDA, EC or other regulatory agencies to approve pending applications or supplements to approved applications filed by us or suspension or withdrawal of marketing approvals;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our product candidates;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Additionally, the FDA, EC and other regulatory agencies closely regulate the post-approval marketing and promotion of medicines to ensure that they are marketed only for the approved indications and in accordance with the provisions of the approved labeling. Although physicians may prescribe products for uses not described in the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3" w:name="page34"/>
    <w:bookmarkEnd w:id="3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product’s labeling, known as off-label uses, in their professional medical judgment, the FDA, EMA and comparable foreign regulatory agencies impose stringent restrictions on manufacturers’ communications regarding off-label use, and if we market our products, if approved, in a manner inconsistent with their approved labeling, we may be subject to enforcement action for off-label marketing by the FDA and other federal and state enforcement agencies, including the Department of Justice and other comparable foreign regulatory agencies.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state consumer protection laws and laws of other comparable foreign regulatory agencies.</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any product candidates we develop and adversely affect our business, financial condition, results of operations and prospects.</w:t>
      </w:r>
    </w:p>
    <w:p>
      <w:pPr>
        <w:spacing w:after="0" w:line="223"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we experience delays or difficulties in the enrollment and/or retention of patients in clinical trials, our clinical development activities could be delayed or otherwise adversely affected, and our receipt of necessary regulatory approvals could be delayed or prevented.</w:t>
      </w:r>
    </w:p>
    <w:p>
      <w:pPr>
        <w:spacing w:after="0" w:line="51"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Successful and timely completion of clinical trials will require that we identify and enroll a sufficient number of patients. Patient enrollment, a significant factor in the timing of clinical trials, is affected by many factors, including the size and nature of the patient population and competition for patients with other trials. Trials may be subject to delays as a result of patient enrollment taking longer than anticipated or patient withdrawal. We may not be able to initiate or continue clinical trials for our product candidates if we are unable to locate and enroll a sufficient number of eligible patients to participate in these trials as required by the FDA, EMA or comparable foreign regulatory authorities, or if a large number of patients withdraw.</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For example, we are initially developing AP02 for the treatment of IPF, which is an orphan indication. In the United States, IPF is estimated to affect approximately 120,000 patients. As a result, we may encounter difficulties enrolling subjects in our clinical trials due, in part, to the small size of the patient population. If our target patient population is smaller than expected, we are unable to successfully enroll and retain patients in our clinical trials, or experience significant delays in doing so, we may not satisfy the FDA or other applicable regulatory authorities standards for number of patients enrolled due to enrollment being too low.</w:t>
      </w:r>
    </w:p>
    <w:p>
      <w:pPr>
        <w:spacing w:after="0" w:line="14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cannot predict how successful we will be at enrolling subjects in future clinical trials. We may conduct clinical trials that would require patients to discontinue standard of care therapy, and we may experience challenges finding, enrolling and retaining PF patients in our planned clinical trials who are willing to discontinue their current treatment regimens to participate in our trials. Subject enrollment is affected by other factors including:</w:t>
      </w:r>
    </w:p>
    <w:p>
      <w:pPr>
        <w:spacing w:after="0" w:line="57" w:lineRule="exact"/>
        <w:rPr>
          <w:sz w:val="20"/>
          <w:szCs w:val="20"/>
          <w:color w:val="auto"/>
        </w:rPr>
      </w:pPr>
    </w:p>
    <w:p>
      <w:pPr>
        <w:ind w:left="1880" w:hanging="323"/>
        <w:spacing w:after="0"/>
        <w:tabs>
          <w:tab w:leader="none" w:pos="18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eligibility criteria as defined in the applicable protocol;</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of the patient population required for analysis of the trial’s primary endpoints and the process for identifying patients;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actual and perceived risks and benefits of the product candidate in the trial;</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global health crises, such as those related to COVID-19, on enrollment and/or completion of a trial;</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 of the trial;</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recruit clinical trial investigators with the appropriate competencies and experience;</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competing clinical trials and clinicians’ and patients’ perceptions as to the potential advantages and risks of the product candidate being studied in relation to other available therapies, including the current standard of care and any new drugs that may be approved for PF, which may vary across the jurisdictions where we plan to conduct our clinical trials;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4" w:name="page35"/>
    <w:bookmarkEnd w:id="3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patients to be enrolled in our clinical trials;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efforts to facilitate timely enrollment in clinical trials;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patient referral practices of physicians;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monitor patients adequately during and after treatment;</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informed consent;</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 that patients enrolled in our clinical trials will drop out of the trials prior to completion;</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to, or lack of adequate compensation for, prospective patients;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proximity and availability of clinical trial sites to prospective patients.</w:t>
      </w:r>
    </w:p>
    <w:p>
      <w:pPr>
        <w:spacing w:after="0" w:line="91"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inability to enroll a sufficient number of patients for clinical trials would result in significant delays and could require us to abandon one or more clinical trials altogether. For example, although enrollment for our Phase 2b MIST clinical trial was initially slower than anticipated, due to higher-than-expected screen failure rates and site activation delays, we have since addressed such factors and currently remain on track for our expected enrollment timeline. Enrollment delays in these clinical trials may result in increased development costs for our product candidates, which would cause the value of our company to decline and limit our ability to obtain additional financing. Furthermore, we expect to rely on CROs and clinical trial sites to ensure the proper and timely conduct of our clinical trials and we will have limited influence over their performance.</w:t>
      </w:r>
    </w:p>
    <w:p>
      <w:pPr>
        <w:spacing w:after="0" w:line="14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Furthermore, even if we are able to enroll a sufficient number of patients for our clinical trials, we may have difficulty maintaining enrollment of such patients. We cannot assure you that our assumptions used in determining expected clinical trial timelines are correct or that we will not experience delays or difficulties in enrollment, or be required by the FDA or comparable foreign regulatory authorities to increase our enrollment, which would result in the delay of completion of such trials beyond our expected timelines.</w:t>
      </w:r>
    </w:p>
    <w:p>
      <w:pPr>
        <w:spacing w:after="0" w:line="226"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results of clinical trials conducted at clinical trial sites outside the U.S. might not be accepted by the FDA, and data developed outside of a foreign jurisdiction similarly might not be accepted by such foreign regulatory authority.</w:t>
      </w:r>
    </w:p>
    <w:p>
      <w:pPr>
        <w:spacing w:after="0" w:line="51"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We are currently conducting our Phase 2 clinical trial for AP01 in the United Kingdom, Spain, France, Germany, Italy, Turkey, Argentina, United States and other EU countries, and AP02 in Australia, Canada, Germany, Italy, New Zealand, Spain, Argentina, and the United Kingdom, and may conduct additional clinical trials outside of the U.S. in the future. Clinical trials conducted in Australia using “unapproved therapeutic goods,” or those that have not yet been evaluated by the Therapeutic Goods Association, or TGA, for quality, safety and efficacy, must occur pursuant to either the Clinical Trial Notification Scheme or the Clinical Trial Approval Scheme. In each case, the trial is supervised by a Human Research Ethics Committee, or HREC, an independent review committee set up under the guidelines of the Australian National Health and Medical Research Council that reviews, approves and provides continuing oversight of trial protocols and amendments, and of the methods and material to be used in obtaining and documenting informed consent of the trial subjects. Although the FDA, EMA or comparable foreign regulatory authorities may accept data from clinical trials conducted outside the relevant jurisdiction, acceptance of these data is subject to certain conditions. For example, the FDA requires that the clinical trial must be well-designed and conducted and performed by qualified investigators in accordance with ethical principles such as institutional review board or ethics committee approval and informed consent, the trial population must adequately represent the U.S. population and the data must be applicable to the U.S. population and U.S. medical practice in ways that the FDA deems clinically meaningful. Further, the FDA may consider an on-site inspection to be necessary in which case they must be able to validate the data through such an inspection or other appropriate means. In addition, while these clinical trials are subject to the applicable local laws, acceptance of the data by the FDA will be dependent upon its determination that the trials were conducted consistent with all applicable U.S. laws and regulations. There can be no assurance that the FDA will accept data from trials conducted outside of the U.S. as adequate support of a marketing application. Similarly, any data submitted to foreign regulatory authorities may not adhere to their standards and requirements for clinical trials and data from trials conducted outside of such jurisdiction may not be accepted. Moreover, cultural and population</w:t>
      </w: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5" w:name="page36"/>
    <w:bookmarkEnd w:id="3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differences across populations participating in trials conducted with sites outside the U.S. could introduce confounding factors that impact interpretation of the results from foreign clinical trial sites.</w:t>
      </w:r>
    </w:p>
    <w:p>
      <w:pPr>
        <w:spacing w:after="0" w:line="12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If the FDA, EMA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 In addition, such foreign trials would be subject to the applicable local laws and ethics committee requirements of the foreign jurisdictions where the trials are conducted, which may increase costs or time required to complete the clinical trial.</w:t>
      </w:r>
    </w:p>
    <w:p>
      <w:pPr>
        <w:spacing w:after="0" w:line="1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Conducting clinical trials outside the U.S. also exposes us to additional risks, including risks associated with:</w:t>
      </w:r>
    </w:p>
    <w:p>
      <w:pPr>
        <w:spacing w:after="0" w:line="91" w:lineRule="exact"/>
        <w:rPr>
          <w:sz w:val="20"/>
          <w:szCs w:val="20"/>
          <w:color w:val="auto"/>
        </w:rPr>
      </w:pPr>
    </w:p>
    <w:p>
      <w:pPr>
        <w:ind w:left="1880" w:hanging="323"/>
        <w:spacing w:after="0"/>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foreign regulatory and ethics committee requirements;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exchange fluctuations;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foreign manufacturing, customs, shipment and storage requirements;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inconsistent standards for reporting and evaluating clinical data and AEs;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varying standards or availability of PF care, resulting in data that may differ from patients who have received the U.S. standard of care therapy;</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legislative proposals that, if enacted, could require additional fees or other compliance requirements for inclusion of foreign data in marketing applications;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pandemic, epidemic or public health emergencies;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diminished protection of intellectual property in some countries;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political instability, civil unrest, war or similar events that may jeopardize our ability to commence, conduct or complete a clinical trial and evaluate resulting data.</w:t>
      </w:r>
    </w:p>
    <w:p>
      <w:pPr>
        <w:spacing w:after="0" w:line="207"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If any third-party manufacturer of our product candidates is unable to increase the scale of its production of our product candidates or increase the product yield of its manufacturing, then our manufacturing costs may increase and commercialization may be delayed.</w:t>
      </w:r>
    </w:p>
    <w:p>
      <w:pPr>
        <w:spacing w:after="0" w:line="5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order to produce sufficient quantities to meet the demand for clinical trials and, if approved, subsequent commercialization of our product candidates, our third-party manufacturers will be required to increase their production and optimize their manufacturing processes while maintaining the quality of our product candidates. The transition to larger scale production could prove difficult. In addition, if our third-party manufacturers are not able to optimize their manufacturing processes to increase the product yield for our product candidates, or if they are unable to produce increased amounts of our product candidates while maintaining the same quality, then we may not be able to meet the demands of clinical trials or market demands, which could decrease our ability to generate profits and have a material adverse impact on our business and results of operations. Additionally, if any such third-party manufacturer cannot achieve compliance with import and export requirements or build a sufficient network of partners for the storage and distribution of our product candidates, our future global commercialization prospects could be materially harmed.</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6" w:name="page37"/>
    <w:bookmarkEnd w:id="3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i w:val="1"/>
          <w:iCs w:val="1"/>
          <w:color w:val="auto"/>
        </w:rPr>
        <w:t>Changes in methods of product candidate manufacturing or formulation may result in additional costs or delay.</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As product candidates proceed through preclinical studies to late-stage clinical trials towards potential approval and commercialization, various aspects of the development program, such as manufacturing methods and formulation, may be altered in an effort to optimize processes and product characteristics, and such optimization may not be achieved. Any of these changes could cause our product candidates to perform differently and affect the results of our current or future clinical trials. Such changes may also require additional testing, or notification to or approval by the FDA, EMA or another comparable regulatory authority. This could delay completion of clinical trials, require the conduct of bridging clinical trials or the repetition of one or more clinical trials, increase clinical trial costs, delay approval of our product candidates and jeopardize our ability to commence sales and generate revenue.</w:t>
      </w:r>
    </w:p>
    <w:p>
      <w:pPr>
        <w:spacing w:after="0" w:line="231"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Because we have limited financial and management resources, we are initially focused on IPF and PPF, and we focus our research and development efforts on certain selected development programs and product candidates. We are currently primarily focused on the development of AP01, AP02 and AP03. As a result, we may forego or delay pursuit of opportunities with other product candidates that later prove to have greater commercial potential. Our resource allocation decisions may cause us to fail to capitalize on viable commercial products or profitable market opportunities. Our spending on current and future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29"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4"/>
          <w:szCs w:val="14"/>
          <w:b w:val="1"/>
          <w:bCs w:val="1"/>
          <w:i w:val="1"/>
          <w:iCs w:val="1"/>
          <w:color w:val="auto"/>
        </w:rPr>
        <w:t>We intend to develop AP03 as a fixed-dose combination of pirfenidone and nintedanib. Developing combination treatments increases complexity and risk, including risks of drug-drug interactions, unforeseen side effects or failures in our clinical trials that could delay or prevent their regulatory approval or limit the commercial profile of an approved label. Additionally, certain regulatory authorities may require a demonstration that each component makes a contribution to the claimed effects in addition to demonstrating that the combination is safe and effective for the intended population.</w:t>
      </w:r>
    </w:p>
    <w:p>
      <w:pPr>
        <w:spacing w:after="0" w:line="6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Under the FDA’s combination rule, the FDA generally will not file or approve an NDA for a fixed-dose combination product unless each component of a proposed drug product is shown to make a contribution to the claimed effects and the dosage of each component (amount, frequency, duration) is safe and effective for the intended population. If the FDA or other comparable foreign regulatory authorities require us to conduct one or more clinical trials to support such a demonstration, such as a factorial study, the design, duration, and scope of such clinical trials will be decided upon after further discussions with those agencies and other comparable foreign regulatory authorities. As a result, we are unable to predict with certainty the estimated timing or scope of any future clinical trials of AP03 we may be required to conduct to satisfy these requirements governing fixed dose combination products in various jurisdictions.</w:t>
      </w:r>
    </w:p>
    <w:p>
      <w:pPr>
        <w:spacing w:after="0" w:line="14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development of AP03 as a combination of pirfenidone and nintedanib in an inhaled formulation may subject us to risks that we would not face if AP03 was being developed as a monotherapy. For example, combining pirfenidone and nintedanib with each other in oral formulation has not been feasible due to their additive side effect profiles. Combination of the two molecules in an inhaled formulation may result in adverse side effects or toxicities that pirfenidone and nintedanib do not produce when used alone (orally or in an inhaled formulation). In addition, pirfenidone and nintedanib may interact with each other in undesirable ways that could negatively impact the efficacy of AP03. Testing products in combination with each other may increase the risk of significant adverse effects or failed clinical trials.</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7" w:name="page38"/>
    <w:bookmarkEnd w:id="3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If the FDA does not conclude that certain of our product candidates satisfy the requirements for the Section 505(b)(2) regulatory approval pathway, or if the requirements for such product candidates under Section 505(b)</w:t>
      </w:r>
    </w:p>
    <w:p>
      <w:pPr>
        <w:jc w:val="both"/>
        <w:ind w:left="1220" w:right="1239" w:firstLine="4"/>
        <w:spacing w:after="0" w:line="256" w:lineRule="auto"/>
        <w:tabs>
          <w:tab w:leader="none" w:pos="1428" w:val="left"/>
        </w:tabs>
        <w:numPr>
          <w:ilvl w:val="0"/>
          <w:numId w:val="31"/>
        </w:numPr>
        <w:rPr>
          <w:rFonts w:ascii="Times New Roman" w:cs="Times New Roman" w:eastAsia="Times New Roman" w:hAnsi="Times New Roman"/>
          <w:sz w:val="14"/>
          <w:szCs w:val="14"/>
          <w:b w:val="1"/>
          <w:bCs w:val="1"/>
          <w:i w:val="1"/>
          <w:iCs w:val="1"/>
          <w:color w:val="auto"/>
        </w:rPr>
      </w:pPr>
      <w:r>
        <w:rPr>
          <w:rFonts w:ascii="Times New Roman" w:cs="Times New Roman" w:eastAsia="Times New Roman" w:hAnsi="Times New Roman"/>
          <w:sz w:val="14"/>
          <w:szCs w:val="14"/>
          <w:b w:val="1"/>
          <w:bCs w:val="1"/>
          <w:i w:val="1"/>
          <w:iCs w:val="1"/>
          <w:color w:val="auto"/>
        </w:rPr>
        <w:t>are not as we expect, the approval pathway for those product candidates will likely take significantly longer, cost significantly more, and entail significantly greater complications and risks than currently anticipated, and in either case may not be successful.</w:t>
      </w:r>
    </w:p>
    <w:p>
      <w:pPr>
        <w:spacing w:after="0" w:line="143"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We plan to seek FDA approval through the Section 505(b)(2) regulatory pathway for certain of our product candidates. The Drug Price Competition and Patent Term Restoration Act of 1984, also known as the Hatch-Waxman Act, added Section 505(b)(2) to the FDCA. Section 505(b)(2) permits the filing of an NDA where at least some of the information required for approval comes from studies that were not conducted by or for the applicant and for which the applicant has not obtained a right of reference. Section 505(b)(2), if applicable to us under the FDCA, would allow an NDA we submit to the FDA for our product candidates to rely in part on data in the public domain or the FDA’s prior conclusions regarding the safety and effectiveness of approved compounds, which could expedite the development program for our product candidates by potentially decreasing the amount of clinical data that we would need to generate in order to obtain FDA approval. We intend to rely on the Section 505(b)(2) pathway and FDA’s prior determination of safety and efficacy for pirfenidone and nintedanib. If the FDA does not allow us to pursue the Section 505(b)(2) regulatory pathway as anticipated, or if we are unable to successfully bridge our product candidates to approved pirfenidone and nintedanib products, we may need to conduct additional clinical trials, provide additional data and information, and meet additional standards for regulatory approval. If this were to occur, the time and financial resources required to obtain FDA approval for these product candidates, and complications and risks associated with these product candidates, would likely substantially increase. We could need to obtain more additional funding, which could result in significant dilution to the ownership interests of our then existing stockholders to the extent we issue equity securities or convertible debt. We cannot assure you that we would be able to obtain such additional financing on terms acceptable to us, if at all. Moreover, inability to pursue the Section 505(b)(2) regulatory pathway would likely result in new competitive products reaching the market more quickly than our product candidates, which would likely adversely impact our competitive position and prospects. Even if we are allowed to pursue the Section 505(b)(2) regulatory pathway, we cannot assure you that our product candidates will receive the requisite approvals for commercialization.</w:t>
      </w:r>
    </w:p>
    <w:p>
      <w:pPr>
        <w:spacing w:after="0" w:line="150"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In addition, notwithstanding the approval of a number of products by the FDA under Section 505(b)(2) over the last few years, certain brand-name pharmaceutical companies and others have objected to the FDA’s interpretation of Section 505(b)(2). If the FDA’s interpretation of Section 505(b)(2) is successfully challenged, the FDA may change its Section 505(b)(2) policies and practices, which could delay or even prevent the FDA from approving any NDA that we submit under Section 505(b)(2). The pharmaceutical industry is highly competitive, and Section 505(b)(2) NDAs are subject to special requirements designed to protect the patent rights of sponsors of previously approved drugs that are referenced in a Section 505(b)(2) NDA. These requirements may give rise to patent litigation and mandatory delays in approval of our NDAs for up to 30 months or longer depending on the outcome of any litigation. It is not uncommon for a manufacturer of an approved product to file a citizen petition with the FDA seeking to delay approval of, or impose additional approval requirements for, pending competing products. If successful, such petitions can significantly delay, or even prevent, the approval of the new product. However, even if the FDA ultimately denies such a petition, the FDA may substantially delay approval while it considers and responds to the petition. In addition, even if we are able to utilize the Section 505(b)(2) regulatory pathway, there is no guarantee this would ultimately lead to faster product development or earlier approval. Moreover, even if our product candidates are approved under Section 505(b)(2), the approval may be subject to limitations on the indicated uses for which the products may be marketed or to other conditions of approval, or may contain requirements for costly post-marketing testing and surveillance to monitor the safety or efficacy of the products.</w:t>
      </w:r>
    </w:p>
    <w:p>
      <w:pPr>
        <w:spacing w:after="0" w:line="2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Our Dependence on Third Parties</w:t>
      </w:r>
    </w:p>
    <w:p>
      <w:pPr>
        <w:spacing w:after="0" w:line="91"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4"/>
          <w:szCs w:val="14"/>
          <w:b w:val="1"/>
          <w:bCs w:val="1"/>
          <w:i w:val="1"/>
          <w:iCs w:val="1"/>
          <w:color w:val="auto"/>
        </w:rPr>
        <w:t>We are dependent on licensed intellectual property rights pursuant to the PARI Agreement relating to the PARI eFlow</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Technology and eRapid</w:t>
      </w:r>
      <w:r>
        <w:rPr>
          <w:rFonts w:ascii="Times New Roman" w:cs="Times New Roman" w:eastAsia="Times New Roman" w:hAnsi="Times New Roman"/>
          <w:sz w:val="18"/>
          <w:szCs w:val="18"/>
          <w:b w:val="1"/>
          <w:bCs w:val="1"/>
          <w:i w:val="1"/>
          <w:iCs w:val="1"/>
          <w:color w:val="auto"/>
          <w:vertAlign w:val="superscript"/>
        </w:rPr>
        <w:t>®</w:t>
      </w:r>
      <w:r>
        <w:rPr>
          <w:rFonts w:ascii="Times New Roman" w:cs="Times New Roman" w:eastAsia="Times New Roman" w:hAnsi="Times New Roman"/>
          <w:sz w:val="14"/>
          <w:szCs w:val="14"/>
          <w:b w:val="1"/>
          <w:bCs w:val="1"/>
          <w:i w:val="1"/>
          <w:iCs w:val="1"/>
          <w:color w:val="auto"/>
        </w:rPr>
        <w:t xml:space="preserve"> Nebulizer System and we may in the future enter into additional intellectual property licensing agreements on which we could similarly become dependent. If we were to lose our rights to licensed intellectual property, we may not be able to continue developing or commercializing our product candidates, if approved, on the intended timeline. If we breach the PARI Agreement or any other future agreements</w:t>
      </w: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8" w:name="page39"/>
    <w:bookmarkEnd w:id="3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in which we license the use, development and commercialization rights to our product candidates from third parties or, in certain cases, we fail to meet certain deadlines, we could lose license rights that are important to our business.</w:t>
      </w:r>
    </w:p>
    <w:p>
      <w:pPr>
        <w:spacing w:after="0" w:line="51" w:lineRule="exact"/>
        <w:rPr>
          <w:sz w:val="20"/>
          <w:szCs w:val="20"/>
          <w:color w:val="auto"/>
        </w:rPr>
      </w:pPr>
    </w:p>
    <w:p>
      <w:pPr>
        <w:jc w:val="both"/>
        <w:ind w:left="1220" w:right="1239" w:firstLine="333"/>
        <w:spacing w:after="0" w:line="248" w:lineRule="auto"/>
        <w:rPr>
          <w:sz w:val="20"/>
          <w:szCs w:val="20"/>
          <w:color w:val="auto"/>
        </w:rPr>
      </w:pPr>
      <w:r>
        <w:rPr>
          <w:rFonts w:ascii="Times New Roman" w:cs="Times New Roman" w:eastAsia="Times New Roman" w:hAnsi="Times New Roman"/>
          <w:sz w:val="14"/>
          <w:szCs w:val="14"/>
          <w:color w:val="auto"/>
        </w:rPr>
        <w:t>We are a party to the PARI License Agreement under which we are granted rights to intellectual property that are important to our business and we may enter into additional license agreements in the future with PARI or other third parties. Pursuant to the PARI License Agreement, we have secured an exclusive license to develop and commercialize our inhaled candidates with PARI’s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and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The PARI License Agreement imposes, and we expect that future license agreements will impose on us, various development, regulatory and/or commercial diligence obligations, payment of milestones and/or royalties and other obligations. If we fail to comply with our obligations under such agreements, or we are subject to a bankruptcy, the licensor may have the right to terminate the license, in which event we would not be able to market products covered by the license.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See “</w:t>
      </w:r>
      <w:r>
        <w:rPr>
          <w:rFonts w:ascii="Times New Roman" w:cs="Times New Roman" w:eastAsia="Times New Roman" w:hAnsi="Times New Roman"/>
          <w:sz w:val="14"/>
          <w:szCs w:val="14"/>
          <w:i w:val="1"/>
          <w:iCs w:val="1"/>
          <w:color w:val="auto"/>
        </w:rPr>
        <w:t>Business—Material Agreements</w:t>
      </w:r>
      <w:r>
        <w:rPr>
          <w:rFonts w:ascii="Times New Roman" w:cs="Times New Roman" w:eastAsia="Times New Roman" w:hAnsi="Times New Roman"/>
          <w:sz w:val="14"/>
          <w:szCs w:val="14"/>
          <w:color w:val="auto"/>
        </w:rPr>
        <w:t>” for additional information on the PARI License Agreement.</w:t>
      </w:r>
    </w:p>
    <w:p>
      <w:pPr>
        <w:spacing w:after="0" w:line="15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may need to obtain licenses from third parties to advance our research or allow commercialization of our product candidates, and we cannot provide any assurances that third-party patents do not exist that might be enforced against our current product candidates or future products in the absence of such a license. We may fail to obtain any of these licenses on commercially reasonable terms, if at all. Even if we are able to obtain a license, it may be non-exclusive, thereby giving our competitors access to the same intellectual property licensed to us. In that event, we may be required to expend significant time and resources to develop or license replacement intellectual property.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4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some circumstances, we may not have the right to control the maintenance, prosecution, preparation, filing, enforcement, defense or litigation of patents and patent applications that we license from or license to third parties and may be reliant on our licensors or licensees to do so. We thus cannot be certain that activities such as patent maintenance and prosecution by our licensors have been or will be conducted consistent with our best interests or in compliance with applicable laws and regulations, or will result in valid and enforceable patents and other intellectual property rights. It is possible that our licensors’ infringement proceedings or defense activities may be less vigorous than had we conducted them ourselves or may not be conducted in accordance with our best interests. If our licensors fail to maintain such patents or patent applications, or lose rights to those patents or patent applications, the rights we have licensed may be reduced or eliminated, and our right to develop and commercialize any product candidates that are the subject of such licensed rights and our right to exclude third parties from commercializing competing products could be adversely affected.</w:t>
      </w:r>
    </w:p>
    <w:p>
      <w:pPr>
        <w:spacing w:after="0" w:line="144"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Disputes may arise between us and our licensors regarding intellectual property subject to a license agreement, including:</w:t>
      </w:r>
    </w:p>
    <w:p>
      <w:pPr>
        <w:spacing w:after="0" w:line="41" w:lineRule="exact"/>
        <w:rPr>
          <w:sz w:val="20"/>
          <w:szCs w:val="20"/>
          <w:color w:val="auto"/>
        </w:rPr>
      </w:pPr>
    </w:p>
    <w:p>
      <w:pPr>
        <w:ind w:left="1880" w:hanging="323"/>
        <w:spacing w:after="0"/>
        <w:tabs>
          <w:tab w:leader="none" w:pos="18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rights granted under the license agreement and other interpretation-related issues;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the extent to which our product candidates and processes infringe on intellectual property of the licensor that is not subject to the licensing agreement;</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to sublicense patent and other rights to third parties under collaborative development relationships;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diligence obligations with respect to the use of the licensed intellectual property in relation to our development and commercialization of our product candidates, and what activities satisfy those diligence obligations;</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or other obligations under the licensing agreement;</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39" w:name="page40"/>
    <w:bookmarkEnd w:id="3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ownership of inventions and know-how resulting from the joint creation or use of intellectual property by our licensors and us and our partners;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priority of invention of patented technology.</w:t>
      </w:r>
    </w:p>
    <w:p>
      <w:pPr>
        <w:spacing w:after="0" w:line="17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If disputes over intellectual property that we have licensed prevent or impair our ability to maintain our current licensing arrangements on acceptable terms, we may be unable to successfully develop and commercialize the affected product candidates. In addition, we may seek to obtain additional licenses from our licensors and, in connection with obtaining such licenses, we may agree to amend our existing licenses in a manner that may be more favorable to the licensors, including by agreeing to terms that could enable third parties, including our competitors, to receive licenses to a portion of the intellectual property that is subject to our existing licenses and to compete with our product candidates.</w:t>
      </w:r>
    </w:p>
    <w:p>
      <w:pPr>
        <w:spacing w:after="0" w:line="14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Furthermore, if our licenses are terminated, or if the underlying patents fail to provide the intended exclusivity, competitors or other third parties would have the freedom to seek regulatory approval of, and to market, products identical or competitive to ours and we may be required to cease our development and commercialization of certain of our product candidates. Moreover, if disputes over intellectual property that we license prevent or impair our ability to maintain other licensing arrangements on commercially acceptable terms, we may be unable to successfully develop and commercialize the affected product candidates. In addition, certain of these license agreements, may not be assignable by us without the consent of the respective licensor, which may have an adverse effect on our ability to engage in certain transactions.</w:t>
      </w:r>
    </w:p>
    <w:p>
      <w:pPr>
        <w:spacing w:after="0" w:line="14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PARI License Agreement is, and future license agreements that we enter into are likely to be,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w:t>
      </w:r>
    </w:p>
    <w:p>
      <w:pPr>
        <w:spacing w:after="0" w:line="225"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currently rely on, and in the future intend to rely on, third parties to conduct a significant portion of our clinical trials and potential future clinical trials for product candidates, and those third parties may not perform satisfactorily, including failing to meet deadlines for the completion of such trials.</w:t>
      </w:r>
    </w:p>
    <w:p>
      <w:pPr>
        <w:spacing w:after="0" w:line="5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currently engage CROs and other vendors to conduct our ongoing clinical trials, including our ongoing Phase 2 clinical trials of AP01 and AP02, and similarly expect to engage CROs and other vendors for future clinical trials for these and other product candidates that we may progress to clinical development. We expect to continue to rely on third parties, including but not limited to clinical data management organizations, healthcare institutions operating as clinical sites and clinical investigators, to conduct those clinical trials. Any of these third parties may terminate their engagements with us, some in the event of an uncured material breach and some at any time for convenience. If any of our relationships with these third parties terminate, we may not be able to timely enter into arrangements with alternative third parties or to do so on commercially reasonable terms, if at all. Switching or adding CROs or other vendors involves substantial cost and requires management time and focus. In addition, there is a natural transition period when a new CRO or vendor commences work. As a result, delays may occur, which can materially impact our ability to meet our desired clinical development timelines. We may encounter challenges or delays in our CRO/vendor relationships in the future which may cause a material adverse impact on our business, financial condition and prospects.</w:t>
      </w:r>
    </w:p>
    <w:p>
      <w:pPr>
        <w:spacing w:after="0" w:line="14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addition, any third parties conducting our clinical trials will not be our employees, and, except for including contractual obligations and remedies for breach of such obligations in our agreements with such third parties, we cannot control whether or not they devote sufficient time and resources to our clinical programs.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successfully commercialize our product</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0" w:name="page41"/>
    <w:bookmarkEnd w:id="4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8" w:lineRule="auto"/>
        <w:rPr>
          <w:sz w:val="20"/>
          <w:szCs w:val="20"/>
          <w:color w:val="auto"/>
        </w:rPr>
      </w:pPr>
      <w:r>
        <w:rPr>
          <w:rFonts w:ascii="Times New Roman" w:cs="Times New Roman" w:eastAsia="Times New Roman" w:hAnsi="Times New Roman"/>
          <w:sz w:val="14"/>
          <w:szCs w:val="14"/>
          <w:color w:val="auto"/>
        </w:rPr>
        <w:t>candidates. Consequently, our results of operations and the commercial prospects for our product candidates would be harmed, our costs could increase substantially and our ability to generate revenue could be delayed significantly. In addition, many of the third parties with whom we contract may also have relationships with other commercial entities, including our competitors, for whom they may also be conducting clinical trials or other development activities that could harm our competitive position.</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rely on these parties for execution of our preclinical studies and clinical trials, and generally do not directly control their businesses or related activities. Our reliance on these third parties for research and development activities will reduce our control over these activities but will not relieve us of our responsibilities. For example, we will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and accurate and that the rights, integrity and confidentiality of trial participants are protected. We also are required to register certain ongoing clinical trials and post the results of completed clinical trials on a government-sponsored database, ClinicalTrials.gov, within specified timeframes. Failure to do so can result in fines, adverse publicity and civil and criminal sanctions. If we or any of our CROs or other third parties, including trial sites, fail to comply with applicable GCPs, the clinical data generated in our clinical trials may be deemed unreliable and the FDA or comparable foreign regulatory authorities may require us to perform additional clinical trials before approving our marketing applications. Further, upon inspection by a given regulatory authority, such regulatory authority may not agree with our determination that any of our clinical trials complies with GCP requirements. In addition, our clinical trials must be conducted with product produced under cGMP conditions. Our failure to comply with these requirements may require us to repeat clinical trials, which would delay the regulatory approval process.</w:t>
      </w:r>
    </w:p>
    <w:p>
      <w:pPr>
        <w:spacing w:after="0" w:line="15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also expect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revenue.</w:t>
      </w:r>
    </w:p>
    <w:p>
      <w:pPr>
        <w:spacing w:after="0" w:line="223"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contract with third parties for the manufacture of our product candidates for clinical drug and device supply and expect to continue to do so for commercialization, if our product candidates are approved. This reliance on third parties increases the risk that we will not have sufficient quantities of our product candidates or such quantities at an acceptable cost or quality, which could delay, prevent or impair our development or commercialization efforts.</w:t>
      </w:r>
    </w:p>
    <w:p>
      <w:pPr>
        <w:spacing w:after="0" w:line="58"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do not have any cGMP manufacturing facilities and have no plans to develop our own clinical or commercial-scale manufacturing capabilities. We currently rely, and expect to continue to rely, on contract development and manufacturing organizations, or CDMOs, for the cGMP manufacture of our product candidates and related raw materials for clinical development. In addition, we expect to rely on CDMOs for the commercial supply of any products for which we receive marketing approval. This reliance increases the risk that we will not have sufficient quantities of our product candidates or products, if approved, or such quantities at an acceptable cost or quality, which could delay, prevent or impair our development or commercialization efforts. For example, any of these third parties may terminate their engagements with us at any time or may face production shortages or other supply interruptions or otherwise be unable to secure the requisite raw materials to support our planned clinical activities. In addition, the availability of CDMOs to manufacture our product candidates/drugs may depend in part on the CDMOs’ schedules for manufacturing other companies’ products or product candidates. If we need to modify our development plans or enter into alternative arrangements, which may not be readily available or available on acceptable terms, it could delay our product development activities and increase our expenses.</w:t>
      </w:r>
    </w:p>
    <w:p>
      <w:pPr>
        <w:spacing w:after="0" w:line="14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reliance on CDMOs for manufacturing activities will reduce our control over these activities, but will not relieve us of our responsibility to ensure compliance with all required regulations. In particular, we do not have control over a supplier’s or manufacturer’s compliance with laws, regulations and applicable cGMP standards or similar regulatory requirements and other laws and regulations, such as those related to environmental health and safety matters. If our CDMOs cannot successfully manufacture material that conforms to our specifications and the strict regulatory requirements of the FDA or comparable foreign regulatory authorities, we may be unable to obtain</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1" w:name="page42"/>
    <w:bookmarkEnd w:id="4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regulatory approval of our potential future marketing applications. In addition, although we conduct routine qualification audits and have quality agreements in place with our CDMOs, we have no direct operational control over their ability to maintain adequate quality control, quality assurance and qualified personnel. Our CDMOs may face manufacturing or quality control problems causing production and shipment delays, or CDMOs may fail to maintain compliance with the applicable cGMP requirements. The facilities used by our CDMOs are subject to continual review and periodic inspections by the FDA and comparable foreign regulatory authorities. If the FDA or a comparable foreign regulatory authority finds deficiencies with or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 candidates or drugs, operating restrictions and criminal prosecutions, any of which could significantly and adversely affect supply of our products.</w:t>
      </w:r>
    </w:p>
    <w:p>
      <w:pPr>
        <w:spacing w:after="0" w:line="14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Our use of foreign CROs and CDMOs in some jurisdictions may be or may become subject to U.S. legislation, including sanctions, trade restrictions and other regulatory requirements, which may increase the cost of and cause delays in the procurement or supply of materials for, or manufacture of, our product candidates or have an adverse effect on our ability to secure significant commitments from governments to purchase its potential therapies.</w:t>
      </w:r>
    </w:p>
    <w:p>
      <w:pPr>
        <w:spacing w:after="0" w:line="141"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Moreover, we rely on sole suppliers for certain steps in the manufacturing supply chain of pirfenidone and nintedanib. If these sole suppliers are unable to supply to us in the quantities we require, or at all, or otherwise defaults on their supply obligations to us, we may not be able to obtain alternative supplies from other suppliers on acceptable terms, in a timely manner, or at all. We also do not have long-term supply agreements with any of our suppliers. Our current contracts with certain suppliers may be canceled or not extended by such suppliers and, therefore, do not afford us with protection against a reduction or interruption in supplies. Moreover, in the event any of these suppliers breach their contracts with us, our legal remedies associated with such a breach may be insufficient to compensate us for any damages we may suffer.</w:t>
      </w:r>
    </w:p>
    <w:p>
      <w:pPr>
        <w:spacing w:after="0" w:line="14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Any performance failure on the part of our existing or future manufacturers could delay clinical development or marketing approval. If our current CDMOs cannot perform as agreed, we may be required to replace such manufacturers. We may incur added costs and delays in identifying and qualifying any such replacement. In addition, our current and anticipated dependence upon others for the manufacture of our product candidates may adversely affect our future profit margins and our ability to commercialize any products that receive marketing approval on a timely and competitive basis.</w:t>
      </w:r>
    </w:p>
    <w:p>
      <w:pPr>
        <w:spacing w:after="0" w:line="225"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may seek to establish collaborations, license agreements and other similar arrangements with third parties for the development or commercialization of our product candidates. If we are not able to establish them on commercially reasonable terms, or if those arrangements are not successful, we may have to alter our development and commercialization plans.</w:t>
      </w:r>
    </w:p>
    <w:p>
      <w:pPr>
        <w:spacing w:after="0" w:line="5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development and potential commercialization of our product candidates will require substantial additional funding. For some of our product candidates, we may seek to collaborate with other pharmaceutical and biotechnology companies for the development and potential commercialization of our product candidates, including for the commercialization of any of our product candidates that are approved for marketing outside the U.S. If we enter into any such additional arrangements with any third parties, we will likely have limited control over the amount and timing of resources that our future collaborators dedicate to the development or commercialization of our product candidates. Collaboration agreements may not lead to development or commercialization of product candidates in the most efficient manner or at all. If any future collaborator of ours is involved in a business combination, it could decide to delay, diminish or terminate the development or commercialization of any product candidate licensed to it by us.</w:t>
      </w:r>
    </w:p>
    <w:p>
      <w:pPr>
        <w:spacing w:after="0" w:line="14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face significant competition in seeking appropriate collaborators, and the negotiation process is time-consuming and complex. Whether we reach a definitive agreement for any collaboration will depend, among other things, upon our assessment of the collaborator’s resources and expertise, the terms and conditions of the proposed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2" w:name="page43"/>
    <w:bookmarkEnd w:id="4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collaboration and the proposed collaborator’s evaluation of a number of factors. Those factors may include the potential differentiation of our product candidate from competing product candidates, the design or results of clinical trials, the likelihood of approval by the FDA or comparable foreign regulatory authorities outside the U.S., the potential market for the subject product candidate, the costs and complexities of manufacturing and delivering such product candidate to patients, and industry and market conditions generally. The collaborator may also consider alternative product candidates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Collaborations involving our product candidates would pose the following risks to us:</w:t>
      </w:r>
    </w:p>
    <w:p>
      <w:pPr>
        <w:spacing w:after="0" w:line="91" w:lineRule="exact"/>
        <w:rPr>
          <w:sz w:val="20"/>
          <w:szCs w:val="20"/>
          <w:color w:val="auto"/>
        </w:rPr>
      </w:pPr>
    </w:p>
    <w:p>
      <w:pPr>
        <w:ind w:left="1880" w:right="1239" w:hanging="323"/>
        <w:spacing w:after="0" w:line="283"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have significant discretion in determining the efforts and resources that they will apply to these collaborations;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perform their obligations as expected, or at all;</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collaborator with marketing and distribution rights to one or more of our product candidates that achieve regulatory approval may not commit sufficient resources to the marketing and distribution of such products;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collaborators may infringe the intellectual property rights of third parties, which may expose us to litigation and potential liability;</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collaborations may be terminated, including for the convenience of the collaborator and, if terminated, we could be required to raise additional capital to pursue further development or commercialization of the applicable product candidates; and</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required to invest resources and attention into such collaboration, which could distract from other business objectives.</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may not be able to negotiate future collaborations on a timely basis, on acceptable terms, or at all. If we are unable to do so, we may have to curtail the development of any product candidate that we planned to collaborate on, reduce or delay its development program or one or more of our other development programs, delay its potential</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3" w:name="page44"/>
    <w:bookmarkEnd w:id="4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4"/>
          <w:szCs w:val="14"/>
          <w:color w:val="auto"/>
        </w:rPr>
        <w:t>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which could have a material adverse effect on our business, financial condition, results of operations and prospects.</w:t>
      </w:r>
    </w:p>
    <w:p>
      <w:pPr>
        <w:spacing w:after="0" w:line="14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In addition, any future collaborations that we enter into may not be successful. The success of our future collaboration arrangements will depend heavily on the efforts and activities of our future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If conflicts arise between any future collaborators and us, the other party may act in a manner adverse to us and could limit our ability to implement our strategies. For example, our future collaborators could conduct multiple product development efforts and could develop, either alone or with others, products in related fields that are competitive with the product candidates we may develop. In addition, collaborations with pharmaceutical or biotechnology companies and other third parties often are terminated or allowed to expire by the other party, and any such termination or expiration may adversely affect us financially or harm our business.</w:t>
      </w:r>
    </w:p>
    <w:p>
      <w:pPr>
        <w:spacing w:after="0" w:line="2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1"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obtain and maintain patent protection for any products we develop and for our technology, or if the scope of the patent protection obtained is not sufficiently broad, our competitors or other third parties could develop and commercialize products and technology similar or identical to ours, and our ability to commercialize any product candidates we may develop, and our technology may be adversely affected.</w:t>
      </w:r>
    </w:p>
    <w:p>
      <w:pPr>
        <w:spacing w:after="0" w:line="5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success depends in large part on our ability to obtain and maintain patent protection in the United States and other countries for our product candidates and their uses, as well as our ability to operate without infringing, misappropriating, or otherwise violating the proprietary rights of others. We seek to protect our proprietary position by filing patent applications in the United States and abroad related to our novel discoveries and technologies that are important to our business. Although we own issued patents, our pending and future patent applications, may not result in issued patents. Even if our owned or licensed patent applications result in issued patents, we cannot assure you that such issued patents will afford sufficient protection of our product candidates or their intended uses against competitors, nor can there be any assurance that the patents issued will not be infringed, designed around, or invalidated by third parties, or that they will effectively prevent others from commercializing competing technologies, products, or product candidates.</w:t>
      </w:r>
    </w:p>
    <w:p>
      <w:pPr>
        <w:spacing w:after="0" w:line="146"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Obtaining and enforcing patents is expensive, complex, and time-consuming, and we may not be able to file, prosecute, maintain, enforce, or license all necessary or desirable patent applications or maintain and/or enforce patents that may issue based on our owned or licensed patent applications at a reasonable cost or in a timely manner. We may not be able to obtain or maintain patent applications and patents due to the subject matter claimed in such patent applications and patents being in disclosures in the public domain. It is also possible that we will fail to identify patentable aspects of our research and development results before it is too late to obtain patent protection. Although we may have the right to have some input in connection with such activities, we may not have the right to control the preparation, filing, and prosecution of patent applications that are licensed to us by third parties, or to control prosecution and maintenance of patents that we out-license to third parties. For example, we do not control the prosecution or enforcement of certain intellectual property licensed from PARI. Therefore, patents and applications that are relevant to our product candidates may not be prosecuted and enforced in a manner consistent with the best interests of our business. Although we enter into non-disclosure and confidentiality agreements with parties who have access to confidential or patentable aspects of our research and development output, such as our employees, corporate collaborators, outside scientific collaborators, CROs, CMOs, consultants, advisors, and other third parties, any of these parties may breach these agreements and disclose such results before a patent application is filed, thereby jeopardizing</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4" w:name="page45"/>
    <w:bookmarkEnd w:id="4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our ability to seek patent protection. Consequently, we may not be able to prevent any third parties from using any of our technology that is in the public domain to compete with our technologies or product candidates.</w:t>
      </w:r>
    </w:p>
    <w:p>
      <w:pPr>
        <w:spacing w:after="0" w:line="125"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Composition of matter patents for pharmaceutical product candidates often provide a strong form of intellectual property protection for those types of products, as such patents provide protection without regard to any method of use. Similarly, patents for pharmaceutical formulations containing pharmaceutical product candidates may provide an additional form of intellectual property protection, as such patents provide protection without regard to any method of use. However, we cannot be certain that the claims in our pending patent applications directed to the pharmaceutical formulations of our product candidates will be considered patentable by the USPTO or by patent offices in foreign countries, or that such claims in any of our issued patents will be considered valid and enforceable by courts in the United States or foreign countries. In addition, we cannot be certain that the claims of such patents, and applications if granted, will be sufficiently broad to effectively prevent competitors from working around our claimed inventions by developing an alternative formulation and thereby competing with us without infringing our patent rights. Method of use patents protect the use of a product for the specified method or indication. In the absence of separate composition of matter protection, this type of patent does not prevent a competitor from making and marketing a product that is identical to our product candidates for an indication that is outside methods of use included in our owned or licensed patents. Moreover, even if competitor products are not approved for use in our patented indications, and our competitors do not actively promote their product for indications that are covered by our owned or licensed patents, clinicians may prescribe these competitor products “off-label.” Although off-label prescriptions may infringe or contribute to the infringement of method of use patents, such infringement is difficult to prevent or prosecute.</w:t>
      </w:r>
    </w:p>
    <w:p>
      <w:pPr>
        <w:spacing w:after="0" w:line="15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issued patents we own or license that cover our pharmaceutical product candidates may expire at such a date that such patents may not prevent competitors from developing, making and marketing a product that is identical to our product candidates after expiration of any applicable regulatory exclusivities.</w:t>
      </w:r>
    </w:p>
    <w:p>
      <w:pPr>
        <w:spacing w:after="0" w:line="13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patent position of biopharmaceutical companies generally is highly uncertain, involves complex legal and factual questions, and has in recent years been the subject of much litigation, resulting in court decisions, including Supreme Court decisions, which have increased uncertainties as to the ability to enforce patent rights in the future. As a result, the issuance, scope, validity, enforceability, and commercial value of any patent rights are highly uncertain. Our pending and future owned and in-licensed patent applications may not result in patents being issued that protect our technologies or product candidates, effectively prevent others from commercializing our technologies or product candidates or otherwise provide any competitive advantage. In fact, patent applications may not issue as patents at all. The coverage claimed in a patent application can also be significantly reduced before the patent is issued, and its scope can be reinterpreted after issuance. In addition, the laws of foreign countries may not protect our rights to the same extent as the laws of the United States, or vice versa.</w:t>
      </w:r>
    </w:p>
    <w:p>
      <w:pPr>
        <w:spacing w:after="0" w:line="146"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patent application process is subject to numerous risks and uncertainties, and there can be no assurance that we will be successful in protecting our product candidates by obtaining and defending patents. For example, we may not be aware of all third-party intellectual property rights potentially relating to our product candidates or their intended uses, and as a result the impact of such third-party intellectual property rights upon the patentability of our own patents and patent applications, as well as the impact of such third-party intellectual property upon our freedom to operate, is highly uncertain.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If a third party can establish that we were not the first to make or the first to file for patent protection of such inventions, our owned patent applications may not issue as patents and even if issued, may be challenged and invalidated or rendered unenforceable. As a result, the issuance, inventorship, scope, validity, enforceability, and commercial value of our patent rights are highly uncertain.</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5" w:name="page46"/>
    <w:bookmarkEnd w:id="4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 xml:space="preserve">The issuance of a patent is not conclusive as to its inventorship, scope, validity, or enforceability, and our owned or licensed patents and pending patent applications may be challenged in patent offices in the United States and abroad. Even issued patents may later be found invalid or unenforceable or may be modified or revoked in proceedings instituted by third parties before various patent offices or in courts. For example, our owned or licensed pending patent applications may be subject to third-party pre-issuance submissions of prior art to the USPTO, and our issued patents may be subject to post-grant review proceedings, oppositions, derivations, reexaminations, interferences,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proceedings, or other similar proceedings, in the United States or elsewhere, challenging our patent rights or the patent rights of others. Such submissions may also be made prior to a patent’s issuance, precluding the granting of a patent based on one or more of our owned pending patent applications. An adverse determination in any such challenges may result in loss of exclusivity or in patent claims being narrowed, invalidated, or held unenforceable, in whole or in part, which could limit our ability to stop others from using or commercializing similar or identical technology and product candidates, or limit the duration of the patent protection of our technology and product candidates. Such challenges also may result in substantial cost and require significant time from our scientists and management, even if the eventual outcome is favorable to us. Any of the foregoing could adversely affect our business, financial condition, results of operations, and prospects.</w:t>
      </w:r>
    </w:p>
    <w:p>
      <w:pPr>
        <w:spacing w:after="0" w:line="14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 third party may also claim that our owned patent rights are invalid or unenforceable in a litigation. The outcome following legal assertions of invalidity and unenforceability is unpredictable. An adverse result in any legal proceeding could put one or more of our owned patents at risk of being invalidated or interpreted narrowly and could allow third parties to commercialize our products and compete directly with us, without payment to us, or result in our inability to manufacture or commercialize our technology, products, or product candidates without infringing third-party patent rights.</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addition, given the amount of time required for the development, testing, and regulatory review of new product candidates, patents protecting such candidates might expire before or shortly after such candidates are commercialized. Further, if we encounter delays in our clinical trials, the period of time during which we could market our product candidates under patent protection would be reduced. The degree of future protection for our proprietary rights is uncertain. Only limited protection may be available and may not adequately protect our rights or permit us to gain or keep any competitive advantage. Any failure to obtain or maintain patent protection with respect to our product candidates or their uses could adversely affect our business, financial condition, results of operations, and prospects.</w:t>
      </w:r>
    </w:p>
    <w:p>
      <w:pPr>
        <w:spacing w:after="0" w:line="228"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our efforts to protect the proprietary nature of the intellectual property related to our technologies are not adequate, we may not be able to compete effectively in our market.</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rely upon a combination of patents, confidentiality agreements, and trade secret protection to protect the intellectual property related to our technologies. Any disclosure to or misappropriation by third parties of our confidential proprietary information could enable competitors to quickly duplicate or surpass our technological achievements, thus eroding our competitive position in our market. We, or any future partners, collaborators, licensors or licensees, may fail to identify patentable aspects of inventions made in the course of development and commercialization activities before it is too late to obtain patent protection on them. Therefore, we may miss potential opportunities to strengthen our patent position.</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It is possible that defects of form in the preparation or filing of our owned or licensed patents or patent applications may exist, or may arise in the future, for example with respect to proper priority claims, inventorship, claim scope, or requests for patent term adjustments. If we or our future partners, collaborators, licensees or licensors fail to establish, maintain or protect such patents and other intellectual property rights, such rights may be reduced or eliminated. If our future partners, collaborators, licensees or licensors are not fully cooperative or disagree with us as to the prosecution, maintenance or enforcement of any patent rights, such patent rights could be compromised. If there are material defects in the form, preparation, prosecution, or enforcement of our owned or licensed patents or patent applications, such patents may be invalid and/or unenforceable, and such applications may never result in valid, enforceable patents. Any of these outcomes could impair our ability to prevent competition from third parties, which may have an adverse impact on our business.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6" w:name="page47"/>
    <w:bookmarkEnd w:id="4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We anticipate additional patent applications will be filed both in the United States and in other countries, as appropriate. However, we cannot predict:</w:t>
      </w:r>
    </w:p>
    <w:p>
      <w:pPr>
        <w:spacing w:after="0" w:line="41" w:lineRule="exact"/>
        <w:rPr>
          <w:sz w:val="20"/>
          <w:szCs w:val="20"/>
          <w:color w:val="auto"/>
        </w:rPr>
      </w:pPr>
    </w:p>
    <w:p>
      <w:pPr>
        <w:ind w:left="1920" w:right="1239" w:hanging="353"/>
        <w:spacing w:after="0" w:line="283" w:lineRule="auto"/>
        <w:tabs>
          <w:tab w:leader="none" w:pos="1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additional patent applications covering new technologies related to our product candidates will be filed;</w:t>
      </w:r>
    </w:p>
    <w:p>
      <w:pPr>
        <w:spacing w:after="0" w:line="40" w:lineRule="exact"/>
        <w:rPr>
          <w:rFonts w:ascii="Times New Roman" w:cs="Times New Roman" w:eastAsia="Times New Roman" w:hAnsi="Times New Roman"/>
          <w:sz w:val="14"/>
          <w:szCs w:val="14"/>
          <w:color w:val="auto"/>
        </w:rPr>
      </w:pPr>
    </w:p>
    <w:p>
      <w:pPr>
        <w:ind w:left="1920" w:hanging="353"/>
        <w:spacing w:after="0"/>
        <w:tabs>
          <w:tab w:leader="none" w:pos="1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when patents will issue;</w:t>
      </w:r>
    </w:p>
    <w:p>
      <w:pPr>
        <w:spacing w:after="0" w:line="91" w:lineRule="exact"/>
        <w:rPr>
          <w:rFonts w:ascii="Times New Roman" w:cs="Times New Roman" w:eastAsia="Times New Roman" w:hAnsi="Times New Roman"/>
          <w:sz w:val="14"/>
          <w:szCs w:val="14"/>
          <w:color w:val="auto"/>
        </w:rPr>
      </w:pPr>
    </w:p>
    <w:p>
      <w:pPr>
        <w:jc w:val="both"/>
        <w:ind w:left="1920" w:right="1239" w:hanging="353"/>
        <w:spacing w:after="0" w:line="323" w:lineRule="auto"/>
        <w:tabs>
          <w:tab w:leader="none" w:pos="192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degree and range of protection any issued patents will afford us against competitors, including whether third parties will find ways to invalidate or otherwise circumvent our owned or licensed patents;</w:t>
      </w:r>
    </w:p>
    <w:p>
      <w:pPr>
        <w:spacing w:after="0" w:line="18" w:lineRule="exact"/>
        <w:rPr>
          <w:rFonts w:ascii="Times New Roman" w:cs="Times New Roman" w:eastAsia="Times New Roman" w:hAnsi="Times New Roman"/>
          <w:sz w:val="13"/>
          <w:szCs w:val="13"/>
          <w:color w:val="auto"/>
        </w:rPr>
      </w:pPr>
    </w:p>
    <w:p>
      <w:pPr>
        <w:ind w:left="1920" w:hanging="353"/>
        <w:spacing w:after="0"/>
        <w:tabs>
          <w:tab w:leader="none" w:pos="1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intellectual property will provide any competitive advantage;</w:t>
      </w:r>
    </w:p>
    <w:p>
      <w:pPr>
        <w:spacing w:after="0" w:line="91" w:lineRule="exact"/>
        <w:rPr>
          <w:rFonts w:ascii="Times New Roman" w:cs="Times New Roman" w:eastAsia="Times New Roman" w:hAnsi="Times New Roman"/>
          <w:sz w:val="14"/>
          <w:szCs w:val="14"/>
          <w:color w:val="auto"/>
        </w:rPr>
      </w:pPr>
    </w:p>
    <w:p>
      <w:pPr>
        <w:jc w:val="both"/>
        <w:ind w:left="1920" w:right="1239" w:hanging="353"/>
        <w:spacing w:after="0" w:line="267" w:lineRule="auto"/>
        <w:tabs>
          <w:tab w:leader="none" w:pos="1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any of our owned or licensed patents that may be issued may be challenged, invalidated, modified, revoked, circumvented, found to be unenforceable or otherwise may not provide any competitive advantage;</w:t>
      </w:r>
    </w:p>
    <w:p>
      <w:pPr>
        <w:spacing w:after="0" w:line="51" w:lineRule="exact"/>
        <w:rPr>
          <w:rFonts w:ascii="Times New Roman" w:cs="Times New Roman" w:eastAsia="Times New Roman" w:hAnsi="Times New Roman"/>
          <w:sz w:val="14"/>
          <w:szCs w:val="14"/>
          <w:color w:val="auto"/>
        </w:rPr>
      </w:pPr>
    </w:p>
    <w:p>
      <w:pPr>
        <w:ind w:left="1920" w:right="1239" w:hanging="353"/>
        <w:spacing w:after="0" w:line="283" w:lineRule="auto"/>
        <w:tabs>
          <w:tab w:leader="none" w:pos="1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others will obtain patents claiming aspects similar to those covered by our owned or licensed patents and patent applications; or</w:t>
      </w:r>
    </w:p>
    <w:p>
      <w:pPr>
        <w:spacing w:after="0" w:line="40" w:lineRule="exact"/>
        <w:rPr>
          <w:rFonts w:ascii="Times New Roman" w:cs="Times New Roman" w:eastAsia="Times New Roman" w:hAnsi="Times New Roman"/>
          <w:sz w:val="14"/>
          <w:szCs w:val="14"/>
          <w:color w:val="auto"/>
        </w:rPr>
      </w:pPr>
    </w:p>
    <w:p>
      <w:pPr>
        <w:ind w:left="1920" w:right="1239" w:hanging="353"/>
        <w:spacing w:after="0" w:line="283" w:lineRule="auto"/>
        <w:tabs>
          <w:tab w:leader="none" w:pos="192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we will need to initiate or defend litigation or administrative proceedings which may be costly regardless of whether we win or lose.</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Additionally, we cannot be certain that the claims in our pending and future patent applications covering our product candidates will be considered patentable by the USPTO, or by patent offices in foreign countries, or that the claims in any of our issued patents will be considered valid or patentable by courts in the United States or foreign countries.</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protect our intellectual property rights throughout the world.</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Patents are of national or regional effect. Filing, prosecuting, and defending patents on all of our research programs and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even in jurisdictions where we do pursue patent protection. Consequently, we may not be able to prevent third parties from practicing our inventions in all countries outside the United States, even in jurisdictions where we or our licensors do pursue patent protection, or from selling or importing products made using our inventions in and into the United States or other jurisdictions. In some cases, we or our licensors may not be able to obtain patent protection for certain technology outside the United States. Competitors may use our technologies in jurisdictions where we and our licensors have not obtained patent protection to develop their own products and, further, may export otherwise infringing products to territories where we have patent protection, but enforcement is not as strong as that in the United States. These competitor products may compete with our product candidates, and our owned or licensed patents or other intellectual property rights may not be effective or sufficient to prevent them from competing.</w:t>
      </w:r>
    </w:p>
    <w:p>
      <w:pPr>
        <w:spacing w:after="0" w:line="14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Various companies have encountered significant problems in protecting and defending intellectual property rights in foreign jurisdictions. The legal systems of many countries, particularly certain developing countries, do not favor the enforcement of patents and other intellectual property protection, particularly those relating to pharmaceuticals, which could make it difficult for us to stop the infringement of our owned or licensed patents or marketing of competing products in violation of our proprietary rights. Proceedings to enforce our or our licensors’ patent rights in foreign jurisdictions could result in substantial costs and divert our efforts and attention from other aspects of our business, could put our owned or licensed patents at risk of being invalidated or interpreted narrowly and our owned or licensed patent applications at risk of not issuing and could provoke third parties to assert claims against us. We or our licensors may not prevail in any lawsuits that we or our licensors initiate, and the damages or other remedies awarded, if any, may not be commercially meaningful.</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7" w:name="page48"/>
    <w:bookmarkEnd w:id="4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Various countries outside the United States have compulsory licensing laws under which a patent owner may be compelled to grant licenses to third parties. In addition, many countries limit the enforceability of patents against government agencies or government contractors. As a result, a patent owner may have limited remedies in certain circumstances,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Accordingly, our efforts to enforce our intellectual property rights around the world may be inadequate to obtain a significant commercial advantage from the intellectual property that we develop or license.</w:t>
      </w:r>
    </w:p>
    <w:p>
      <w:pPr>
        <w:spacing w:after="0" w:line="14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Further, the standards applied by the USPTO and foreign patent offices in granting patents are not always applied uniformly or predictably. As such, we do not know the degree of future protection that we will have on our technologies and product candidates. While we will endeavor to try to protect our technologies and product candidates with intellectual property rights such as patents, as appropriate, the process of obtaining patents is time consuming, expensive, and unpredictable.</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addition, geopolitical actions in the United States and in foreign countries could increase the uncertainties and costs surrounding the prosecution or maintenance of our owned or licensed patent applications or those of any future licensors and the maintenance, enforcement, or defense of our issued patents or those of any future licensors. As a result, our competitive position may be impaired, and our business, financial condition, results of operations, and prospects may be adversely affected.</w:t>
      </w:r>
    </w:p>
    <w:p>
      <w:pPr>
        <w:spacing w:after="0" w:line="226"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Third-party claims of intellectual property infringement, misappropriation, or other violation may prevent or delay our product discovery and development efforts.</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Our commercial success depends in part on our ability and the ability of our future collaborators to develop, manufacture, market, and sell our product candidates without infringing, misappropriating, or otherwise violating the intellectual property and proprietary rights of third parties. We may analyze patents or patent applications of our competitors that we believe are relevant to our activities, and consider that we are free to operate in relation to our product candidates, but our competitors may obtain issued claims, including in patents we consider to be unrelated to our products or activities, which block our efforts or may potentially result in our product candidates or our activities infringing such claims.</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There is a substantial amount of litigation involving the infringement of patents and other intellectual property rights in the biotechnology and pharmaceutical industries. We may be exposed to, or threatened with, future litigation by third parties having patent or other intellectual property rights and who allege that our product candidates, uses and/or other proprietary technologies infringe, misappropriate, or otherwise violate their intellectual property rights. Numerous U.S. and foreign issued patents and pending patent applications, which are owned by third parties, exist in the fields in which we are developing our product candidates. As the biotechnology and pharmaceutical industries expand and more patents are issued, the risk that our product candidates may give rise to claims of infringement of the patent rights of others increases. Moreover, it is not always clear to industry participants, including us, which patents exist which may be found to cover various types of drugs, products or their methods of use or manufacture. Moreover, we may face patent infringement claims from nonpracticing entities that have no relevant product revenue and against whom our owned or licensed patent portfolio may therefore have no deterrent effect. Thus, because of the large number of patents issued and patent applications currently pending in our fields, there may be a risk that third parties may allege they have patent rights which are infringed by our product candidates, technologies or methods.</w:t>
      </w:r>
    </w:p>
    <w:p>
      <w:pPr>
        <w:spacing w:after="0" w:line="14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If a third party alleges that we infringe, misappropriate, or otherwise violate its intellectual property rights, we may face a number of issues, including, but not limited to:</w:t>
      </w:r>
    </w:p>
    <w:p>
      <w:pPr>
        <w:spacing w:after="0" w:line="41" w:lineRule="exact"/>
        <w:rPr>
          <w:sz w:val="20"/>
          <w:szCs w:val="20"/>
          <w:color w:val="auto"/>
        </w:rPr>
      </w:pPr>
    </w:p>
    <w:p>
      <w:pPr>
        <w:jc w:val="both"/>
        <w:ind w:left="1880" w:right="1239" w:hanging="323"/>
        <w:spacing w:after="0" w:line="267" w:lineRule="auto"/>
        <w:tabs>
          <w:tab w:leader="none" w:pos="18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infringement and other intellectual property misappropriation which, regardless of merit, may be expensive and time-consuming to litigate and may divert our management’s attention from our core business;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8" w:name="page49"/>
    <w:bookmarkEnd w:id="4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hanging="323"/>
        <w:spacing w:after="0" w:line="261"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damages for infringement or misappropriation, which we may have to pay if a court decides that the product candidate or technology at issue infringes on or violates the third-party’s rights, and, if the court finds we have willfully infringed intellectual property rights, we could be ordered to pay treble damages and the patent owner’s attorneys’ fees;</w:t>
      </w:r>
    </w:p>
    <w:p>
      <w:pPr>
        <w:spacing w:after="0" w:line="56"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injunction prohibiting us from manufacturing, marketing or selling our product candidates, or from using our proprietary technologies, unless the third party agrees to license its patent rights to us;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83"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even if a license is available from a third party, we may have to pay substantial royalties, upfront fees and other amounts, and/or grant cross-licenses to intellectual property rights protecting our products; and</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be forced to try to redesign our product candidates or processes so they do not infringe third-party intellectual property rights, an undertaking which may not be possible or which may require substantial monetary expenditures and time.</w:t>
      </w:r>
    </w:p>
    <w:p>
      <w:pPr>
        <w:spacing w:after="0" w:line="13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4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Third parties may assert that we are employing their proprietary technology without authorization. Generally, conducting preclinical and clinical trials and other development activities in the United States is not considered an act of infringement. If a product candidate is approved by the FDA, a third party may then seek to enforce its patent by filing a patent infringement lawsuit against us. There may be issued third-party patents of which we are currently unaware with claims to compositions, formulations, methods of manufacture or methods for treatment related to the use or manufacture of our product candidates. There may be currently pending patent applications which may later result in issued patents that may be infringed by our product candidates. Moreover, we may fail to identify relevant patents or incorrectly conclude that a patent is invalid, not enforceable, exhausted, or not infringed by our activities.</w:t>
      </w:r>
    </w:p>
    <w:p>
      <w:pPr>
        <w:spacing w:after="0" w:line="14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Patent and other types of intellectual property litigation can involve complex factual and legal questions, and their outcome is uncertain. Even if we believe such claims are without merit, a court of competent jurisdiction could hold that third-party patents are valid, enforceable, and infringed, which could adversely affect our ability to commercialize our product candidates. In order to successfully challenge the validity of any such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or find that our product candidates or technology did not infringe any such claims.</w:t>
      </w:r>
    </w:p>
    <w:p>
      <w:pPr>
        <w:spacing w:after="0" w:line="145"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Parties making claims against us may seek and obtain injunctive or other equitable relief, which could effectively block our ability to further develop and commercialize our product candidates. Defense of these claims, regardless of their merit, could involve substantial litigation expense and would be a substantial diversion of employee resources from our business. There could also be public announcements of the results of hearings, motions, or other interim proceedings or developments. If securities analysts or investors perceive these results to be negative, it could adversely affect the price of shares of our common stock.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 require substantial time and monetary expenditure. We cannot predict whether any such license would be available at all or whether it would be available on commercially reasonable terms. Furthermore, even in the absence of litigation, we may need or may choose to obtain licenses from third parties to advance our research or allow commercialization of our product candidates. Even if we were able to obtain a license, it could be nonexclusive, thereby giving our competitors and other third parties access to the same technologies licensed to us, and it could require us to make substantial licensing and royalty payments. We may fail to obtain any of these licenses at a reasonable cost or on reasonable terms, if at all. In that event, we would be unable to further develop and commercialize our product candidates, which could harm our business significantly.</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49" w:name="page50"/>
    <w:bookmarkEnd w:id="4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 involved in lawsuits to protect or enforce our owned or licensed patents or other intellectual property, which could be expensive, time-consuming and unsuccessful.</w:t>
      </w:r>
    </w:p>
    <w:p>
      <w:pPr>
        <w:spacing w:after="0" w:line="39"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Competitors or other third parties may infringe, misappropriate, or violate our owned or licensed patents, trademarks, or other intellectual property. To counter infringement, misappropriation, or unauthorized use, we may be required to file infringement claims, which can be expensive and time consuming and divert the time and attention of our management and scientific personnel. Our pending patent applications cannot be enforced against third parties practicing the technology claimed in such applications unless and until a patent issues from such applications. Any claims we assert against perceived infringers could provoke these parties to assert counterclaims against us alleging that we infringe their patents, in addition to counterclaims asserting that our owned or licensed patents are invalid or unenforceable, or both. In patent litigation in the United States, defendant counterclaims alleging invalidity and/or unenforceability are commonplace. Grounds for a validity challenge could be an alleged failure to meet any of several statutory requirements, including lack of novelty, obviousness, non-enablement, insufficient written description, or failure to claim patent-eligible subject matter.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patent infringement proceeding, there is a risk that a court will decide that a patent of ours is invalid or unenforceable, in whole or in part, and that we do not have the right to stop the other party from using the invention at issue. There is also a risk that, even if the validity of such patents is upheld, the court will construe the patent’s claims narrowly or decide that we do not have the right to stop the other party from using the invention at issue on the grounds that our patent claims do not cover the invention, or decide that the other party’s use of our patented technology falls under the safe harbor to patent infringement under 35 U.S.C. §271(e)(1). An adverse outcome in a litigation or proceeding involving our patents could limit our ability to assert our patents against those parties or other competitors and may curtail or preclude our ability to exclude third parties from making and selling similar or competing products. Any of these occurrences could adversely affect our competitive position, and our business, financial condition, results of operations, and prospects. Similarly, if we assert trademark infringement claims, a court may determine that the marks we have asserted are invalid or unenforceable, or that the party against whom we have asserted trademark infringement has superior rights to the marks in question. In this case, we could ultimately be forced to cease use of such trademarks.</w:t>
      </w:r>
    </w:p>
    <w:p>
      <w:pPr>
        <w:spacing w:after="0" w:line="14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Even if we establish infringement, misappropriation, or violation, the court may decide not to grant an injunction against further infringing activity and instead award only monetary damages, which may or may not be an adequate remedy. Furthermore, 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hearings, motions, or other interim proceedings or developments. If securities analysts or investors perceive these results to be negative, it could adversely affect the price of shares of our common stock. Moreover, we cannot assure you that we will have sufficient financial or other resources to file and pursue such infringement, misappropriation, or violation claims, which typically last for years before they are concluded. Even if we ultimately prevail in such claims, the monetary cost of such litigation and the diversion of the attention of our management and scientific personnel could outweigh any benefit we receive as a result of the proceedings.</w:t>
      </w:r>
    </w:p>
    <w:p>
      <w:pPr>
        <w:spacing w:after="0" w:line="226"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file a Section 505(b)(2) application that references a product marketed by another manufacturer, we may be subject to a patent infringement suit and the approval of our product may be delayed.</w:t>
      </w:r>
    </w:p>
    <w:p>
      <w:pPr>
        <w:spacing w:after="0" w:line="12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If we file a Section 505(b)(2) application that relies in whole or in part on studies conducted by a third-party, we will be required to certify to the FDA that either: (1) there is no patent information listed in the FDA’s publication Approved Drug Products with Therapeutic Equivalence Evaluations, which we refer to as the Orange Book, with respect to the third-party NDA for the applicable approved drug candidate; (2) the patents listed in the Orange Book have expired; (3) the listed patents have not expired, but will expire on a particular date and approval is sought after patent expiration; or (4) the listed patents are invalid or will not be infringed by the manufacture, use or sale of our drug. A certification that our new drug will not infringe the Orange Book-listed patents for the applicable approved drug candidate, or that such patents are invalid, is called a paragraph IV certification. If we submit a paragraph IV certification to the FDA, a notice of the paragraph IV certification must also be sent to the NDA holder once our</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0" w:name="page51"/>
    <w:bookmarkEnd w:id="5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Section 505(b)(2) application is accepted for filing by the FDA. The third-party may then initiate a lawsuit to defend the patents identified in the notice and sue us for infringing such patents. The filing of a patent infringement lawsuit within 45 days of receipt of the notice automatically prevents the FDA from approving the Section 505(b)(2) application until the earliest of 30 months or the date on which the patent expires, the lawsuit is settled, or the court reaches a decision in the infringement lawsuit in favor of us. The third-party may file a patent infringement lawsuit against us outside the 45-day period, in which case, our Section 505(b)(2) application will not be subject to the 30-month stay of FDA approval. If we are sued for patent infringement by a third party and are unsuccessful in defending such suit, we may be prevented from commercializing our product unless we are able to obtain a license from such third party, which may not be available on commercially reasonable terms or at all, and the occurrence of such event could have a material adverse effect on our business.</w:t>
      </w:r>
    </w:p>
    <w:p>
      <w:pPr>
        <w:spacing w:after="0" w:line="229"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Issued patents covering our product candidates could be found invalid or unenforceable if challenged in court or before administrative bodies in the United States or abroad.</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If we or one of our current or future licensors initiates legal proceedings against a third party to enforce a patent covering our product candidates, or our other proprietary technologies, the defendant could counterclaim that such patent is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 xml:space="preserve">In addition to such counterclaims, third parties may raise claims challenging the validity or enforceability of a patent before administrative bodies in the United States or abroad, even outside the context of litigation. Such mechanisms include re-examination,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derivation proceedings, and equivalent proceedings in foreign jurisdictions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opposition proceedings). Such proceedings could result in the revocation of, cancellation of, or amendment to our patent rights in such a way that they no longer cover our product candidates, and any other proprietary or platform technologies we may develop. The outcome following legal assertions of invalidity and unenforceability is unpredictable. With respect to the validity question, for example, we cannot be certain that there is no invalidating prior art of which we or our licensors and the patent examiner were unaware during prosecution. If a third party were to prevail on a legal assertion of invalidity or unenforceability, we would lose at least part, and perhaps all, of the patent protection provided to our product candidates, or other components of our programs, as applicable. Such a loss of patent protection could have a material adverse impact on our business, financial condition, results of operations, and prospects.</w:t>
      </w:r>
    </w:p>
    <w:p>
      <w:pPr>
        <w:spacing w:after="0" w:line="150"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Furthermore, for U.S. applications in which all claims are entitled to a priority date before March 16, 2013, an interference proceeding can be provoked by a third-party or instituted by the USPTO to determine who was the first to invent any of the subject matter covered by the patent claims. We cannot be certain that we are the first to invent the inventions covered by pending patent applications and, if we are not, we may be subject to priority disputes. We may be required to disclaim part or all of the term of certain patents or all of the term of certain patent applications.</w:t>
      </w:r>
    </w:p>
    <w:p>
      <w:pPr>
        <w:spacing w:after="0" w:line="144"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No assurance can be given that, if challenged, our owned or licensed patents would be declared by a court or an administrative body to be valid or enforceable.</w:t>
      </w:r>
    </w:p>
    <w:p>
      <w:pPr>
        <w:spacing w:after="0" w:line="207"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Changes in patent law in the United States and other jurisdictions could diminish the value of patents in general, thereby impairing our ability to protect our product candidates.</w:t>
      </w:r>
    </w:p>
    <w:p>
      <w:pPr>
        <w:spacing w:after="0" w:line="3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success is heavily dependent on intellectual property, particularly patents. Obtaining, defending, maintaining,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and may diminish our ability to protect our inventions, obtain, maintain, enforce and protect our intellectual property rights and, more generally, could affect the value of our intellectual property or narrow the scope of our future owned and licensed patents. Patent reform legislation in the</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1" w:name="page52"/>
    <w:bookmarkEnd w:id="5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5" w:lineRule="auto"/>
        <w:rPr>
          <w:sz w:val="20"/>
          <w:szCs w:val="20"/>
          <w:color w:val="auto"/>
        </w:rPr>
      </w:pPr>
      <w:r>
        <w:rPr>
          <w:rFonts w:ascii="Times New Roman" w:cs="Times New Roman" w:eastAsia="Times New Roman" w:hAnsi="Times New Roman"/>
          <w:sz w:val="14"/>
          <w:szCs w:val="14"/>
          <w:color w:val="auto"/>
        </w:rPr>
        <w:t xml:space="preserve">United States and other countries, including the Leahy-Smith America Invents Act, or the Leahy-Smith Act, signed into law on September 16, 2011, could increase those uncertainties and costs surrounding the prosecution of our patent applications and the enforcement or defense of our patents and future issued patents. The Leahy-Smith Act includes a number of significant changes to United States patent law. These include provisions that affect the way patent applications are prosecuted, redefine prior art, and provide more efficient and cost-effective avenues for competitors to challenge the validity of patents. These include allowing third-party submission of prior art to the USPTO during patent prosecution and additional procedures to attack the validity of a patent by USPTO administered post-grant proceedings, including post-grant review, </w:t>
      </w:r>
      <w:r>
        <w:rPr>
          <w:rFonts w:ascii="Times New Roman" w:cs="Times New Roman" w:eastAsia="Times New Roman" w:hAnsi="Times New Roman"/>
          <w:sz w:val="14"/>
          <w:szCs w:val="14"/>
          <w:i w:val="1"/>
          <w:iCs w:val="1"/>
          <w:color w:val="auto"/>
        </w:rPr>
        <w:t>inter partes</w:t>
      </w:r>
      <w:r>
        <w:rPr>
          <w:rFonts w:ascii="Times New Roman" w:cs="Times New Roman" w:eastAsia="Times New Roman" w:hAnsi="Times New Roman"/>
          <w:sz w:val="14"/>
          <w:szCs w:val="14"/>
          <w:color w:val="auto"/>
        </w:rPr>
        <w:t xml:space="preserve"> review, and derivation proceedings.</w:t>
      </w:r>
    </w:p>
    <w:p>
      <w:pPr>
        <w:spacing w:after="0" w:line="14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Further, because of a lower evidentiary standard in these USPTO post-grant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 or defense of our patents and future issued patents, all of which could adversely affect our business, financial condition, results of operations, and prospects.</w:t>
      </w:r>
    </w:p>
    <w:p>
      <w:pPr>
        <w:spacing w:after="0" w:line="14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After March 2013, under the Leahy-Smith Act, the United States transitioned to a first inventor to file system in which, assuming that the other statutory requirements are met, the first inventor to file a patent application will be entitled to the patent on an invention regardless of whether a third-party was the first to invent the claimed invention. Consequently, if a third party files a patent application in the USPTO before we file an application covering the same invention, the third party could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(i) file any patent application related to our product candidates and other proprietary technologies we may develop or</w:t>
      </w:r>
    </w:p>
    <w:p>
      <w:pPr>
        <w:spacing w:after="0" w:line="1" w:lineRule="exact"/>
        <w:rPr>
          <w:sz w:val="20"/>
          <w:szCs w:val="20"/>
          <w:color w:val="auto"/>
        </w:rPr>
      </w:pPr>
    </w:p>
    <w:p>
      <w:pPr>
        <w:jc w:val="both"/>
        <w:ind w:left="1220" w:right="1239" w:firstLine="4"/>
        <w:spacing w:after="0" w:line="252" w:lineRule="auto"/>
        <w:tabs>
          <w:tab w:leader="none" w:pos="1447"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invent any of the inventions claimed in our patents or patent applications. Even where we have a valid and enforceable patent, we may not be able to exclude others from practicing the claimed invention where the other party can show that they used the invention in commerce before our filing date or the other party benefits from a compulsory license. The Leahy-Smith Act and its implementation could increase the uncertainties and costs surrounding the prosecution of our patent applications and the enforcement or defense of our patents and future issued patents, all of which could adversely affect our business, financial condition, results of operations, and prospects.</w:t>
      </w:r>
    </w:p>
    <w:p>
      <w:pPr>
        <w:spacing w:after="0" w:line="148"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the patent positions of companies in the development and commercialization of pharmaceuticals are particularly uncertain. The U.S. Supreme Court has ruled on several patent cases in recent years, either narrowing the scope of patent protection available in certain circumstances or weakening the rights of patent owners in certain situations. Depending on future actions by the United States Congress, the United States courts, the USPTO, and the relevant law-making bodies in other countries, the laws and regulations governing patents could change in unpredictable ways that would weaken our ability to enforce patents or obtain new patents. We cannot predict how future decisions by the courts, the United States Congress, or the USPTO may impact the value of our patents. Any similar adverse change in the patent laws of other jurisdictions could also adversely affect our business, financial condition, results of operations, and prospects.</w:t>
      </w:r>
    </w:p>
    <w:p>
      <w:pPr>
        <w:spacing w:after="0" w:line="14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Similarly, changes in patent law and regulations in other countries or jurisdictions or changes in governmental bodies that enforce them or changes in how the relevant governmental authority enforces patent laws or regulations may weaken our ability to obtain new patents or to enforce patents that we may obtain in the future. For example, the complexity and uncertainty of European patent laws have also increased in recent years. In Europe, a unitary patent system took effect on June 1, 2023. Under the unitary patent system, all European patents, including those issued prior to June 1, 2023, now by default automatically fall under the jurisdiction of a new European Unified Patent Court, or the UPC, for litigation involving such patents. As the UPC is a new court system, there is no precedent for the court, increasing the uncertainty of any litigation. Our European patent applications, if issued, could be challenged in the UPC. During the first seven years of the UPC’s existence, the UPC legislation allows a patent owner to opt its</w:t>
      </w: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2" w:name="page53"/>
    <w:bookmarkEnd w:id="5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4"/>
          <w:szCs w:val="14"/>
          <w:color w:val="auto"/>
        </w:rPr>
        <w:t>European patents out of the jurisdiction of the UPC. We may decide to opt out our future European patents from the UPC, but doing so may preclude us from realizing the benefits of the UPC. Moreover, if we do not meet all of the formalities and requirements for opt-out under the UPC, our European patents could remain under the jurisdiction of the UPC. The UPC will provide our competitors with a new forum to centrally revoke our European patents, and allow for the possibility of a competitor to obtain pan-European injunctions. It is uncertain how the UPC will impact granted European patents in the biotechnology and pharmaceutical industries.</w:t>
      </w:r>
    </w:p>
    <w:p>
      <w:pPr>
        <w:spacing w:after="0" w:line="225"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become subject to claims challenging the inventorship or ownership of our patents and other intellectual property.</w:t>
      </w:r>
    </w:p>
    <w:p>
      <w:pPr>
        <w:spacing w:after="0" w:line="3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may be subject to claims that former employees, collaborators, or other third parties have an interest in our patents or other intellectual property as an inventor or co-inventor. The failure to name the proper inventors on a patent application can result in the patents issuing thereon being unenforceable. Inventorship disputes may arise from conflicting views regarding the contributions of different individuals named as inventors, the effects of foreign laws where foreign nationals are involved in the development of the subject matter of the patent, conflicting obligations of third parties involved in developing our product candidates, or as a result of questions regarding co-ownership of potential joint inventions. Litigation may be necessary to resolve these and other claims challenging inventorship or ownership. Alternatively, or additionally, we may enter into agreements to clarify the scope of our rights in such intellectual property. If we fail in defending any such claims, in addition to paying monetary damages, we may lose valuable intellectual property rights, such as exclusive ownership of, or right to use, valuable intellectual property. Such an outcome could adversely affect our business. Even if we are successful in defending against such claims, litigation could result in substantial costs and be a distraction to management and other employees.</w:t>
      </w:r>
    </w:p>
    <w:p>
      <w:pPr>
        <w:spacing w:after="0" w:line="14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future licensors may have relied on third-party consultants or collaborators or on funds from third parties, such as the United States government, such that our future licensors are not the sole and exclusive owners of the patents we may in-licensed. If other third parties have ownership rights or other rights to our future in-licensed patents, they may be able to license such patents to our competitors, and our competitors could market competing products and technology. This could adversely affect our competitive position, business, financial condition, results of operations, and prospects.</w:t>
      </w:r>
    </w:p>
    <w:p>
      <w:pPr>
        <w:spacing w:after="0" w:line="14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Individuals executing agreements with us may have preexisting or competing obligations to a third party and thus an agreement with us may be ineffective in perfecting ownership of inventions developed by that individual.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adversely affect our business, financial condition, results of operations, and prospects.</w:t>
      </w:r>
    </w:p>
    <w:p>
      <w:pPr>
        <w:spacing w:after="0" w:line="231"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identify relevant third-party patents or may incorrectly interpret the relevance, scope, or expiration of a third-party patent, which might adversely affect our ability to develop and market our product candidates.</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As the biopharmaceutical industry expands and more patents are issued, the risk increases that our product candidates may be subject to claims of infringement of the patent rights of third parties. There can be no assurance that our operations do not, or will not in the future, infringe, misappropriate, or otherwise violate existing or future third-party patents or other intellectual property rights. Identification of third-party patent rights that may be relevant to our operations is difficult because patent searching is imperfect due to differences in terminology among patents, incomplete databases, and the difficulty in assessing the meaning of patent claims. We cannot guarantee that any of our patent searches or analyses, including the identification of relevant patents, the scope of patent claims, or the expiration of relevant patents, are complete or thorough, nor can we be certain that we have identified each and every</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3" w:name="page54"/>
    <w:bookmarkEnd w:id="5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third-party patent and pending application in the United States and abroad that is relevant to or necessary for the commercialization of our product candidates in any jurisdiction.</w:t>
      </w:r>
    </w:p>
    <w:p>
      <w:pPr>
        <w:spacing w:after="0" w:line="125"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Numerous U.S. and foreign patents and pending patent applications exist in our market that are owned by third parties. Our competitors in both the United States and abroad, many of which have substantially greater resources and have made substantial investments in patent portfolios and competing technologies, may have applied for or obtained or may in the future apply for and obtain, patents that will prevent, limit or otherwise interfere with our ability to make, use, and sell our product candidates. We do not always conduct independent reviews of pending patent applications of and patents issued to third parties. Patent applications in the United States and elsewhere are typically published approximately 18 months after the earliest filing for which priority is claimed, with such earliest filing date being commonly referred to as the priority date. Certain United States applications that will not be filed outside the United States can remain confidential until patents issue. In addition, patent applications in the United States and elsewhere can be pending for many years before issuance, or unintentionally abandoned patents or applications can be revived. Furthermore, pending patent applications that have been published can, subject to certain limitations, be later amended in a manner that could cover our technologies, product candidates, or the use of our product candidates. As such, there may be applications of others now pending or recently revived patents of which we are unaware. These patent applications may later result in issued patents, or the revival of previously abandoned patents may result in revived patents, that may be infringed by the manufacture, use, or sale of our technologies or product candidates or will prevent, limit, or otherwise interfere with our ability to make, use, or sell our technologies and product candidates.</w:t>
      </w:r>
    </w:p>
    <w:p>
      <w:pPr>
        <w:spacing w:after="0" w:line="15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scope of a patent claim is determined by an interpretation of the law, the written disclosure in a patent, and the patent’s prosecution history. Our interpretation of the relevance or the scope of a patent or a pending application may be incorrect. For example, we may incorrectly determine that our product candidates are not covered by a third-party patent or may incorrectly predict whether a third-party’s pending application will issue with claims of relevant scope. Our determination of the expiration date of any patent in the United States or abroad that we consider relevant may be incorrect. Our failure to identify and correctly interpret relevant patents may negatively impact our ability to develop and market our product candidates.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cannot provide any assurances that third-party patents and other intellectual property rights do not exist which might be enforced against our product candidates, their respective methods of use, manufacture, and formulations thereof, and could result in either an injunction prohibiting our manufacture or future sales, or, with respect to our future sales, an obligation on our part to pay royalties and/or other forms of compensation to third parties, which could be significant.</w:t>
      </w:r>
    </w:p>
    <w:p>
      <w:pPr>
        <w:spacing w:after="0" w:line="226"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Patent terms may be inadequate to protect our competitive position on products or product candidates for a sufficient amount of time.</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Patents have a limited lifespan. In the United States, if all maintenance fees are timely paid, the natural expiration of a patent is generally 20 years from its earliest United States non-provisional or international patent application filing date. Various extensions may be available, but the life of a patent, and the protection it affords, is limited. Even if patents covering our products or product candidates are obtained, once the patent life has expired, we may be open to competition from competing products, including generics. Given the amount of time required for the development, testing, and regulatory review of products or new product candidates, patents protecting such products or candidates might expire before or shortly after such products or candidates are commercialized. As a result, our patent portfolio may not provide us with sufficient and continuing rights to exclude others from commercializing products similar or identical to ours.</w:t>
      </w:r>
    </w:p>
    <w:p>
      <w:pPr>
        <w:spacing w:after="0" w:line="231"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Obtaining and maintaining patent protection depends on compliance with various procedural, document submission, fee payment, and other requirements imposed by government patent agencies, and our patent protection could be reduced or eliminated as a result of noncompliance with these requirements.</w:t>
      </w:r>
    </w:p>
    <w:p>
      <w:pPr>
        <w:spacing w:after="0" w:line="5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Periodic maintenance fees, renewal fees, annuity fees, and various other government fees on patents and/or applications will be due to be paid to the USPTO and various government patent agencies outside of the United States over the lifetime of our owned patents and patent applications. We rely on our outside counsel, or third party vendors, to pay these fees due to United States and non-United States patent agencies. The USPTO and various non-United</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4" w:name="page55"/>
    <w:bookmarkEnd w:id="5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States government patent agencies require compliance with several procedural, documentary, fee payment, and other similar provisions during the patent application process. We are also dependent on PARI to take the necessary action to comply with these requirements with respect to the intellectual property licensed under the PARI License Agreement and may be similarly dependent on licensors in the future. In many cases, an inadvertent lapse can be cured by payment of a late fee or by other means in accordance with the applicable rules. There are situations, however, in which noncompliance can result in abandonment or lapse of the patent or patent application, resulting in partial or complete loss of patent rights in the relevant jurisdiction. In such an event, potential competitors might be able to enter the market and this circumstance could adversely affect our business, financial condition, results of operations, and prospects.</w:t>
      </w:r>
    </w:p>
    <w:p>
      <w:pPr>
        <w:spacing w:after="0" w:line="231" w:lineRule="exact"/>
        <w:rPr>
          <w:sz w:val="20"/>
          <w:szCs w:val="20"/>
          <w:color w:val="auto"/>
        </w:rPr>
      </w:pPr>
    </w:p>
    <w:p>
      <w:pPr>
        <w:ind w:left="1220" w:right="1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protect the confidentiality of our trade secrets, our business and competitive position would be harmed.</w:t>
      </w:r>
    </w:p>
    <w:p>
      <w:pPr>
        <w:spacing w:after="0" w:line="39" w:lineRule="exact"/>
        <w:rPr>
          <w:sz w:val="20"/>
          <w:szCs w:val="20"/>
          <w:color w:val="auto"/>
        </w:rPr>
      </w:pPr>
    </w:p>
    <w:p>
      <w:pPr>
        <w:jc w:val="both"/>
        <w:ind w:left="1220" w:right="1239" w:firstLine="333"/>
        <w:spacing w:after="0" w:line="251" w:lineRule="auto"/>
        <w:rPr>
          <w:sz w:val="20"/>
          <w:szCs w:val="20"/>
          <w:color w:val="auto"/>
        </w:rPr>
      </w:pPr>
      <w:r>
        <w:rPr>
          <w:rFonts w:ascii="Times New Roman" w:cs="Times New Roman" w:eastAsia="Times New Roman" w:hAnsi="Times New Roman"/>
          <w:sz w:val="14"/>
          <w:szCs w:val="14"/>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candidate. Additionally, trade secrets can be difficult to protect and some courts inside and outside the United States are less willing or unwilling to protect trade secrets. The laws of some foreign countries do not protect proprietary rights to the same extent or in the same manner as the laws within the United States. We may need to share our trade secrets and proprietary know-how with current or future partners, collaborators, contractors, and others located in countries at heightened risk of theft of trade secrets, including through direct intrusion by private parties or foreign actors, and those affiliated with or controlled by state actors. As a result, we may encounter significant problems in protecting and defending our intellectual property both in the United States and abroad. Additionally,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whether inadvertently or through intentional acts of current or departing employees, or that competitors will not otherwise gain access to our trade secrets. If any of the employees, consultants or advisors who are parties to these agreements breach or violate the terms of any of these agreements, we may not have adequate remedies for any such breach or violation. We cannot guarantee that we have entered into such agreements with each party that may have or has had access to our trade secrets or proprietary technology and processes. We also seek to preserve the integrity and confidentiality of our data and trade secrets by maintaining physical security of our premises and physical and electronic security of our information technology systems; however, such systems and security measures may be breached, and we may not have adequate remedies for any breach. If our trade secrets are not adequately protected, our business, financial condition, results of operations, and prospects could be adversely affected.</w:t>
      </w:r>
    </w:p>
    <w:p>
      <w:pPr>
        <w:spacing w:after="0" w:line="245"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registered or unregistered trademarks or trade names may be challenged, infringed, circumvented, or declared generic or determined to be infringing on other marks. During trademark registration proceedings, we may receive rejections of our applications by the USPTO or in other foreign jurisdictions. Although we are given an opportunity to respond to such rejections, we may be unable to overcome them. In addition, in the USPTO and in comparable agencies in many foreign jurisdictions, third parties are given an opportunity to oppose pending trademark applications and to seek to cancel registered trademarks. Opposition or cancellation proceedings may be filed against our trademarks, which may not survive such proceedings. Moreover, any name we have proposed to use with our product candidate in the United States must be approved by the FDA, regardless of whether we have registered it, or</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5" w:name="page56"/>
    <w:bookmarkEnd w:id="5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applied to register it, as a trademark. Similar requirements exist in Europe. The FDA typically conducts a review of proposed product names, including an evaluation of potential for confusion with other product names. If the FDA or an equivalent administrative body in a foreign jurisdiction objects to any of our proposed proprietary product names, we may be required to expend significant additional resources in an effort to identify a suitable substitute name that would qualify under applicable trademark laws, not infringe the existing rights of third parties, and be acceptable to the FDA. Furthermore, in many countries, owning and maintaining a trademark registration may not provide an adequate defense against a subsequent infringement claim asserted by the owner of a senior trademark.</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names, domain names, or other intellectual property may be ineffective and could result in substantial costs and diversion of resources and could adversely affect our business, financial condition, results of operations, and prospects.</w:t>
      </w:r>
    </w:p>
    <w:p>
      <w:pPr>
        <w:spacing w:after="0" w:line="229"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may be subject to claims asserting that our employees, consultants, or advisors have wrongfully used or disclosed alleged trade secrets of their current or former employers or claims asserting ownership of what we regard as our own intellectual property.</w:t>
      </w:r>
    </w:p>
    <w:p>
      <w:pPr>
        <w:spacing w:after="0" w:line="5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Certain of our employees, consultants, or advisors have in the past and may in the future be employed at universities or other biotechnology or pharmaceutical companies, including our competitors or potential competitors. Although we try to ensure that our employees, consultants, and advisors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An inability to incorporate such technologies or features would harm our business and may prevent us from successfully commercializing our technologies or product candidates. In addition, we may lose personnel as a result of such claims and any such litigation or the threat thereof may adversely affect our ability to hire employees or contract with independent contractors. A loss of key personnel or their work product could hamper or prevent our ability to commercialize our technologies or product candidates, which could adversely affect our business, financial condition, results of operations, and prospects. Even if we are successful in defending against such claims, litigation could result in substantial costs and be a distraction to management.</w:t>
      </w:r>
    </w:p>
    <w:p>
      <w:pPr>
        <w:spacing w:after="0" w:line="14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we or our licensors may in the future be subject to claims by former employees, consultants, or other third parties asserting an ownership right in our owned or licensed patents or patent applications.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technology and therapeutics, without payment to us, or could limit the duration of the patent protection covering our technologies and product candidates. Such challenges may also result in our inability to develop, manufacture, or commercialize our technologies and product candidates without infringing third-party patent rights. In addition, if the breadth or strength of protection provided by our owned or licensed patents and patent applications is threatened, it could dissuade companies from collaborating with us to license, develop, or commercialize current or future technologies and product candidates. Any of the foregoing could adversely affect our business, financial condition, results of operations, and prospects.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6" w:name="page57"/>
    <w:bookmarkEnd w:id="5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Intellectual property rights do not necessarily address all potential threats.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degree of future protection afforded by our intellectual property rights is uncertain because intellectual property rights have limitations, and may not adequately protect our business or permit us to maintain our competitive advantage. For example:</w:t>
      </w:r>
    </w:p>
    <w:p>
      <w:pPr>
        <w:spacing w:after="0" w:line="51" w:lineRule="exact"/>
        <w:rPr>
          <w:sz w:val="20"/>
          <w:szCs w:val="20"/>
          <w:color w:val="auto"/>
        </w:rPr>
      </w:pPr>
    </w:p>
    <w:p>
      <w:pPr>
        <w:ind w:left="1880" w:right="1239" w:hanging="323"/>
        <w:spacing w:after="0" w:line="283"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be able to make products that are similar to ours, but that are not covered by the claims of the patents that we license or may own in the future;</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and when patents will issue;</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collaborators, might not have been the first to make the inventions covered by the issued patent or pending patent applications that we license or may own in the future;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or our licensors or collaborators, might not have been the first to file patent applications covering certain of our or their inventions;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independently develop similar or alternative technologies or duplicate any of our technologies without infringing our owned or licensed intellectual property rights;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it is possible that our pending owned or licensed patent applications will not lead to issued patents;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issued patents that we hold rights to now or in the future may be held invalid or unenforceable, including as a result of legal challenges by our competitors;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others may have access to the same intellectual property rights licensed to us in the future on a nonexclusive basis;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develop additional proprietary technologies that are patentable;</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patents or other intellectual property rights of others may have an adverse effect on our business; or</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choose not to file a patent for certain trade secrets or know-how, and a third party may subsequently file a patent covering such intellectual property.</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Any of the foregoing could have a material adverse effect on our business, financial condition, results of operations and prospects.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Legal and Regulatory Compliance Matters</w:t>
      </w:r>
    </w:p>
    <w:p>
      <w:pPr>
        <w:spacing w:after="0" w:line="91"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Our business operations and our relationships with healthcare providers, third-party payors, patients and other parties in the healthcare industry are subject, directly or indirectly, to significant regulation under a broad range of healthcare laws, including fraud and abuse laws. Any action against us for violation of such laws could harm our reputation and require significant resources for defense. If we are unable to comply, or have not fully complied, with such laws, we could face substantial penalties.</w:t>
      </w:r>
    </w:p>
    <w:p>
      <w:pPr>
        <w:spacing w:after="0" w:line="58"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Pharmaceutical manufacturers, and the parties with which such manufacturers interact, are subject to extensive and complex regulation under a broad range of healthcare laws. Such laws, some of which will apply only if and when we have a marketed product, constrain our business operations, including the research and development, manufacturing, distribution, sales and promotion of our product candidates and products, if any are approved in the future, as well as educational and charitable activities. Arrangements with healthcare provider, third-party payors, patients and other parties in the healthcare industry professionals, which may have a significant impact on our business, are regulated by fraud and abuse and other healthcare laws. For more information, see the section titled “</w:t>
      </w:r>
      <w:r>
        <w:rPr>
          <w:rFonts w:ascii="Times New Roman" w:cs="Times New Roman" w:eastAsia="Times New Roman" w:hAnsi="Times New Roman"/>
          <w:sz w:val="14"/>
          <w:szCs w:val="14"/>
          <w:i w:val="1"/>
          <w:iCs w:val="1"/>
          <w:color w:val="auto"/>
        </w:rPr>
        <w:t>Business—Government Regulation—Other U.S. Healthcare Laws and Compliance Requirements</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Healthcare laws regulating our business activities are broad and any exceptions may be narrow. Requirements may differ across jurisdictions. There may be limited guidance on the interpretation of the laws and their application</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7" w:name="page58"/>
    <w:bookmarkEnd w:id="5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4"/>
          <w:szCs w:val="14"/>
          <w:color w:val="auto"/>
        </w:rPr>
        <w:t>to our specific activities. Interpretations of these laws by government enforcement agencies and courts are evolving. Efforts to ensure that our business operations will comply with applicable healthcare laws and regulations will involve substantial costs. We will need to develop and implement robust compliance policies and processes to seek to prevent and detect non-compliance and update such policies and processes as our operations and government expectations evolve, which will involve substantial and ongoing costs, and even with such policies and processes we cannot be certain to prevent non-compliance.</w:t>
      </w:r>
    </w:p>
    <w:p>
      <w:pPr>
        <w:spacing w:after="0" w:line="14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Given the broad scope, limited guidance and evolving government interpretations, our business activities may nonetheless potentially be subject to challenge under these healthcare laws despite efforts to ensure compliance. Any action against us for violation of these laws, even if we successfully defend against it, could cause us to incur significant legal expenses and divert our management’s attention from the operation of our business. Such an action could also harm our reputation and adversely affect our business as a result.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32"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Even if we obtain regulatory approvals for our product candidates or any future product candidates, they will remain subject to ongoing regulatory oversight.</w:t>
      </w:r>
    </w:p>
    <w:p>
      <w:pPr>
        <w:spacing w:after="0" w:line="3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Even if we obtain any regulatory approvals for our product candidates or any future product candidates, such product candidates, once approved, will be subject to ongoing regulatory requirements applicable to manufacturing, labeling, packaging, storage, advertising, promoting, sampling, record-keeping and post-marketing activities, among other things. These requirements include submissions of safety and other post-marketing information and reports, registration, as well as continued compliance with cGMP and GCP requirements for any clinical trials that we conduct post-approval. Manufacturers of approved products and their facilities are subject to continual review and periodic and unannounced inspections by the FDA, EMA and other regulatory authorities for compliance with cGMP regulations and standards. Any regulatory approvals that we receive for our product candidates or any future product candidates may also be subject to a REMS, limitations on the approved indicated uses for which the drug may be marketed or to the conditions of approval, or requirements that we conduct potentially costly post-marketing testing, including additional trials and heightened surveillance to monitor the quality, safety and efficacy of the drug. An unsuccessful post-marketing study or failure to complete such a study could result in the withdrawal of marketing approval. We will further be required to promptly report any serious and unexpected adverse drug experiences and certain quality or production problems with our products to regulatory authorities along with other periodic reports.</w:t>
      </w:r>
    </w:p>
    <w:p>
      <w:pPr>
        <w:spacing w:after="0" w:line="146"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Any new legislation addressing drug safety issues could result in delays in product development or commercialization, or increased costs to ensure compliance. We will also have to comply with requirements concerning advertising and promotion for our products. Promotional communications with respect to prescription drug products are subject to a variety of legal and regulatory restrictions and must be consistent with the information in the product’s approved label. As such, we will not be allowed to promote our products for indications or uses for which they do not have approval, commonly known as off-label promotion. Physicians, on the other hand, may prescribe products for off-label uses. Although the FDA, EMA and other regulatory agencies do not regulate a physician’s choice of drug treatment made in the physician’s independent medical judgment, they do restrict promotional communications from companies, including their sales force, with respect to off-label uses of products for which marketing approval has not been issued. However, companies may share truthful and not misleading information that is otherwise consistent with a product’s FDA approved labeling. The holder of an approved NDA must submit new or supplemental applications and obtain prior approval for certain changes to the approved product, product labeling, or manufacturing process. A company that is found to have improperly promoted off-label uses of their products may be subject to significant civil, criminal and administrative penalties.</w:t>
      </w: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8" w:name="page59"/>
    <w:bookmarkEnd w:id="5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drug manufacturers are subject to payment of annual fees and continual review and periodic inspections by the FDA, EMA and other regulatory authorities for compliance with cGMP requirements and adherence to commitments made in the NDA or foreign marketing application. If we, or a regulatory authority, discover previously unknown problems with any product, if approved, such as adverse experiences of unanticipated severity or frequency, or problems with the facility where the product is manufactured or if a regulatory authority disagrees with the promotion, marketing or labeling of that product, a regulatory authority may impose restrictions relative to that product, the manufacturing facility or us, including requesting revisions to the approved labeling to add new safety information, imposing of post-market studies or clinical trials to assess new safety risks or imposing distribution restrictions or other restrictions under a REMS program, requesting a recall or requiring withdrawal of the product from the market or suspension of manufacturing. If we fail to comply with applicable regulatory requirements following approval of any of our product candidates, a regulatory authority may:</w:t>
      </w:r>
    </w:p>
    <w:p>
      <w:pPr>
        <w:spacing w:after="0" w:line="60" w:lineRule="exact"/>
        <w:rPr>
          <w:sz w:val="20"/>
          <w:szCs w:val="20"/>
          <w:color w:val="auto"/>
        </w:rPr>
      </w:pPr>
    </w:p>
    <w:p>
      <w:pPr>
        <w:ind w:left="1880" w:hanging="323"/>
        <w:spacing w:after="0"/>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an untitled letter or warning letter asserting that we are in violation of the law;</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seek an injunction or impose administrative, civil or criminal penalties or monetary fines, disgorgement or profits or revenue, warning letters or adverse publicity requirements;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suspend or withdraw regulatory approvals;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product distribution or use, including full or partial holds on any ongoing or planned clinical trials;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approve a pending NDA or comparable foreign marketing application (or any supplements thereto) submitted by us or our strategic partners;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the marketing or manufacturing of the drug;</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seize or detain the drug or otherwise require the withdrawal of the drug from the market;</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permit the import or export of product candidates; or</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refuse to allow us to enter into supply contracts, including government contracts.</w:t>
      </w:r>
    </w:p>
    <w:p>
      <w:pPr>
        <w:spacing w:after="0" w:line="17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Any government investigation of alleged violations of law could require us to expend significant time and resources in response and could generate negative publicity. The occurrence of any event or penalty described above may inhibit our ability to commercialize our product candidates and harm our business, financial condition, results of operations and prospects.</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Healthcare and other reform initiatives may have an adverse impact on our business and results of operations.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the U.S. and some foreign jurisdictions, there have been and continue to be ongoing efforts to implement legislative and regulatory changes regarding the healthcare system. Such changes could prevent or delay marketing approval of any product candidates that we may develop; restrict or regulate post-approval activities; and affect our ability to profitably sell any product candidates for which we obtain marketing approval. These reform efforts may result in more rigorous coverage criteria, additional downward pressure on the price that we, or our future collaborators, may receive for any approved products, or in other consequences that may adversely affect our ability to achieve or maintain profitability. For more information, see the section titled “</w:t>
      </w:r>
      <w:r>
        <w:rPr>
          <w:rFonts w:ascii="Times New Roman" w:cs="Times New Roman" w:eastAsia="Times New Roman" w:hAnsi="Times New Roman"/>
          <w:sz w:val="14"/>
          <w:szCs w:val="14"/>
          <w:i w:val="1"/>
          <w:iCs w:val="1"/>
          <w:color w:val="auto"/>
        </w:rPr>
        <w:t>Business—Government Regulation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—Healthcare Reform</w:t>
      </w:r>
      <w:r>
        <w:rPr>
          <w:rFonts w:ascii="Times New Roman" w:cs="Times New Roman" w:eastAsia="Times New Roman" w:hAnsi="Times New Roman"/>
          <w:sz w:val="14"/>
          <w:szCs w:val="14"/>
          <w:color w:val="auto"/>
        </w:rPr>
        <w:t>.”</w:t>
      </w:r>
    </w:p>
    <w:p>
      <w:pPr>
        <w:spacing w:after="0" w:line="14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There is no assurance that federal or state healthcare reform will not adversely affect our future business and financial results. The implementation of healthcare reform measures, including drug price negotiation programs, pricing transparency requirements, and state-level pricing controls, could significantly reduce the prices we are able to charge for any approved products, limit our commercial opportunities, or impose substantial compliance costs. We may be required to provide significant discounts or rebates, participate in government price negotiation programs on unfavorable terms, or face restrictions on product access that limit our ability to commercialize our products successfully. Additionally, implementation by third party payors of policies and practices to limit coverage, manage utilization, reduce payment of drug products could adversely affect our ability to sell our products profitably. The</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59" w:name="page60"/>
    <w:bookmarkEnd w:id="5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effect of these pricing pressures and access restrictions may prevent us from being able to generate revenue, attain profitability or commercialize our drugs.</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Further, we cannot predict the likelihood, nature, or extent of healthcare reform initiatives that may arise from future legislation or administrative action, which could impose additional restrictions or costs on our business that we have not anticipated.</w:t>
      </w:r>
    </w:p>
    <w:p>
      <w:pPr>
        <w:spacing w:after="0" w:line="13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General legislative cost control measures may also affect reimbursement for our product candidates. The Budget Control Act, for example, resulted in the imposition of reductions in Medicare (but not Medicaid) payments to providers in 2013 and will remain in effect into 2032 unless additional Congressional action is taken. Any significant spending reductions affecting Medicare, Medicaid or other publicly funded or subsidized health programs that may be implemented and/or any significant taxes or fees that may be imposed on us could have an adverse impact on our ability to obtain adequate reimbursement for any approved products and on our results of operations.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the Commercialization of Our Product Candidates</w:t>
      </w:r>
    </w:p>
    <w:p>
      <w:pPr>
        <w:spacing w:after="0" w:line="9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We face substantial competition and we may not be able to compete successfully in this environment.</w:t>
      </w:r>
    </w:p>
    <w:p>
      <w:pPr>
        <w:spacing w:after="0" w:line="93"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We face significant competition in an environment of rapid change, and there is a possibility that our competitors may achieve regulatory approval before us or develop therapies that are safer or more advanced or effective than ours, or that we are unable to compete with existing entities that have made substantial investment into novel treatments for disease, which may harm our financial condition and our ability to successfully market or commercialize any product candidates we may develop. The development and commercialization of new drug products is highly competitive. We will face competition with respect to our product candidates and any product candidates that we may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or other intellectual property protection and establish collaborative arrangements for research, development, manufacturing and commercialization. There are larger pharmaceuticals that currently market and sell products or are pursuing the development of products for the treatment of the disease indications for which we have research programs. Some of these competitive products and therapies are based on scientific approaches that are the same as or similar to our approach, while others are based on entirely different approaches. For more information, see “</w:t>
      </w:r>
      <w:r>
        <w:rPr>
          <w:rFonts w:ascii="Times New Roman" w:cs="Times New Roman" w:eastAsia="Times New Roman" w:hAnsi="Times New Roman"/>
          <w:sz w:val="14"/>
          <w:szCs w:val="14"/>
          <w:i w:val="1"/>
          <w:iCs w:val="1"/>
          <w:color w:val="auto"/>
        </w:rPr>
        <w:t>Business–Competition</w:t>
      </w:r>
      <w:r>
        <w:rPr>
          <w:rFonts w:ascii="Times New Roman" w:cs="Times New Roman" w:eastAsia="Times New Roman" w:hAnsi="Times New Roman"/>
          <w:sz w:val="14"/>
          <w:szCs w:val="14"/>
          <w:color w:val="auto"/>
        </w:rPr>
        <w:t>.” Any product candidates that we successfully develop and commercialize will compete with existing therapies and new therapies that may become available in the future that are approved to treat the same diseases for which we may obtain approval for any product candidates we may develop.</w:t>
      </w:r>
    </w:p>
    <w:p>
      <w:pPr>
        <w:spacing w:after="0" w:line="154"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Many of our current or potential competitors, either alone or with their collaboration partners, may have significantly greater financial resources and expertise in research and development, manufacturing, conducting preclinical studies and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 candidates that are safer, more effective, have fewer or less severe side effects, are more convenient, or are less expensive than any product candidates that we may develop or that would render any product candidates that we may develop obsolete or non-competitive. Our competitors also may obtain FDA or other regulatory approval for their product candidates more rapidly than we may obtain approval for ours, which could result in our competitors establishing a strong market position before we are able to enter the market. Additionally, technologies developed by our competitors may render our product candidates uneconomical or obsolete, and we may not be successful in marketing any product candidates we may develop against competitors.</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0" w:name="page61"/>
    <w:bookmarkEnd w:id="6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as a result of the expiration or successful challenge of our patent or other intellectual property rights, we could face risks relating to our ability to successfully prevent or delay launch of competitors’ products. The availability of our competitors’ products could limit the demand and the price we are able to charge for any product candidates that we may develop and commercialize. The biotechnology and pharmaceutical industries are characterized by rapid advances, intense competition and a strong emphasis on proprietary and novel products and product candidates. We face competition with respect to our current product candidates and will face competition with respect to any product candidates that we may seek to develop or commercialize in the future, from many different sources, including major pharmaceutical and biotechnology companies, academic institutions, governmental agencies, consortiums and public and private research institutions.</w:t>
      </w:r>
    </w:p>
    <w:p>
      <w:pPr>
        <w:spacing w:after="0" w:line="231"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Even if any of our product candidates receive marketing approval, it may fail to achieve the degree of market acceptance by physicians, patients, third-party payors and others in the medical community necessary for commercial success.</w:t>
      </w:r>
    </w:p>
    <w:p>
      <w:pPr>
        <w:spacing w:after="0" w:line="51" w:lineRule="exact"/>
        <w:rPr>
          <w:sz w:val="20"/>
          <w:szCs w:val="20"/>
          <w:color w:val="auto"/>
        </w:rPr>
      </w:pPr>
    </w:p>
    <w:p>
      <w:pPr>
        <w:jc w:val="both"/>
        <w:ind w:left="1220" w:right="1239" w:firstLine="333"/>
        <w:spacing w:after="0" w:line="242" w:lineRule="auto"/>
        <w:rPr>
          <w:sz w:val="20"/>
          <w:szCs w:val="20"/>
          <w:color w:val="auto"/>
        </w:rPr>
      </w:pPr>
      <w:r>
        <w:rPr>
          <w:rFonts w:ascii="Times New Roman" w:cs="Times New Roman" w:eastAsia="Times New Roman" w:hAnsi="Times New Roman"/>
          <w:sz w:val="14"/>
          <w:szCs w:val="14"/>
          <w:color w:val="auto"/>
        </w:rPr>
        <w:t>If any of our product candidates receive marketing approval, they may nonetheless fail to gain sufficient market acceptance by physicians, patients, third-party payors and others in the medical community. There is currently a well-established oral standard of care for PF: pirfenidone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Legacy Pharma Inc. in the U.S. and Genentech/Roche globally), nintedanib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Boehringer Ingelheim), and nerandomilast (JASCAYD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initially marketed by Boehringer Ingelheim) with which physicians, PF patients and payors are very familiar and for which an established benefit-risk profile exists. Even if our product candidates are successful in registrational clinical trials, they may not be successful in displacing the current standard of care if we are unable to demonstrate competitive efficacy, safety, ease of administration and/or cost-effectiveness. For example, physicians may be reluctant or unwilling to take their patients off their current medication, and switch their treatment regimen to our product candidates or add-on our product to their treatment regimen, if approved, if the current medication is effective. Further, patients often acclimate to the treatment regimen that they are currently taking and may not want to switch or add-on unless recommended to do so by their physician for clinical reasons or required to do so due to lack of coverage and adequate reimbursement. Even if we are able to demonstrate our product candidates’ safety and efficacy to the FDA, EMA and other regulators and receive approval, concerns in the medical community related to the comparative efficacy or side effect profile of our products may hinder market acceptance and uptake.</w:t>
      </w:r>
    </w:p>
    <w:p>
      <w:pPr>
        <w:spacing w:after="0" w:line="15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Efforts to educate the medical community and third-party payors regarding the benefits of our product candidates, if approved, may require significant resources, including management time and financial resources, and may not be successful. If our product candidates do not achieve an adequate level of market acceptance, we may not generate significant revenue and we may not become profitable. The degree of market acceptance of our product candidates, if approved for commercial sale, will depend on a number of factors, including:</w:t>
      </w:r>
    </w:p>
    <w:p>
      <w:pPr>
        <w:spacing w:after="0" w:line="60" w:lineRule="exact"/>
        <w:rPr>
          <w:sz w:val="20"/>
          <w:szCs w:val="20"/>
          <w:color w:val="auto"/>
        </w:rPr>
      </w:pPr>
    </w:p>
    <w:p>
      <w:pPr>
        <w:ind w:left="1880" w:hanging="323"/>
        <w:spacing w:after="0"/>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efficacy, safety and potential advantages compared to alternative treatments;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 product candidate is approved, if ever, as an add-on to standard of care or as part of a proprietary combination therapy;</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and severity of any side effects;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offer our products at competitive prices;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convenience and ease of administration compared to alternative treatments;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labeling or product insert requirements of the FDA or comparable foreign regulatory authorities, including any limitations or warnings contained in a product’s approved labeling, including any boxed warning;</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product’s acceptance into current standard of care treatment algorithms by medical societies that could affect payor and physician uptake;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the combination of our product candidates with a drug delivery device on cost of treatment with our products or the convenience for patients, if approved;</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1" w:name="page62"/>
    <w:bookmarkEnd w:id="6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effectiveness of sales and marketing efforts, and the strength of sales, marketing and distribution support;</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availability of third-party coverage and adequate reimbursement for any product candidates, once approved;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willingness of the target patient population to try, and of physicians to prescribe, the product;</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restrictions on the use of our products together with other medications;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product liability claims and unfavorable publicity related to our products.</w:t>
      </w:r>
    </w:p>
    <w:p>
      <w:pPr>
        <w:spacing w:after="0" w:line="17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Any failure by one or more of our product candidates that obtains regulatory approvals to achieve market acceptance or commercial success would adversely affect our business prospects.</w:t>
      </w:r>
    </w:p>
    <w:p>
      <w:pPr>
        <w:spacing w:after="0" w:line="207"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Due to the significant resources required for the development of our pipeline, and depending on our ability to access capital, we must prioritize the development of certain product candidates over others. Moreover, we may fail to expend our limited resources on product candidates or indications that may have been more profitable or for which there is a greater likelihood of success.</w:t>
      </w:r>
    </w:p>
    <w:p>
      <w:pPr>
        <w:spacing w:after="0" w:line="56"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therapeutic areas or indications may not lead to the development of viable commercial products and may divert resources away from better opportunities. If we make incorrect determinations regarding the viability or market potential of either lead product candidate, or any of our other current or future product candidates, or misread trends in the pharmaceutical industry, our business, financial condition and results of operations could be materially and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royalty arrangements in cases in which it would have been advantageous for us to invest additional resources to retain sole development and commercialization rights.</w:t>
      </w:r>
    </w:p>
    <w:p>
      <w:pPr>
        <w:spacing w:after="0" w:line="2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We owe royalty payments to a third party pursuant to the terms of a confidential settlement agreement.</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Pursuant to the terms of a confidential settlement agreement, for a period beginning upon first commercial sale and ending on the later of the expiration of the last to expire patent right or twenty years after such first commercial sale, we are obligated to pay a third party royalties in the amount of 0.25% of net sales on any pirfenidone product, including AP01, and 0.5% of net sales of any nintedanib product, including AP02, although the agreement specifically excludes any percentage of net sales on AP03 as a combination product. The payment of the royalties will impact our future revenue and may make it more difficult to engage in collaborations, licenses or the acquisition of certain product candidates, and may result in us ceasing to develop certain product candidates or all of our product candidates if we determine that it will not be financially profitable to do so.</w:t>
      </w:r>
    </w:p>
    <w:p>
      <w:pPr>
        <w:spacing w:after="0" w:line="228"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currently have no commercial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products, we may not be able to generate product revenue.</w:t>
      </w:r>
    </w:p>
    <w:p>
      <w:pPr>
        <w:spacing w:after="0" w:line="5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including our ability to hire, retain and incentivize qualified individuals, generate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2" w:name="page63"/>
    <w:bookmarkEnd w:id="6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231"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The success of our product candidates or any future product candidate will depend significantly on coverage and adequate reimbursement by third party payors or the willingness of patients to pay for these products if not covered.</w:t>
      </w:r>
    </w:p>
    <w:p>
      <w:pPr>
        <w:spacing w:after="0" w:line="5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believe that for any product candidates which may be approved, our success depends on obtaining and maintaining coverage and adequate reimbursement for such products for their respective approved indications, and the extent to which patients will be willing to pay out-of-pocket for such products in the absence of reimbursement for all or part of the cost. Accordingly, we will need to establish a coverage and reimbursement strategy for any approved product candidate.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Government and private third-party payors decide which products they will cover and establish reimbursement levels. Coverage and reimbursement varies among third party payors and new products face significant challenges in obtaining and maintaining coverage and adequate reimbursement, particularly if approved for indications with established treatments already on the market. For more information, see the section titled “</w:t>
      </w:r>
      <w:r>
        <w:rPr>
          <w:rFonts w:ascii="Times New Roman" w:cs="Times New Roman" w:eastAsia="Times New Roman" w:hAnsi="Times New Roman"/>
          <w:sz w:val="14"/>
          <w:szCs w:val="14"/>
          <w:i w:val="1"/>
          <w:iCs w:val="1"/>
          <w:color w:val="auto"/>
        </w:rPr>
        <w:t>Business—Government Regulation—Coverage and Reimbursement</w:t>
      </w:r>
      <w:r>
        <w:rPr>
          <w:rFonts w:ascii="Times New Roman" w:cs="Times New Roman" w:eastAsia="Times New Roman" w:hAnsi="Times New Roman"/>
          <w:sz w:val="14"/>
          <w:szCs w:val="14"/>
          <w:color w:val="auto"/>
        </w:rPr>
        <w:t>.”</w:t>
      </w:r>
    </w:p>
    <w:p>
      <w:pPr>
        <w:spacing w:after="0" w:line="150"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third-party payors have attempted to control costs by limiting coverage for certain products, managing utilization of covered products and restricting the amount of reimbursement for covered products. Within the U.S., net prices for drugs may be reduced by mandatory discounts or rebates required by government healthcare programs or requested by private payors in exchange for favorable coverage. The process of obtaining coverage and reimbursement determinations from third-party payors can be lengthy, unpredictable, and costly, with no guarantee of success. Even if we obtain favorable coverage decisions, payors may subsequently revise their policies in ways that adversely affect our products.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For more information, see the section titled “</w:t>
      </w:r>
      <w:r>
        <w:rPr>
          <w:rFonts w:ascii="Times New Roman" w:cs="Times New Roman" w:eastAsia="Times New Roman" w:hAnsi="Times New Roman"/>
          <w:sz w:val="14"/>
          <w:szCs w:val="14"/>
          <w:i w:val="1"/>
          <w:iCs w:val="1"/>
          <w:color w:val="auto"/>
        </w:rPr>
        <w:t>Business—Government Regulation—Healthcare Reform</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The market for our product candidates may be smaller than we estimate.</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estimates of the potential market opportunity for our product candidates include several key assumptions, based on our industry knowledge, industry publications and third-party research reports. These assumptions include the number of patients who have PF, as well as the estimated reimbursement levels for each product candidate, if approved. While we believe our assumptions and the data underlying our estimates are reasonable, and believe that the assumptions and data underlying the estimates of third-party led market research are similarly reasonable and accurate, we have not independently verified the accuracy of the third-party data on which we have based our</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3" w:name="page64"/>
    <w:bookmarkEnd w:id="6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assumptions and estimates, and these assumptions and estimates may not be correct and the conditions supporting our assumptions or estimates may change at any time, including as a result of factors outside our control, thereby reducing the predictive accuracy of these underlying factors. Further, new studies may change the estimated incidence or prevalence of these diseases, and the potentially addressable patient population for our product candidates may not ultimately be amenable to treatment with our product candidates. If the actual market for any product candidates we may develop is smaller than we estimate, our revenues, if any, may be limited and it may be more difficult for us to achieve or maintain profitability.</w:t>
      </w:r>
    </w:p>
    <w:p>
      <w:pPr>
        <w:spacing w:after="0" w:line="226"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Clinical trial and product liability lawsuits against us could divert our resources, cause us to incur substantial liabilities and limit commercialization of any products that we may develop.</w:t>
      </w:r>
    </w:p>
    <w:p>
      <w:pPr>
        <w:spacing w:after="0" w:line="39"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face an inherent risk of clinical trial and product liability exposure related to the testing of our product candidates in human clinical trials and will face an even greater risk if we commercially sell any products that we may develop, especially if our products are prescribed for off-label uses (even if we do not promote such uses). For example, we may be sued if our product candidates allegedly cause injury or are found to be otherwise unsuitable during product testing, manufacturing, marketing or sale.</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Any such product liability claims may include allegations of defects in manufacturing, defects in design, a failure to warn of dangers inherent in the product candidate, negligence, strict liability and a breach of warranties. Claims may be brought against us by clinical trial participants, patients or others using, administering or selling products that may be approved in the future. Claims could also be asserted under state consumer protection acts. If we cannot successfully defend ourselves against claims that our product candidates caused injuries, we will incur substantial liabilities. Regardless of merit or eventual outcome, liability claims may result in:</w:t>
      </w:r>
    </w:p>
    <w:p>
      <w:pPr>
        <w:spacing w:after="0" w:line="59" w:lineRule="exact"/>
        <w:rPr>
          <w:sz w:val="20"/>
          <w:szCs w:val="20"/>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decreased demand for any product candidates that we may develop;</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termination of clinical trials;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injury to our reputation and significant negative media attention;</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withdrawal of clinical trial participants;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costs to defend the related litigation;</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substantial monetary awards paid to trial participants or patients;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recalls, withdrawals or labeling, marketing or promotional restrictions;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revenue;</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resources of our management to pursue our business strategy;</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inability to commercialize any products that we may develop;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decline in our stock price.</w:t>
      </w:r>
    </w:p>
    <w:p>
      <w:pPr>
        <w:spacing w:after="0" w:line="186"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Although we maintain clinical trial liability insurance coverage, such insurance may not be adequate to cover all liabilities that we may incur. We may need to increase our insurance coverage as we expand our clinical trials. We intend to expand our insurance coverage for products to include the sale of commercial products if we obtain marketing approval on any current or potential product candidates, but we may be unable to obtain commercially reasonable product liability insurance for any products approved for marketing. Insurance coverage is increasingly expensive. We may not be able to maintain insurance coverage at a reasonable cost or in an amount adequate to satisfy any liability that may arise.</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4" w:name="page65"/>
    <w:bookmarkEnd w:id="6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Our Business Operations, Employee Matters and Managing Our Growth</w:t>
      </w:r>
    </w:p>
    <w:p>
      <w:pPr>
        <w:spacing w:after="0" w:line="91"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future success depends on our ability to retain key executives and to attract, retain and motivate qualified personnel.</w:t>
      </w:r>
    </w:p>
    <w:p>
      <w:pPr>
        <w:spacing w:after="0" w:line="39" w:lineRule="exact"/>
        <w:rPr>
          <w:sz w:val="20"/>
          <w:szCs w:val="20"/>
          <w:color w:val="auto"/>
        </w:rPr>
      </w:pPr>
    </w:p>
    <w:p>
      <w:pPr>
        <w:jc w:val="both"/>
        <w:ind w:left="1220" w:right="1239" w:firstLine="333"/>
        <w:spacing w:after="0" w:line="262" w:lineRule="auto"/>
        <w:rPr>
          <w:sz w:val="20"/>
          <w:szCs w:val="20"/>
          <w:color w:val="auto"/>
        </w:rPr>
      </w:pPr>
      <w:r>
        <w:rPr>
          <w:rFonts w:ascii="Times New Roman" w:cs="Times New Roman" w:eastAsia="Times New Roman" w:hAnsi="Times New Roman"/>
          <w:sz w:val="14"/>
          <w:szCs w:val="14"/>
          <w:color w:val="auto"/>
        </w:rPr>
        <w:t>Our success depends in part on our continued ability to attract, retain and motivate highly qualified management, clinical and scientific personnel. Each of our executive officers may currently terminate their employment with us at any time. We do not maintain “key person” insurance for any of our executives or employees. This lack of insurance means that we may not have adequate compensation for the loss of the services of these individuals.</w:t>
      </w:r>
    </w:p>
    <w:p>
      <w:pPr>
        <w:spacing w:after="0" w:line="14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loss of the services of our executive officers or other key employees could impede the achievement of our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approvals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4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Further, job candidates and existing employees often consider the value of the stock awards they receive in connection with their employment. If the perceived benefits of our stock awards decline, either because we are a public company or for other reasons, it may harm our ability to recruit and retain highly skilled employees. Our employees may be more likely to leave us if the shares they own have significantly appreciated in value relative to the original purchase prices of the shares, or if the exercise prices of the options that they hold are significantly below the market price of our common stock, particularly after the expiration of the lock-up agreements described herein.</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We may encounter difficulties in managing our growth, which could disrupt our operations.</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As of April 1, 2026, we had 51 full-time employees, including 32 who were engaged in research and development activities. As we continue to build our organization and execute on our strategy, we expect to experience significant growth in the number of our employees and the scope of our operations, particularly in the areas of clinical development,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business, and development resources. Any inability to manage growth could delay the execution of our business plans or disrupt our operations. Our future financial performance and our ability to compete effectively will depend, in part, on our ability to manage our growth effectively.</w:t>
      </w:r>
    </w:p>
    <w:p>
      <w:pPr>
        <w:spacing w:after="0" w:line="2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affected by litigation, government investigations and enforcement actions.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currently operate and plan to operate in a highly regulated industry and we could now or in the future be subject to litigation, government investigation and enforcement actions on a variety of matters in the U.S. or foreign jurisdictions, including, without limitation, intellectual property, regulatory, product liability, environmental, whistleblower, false claims, privacy, anti-kickback, anti-bribery, securities, commercial, employment and other claims and legal proceedings which may arise from conducting our business. Any determination that our operations or activities are not in compliance with existing laws or regulations could result in the imposition of fines, civil and</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5" w:name="page66"/>
    <w:bookmarkEnd w:id="6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criminal penalties, equitable remedies, including disgorgement, injunctive relief and/or other sanctions against us, and remediation of any such findings could have an adverse effect on our business operations.</w:t>
      </w:r>
    </w:p>
    <w:p>
      <w:pPr>
        <w:spacing w:after="0" w:line="12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Legal proceedings, government investigations and enforcement actions can be expensive and time-consuming. An adverse outcome resulting from any such proceedings, investigations or enforcement actions could result in significant damages awards, fines, penalties, exclusion from the federal healthcare programs, healthcare debarment, injunctive relief, product recalls, reputational damage and modifications of our business practices, which could have a material adverse effect on our business and results of operations. Even if such a proceeding, investigation or enforcement action is ultimately decided in our favor, the investigation and defense thereof could require substantial financial and management resources and cause reputational harm.</w:t>
      </w:r>
    </w:p>
    <w:p>
      <w:pPr>
        <w:spacing w:after="0" w:line="226"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Inadequate funding for the FDA, the Securities and Exchange Commission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58"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In addition, government funding of the Securities and Exchange Commission, or the SEC, and other government agencies on which our operations may rely, including those that fund research and development activities, is subject to the political process, which is inherently fluid and unpredictable.</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Disruptions at the FDA and other agencies may also slow the time necessary for new product candidates to be reviewed and/or approved by necessary government agencies, which would adversely affect our business. For example, over the last several years the U.S. government has shut down several times and certain regulatory agencies, such as the FDA and the SEC, have had to furlough critical employees and stop critical activities. If another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228"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51"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Our employees, independent contractors, consultants, commercial collaborators, principal investigators, CROs, suppliers and vendors may engage in fraudulent conduct or other illegal activity. Misconduct by these parties could include intentional, reckless and/or negligent conduct or disclosure of unauthorized activities to us that violates FDA or other comparable regulatory authority regulations, including those laws requiring the reporting of true, complete and accurate information to the FDA or other comparable regulatory authority, manufacturing standards, foreign, federal and state healthcare laws and regulations, and laws that require the true, complete and accurate reporting of financial information or data.</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particular, sales, marketing and business arrangements in the healthcare industry are subject to extensive laws and regulations intended to prevent fraud and abuse, such as the payment of kickbacks in return for business. These laws and regulations may restrict or prohibit a wide range of pricing, discounting, marketing and promotion, sales commission, customer incentive programs and other business arrangements. Misconduct by these parties could also involve the improper use or misrepresentation of individually identifiable information, including, without limitation, information obtained in the course of clinical trials, which could result in regulatory sanctions and serious harm to our reputation. We have adopted a code of business conduct and ethics,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6" w:name="page67"/>
    <w:bookmarkEnd w:id="6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a person or government could allege such fraud or other misconduct, even if none occurred.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imprisonment, exclusion from participation in government healthcare programs, such as Medicare and Medicaid, imprisonment, contractual damages, reputational harm, diminished profits and future earnings, additional reporting requirements and oversight if we become subject to a corporate integrity agreement or similar agreement to resolve allegations of non-compliance with these laws, and the curtailment or restructuring of our operations. Any of these could adversely affect our ability to operate our business and our results of operations.</w:t>
      </w:r>
    </w:p>
    <w:p>
      <w:pPr>
        <w:spacing w:after="0" w:line="231"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our third-party manufacturers or suppliers do not comply with laws regulating the protection of the environment and health and human safety, our business could be affected adversely.</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and any CDMOs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Manufacturing operations for our product candidates involve the use of hazardous and flammable materials, including chemicals and biological materials. These operations also produce hazardous waste products. We or the manufacturers we contract with generally contract with third parties for the disposal of these materials and wastes. We cannot eliminate the risk of contamination or injury from these materials. In the event of contamination or injury resulting from the use of hazardous materials by us or by one of our third party-manufacturers, we could be held liable for any resulting damages or be penalized with fines in an amount exceeding our resources, and our clinical trials or regulatory approvals could be suspended. We and our third-party manufacturers and suppliers cannot eliminate the risk of accidental injury or contamination from these materials or wastes. 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w:t>
      </w:r>
    </w:p>
    <w:p>
      <w:pPr>
        <w:spacing w:after="0" w:line="146"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addition, we and our third-party manufacturers and suppliers may incur substantial costs in order to comply with current or future environmental, health and safety laws and regulations, which may increase the cost of their services to us. These current or future laws and regulations may impair our research, development or production efforts. Failure to comply with these laws and regulations also may result in substantial fines, penalties or other sanctions or liabilities for us or our third-party manufacturers and suppliers, or adversely impact our supply chain or reputation, which could in turn materially adversely affect our business, financial condition, results of operations and prospects.</w:t>
      </w:r>
    </w:p>
    <w:p>
      <w:pPr>
        <w:spacing w:after="0" w:line="226"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insurance policies are expensive and only protect us from some business risks, which will leave us exposed to significant uninsured liabilities.</w:t>
      </w:r>
    </w:p>
    <w:p>
      <w:pPr>
        <w:spacing w:after="0" w:line="39" w:lineRule="exact"/>
        <w:rPr>
          <w:sz w:val="20"/>
          <w:szCs w:val="20"/>
          <w:color w:val="auto"/>
        </w:rPr>
      </w:pPr>
    </w:p>
    <w:p>
      <w:pPr>
        <w:jc w:val="both"/>
        <w:ind w:left="1220" w:right="1239" w:firstLine="333"/>
        <w:spacing w:after="0" w:line="266" w:lineRule="auto"/>
        <w:rPr>
          <w:sz w:val="20"/>
          <w:szCs w:val="20"/>
          <w:color w:val="auto"/>
        </w:rPr>
      </w:pPr>
      <w:r>
        <w:rPr>
          <w:rFonts w:ascii="Times New Roman" w:cs="Times New Roman" w:eastAsia="Times New Roman" w:hAnsi="Times New Roman"/>
          <w:sz w:val="14"/>
          <w:szCs w:val="14"/>
          <w:color w:val="auto"/>
        </w:rPr>
        <w:t>We do not carry insurance for all categories of risk that our business may encounter. Some of the policies we currently maintain include property, general liability, employment directors’ and officers’ and employment practices insurance, however, we may not be able to maintain adequate levels of insurance coverage in the future. Further, an insurance carrier may seek to cancel or deny coverage after a claim has occurred.</w:t>
      </w:r>
    </w:p>
    <w:p>
      <w:pPr>
        <w:spacing w:after="0" w:line="220"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We may engage in strategic transactions that could increase our capital requirements, dilute our stockholders, cause us to incur debt or assume contingent liabilities, subject us to other risks, adversely affect our liquidity, increase our expenses, present significant distractions to our management and harm our financial condition and results of operations.</w:t>
      </w:r>
    </w:p>
    <w:p>
      <w:pPr>
        <w:spacing w:after="0" w:line="56"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From time to time, we may consider strategic transactions, such as acquisitions of companies, asset purchases and strategic partnerships or out-licensing or in-licensing of intellectual property, product candidates or products. Additional potential transactions that we may consider in the future include a variety of business arrangements, including spin-offs, strategic partnerships, joint ventures, restructurings, divestitures, business combinations and</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7" w:name="page68"/>
    <w:bookmarkEnd w:id="6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2" w:lineRule="auto"/>
        <w:rPr>
          <w:sz w:val="20"/>
          <w:szCs w:val="20"/>
          <w:color w:val="auto"/>
        </w:rPr>
      </w:pPr>
      <w:r>
        <w:rPr>
          <w:rFonts w:ascii="Times New Roman" w:cs="Times New Roman" w:eastAsia="Times New Roman" w:hAnsi="Times New Roman"/>
          <w:sz w:val="14"/>
          <w:szCs w:val="14"/>
          <w:color w:val="auto"/>
        </w:rPr>
        <w:t>investments. We may not be able to find suitable partners or acquisition candidates, and we may not be able to complete such transactions on favorable terms, if at all. Any future transactions could increase our near and long-term expenditures, result in potentially dilutive issuances of our equity securities, including our common stock, or the incurrence of debt, contingent liabilities, amortization expenses or acquired in-process research and development expenses, any of which could affect our financial condition, liquidity and results of operations. Future acquisitions may also require us to obtain additional financing, which may not be available on favorable terms or at all. These transactions may never be successful and may require significant time and attention of our management. In addition, the integration of any licensed assets that we may acquire rights to in the future may disrupt our existing business, may cause delays related to the integration of any licensed or acquired assets, and may be a complex, risky and costly endeavor for which we may never realize the full benefits. Furthermore, we may experience losses related to our entry into any licensing or partnerships, including as a result of failure to realize expected benefits or the materialization of unexpected liabilities or risks, which could have a material negative effect on our results of operations and financial condition. Accordingly, although there can be no assurance that we will undertake or successfully complete any additional transactions of the nature described above, any additional transactions that we do complete could have a material adverse effect on our business, results of operations, financial condition and prospects.</w:t>
      </w:r>
    </w:p>
    <w:p>
      <w:pPr>
        <w:spacing w:after="0" w:line="237" w:lineRule="exact"/>
        <w:rPr>
          <w:sz w:val="20"/>
          <w:szCs w:val="20"/>
          <w:color w:val="auto"/>
        </w:rPr>
      </w:pPr>
    </w:p>
    <w:p>
      <w:pPr>
        <w:ind w:left="1220" w:right="125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Business disruptions could seriously harm our future revenue and financial condition and increase our costs and expenses.</w:t>
      </w:r>
    </w:p>
    <w:p>
      <w:pPr>
        <w:spacing w:after="0" w:line="3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Our operations and the operations of our suppliers, CROs, CDMOs and clinical sites could be subject to earthquakes, power shortages, telecommunications or infrastructure failures, cybersecurity incidents, physical security breaches, water shortages, floods, hurricanes, typhoons, blizzards, and other extreme weather conditions, fires, public health pandemics or epidemics and other natural or manmade disasters or business interruptions, for which we are predominantly self-insured. We rely or expect to rely on third-party manufacturers or suppliers to produce our product candidates and their components and on CROs and clinical sites to conduct our clinical trials, and do not currently have a redundant source of supply for all components of our product candidates. Our ability to obtain clinical or, if approved, commercial, supplies of our product candidates or any future product candidates could be disrupted if the operations of these suppliers were affected by a man-made or natural disaster or other business interruption, and our ability to commence, conduct or complete our clinical trials in a timely manner could be similarly adversely affected by any of the foregoing. The occurrence of any of these business disruptions could seriously harm our operations and financial condition and increase our costs and expenses.</w:t>
      </w:r>
    </w:p>
    <w:p>
      <w:pPr>
        <w:spacing w:after="0" w:line="2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Risks Related to This Offering, Ownership of Our Common Stock and Our Status as a Public Company</w:t>
      </w:r>
    </w:p>
    <w:p>
      <w:pPr>
        <w:spacing w:after="0" w:line="91"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There has been no prior public market for our common stock. An active trading market for our common stock may not develop or be sustained.</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The initial public offering price for our common stock was determined through negotiations with the underwriters and may vary from the price of our common stock after the closing of this offering. An active trading market for our shares may never develop or, if it does develop, be sustained following this offering. If an active market for our common stock does not develop or is not sustained, the value of your shares may be impaired, and it may be difficult for you to sell shares you purchased in this offering at an attractive price or at all. An inactive market may also impair our ability to raise capital by selling shares, which in turn could materially adversely affect our business.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8" w:name="page69"/>
    <w:bookmarkEnd w:id="6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Our operating results may fluctuate significantly, which makes our future operating results difficult to predict and could cause our operating results to fall below expectations.</w:t>
      </w:r>
    </w:p>
    <w:p>
      <w:pPr>
        <w:spacing w:after="0" w:line="39"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Our quarterly and annual operating results may fluctuate significantly, which makes it difficult for us to predict our future operating results. These fluctuations may occur due to a variety of factors, many of which are outside of our control, including:</w:t>
      </w:r>
    </w:p>
    <w:p>
      <w:pPr>
        <w:spacing w:after="0" w:line="51" w:lineRule="exact"/>
        <w:rPr>
          <w:sz w:val="20"/>
          <w:szCs w:val="20"/>
          <w:color w:val="auto"/>
        </w:rPr>
      </w:pPr>
    </w:p>
    <w:p>
      <w:pPr>
        <w:ind w:left="1880" w:right="1239" w:hanging="323"/>
        <w:spacing w:after="0" w:line="283" w:lineRule="auto"/>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or failure of clinical trials for our product candidates or competing product candidates or any other change in the competitive landscape of our industry;</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recruit and retain subjects for clinical trials and any delays caused by difficulties in such efforts;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cost of, and level of investment in, research, development, regulatory approvals and commercialization activities relating to our product candidates, which may change from time to time;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 of manufacturing our product candidates, which may vary depending on the quantity of production and the terms of our agreements with manufacturers;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expenditures that we may incur to acquire, develop or commercialize additional product candidates;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demand and the indication for any approved products, which may vary significantly;</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risk/benefit profile, cost, coverage, and reimbursement policies with respect to our product candidates, if approved, and existing and potential future drugs that compete with our product candidates;</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any milestone, royalty or other payments payable by us or due to us under any collaboration, licensing or other agreements; and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market and economic conditions, including market conditions in the pharmaceutical and biotechnology sectors.</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spacing w:after="0" w:line="13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if we have met any previously publicly stated revenue or earnings guidance.</w:t>
      </w:r>
    </w:p>
    <w:p>
      <w:pPr>
        <w:spacing w:after="0" w:line="225"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trading price of the shares of our common stock may be volatile, and purchasers of our common stock could lose all or part of their investment.</w:t>
      </w:r>
    </w:p>
    <w:p>
      <w:pPr>
        <w:spacing w:after="0" w:line="3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market price for our stock is likely to be highly volatile and could be subject to wide fluctuations in response to various factors, some of which we cannot control. The stock market in general and the market for biopharmaceutical companies in particular have experienced extreme price and volume fluctuations that have often been unrelated or disproportionate to the operating performance of particular companies. As a result of this volatility, investors may not be able to sell their common stock at or above the price paid for the shares. These factors include:</w:t>
      </w:r>
    </w:p>
    <w:p>
      <w:pPr>
        <w:spacing w:after="0" w:line="59" w:lineRule="exact"/>
        <w:rPr>
          <w:sz w:val="20"/>
          <w:szCs w:val="20"/>
          <w:color w:val="auto"/>
        </w:rPr>
      </w:pPr>
    </w:p>
    <w:p>
      <w:pPr>
        <w:ind w:left="1880" w:right="1239" w:hanging="323"/>
        <w:spacing w:after="0" w:line="283" w:lineRule="auto"/>
        <w:tabs>
          <w:tab w:leader="none" w:pos="188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commencement, enrollment or results of our current or future clinical trials of our product candidates;</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69" w:name="page70"/>
    <w:bookmarkEnd w:id="6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results from, delays in, suspension or termination of current or future clinical trials or preclinical studies of our product candidates, or any delay in advancing a clinical candidate;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competitive products gaining approvals or announcements by current and future competitors of their product development efforts;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 in our regulatory filings for our product candidates or any other product candidate we may develop, and any adverse development or perceived adverse development with respect to the applicable regulatory authority’s review of such filings;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regulatory decisions, including the failure to authorize or approve the conduct of one or more clinical trials of our product candidates, the failure to receive regulatory approvals of our product candidates, or the failure of a regulatory authority to accept data from clinical trials conducted in other countries;</w:t>
      </w:r>
    </w:p>
    <w:p>
      <w:pPr>
        <w:spacing w:after="0" w:line="56"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reporting of unfavorable preclinical or clinical results;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success or failure to identify, develop, acquire or license additional product candidates;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and rate of physician and market adoption of any of our current and future product candidates, if successfully developed and approved;</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manufacturing, supply or distribution delays or shortages, including our inability to obtain adequate supply of drug product, drug substance, raw materials or any commercially available product to be used in our clinical trials, at acceptable prices, or at all;</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unanticipated serious safety concerns related to the use of our product candidates or any other product candidate;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cash position, and any changes in financial estimates by us or by any equity research analysts who might cover our stock;</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capital structure, such as future issuances of securities and the incurrence of additional debt;</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conditions or trends in our industry;</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investors’ general perception of our company and our business;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overall performance of the equity markets;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market valuations and stock market price and volume fluctuations of comparable companies and, in particular, those that operate in the biopharmaceutical industry;</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publication of research reports about us or our industry or positive or negative recommendations or withdrawal of research coverage by securities analysts;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acquisitions, strategic collaborations, joint ventures, capital commitments or divestitures;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third-party publications and discussions about our business on social media, forums and other websites;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recruitment or departure of key personnel;</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trading volume of our common stock;</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common stock by us or our stockholders in the future;</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disputes or other developments relating to proprietary rights, including patents, litigation matters and our ability to obtain patent protection for our product candidates;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lawsuits, including patent or stockholder litigation;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0" w:name="page71"/>
    <w:bookmarkEnd w:id="7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hanging="323"/>
        <w:spacing w:after="0"/>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structure of healthcare payment systems;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accounting standards, policies, guidelines, interpretations or principles;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and foreign countries;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political and economic conditions;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many of which are beyond our control.</w:t>
      </w:r>
    </w:p>
    <w:p>
      <w:pPr>
        <w:spacing w:after="0" w:line="17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stock market in general, and the market for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The realization of any of the risks described in this section, or any of a broad range of other risks, could have a material adverse impact on the market price of our common stock. In the past, stockholders have initiated class action lawsuits against pharmaceutical and biotechnology companies following periods of volatility in the market prices of these companies’ stock. Such litigation, if instituted, could result in substantial costs and divert management’s attention and resources.</w:t>
      </w:r>
    </w:p>
    <w:p>
      <w:pPr>
        <w:spacing w:after="0" w:line="228"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not be able to satisfy listing requirements of Nasdaq or obtain or maintain a listing of our common stock on Nasdaq.</w:t>
      </w:r>
    </w:p>
    <w:p>
      <w:pPr>
        <w:spacing w:after="0" w:line="3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If our common stock is listed on Nasdaq, we must meet certain financial and liquidity criteria to maintain such listing. If we violate Nasdaq’s listing requirements, our common stock may be delisted. If we fail to meet any of Nasdaq’s listing standards, our common stock may be delisted. In addition, our board of directors may determine that the cost of maintaining our listing on a national securities exchange outweighs the benefits of such listing. A delisting of our common stock from Nasdaq may materially impair our stockholders’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28"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you purchase shares of our common stock in this offering, you will suffer immediate and substantial dilution of your investment.</w:t>
      </w:r>
    </w:p>
    <w:p>
      <w:pPr>
        <w:spacing w:after="0" w:line="3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initial public offering price of our common stock is substantially higher than the net tangible book value per share of our common stock immediately after the completion of this offering. Therefore, if you purchase shares of our common stock in this offering, you will pay a price per share that substantially exceeds our pro forma as adjusted net tangible book value per share after this offering. Based on the initial public offering price of $ per share, which is the midpoint of the price range set forth on the cover of this prospectus, you will experience</w:t>
      </w: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immediate dilution of $ per share, representing the difference between our pro forma as adjusted net tangible book value per share as of December 31, 2025 and the initial public offering price. For a further description of the dilution that you will face immediately after this offering, see “</w:t>
      </w:r>
      <w:r>
        <w:rPr>
          <w:rFonts w:ascii="Times New Roman" w:cs="Times New Roman" w:eastAsia="Times New Roman" w:hAnsi="Times New Roman"/>
          <w:sz w:val="14"/>
          <w:szCs w:val="14"/>
          <w:i w:val="1"/>
          <w:iCs w:val="1"/>
          <w:color w:val="auto"/>
        </w:rPr>
        <w:t>Dilution</w:t>
      </w:r>
      <w:r>
        <w:rPr>
          <w:rFonts w:ascii="Times New Roman" w:cs="Times New Roman" w:eastAsia="Times New Roman" w:hAnsi="Times New Roman"/>
          <w:sz w:val="14"/>
          <w:szCs w:val="14"/>
          <w:color w:val="auto"/>
        </w:rPr>
        <w:t>.”</w:t>
      </w:r>
    </w:p>
    <w:p>
      <w:pPr>
        <w:spacing w:after="0" w:line="225"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A significant portion of our total outstanding shares are restricted from immediate resale but may be sold into the market in the near future. This could cause the market price of our common stock to drop significantly, even if our business is doing well.</w:t>
      </w:r>
    </w:p>
    <w:p>
      <w:pPr>
        <w:spacing w:after="0" w:line="5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 and impair our ability to raise adequate capital through the sale of additional equity or equity-linked securities.</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Upon the closing of this offering, we will have shares of common stock outstanding (or shares if the underwriters exercise their option to purchase additional shares from us in full), based on 483,842,421 shares outstanding as of December 31, 2025 and after giving effect to the automatic conversion of our redeemable convertible preferred stock outstanding immediately prior to this offering into 460,228,341 shares of our common stock. Of these,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1" w:name="page72"/>
    <w:bookmarkEnd w:id="7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the shares sold in this offering will be freely tradable immediately after this offering and substantially all of the additional shares of common stock will be available for sale in the public market beginning 180 days after the date of this prospectus following the expiration of lock-up agreements between our directors, officers, substantially all of our stockholders and the underwriters. The foregoing agreements are subject to certain limited exceptions, and Morgan Stanley &amp; Co. LLC, Jefferies LLC and Evercore Group L.L.C. may release these stockholders from their lock-up agreements with the underwriters at any time and without notice, which would allow for earlier sales of shares in the public market. See “</w:t>
      </w:r>
      <w:r>
        <w:rPr>
          <w:rFonts w:ascii="Times New Roman" w:cs="Times New Roman" w:eastAsia="Times New Roman" w:hAnsi="Times New Roman"/>
          <w:sz w:val="14"/>
          <w:szCs w:val="14"/>
          <w:i w:val="1"/>
          <w:iCs w:val="1"/>
          <w:color w:val="auto"/>
        </w:rPr>
        <w:t>Underwriting</w:t>
      </w:r>
      <w:r>
        <w:rPr>
          <w:rFonts w:ascii="Times New Roman" w:cs="Times New Roman" w:eastAsia="Times New Roman" w:hAnsi="Times New Roman"/>
          <w:sz w:val="14"/>
          <w:szCs w:val="14"/>
          <w:color w:val="auto"/>
        </w:rPr>
        <w:t>.”</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addition, promptly following the effectiveness of the registration statement of which this prospectus forms a part, we intend to file one or more registration statements on Form S-8 under the Securities Act of 1933, as</w:t>
      </w:r>
    </w:p>
    <w:p>
      <w:pPr>
        <w:spacing w:after="0" w:line="1"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amended, or the Securities Act, registering the issuance of shares of common stock subject to options or other equity awards issued or reserved for future issuance under our equity incentive plans. Shares registered under these registration statements on Form S-8 will be available for sale in the public market subject to vesting arrangements and exercise of options, the lock-up agreements described above and the restrictions of Rule 144 in the case of our affiliates.</w:t>
      </w:r>
    </w:p>
    <w:p>
      <w:pPr>
        <w:spacing w:after="0" w:line="14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Additionally, after this offering, the holders of an aggregate of shares of our common stock, or their transferees, will have rights, subject to some conditions, to require us to file one or more registration statements covering their shares or to include their shares in registration statements that we may file for ourselves or other stockholders. If we were to register the resale of these shares, they could be freely sold in the public market. If these additional shares are sold, or if it is perceived that they will be sold, in the public market, the trading price of our common stock could decline.</w:t>
      </w:r>
    </w:p>
    <w:p>
      <w:pPr>
        <w:spacing w:after="0" w:line="225"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5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that will become effective immediately prior to the closing of this offering, and amended and restated bylaws that will become effective upon the effectiveness of the registration statement of which this prospectus forms a part, may significantly reduce the value of our shares to a potential acquirer or make it difficult for a third party to acquire, or attempt to acquire, control of our company, even if a change of control was considered favorable by you and other stockholders. For example, our board of directors will have the authority to issue up to 10,000,000 shares of preferred stock and may fix the price, rights, preferences, privileges, and restrictions of the preferred stock without any further vote or action by our stockholders. The issuance of shares of preferred stock may delay or prevent a change of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4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4"/>
          <w:szCs w:val="14"/>
          <w:color w:val="auto"/>
        </w:rPr>
        <w:t>Our charter documents will also contain other provisions that could have an anti-takeover effect, including:</w:t>
      </w:r>
    </w:p>
    <w:p>
      <w:pPr>
        <w:spacing w:after="0" w:line="91" w:lineRule="exact"/>
        <w:rPr>
          <w:sz w:val="20"/>
          <w:szCs w:val="20"/>
          <w:color w:val="auto"/>
        </w:rPr>
      </w:pPr>
    </w:p>
    <w:p>
      <w:pPr>
        <w:ind w:left="1880" w:hanging="323"/>
        <w:spacing w:after="0"/>
        <w:tabs>
          <w:tab w:leader="none" w:pos="1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only one of our three classes of directors will be elected each year;</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will not be entitled to remove directors other than by a two-thirds (2/3) vote and only for cause;</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will not be permitted to take actions by written consent;</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cannot call a special meeting of stockholders;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stockholders must give advance notice to nominate directors or submit proposals for consideration at stockholder meetings.</w:t>
      </w:r>
    </w:p>
    <w:p>
      <w:pPr>
        <w:spacing w:after="0" w:line="12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2" w:name="page73"/>
    <w:bookmarkEnd w:id="7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7" w:lineRule="auto"/>
        <w:rPr>
          <w:sz w:val="20"/>
          <w:szCs w:val="20"/>
          <w:color w:val="auto"/>
        </w:rPr>
      </w:pPr>
      <w:r>
        <w:rPr>
          <w:rFonts w:ascii="Times New Roman" w:cs="Times New Roman" w:eastAsia="Times New Roman" w:hAnsi="Times New Roman"/>
          <w:sz w:val="14"/>
          <w:szCs w:val="14"/>
          <w:color w:val="auto"/>
        </w:rPr>
        <w:t>others from making tender offers for our common stock, including transactions that may be in your best interests. These provisions may also prevent changes in our management or limit the price that investors are willing to pay for our stock.</w:t>
      </w:r>
    </w:p>
    <w:p>
      <w:pPr>
        <w:spacing w:after="0" w:line="218"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Concentration of ownership of our common stock among our existing executive officers, directors and principal stockholders may prevent new investors from influencing significant corporate decisions.</w:t>
      </w:r>
    </w:p>
    <w:p>
      <w:pPr>
        <w:spacing w:after="0" w:line="3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Following the completion of this offering, our executive officers, directors and current beneficial owners of</w:t>
      </w:r>
    </w:p>
    <w:p>
      <w:pPr>
        <w:spacing w:after="0" w:line="22" w:lineRule="exact"/>
        <w:rPr>
          <w:sz w:val="20"/>
          <w:szCs w:val="20"/>
          <w:color w:val="auto"/>
        </w:rPr>
      </w:pPr>
    </w:p>
    <w:p>
      <w:pPr>
        <w:jc w:val="both"/>
        <w:ind w:left="1220" w:right="1239"/>
        <w:spacing w:after="0" w:line="252" w:lineRule="auto"/>
        <w:rPr>
          <w:sz w:val="20"/>
          <w:szCs w:val="20"/>
          <w:color w:val="auto"/>
        </w:rPr>
      </w:pPr>
      <w:r>
        <w:rPr>
          <w:rFonts w:ascii="Times New Roman" w:cs="Times New Roman" w:eastAsia="Times New Roman" w:hAnsi="Times New Roman"/>
          <w:sz w:val="14"/>
          <w:szCs w:val="14"/>
          <w:color w:val="auto"/>
        </w:rPr>
        <w:t>5% or more of our common stock and their respective affiliates will beneficially own approximately % of our outstanding common stock (assuming no exercise of the underwriters’ option to purchase additional shares and no exercise of outstanding options and without giving effect to (i) any potential purchases by such persons in this offering or (ii) issuance of options to be granted to certain of our employees and non-employee directors upon pricing of this offering). As a result, these persons, acting together, would be able to control all matters requiring stockholder approval, including the election and removal of directors, any merger, consolidation, sale of all or substantially all of our assets, or other significant corporate transactions.</w:t>
      </w:r>
    </w:p>
    <w:p>
      <w:pPr>
        <w:spacing w:after="0" w:line="148"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Some of these persons or entities may have interests different than yours. For example, because many of these stockholders purchased their shares at prices substantially below the current market price of our common stock and have held their shares for a longer period, they may be more interested in selling our company to an acquirer than other investors, or they may want us to pursue strategies that deviate from the interests of other stockholders.</w:t>
      </w:r>
    </w:p>
    <w:p>
      <w:pPr>
        <w:spacing w:after="0" w:line="223"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Participation in this offering by our existing stockholders and their affiliated entities may reduce the public float for our common stock.</w:t>
      </w:r>
    </w:p>
    <w:p>
      <w:pPr>
        <w:spacing w:after="0" w:line="3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principal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225"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will have broad discretion in the use of proceeds from this offering and may invest or spend the proceeds in ways with which you do not agree and in ways that may not increase the value of your investment.</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will have broad discretion over the use of proceeds from this offering, including for any purposes described under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We currently intend to use the net proceeds from this offering, together with our existing cash, cash equivalents and marketable securities to fund the continued development of AP01 and AP02, our two clinical stage programs, and AP03, our preclinical stage program. See the section titled “</w:t>
      </w:r>
      <w:r>
        <w:rPr>
          <w:rFonts w:ascii="Times New Roman" w:cs="Times New Roman" w:eastAsia="Times New Roman" w:hAnsi="Times New Roman"/>
          <w:sz w:val="14"/>
          <w:szCs w:val="14"/>
          <w:i w:val="1"/>
          <w:iCs w:val="1"/>
          <w:color w:val="auto"/>
        </w:rPr>
        <w:t>Use of Proceeds</w:t>
      </w:r>
      <w:r>
        <w:rPr>
          <w:rFonts w:ascii="Times New Roman" w:cs="Times New Roman" w:eastAsia="Times New Roman" w:hAnsi="Times New Roman"/>
          <w:sz w:val="14"/>
          <w:szCs w:val="14"/>
          <w:color w:val="auto"/>
        </w:rPr>
        <w:t>” for additional information. Because of the number and variability of factors that will determine our use of the net proceeds from this offering, their ultimate use may vary substantially from their currently intended use. You may not agree with our decisions, and our use of the proceeds may not yield any return on your investment and the failure by our management to apply these funds effectively could harm our business. Our failure to apply the net proceeds from this offering effectively could compromise our ability to pursue our growth strategy and we might not be able to yield a significant return, if any, on our investment of these net proceeds. You will not have the opportunity to influence our decisions on how to use our net proceeds from this offering.</w:t>
      </w:r>
    </w:p>
    <w:p>
      <w:pPr>
        <w:spacing w:after="0" w:line="226"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Because we do not anticipate paying any cash dividends on our common stock in the foreseeable future, capital appreciation of our common stock, if any, will be your sole source of gains and you may never receive a return on your investment.</w:t>
      </w:r>
    </w:p>
    <w:p>
      <w:pPr>
        <w:spacing w:after="0" w:line="5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and do not anticipate declaring or paying any cash dividends for the foreseeable future. As a result, capital appreciation, if any, of our common stock will be your sole source of gain for</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3" w:name="page74"/>
    <w:bookmarkEnd w:id="7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67" w:lineRule="auto"/>
        <w:rPr>
          <w:sz w:val="20"/>
          <w:szCs w:val="20"/>
          <w:color w:val="auto"/>
        </w:rPr>
      </w:pPr>
      <w:r>
        <w:rPr>
          <w:rFonts w:ascii="Times New Roman" w:cs="Times New Roman" w:eastAsia="Times New Roman" w:hAnsi="Times New Roman"/>
          <w:sz w:val="14"/>
          <w:szCs w:val="14"/>
          <w:color w:val="auto"/>
        </w:rPr>
        <w:t>the foreseeable future. Investors seeking cash dividends should not purchase our common stock. There is no guarantee that shares of our common stock will appreciate in value or even maintain the price at which stockholders have purchased their shares.</w:t>
      </w:r>
    </w:p>
    <w:p>
      <w:pPr>
        <w:spacing w:after="0" w:line="218"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Our bylaws that will become effective upon the effectiveness of the registration statement of which this prospectus forms a part will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56"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Pursuant to our amended and restated bylaws that will become effective upon the effectiveness of the registration statement of which this prospectus forms a part, unless we consent in writing to the selection of an alternative forum, the Court of Chancery of the State of Delaware is the sole and exclusive forum for any state law claims for (i) any derivative action or proceeding brought on our behalf; (ii) any action asserting a claim of or based on a breach of a fiduciary duty owed by any director, officer or other employee of ours to us or our stockholders;</w:t>
      </w:r>
    </w:p>
    <w:p>
      <w:pPr>
        <w:jc w:val="both"/>
        <w:ind w:left="1220" w:right="1239" w:firstLine="4"/>
        <w:spacing w:after="0" w:line="251" w:lineRule="auto"/>
        <w:tabs>
          <w:tab w:leader="none" w:pos="1466"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action asserting a claim pursuant to any provision of the Delaware General Corporation Law, or DGCL, our amended and restated certificate of incorporation or our amended and restated bylaws or as to which the DGCL confers jurisdiction on the Court of Chancery of the State of Delaware; or (iv) any action asserting a claim governed by the internal affairs doctrine, or the Delaware Forum Provision. The Delaware Forum Provision will not apply to any causes of action arising under the Securities Act or the Securities Exchange Act of 1934, as amended, or the Exchange Act. Our amended and restated bylaws further provide that unless we consent in writing to the selection of an alternative forum, the federal district courts of the United States shall be the sole and exclusive forum for resolving any complaint asserting a cause of action arising under the Securities Act, the Exchange Act, the respective rules and regulations promulgated thereunder or the Federal Forum Provision. In addition, our amended and restated bylaws will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federal securities laws and the rules and regulations thereunder.</w:t>
      </w:r>
    </w:p>
    <w:p>
      <w:pPr>
        <w:spacing w:after="0" w:line="15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recognize that the Delaware Forum Provision and the Federal Forum Provision in our amended and restated bylaws may impose additional litigation costs on stockholders in pursuing any such claims, particularly if the stockholders do not reside in or near the State of Delaware. Additionally, the forum selection clauses in our amended and restated bylaws may limit our stockholders’ ability to bring a claim in a judicial forum that they find favorable for disputes with us or our directors, officers or employees, which may discourage the filing of lawsuits against us and our directors, officers and employees, even though an action, if successful, might benefit our stockholders. In addition, while the Delaware Supreme Court and other state courts have upheld the validity of federal forum selection provisions purporting to require claims under the Securities Act be brought in federal court,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228" w:lineRule="exact"/>
        <w:rPr>
          <w:sz w:val="20"/>
          <w:szCs w:val="20"/>
          <w:color w:val="auto"/>
        </w:rPr>
      </w:pPr>
    </w:p>
    <w:p>
      <w:pPr>
        <w:ind w:left="1220" w:right="157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The structure of our common stock may limit your ability to influence corporate matters and may limit your visibility with respect to certain transactions.</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structure of our common stock, which includes a series of non-voting common stock, may also limit your ability to influence corporate matters. Holders of our common stock are entitled to one vote per share, while holders of our non-voting common stock are not entitled to any votes. We do not currently have any shares of non-voting common stock outstanding. Nonetheless, each share of our non-voting common stock may be converted at any time into one share of our common stock at the option of its holder by providing written notice to us, subject to the limitations provided for in our amended and restated certificate of incorporation to become effective upon the completion of this offering. See “Description of Capital Stock—Common Stock and Non-Voting Common Stock.”</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4" w:name="page75"/>
    <w:bookmarkEnd w:id="7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1"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or data, or those of third parties upon which we rely, are or were compromised, or fail, we could experience adverse consequences resulting from such compromise, or failure, including but not limited to regulatory investigations or actions; litigation; fines and penalties; disruptions of our business operations; reputational harm; loss of revenue or profits; and other adverse consequences.</w:t>
      </w:r>
    </w:p>
    <w:p>
      <w:pPr>
        <w:spacing w:after="0" w:line="56"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the ordinary course of our business, we and the third parties upon which we rely, process, collect, receive, store, use, transfer, protect, secure, dispose of, transmit, and share collectively referred to as processing, data and information, including proprietary, confidential, and sensitive data, including personal data (such as health-related data), intellectual property and trade secrets, collectively referred to as sensitive information. The secure processing, maintenance and transmission of sensitive information is critical to our operations. Despite our security measures, our information technology and infrastructure, and that of the third parties upon which we rely, may be vulnerable to attacks by hackers or other third parties or breaches due to employee error, malfeasance or other disruptions.</w:t>
      </w:r>
    </w:p>
    <w:p>
      <w:pPr>
        <w:spacing w:after="0" w:line="14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Cyber-attacks, malicious internet-based activity, online and offline fraud, security breaches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 cyber-attacks, including without limitation nation-state actors for geopolitical reasons and in conjunction with military conflicts and defense activities.</w:t>
      </w:r>
    </w:p>
    <w:p>
      <w:pPr>
        <w:spacing w:after="0" w:line="14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These risks, as well as the number and frequency of cybersecurity events globally, may also be heightened during times of war or other major conflicts. 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attacks), credential harvesting, personnel misconduct or error, ransomware attacks, supply-chain attacks, software bugs, server malfunctions, software, or hardware failures, loss of data or other information technology assets, adware, electrical and telecommunications failures, earthquakes, fires, floods, and other similar threats. In particular, severe ransomware attacks are becoming increasingly prevalent and can lead to significant interruptions in our operations, loss of sensitive data and income, reputational harm and diversion of funds.</w:t>
      </w:r>
    </w:p>
    <w:p>
      <w:pPr>
        <w:spacing w:after="0" w:line="146"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have a hybrid in-office/remote work environment, which, like other companies that have incorporated remote working,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Future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currently rely on third-party service providers and technologies to operate critical business systems to process sensitive information in a variety of contexts, including, without limitation, cloud-based infrastructure, employee email, and other functions. We also currently rely on commercially available tools from third-party service providers to process and safeguard our sensitive information and business data.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5" w:name="page76"/>
    <w:bookmarkEnd w:id="7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Although, to our knowledge, we have not experienced any material security breach to date, we have experienced and may continue to experience threats or system failures which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We have not yet conducted any internal audits or penetration tests on our information technology systems, however, we have enlisted a third-party to conduct security audits or penetration tests on our behalf, and we intend to undertake such testing. Such assessments, when conducted, could indicate vulnerabilities in our information technology systems which we may not be able to effectively remediate. If a security incident were to occur and cause interruptions in our operations, it could result in a material disruption of our product development programs. For example, the loss of clinical trial data from completed or ongoing or planned clinical trials could result in delays in our regulatory approvals efforts and significantly increase our costs to recover or reproduce the data. To the extent that any disruption, security breach, or other incident results in a loss of or damage to our data or applications, other data or applications relating to our technology, or our current or future product candidates, we could incur liabilities and the further development of our current or future product candidates could be compromised or delayed. We may expend significant resources or modify our business activities (including our clinical trial activities) to try to protect against security incidents.</w:t>
      </w:r>
    </w:p>
    <w:p>
      <w:pPr>
        <w:spacing w:after="0" w:line="15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Certain data privacy and security obligations may require us to implement and maintain specific security measures or industry-standard or reasonable security measures to protect our information technology systems and sensitive information. While we have implemented security measures designed to protect against security incidents, there can be no assurance that these measures have been or will be effective. Additionally, certain federal, state and foreign government requirements include obligations of companies to notify individuals of security breaches involving particular categories of personally identifiable information, which could result from breaches experienced by us or the third parties upon whom we rely. Such disclosures are costly, and the disclosure or the failure to comply with such requirements could lead to adverse consequences.</w:t>
      </w:r>
    </w:p>
    <w:p>
      <w:pPr>
        <w:spacing w:after="0" w:line="14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may not be able to detect and remediate vulnerabilities in our information technology systems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 It is not possible to prevent all threats to our information technology systems and those of our third-party service providers, over which we exert less control, and any controls we implement to do so may prove to be ineffective.</w:t>
      </w:r>
    </w:p>
    <w:p>
      <w:pPr>
        <w:spacing w:after="0" w:line="14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interruptions in our operations (including availability of data); financial loss; and other similar harms. Security incidents and attendant consequences may cause delays or disruptions in our clinical trials and development of product candidates, deter customers from using our products, and negatively impact our ability to grow and operate our business.</w:t>
      </w:r>
    </w:p>
    <w:p>
      <w:pPr>
        <w:spacing w:after="0" w:line="14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6" w:name="page77"/>
    <w:bookmarkEnd w:id="7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4"/>
          <w:szCs w:val="14"/>
          <w:b w:val="1"/>
          <w:bCs w:val="1"/>
          <w:i w:val="1"/>
          <w:iCs w:val="1"/>
          <w:color w:val="auto"/>
        </w:rPr>
        <w:t>We are subject to stringent and evolving U.S. laws and regulations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58"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the ordinary course of business, we and the third parties on which we rely process personal data and other sensitive information, including proprietary and confidential business data, trade secrets, intellectual property, data we collect about clinical trial participants and sensitive third-party data. 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4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legislative and regulatory framework for the processing of personal data worldwide is rapidly evolving and is likely to remain uncertain for the foreseeable future. In the U.S., there are numerous federal and state privacy and data security laws and regulations governing the collection, use, disclosure, transfer, security and processing of personal information, including federal and state health information privacy laws, federal and state security breach notification laws, federal and state consumer protection laws (e.g., Section 5 of the Federal Trade Commission Act), and other similar laws (e.g., wiretapping laws). In addition, we may obtain health information from third parties (including research institutions from which we obtain clinical trial data) that are subject to HIPAA, which imposes specific requirements relating to the privacy, security, and transmission of individually identifiable health information. Depending on the facts and circumstances, we could be subject to criminal penalties under certain privacy laws, including under HIPAA, for example, if we knowingly obtain, use or disclose individually identifiable health information maintained by a HIPAA-covered entity in a manner that is not authorized or permitted by HIPAA.</w:t>
      </w:r>
    </w:p>
    <w:p>
      <w:pPr>
        <w:spacing w:after="0" w:line="150"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At the state level, numerous U.S. states have enacted comprehensive privacy laws that impose certain obligations on covered businesses, including providing specific disclosures in privacy notices and affording individuals certain rights concerning their personal data. Similar laws are being considered in several other states, as well as at the federal and local levels, and we expect more states to pass similar laws in the future. While these states exempt some data processed in the context of clinical trials, these developments may further complicate compliance efforts, and increase legal risk and compliance costs for us and the third parties upon whom we rely. Furthermore, other states have proposed or enacted legislation that is focused on more narrow aspects of privacy. For example, a number of states have passed laws that protect biometric information and a smaller number of states have passed or are considering laws that are specifically focused upon health privacy, such as Washington’s My Health My Data Act. The My Health My Data Act imposes new state restrictions and requirements on the processing and sale of consumer health data and creates a private right of action. In addition, all 50 U.S. states and the District of Columbia have enacted breach notification laws that may require us to notify patients, employees or regulators in the event of unauthorized access to or disclosure of personal or confidential information experienced by us or our collaborators or third-party service providers. The effects of state and federal privacy laws are potentially significant and may require us to modify our data processing practices and policies and to incur substantial costs and potential liability in an effort to comply with such legislation.</w:t>
      </w:r>
    </w:p>
    <w:p>
      <w:pPr>
        <w:spacing w:after="0" w:line="155"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Outside the U.S., an increasing number of laws, regulations, and industry standards may govern data privacy and security. For example, in our clinical trials in Europe and/or the UK, our processing of personal data is subject to the European Union’s General Data Protection Regulation, EU GDPR, and/or the United Kingdom’s so-called “UK GDPR,” together, the GDPR. The GDPR is wide-ranging in scope and imposes numerous requirements on companies that are subject to it, including relating to having a legal basis for processing personal data, relating to the processing of sensitive data (such as health data), obtaining consent of the individuals to whom the personal data relates, providing information to individuals regarding data processing activities, implementing safeguards to protect the security and confidentiality of personal data, notification of data breaches, requiring data protection impact assessments for high risk processing and taking certain measures when engaging third-party processors. The GDPR also imposes strict rules on the transfer of personal data to countries outside the European Union and the UK, including the U.S., and permits data protection authorities to impose large penalties for violations of the GDPR, including potential fines of up to €20 million (£17.5 million) or 4% of annual global revenues, whichever is greater. The GDPR also confers a private right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7" w:name="page78"/>
    <w:bookmarkEnd w:id="7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of action on data subjects and consumer associations to lodge complaints with supervisory authorities, seek judicial remedies, and obtain compensation for damages resulting from violations of the GDPR.</w:t>
      </w:r>
    </w:p>
    <w:p>
      <w:pPr>
        <w:spacing w:after="0" w:line="125"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or EEA, and the United Kingdom, or UK, have significantly restricted the transfer of personal data to the U.S. and other countries whose privacy laws it considers inadequate. Other jurisdictions may adopt similarly stringent data localization and cross-border data transfer laws. Although there are currently various mechanisms that may be used to transfer personal data from the EEA and UK to the U.S. in compliance with law, such as the EEA’s standard contractual clauses, the UK’s International Data Transfer Agreement / Addendum, and the EU-U.S. Data Privacy Framework and the UK extension thereto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U.S. If there is no lawful manner for us to transfer personal data from the EEA, the UK or other jurisdictions to the U.S.,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U.S., are subject to increased scrutiny from regulators, individual litigants, and activist groups. Some European regulators have ordered certain companies to suspend or permanently cease certain transfers of personal data out of Europe for allegedly violating the GDPR’s cross-border data transfer limitations.</w:t>
      </w:r>
    </w:p>
    <w:p>
      <w:pPr>
        <w:spacing w:after="0" w:line="150"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Through executive and legislative action, the U.S. federal government has also taken steps to restrict data transactions involving persons affiliated with countries of concern such as China and Russia. For example, Executive Order 14117 on “Preventing Access to Americans’ Bulk Sensitive Personal Data and United States Government-Related Data by Countries of Concern” as implemented by Department of Justice regulations (issued in December 2024, with the final rule effective April 2025) prohibits data brokerage transactions involving certain sensitive personal data categories to countries of concern. The regulations also restrict certain investment agreements, employment agreements and vendor agreements involving such data and countries of concern, absent specified cybersecurity controls. Actual or alleged violations of these regulations may be punishable by criminal and/or civil sanctions. The evolving complexity of privacy and data security legislation in the U.S. may complicate our compliance efforts and further increase our risk of regulatory enforcement, penalties and litigation.</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are also bound by contractual obligations related to data privacy and security, and our efforts to comply with such obligations may not be successful. If any privacy policies, marketing materials and other statements regarding data privacy and security that we publish are found to be deficient, lacking in transparency, deceptive, unfair or misrepresentative of our practices, we may be subject to investigation, enforcement actions by regulators, including the Federal Trade Commission, or other adverse consequences.</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Laws and regulations related to privacy, data protection and security are continuing to evolve and are becoming increasingly stringent. Additionally, these laws may be subject to differing applications and interpretations, which may be inconsistent or conflict among jurisdictions, creating uncertainty. Preparing for and complying with these obligations requires us to devote significant resources, which may necessitate changes to the ways in which we collect and process data, our information technologies, systems and to exercise greater oversight and control over third parties that process personal data on our behalf.</w:t>
      </w:r>
    </w:p>
    <w:p>
      <w:pPr>
        <w:spacing w:after="0" w:line="14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operations. If we or the third parties we rely on fail, or are perceived to have failed, to address or comply with applicable data privacy and security obligations, we may face significant consequences, including but not limited to: government enforcement actions (e.g., investigations, fines,</w:t>
      </w: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8" w:name="page79"/>
    <w:bookmarkEnd w:id="7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5" w:lineRule="auto"/>
        <w:rPr>
          <w:sz w:val="20"/>
          <w:szCs w:val="20"/>
          <w:color w:val="auto"/>
        </w:rPr>
      </w:pPr>
      <w:r>
        <w:rPr>
          <w:rFonts w:ascii="Times New Roman" w:cs="Times New Roman" w:eastAsia="Times New Roman" w:hAnsi="Times New Roman"/>
          <w:sz w:val="14"/>
          <w:szCs w:val="14"/>
          <w:color w:val="auto"/>
        </w:rPr>
        <w:t>penalties, audits, inspections, and similar); litigation (including class-action claims); additional reporting requirements and/or oversight; bans on processing personal data; orders to destroy or not use personal data; and imprisonment of company officials. Any of these events could have a material adverse effect on our reputation, business, or financial condition, including but not limited to: loss of customers; interruptions or stoppages in our business operations (including, as relevant, clinical trials and development of product candidates);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28"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Our use of new and evolving technologies, such as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spacing w:after="0" w:line="5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use of artificial intelligence in our operations and products may introduce new cybersecurity and data privacy risks, including vulnerabilities in artificial intelligence algorithms, unauthorized data access, unintended bias in automated decision-making, potential for artificial intelligence systems to process or generate personal data in ways that violate data privacy regulations, inadvertent exposure of confidential business information or trade secrets, and potential liability for discriminatory outcomes from artificial intelligence systems. In addition, if we enable or use solutions that draw controversy due to perceived or actual negative societal impact or otherwise cause harm, we may experience brand or reputational harm, competitive harm, legal liability, and defensive costs and expenses. These artificial intelligence-related risks may be difficult to detect, prevent, or remediate, and could result in regulatory investigations, fines, litigation, reputational damage, and increased compliance costs as well as impact our financial condition and results of operations.</w:t>
      </w:r>
    </w:p>
    <w:p>
      <w:pPr>
        <w:spacing w:after="0" w:line="14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 growing number of lawmakers are adopting laws and regulations addressing, and have focused enforcement efforts on, the development and adoption of AI technologies and use of such technologies in compliance with ethical standards and societal expectations. In the U.S., several states have passed laws to regulate various uses of AI, including to make consequential decisions, among other requirements, that were set to take effect in 2026. In addition, it is possible that U.S. states and the federal government will adopt new laws and regulations in the near future, and that existing laws and regulations may be interpreted in ways that would affect our business and the ways in which we and our customers use our AI technologies. The Executive Order on Ensuring a National Policy Framework for Artificial Intelligence, which was signed on December 11, 2025, raises significant questions regarding the future of these state laws and it is likely that companies making use of AI technologies will face a uncertain legal framework for the near future,</w:t>
      </w:r>
    </w:p>
    <w:p>
      <w:pPr>
        <w:spacing w:after="0" w:line="14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Outside the U.S., lawmaking and regulation relating to AI is proceeding at a similar pace. In Europe, for example, the EU’s Artificial Intelligence Act, or AI Act, entered into force on August 1, 2024 and, with some exceptions, will begin to apply as of August 2, 2026. This legislation imposes significant obligations on providers and deployers of high-risk AI systems, and encourages providers and deployers of AI systems to account for EU ethical principles in their development and use of these systems. As we continue to develop and use AI systems that are governed by the AI Act or other emerging regulations, it may necessitate ensuring higher standards of data quality, transparency, and human oversight, as well as adhering to specific ethical, accountability, and administrative requirements, some of which may increase our costs and compliance obligations. Further, potential government regulation related to AI use and ethics may also increase the cost of research and development in this area, and failure to properly remediate AI usage or ethics issues may cause public confidence in AI to be undermined, which could slow adoption of AI in our products and services.</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rapid evolution of AI technologies and the applicable regulatory frameworks governing AI will require the application of significant resources to design, develop, test and maintain such systems to help ensure that AI is implemented in a legally compliant and socially responsible manner and to minimize any real or perceived unintended harmful impacts of the use of such technologies. The use of certain AI technologies can also give rise to intellectual property risks, including by disclosing or otherwise compromising our confidential or proprietary intellectual property, or by undermining our ability to assert or defend ownership rights in intellectual property created with the assistance of AI tools. Our vendors may also incorporate AI tools into their offerings, and the providers of these AI tools may not meet existing or rapidly evolving regulatory or industry standards, including with respect to privacy and data</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79" w:name="page80"/>
    <w:bookmarkEnd w:id="7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security. Further, bad actors around the world use increasingly sophisticated methods, including through the use of AI, to engage in illegal activities involving the theft and misuse of personal information, confidential information and intellectual property. Any of these effects could damage our reputation, result in the loss of valuable property and information, cause us to breach applicable laws and regulations, and adversely impact our business.</w:t>
      </w:r>
    </w:p>
    <w:p>
      <w:pPr>
        <w:spacing w:after="0" w:line="223"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governmental export and import controls, economic sanctions, anti-corruption laws and regulations of the U.S. and other jurisdictions. We can face criminal liability and other serious consequences for violations of these laws and regulations, which could harm our business.</w:t>
      </w:r>
    </w:p>
    <w:p>
      <w:pPr>
        <w:spacing w:after="0" w:line="5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are subject to and required to comply with various export control, import and trade and economic sanctions laws and regulations, including the U.S. Export Administration Regulations, U.S. Customs regulations and sanctions regulations administered by the U.S. Treasury Department’s Office of Foreign Assets Controls. These laws may prohibit or restrict our ability to transfer, sell or supply, our products to certain governments, persons, entities, countries, and territories, including those that are the target of comprehensive sanctions or an embargo.</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are also subject to anti-corruption and anti-bribery laws, including the U.S. Foreign Corrupt Practices Act of 1977, as amended, or FCPA, the U.S. domestic bribery statute contained in 18 U.S.C. § 201, the U.S. Travel Act, and other state and national anti-bribery and anti-money laundering laws in the countries in which we conduct activities. Anti-corruption laws, including the FCPA, generally prohibit companies and their employees, agents, CROs, contractors and other partners from offering, promising, giving, soliciting or authorizing others to give or receive anything of value, either directly or indirectly, to or from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We can be held liable for the corrupt or other illegal activities of our employees, agents, CROs,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31"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If we fail to maintain an effective system of internal controls over financial reporting, our ability to produce accurate financial statements on a timely basis could be impaired.</w:t>
      </w:r>
    </w:p>
    <w:p>
      <w:pPr>
        <w:spacing w:after="0" w:line="3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After the closing of this offering, we will be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 over financial reporting.</w:t>
      </w:r>
    </w:p>
    <w:p>
      <w:pPr>
        <w:spacing w:after="0" w:line="14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Commencing with our second annual report on Form 10-K for the fiscal year ending December 31, 2027, we must perform system and process evaluation and testing of our internal control over financial reporting to allow management to report on the effectiveness of our internal control over financial reporting in our Form 10-K filing for that year, as required by Section 404 of the Sarbanes-Oxley Act. This will require that we incur substantial additional professional fees and internal costs to expand our accounting and finance functions and that we expend significant management efforts. Prior to this offering, we have never been required to test our internal control within a specified period, and, as a result, we may experience difficulty in meeting these reporting requirements in a timely manner. In addition, when we lose our status as an “emerging growth company” and if we do not otherwise qualify as a “non-accelerated filer,” our independent registered public accounting firm will be required to attest to the effectiveness of our internal control over financial reporting, which will require additional expense, resources and management commitment.</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may identify material weaknesses in our system of internal controls over financial reporting that could result in a material misstatement of our consolidated financial statements. Our internal control over financial reporting will not prevent or detect all errors and all fraud. A control system, no matter how well designed and operated, can provide only reasonable, not absolute, assurance that the control system’s objectives will be met. Because of the inherent</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0" w:name="page81"/>
    <w:bookmarkEnd w:id="8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limitations in all control systems, no evaluation of controls can provide absolute assurance that misstatements due to error or fraud will not occur or that all control issues and instances of fraud will be detected.</w:t>
      </w:r>
    </w:p>
    <w:p>
      <w:pPr>
        <w:spacing w:after="0" w:line="12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If we are not able to comply with the requirements of Section 404 of the Sarbanes-Oxley Act in a timely manner, or if we are unable to maintain proper and effective internal controls over financial reporting, we may not be able to produce timely and accurate consolidated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Our disclosure controls and procedures may not prevent or detect all errors or acts of fraud.</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Upon completion of this offering, we will become subject to certain reporting requirements of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226"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might not be able to utilize a significant portion of our net operating loss carryforwards, which could harm our profitability.</w:t>
      </w:r>
    </w:p>
    <w:p>
      <w:pPr>
        <w:spacing w:after="0" w:line="3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have generated, and expect to continue to generate, significant federal and state net operating loss, or NOL, carryforwards. As of December 31, 2025, we had federal and state net operating loss carryforwards of $190.3 million and $58.8 million, respectively. Under current tax laws and regulations, these NOL carryforwards could expire unused and be unavailable to offset future income tax liabilities. Under the Tax Cuts and Jobs Act, as modified by the Coronavirus Aid, Relief, and Economic Security Act, federal net operating loss carryforwards, or NOLs, incurred in taxable years beginning after December 31, 2017 generally may be carried forward indefinitely, but the deductibility of such federal NOLs is limited.</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Under Sections 382 and 383 of the Internal Revenue Code of 1986, as amended, or the Code, if a corporation undergoes an “ownership change,” generally defined as a greater than 50 percentage point change (by value) in its equity ownership by one or more “5 percent shareholders” over a three-year period, the corporation’s ability to use its pre-change NOLs and other pre-change tax attributes (such as research and development tax credits) to offset its post-change income or taxes may be limited. A corporation that experiences an ownership change will generally be subject to an annual limitation on the use of its pre-ownership change NOLs equal to the value of the corporation immediately before the ownership change, multiplied by the long-term tax-exempt rate (subject to certain adjustments). We may have experienced ownership changes in the past and may experience ownership changes as a result of this offering and/or subsequent shifts in our stock ownership (some of which are outside our control). There is also a risk that due to regulatory changes, such as suspensions on the use of NOLs by federal or state taxing authorities or other unforeseen reasons, portions of our existing NOLs could expire or otherwise be unavailable to reduce future income tax liabilities. As a result, our ability to use our pre-change NOLs and tax credits to offset future taxable income, if any, or taxes could be subject to limitations. Similar provisions of state tax law may also apply. As a result, even if we attain profitability, we may be unable to use a material portion of our NOLs and tax credits.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Changes in tax law could adversely affect our business and financial condition.</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U.S. federal, state, local, and foreign tax laws, regulations and administrative guidance are subject to change as a result of the legislative process and review and interpretation by the U.S. Internal Revenue Service, or IRS, the U.S. Treasury Department and other taxing authorities. Changes to tax laws (which changes may have retroactive</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1" w:name="page82"/>
    <w:bookmarkEnd w:id="8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application), including with respect to net operating losses and research and development tax credits, could adversely affect us or holders of our common stock. For example, on July 4, 2025, President Donald Trump signed the One Big Beautiful Bill Act into law. Key tax provisions included the restoration of 100% bonus depreciation for certain qualified property, immediate expensing for domestic research and experimental expenditures and the ability to make elective adjustments for prior years, changes to the Section 163(j) interest limitations and updates to net CFC tested income (formerly GILTI) and FDII rules. In recent years, many other similar changes have been made and changes are likely to continue to occur in the future. Future changes in tax laws could have a material adverse effect on our business, financial condition, results of operations, or cash flow. We urge investors to consult with their legal and tax advisers regarding the implications of potential changes in tax laws on an investment in our common stock.</w:t>
      </w:r>
    </w:p>
    <w:p>
      <w:pPr>
        <w:spacing w:after="0" w:line="229" w:lineRule="exact"/>
        <w:rPr>
          <w:sz w:val="20"/>
          <w:szCs w:val="20"/>
          <w:color w:val="auto"/>
        </w:rPr>
      </w:pPr>
    </w:p>
    <w:p>
      <w:pPr>
        <w:jc w:val="both"/>
        <w:ind w:left="1220" w:right="1239"/>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We are eligible to be treated as an “emerging growth company” and a “smaller reporting company” and, as a result of the reduced disclosure and governance requirements applicable to emerging growth companies and smaller reporting companies, our common stock may be less attractive to investors.</w:t>
      </w:r>
    </w:p>
    <w:p>
      <w:pPr>
        <w:spacing w:after="0" w:line="5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are an “emerging growth company” as defined in the Jumpstart Our Business Startups Act of 2012, or the JOBS Act. For as long as we continue to be an emerging growth company, we may take advantage of certain exemptions from reporting requirements that are applicable to other public companies that are not emerging growth companies, including:</w:t>
      </w:r>
    </w:p>
    <w:p>
      <w:pPr>
        <w:spacing w:after="0" w:line="57" w:lineRule="exact"/>
        <w:rPr>
          <w:sz w:val="20"/>
          <w:szCs w:val="20"/>
          <w:color w:val="auto"/>
        </w:rPr>
      </w:pPr>
    </w:p>
    <w:p>
      <w:pPr>
        <w:jc w:val="both"/>
        <w:ind w:left="1880" w:right="1239" w:hanging="323"/>
        <w:spacing w:after="0" w:line="261" w:lineRule="auto"/>
        <w:tabs>
          <w:tab w:leader="none" w:pos="1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the auditor attestation requirements in the assessment of our internal control over financial reporting; providing only two years of audited financial statements in addition to any required unaudited interim financial statements and a correspondingly reduced “Management’s Discussion and Analysis of Financial Condition and Results of Operations” disclosure in this prospectus;</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comply with any requirement that may be adopted by the Public Company Accounting Oversight Board regarding the communication of critical audit matters in the auditor’s report on the financial statements;</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obligations regarding executive compensation in our periodic reports, proxy statements and registration statements; and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 nonbinding advisory vote on executive compensation and stockholder approval of any golden parachute payments not previously approved.</w:t>
      </w:r>
    </w:p>
    <w:p>
      <w:pPr>
        <w:spacing w:after="0" w:line="12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will remain an emerging growth company until the earlier of (1) the last day of the fiscal year (a) following the fifth anniversary of the closing of our initial public offering, (b) in which we have total annual gross revenue of at least $1.235 billion or (c) in which we are deemed to be a large accelerated filer, which means, among other conditions, that the market value of our common stock that is held by non-affiliates exceeds $700 million as of the last business day of our most recently completed second fiscal quarter, and (2) the date on which we have issued more than $1.0 billion in non-convertible debt during the prior three-year period.</w:t>
      </w:r>
    </w:p>
    <w:p>
      <w:pPr>
        <w:spacing w:after="0" w:line="14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Under Section 107(b) of the JOBS Act, emerging growth companies can delay adopting new or revised accounting standards until such time as those standards apply to private companies, and we expect to rely on this exemption. Even after we no longer qualify as an emerging growth company, we may, under certain circumstances, still qualify as a “smaller reporting company,” which would allow us to take advantage of many of the same exemptions from disclosure requirements, including reduced disclosure obligations regarding executive compensation in our periodic reports and proxy statements.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We will incur increased costs and demands upon management as a result of being a public company.</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As a public company, we will incur significant additional legal, accounting and other costs that we did not incur as a private company. We will be subject to the reporting requirements of the Exchange Act, which will require, among other things, that we file with the SEC annual, quarterly and current reports with respect to our business and financial</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2" w:name="page83"/>
    <w:bookmarkEnd w:id="8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condition. In addition, Sarbanes-Oxley, as well as rules subsequently adopted by the SEC and Nasdaq to implement provisions of Sarbanes-Oxley, impose significant requirements on public companies, including requiring establishment and maintenance of effective disclosure and financial controls and certain corporate governance practices. Further, pursuant to the Dodd-Frank Wall Street Reform and Consumer Protection Act of 2010, the SEC has adopted additional rules and regulations in these areas, such as mandatory “say on pay” voting requirements that will apply to us when we cease to be an emerging growth company.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an adverse effect on our business. The increased costs will increase our net loss, and may require us to reduce costs in other areas of our business.</w:t>
      </w:r>
    </w:p>
    <w:p>
      <w:pPr>
        <w:spacing w:after="0" w:line="231"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Unfavorable global economic conditions could adversely affect our business, financial condition or results of operations.</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operations could be adversely affected by general conditions in the global economy and in the global financial markets and uncertainty about economic stability. The global economy and financial markets have experienced extreme volatility and disruptions, including severely diminished liquidity and credit availability, declines in consumer confidence, inflation, declines in economic growth, global supply chain disruptions, and uncertainty about economic stability. The global economy and financial markets may also be adversely affected by the current or anticipated impact of military conflict, terrorism or other geopolitical events, including the ongoing war in Ukraine and the ongoing hostilities in the Middle East as well as the increasingly strained relationship between the U.S. and China. Sanctions or tariffs imposed by the U.S. and other countries in response to such conflicts may adversely impact the financial markets and the global economy, and the economic countermeasures by the affected countries or others could exacerbate market and economic instability.</w:t>
      </w:r>
    </w:p>
    <w:p>
      <w:pPr>
        <w:spacing w:after="0" w:line="146"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There can be no assurance that further deterioration in credit and financial markets and confidence in economic conditions will not occur. A severe or prolonged economic downturn could result in a variety of risks to our business, including weakened demand for any product candidates we may develop and our ability to raise additional capital when needed on acceptable terms, if at all. A weak or declining economy could also strain our suppliers, possibly resulting in supply disruption. If the equity and credit markets deteriorate, it may make any necessary equity or debt financing more difficult, more costly, and more dilutive. Failure to secure any necessary financing in a timely manner and on favorable terms could impair our ability to achieve our growth strategy, could harm our financial performance and stock price and could require us to delay or abandon clinical development plans. In addition, there is a risk that our current or future service providers, manufacturers or other collaborators may not survive such difficult economic times, which could directly affect our ability to attain our operating goals on schedule and on budget. We cannot anticipate all of the ways in which the current economic climate and financial market conditions could adversely impact our business.</w:t>
      </w:r>
    </w:p>
    <w:p>
      <w:pPr>
        <w:spacing w:after="0" w:line="232" w:lineRule="exact"/>
        <w:rPr>
          <w:sz w:val="20"/>
          <w:szCs w:val="20"/>
          <w:color w:val="auto"/>
        </w:rPr>
      </w:pPr>
    </w:p>
    <w:p>
      <w:pPr>
        <w:jc w:val="both"/>
        <w:ind w:left="1220" w:right="123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We may become involved in litigation that could divert management’s attention and harm our business, and insurance coverage may not be sufficient to cover all costs and damages.</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have in the past and may in the future be subject to litigation claims through the ordinary course of our business operations regarding, but not limited to, securities litigation, employment matters, security of patient and employee personal data, contractual relations with collaborators and licensors and intellectual property rights. For example, on June 1, 2017, Genoa, a QoL Healthcare Company, LLC filed a lawsuit against us for trademark infringement which resulted in our company changing its name to the current name. Additionally, from November 2020 through July 2024, Avalyn was involved in a dispute on matters related to a Stock Purchase Agreement that concluded in a confidential settlement agreement. We may be exposed to similar litigation even if no wrongdoing on our part has occurred. Litigation to defend ourselves against claims by third parties, or to enforce any rights that we may have against third parties, could result in substantial costs and diversion of our resources, causing a material adverse effect on our business, financial condition, results of operations or cash flows, and we may not have insurance</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3" w:name="page84"/>
    <w:bookmarkEnd w:id="8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67" w:lineRule="auto"/>
        <w:rPr>
          <w:sz w:val="20"/>
          <w:szCs w:val="20"/>
          <w:color w:val="auto"/>
        </w:rPr>
      </w:pPr>
      <w:r>
        <w:rPr>
          <w:rFonts w:ascii="Times New Roman" w:cs="Times New Roman" w:eastAsia="Times New Roman" w:hAnsi="Times New Roman"/>
          <w:sz w:val="14"/>
          <w:szCs w:val="14"/>
          <w:color w:val="auto"/>
        </w:rPr>
        <w:t>coverage for such claims or our insurance coverage may not adequately cover all costs and damages related to such claims. Moreover, adverse publicity about legal action against us could damage our reputation and brand image, even if the legal action is unfounded or not material to our operations.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381635</wp:posOffset>
            </wp:positionV>
            <wp:extent cx="54857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4" w:name="page85"/>
    <w:bookmarkEnd w:id="8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7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This prospectus contains forward-looking statements about us and our industry that involve substantial risks and uncertainties. All statements other than statements of historical facts contained in this prospectus, including statements regarding our future results of operations and financial position, business strategy, product candidates, planned preclinical studies and clinical trials, results of preclinical studies, clinical trials, research and development costs, regulatory approvals, commercial strategy,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prospectus include, but are not limited to, statements about:</w:t>
      </w:r>
    </w:p>
    <w:p>
      <w:pPr>
        <w:spacing w:after="0" w:line="57" w:lineRule="exact"/>
        <w:rPr>
          <w:sz w:val="20"/>
          <w:szCs w:val="20"/>
          <w:color w:val="auto"/>
        </w:rPr>
      </w:pPr>
    </w:p>
    <w:p>
      <w:pPr>
        <w:ind w:left="1880" w:right="1239" w:hanging="323"/>
        <w:spacing w:after="0" w:line="283" w:lineRule="auto"/>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and results of our current and future research and development programs, preclinical studies and clinical trials;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complete our clinical trials;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advance any product candidates that we may identify and successfully complete any clinical studies, including the manufacture of any such product candidates;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quickly leverage programs within our target indications and to progress additional programs to further develop our pipeline;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prevalence of certain diseases and conditions we intend to treat and the size of the market opportunity for our product candidates;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the number of patients with certain diseases and conditions we intend to treat and the number of patients that we will enroll in our clinical trials;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our clinical trials demonstrating safety and efficacy of our product candidates;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investigational new drug application, or IND, submissions;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strategic plans for our business, programs and technology;</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related to our competitors and our industry;</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leverage the clinical, regulatory, and manufacturing advancements to accelerate our clinical trials and approval of product candidates;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meet future regulatory standards with respect to our product candidates, if approved;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identify and enter into future license agreements and collaborations;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to conduct clinical trials of our product candidates;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third parties for the manufacture of our product candidates and our device related thereto;</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commercialization, marketing and manufacturing capabilities;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period during which we will qualify as an emerging growth company under the JOBS Act or a smaller reporting company;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5" w:name="page86"/>
    <w:bookmarkEnd w:id="8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hanging="323"/>
        <w:spacing w:after="0"/>
        <w:tabs>
          <w:tab w:leader="none" w:pos="18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and management personnel;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cash runway, use of proceeds from this offering, our financial performance, estimates of our expenses, capital requirements, and needs for additional financing.</w:t>
      </w:r>
    </w:p>
    <w:p>
      <w:pPr>
        <w:spacing w:after="0" w:line="125"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until after we distribute this prospectus, whether as a result of any new information, future events or otherwise. Our forward-looking statements do not reflect the potential impact of any future acquisitions, mergers, dispositions, collaborations, joint ventures or investments that we may make or enter into.</w:t>
      </w:r>
    </w:p>
    <w:p>
      <w:pPr>
        <w:spacing w:after="0" w:line="14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6" w:name="page87"/>
    <w:bookmarkEnd w:id="8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estimate that the net proceeds from the sale of our common stock in this offering will be approximately $        million (or approximately $        million if the underwriters exercise their option to purchase additional shares of our common stock in full) based on an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 xml:space="preserve">Each $1.00 increase or decrease in the assumed initial public offering price of $        per share, which is the midpoint of the price range set forth on the cover of this prospectus, would increase or decrease, as applicable, the net proceeds to us from this offering by $        million, assuming the number of shares offered by us, as set forth on the cover page of this prospectus, remains the same, and after deducting the estimated underwriting discounts and commissions and estimated offering expenses payable by us. Similarly, each increase or decrease of 1.0 million shares in the number of shares of common stock offered by us, as set forth on the cover page of this prospectus, would increase or decrease, as applicable, the net proceeds to us from this offering by $       </w:t>
      </w:r>
    </w:p>
    <w:p>
      <w:pPr>
        <w:spacing w:after="0" w:line="4"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million, assuming the assumed initial public offering price of $        per share remains the same, and after deducting the estimated underwriting discounts and commissions and estimated offering expenses payable by us.</w:t>
      </w:r>
    </w:p>
    <w:p>
      <w:pPr>
        <w:spacing w:after="0" w:line="140"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principal purposes of this offering are to create a public market for our common stock and thereby facilitate future access to the public equity markets, increase our visibility in the marketplace, and obtain additional capital to support our operations. We currently intend to use the net proceeds from this offering, together with our existing cash, cash equivalents and marketable securities, as follows:</w:t>
      </w:r>
    </w:p>
    <w:p>
      <w:pPr>
        <w:spacing w:after="0" w:line="57" w:lineRule="exact"/>
        <w:rPr>
          <w:sz w:val="20"/>
          <w:szCs w:val="20"/>
          <w:color w:val="auto"/>
        </w:rPr>
      </w:pPr>
    </w:p>
    <w:p>
      <w:pPr>
        <w:ind w:left="1880" w:right="1239" w:hanging="323"/>
        <w:spacing w:after="0" w:line="283" w:lineRule="auto"/>
        <w:tabs>
          <w:tab w:leader="none" w:pos="18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million to advance development of AP01 through Phase 2b topline data and into Phase 3 development;</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million to advance development of AP02 through Phase 2 topline data and into Phase 3 development;</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approximately $ million to advance development of AP03 through clinical development and Phase 1 topline data; and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remainder for research and development activities for additional programs, working capital and general corporate purposes.</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may use a portion of the remaining net proceeds and our existing cash, cash equivalents and marketable securities to in-license, acquire, or invest in complementary businesses, technologies, products, or assets. However, we have no current commitments, agreements, understandings or obligations to do so.</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believe, based on our current operating plan, that the net proceeds from this offering, together with our</w:t>
      </w:r>
    </w:p>
    <w:p>
      <w:pPr>
        <w:spacing w:after="0" w:line="22" w:lineRule="exact"/>
        <w:rPr>
          <w:sz w:val="20"/>
          <w:szCs w:val="20"/>
          <w:color w:val="auto"/>
        </w:rPr>
      </w:pPr>
    </w:p>
    <w:p>
      <w:pPr>
        <w:ind w:left="1220" w:right="1239"/>
        <w:spacing w:after="0" w:line="256" w:lineRule="auto"/>
        <w:rPr>
          <w:sz w:val="20"/>
          <w:szCs w:val="20"/>
          <w:color w:val="auto"/>
        </w:rPr>
      </w:pPr>
      <w:r>
        <w:rPr>
          <w:rFonts w:ascii="Times New Roman" w:cs="Times New Roman" w:eastAsia="Times New Roman" w:hAnsi="Times New Roman"/>
          <w:sz w:val="14"/>
          <w:szCs w:val="14"/>
          <w:color w:val="auto"/>
        </w:rPr>
        <w:t>existing cash, cash equivalents and marketable securities, will be sufficient to fund our operations through . We have based this estimate on assumptions that may prove to be wrong, and we could use our available capital resources sooner than we currently expect. We do not have any committed external source of funds.</w:t>
      </w:r>
    </w:p>
    <w:p>
      <w:pPr>
        <w:spacing w:after="0" w:line="14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Our expected use of proceeds from this offering along with our existing cash, cash equivalents and marketable securities described above represents our current intentions based on our present plans and business condition. As of the date of this prospectus, we cannot predict with certainty all of the particular uses for the net proceeds to be received upon the completion of this offering or the actual amounts that we will spend on the uses set forth above. We expect that we will require additional funds in order to fully accomplish the specified uses of the proceeds of this offering. The amounts and timing of our actual expenditures will depend on numerous factors, including progress of our research and development, the status of and results from preclinical studies and clinical trials that we are conducting or may conduct in the future, and other factors described in the section titled “Risk Factors,” as well as the amount of cash used in our operations and any unforeseen cash needs. Therefore, our actual expenditures may differ materially from the estimates described above. Moreover, our estimates of the costs to fund our trials are based on the current designs of the trials. If we were to modify the design of any of these trials, for instance, to increase the number of</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7" w:name="page88"/>
    <w:bookmarkEnd w:id="8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patients in the trials, our costs to fund the trials could increase. We may find it necessary or advisable to use the net proceeds for other purposes.</w:t>
      </w:r>
    </w:p>
    <w:p>
      <w:pPr>
        <w:spacing w:after="0" w:line="12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will have broad discretion over how to use the net proceeds to us from this offering and investors will be relying on the judgment of our management regarding the application of the net proceeds. Pending our use of the net proceeds from this offering, we intend to invest the net proceeds in a variety of capital preservation instruments, including short-term and long-term interest-bearing instruments, investment-grade securities, and direct or guaranteed obligations of the U.S. government. We cannot predict whether the proceeds invested will yield a favorable return.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8" w:name="page89"/>
    <w:bookmarkEnd w:id="8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17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do not anticipate declaring or paying, in the foreseeable future, any cash dividends on our capital stock. We intend to retain all available funds and future earnings, if any, to fund the development and expansion of our business.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Investors should not purchase our common stock with the expectation of receiving cash dividends. In addition, our ability to pay cash dividends on our capital stock in the future may be limited by the terms of any future debt or preferred securities we issue or any credit facilities we enter into.</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89" w:name="page90"/>
    <w:bookmarkEnd w:id="8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CAPITALIZATION</w:t>
      </w:r>
    </w:p>
    <w:p>
      <w:pPr>
        <w:spacing w:after="0" w:line="177"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following table sets forth our existing cash, cash equivalents and marketable securities, and our capitalization as of December 31, 2025:</w:t>
      </w:r>
    </w:p>
    <w:p>
      <w:pPr>
        <w:spacing w:after="0" w:line="41" w:lineRule="exact"/>
        <w:rPr>
          <w:sz w:val="20"/>
          <w:szCs w:val="20"/>
          <w:color w:val="auto"/>
        </w:rPr>
      </w:pPr>
    </w:p>
    <w:p>
      <w:pPr>
        <w:ind w:left="1880" w:hanging="323"/>
        <w:spacing w:after="0"/>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 actual basis;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basis, giving effect to, (i) the borrowing of $15.0 million in February 2026 under the Term Loan Facility, (ii) the Preferred Stock Conversion, and (iii) the filing and effectiveness of our amended and restated certificate of incorporation, which will occur immediately prior to the completion of this offering; and</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 pro forma as adjusted basis, giving effect to (i) the pro forma adjustments set forth above and (ii) the issuance and sale of        shares of common stock in this offering at the assumed initial public offering price of $        per share, which is the midpoint of the price range set forth on the cover page of this prospectus, after deducting the estimated underwriting discounts and commissions and estimated offering expenses payable by us.</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pro forma as adjusted information below is illustrative only, and our capitalization following the completion of this offering will be adjusted based on the actual initial public offering price and other terms of this offering determined at pricing. Cash, cash equivalents and marketable securities are not components of our capitalization.</w:t>
      </w:r>
    </w:p>
    <w:p>
      <w:pPr>
        <w:spacing w:after="0" w:line="141"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You should read this information together with our consolidated financial statements and the related notes included elsewhere in this prospectus, and the section titled “Management’s Discussion and Analysis of Financial Condition and Results of Operations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w:t>
      </w:r>
    </w:p>
    <w:p>
      <w:pPr>
        <w:spacing w:after="0" w:line="131"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vMerge w:val="restart"/>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Actual</w:t>
            </w:r>
          </w:p>
        </w:tc>
        <w:tc>
          <w:tcPr>
            <w:tcW w:w="140" w:type="dxa"/>
            <w:vAlign w:val="bottom"/>
            <w:vMerge w:val="restart"/>
          </w:tcPr>
          <w:p>
            <w:pPr>
              <w:spacing w:after="0"/>
              <w:rPr>
                <w:sz w:val="7"/>
                <w:szCs w:val="7"/>
                <w:color w:val="auto"/>
              </w:rPr>
            </w:pPr>
          </w:p>
        </w:tc>
        <w:tc>
          <w:tcPr>
            <w:tcW w:w="9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Pro</w:t>
            </w:r>
          </w:p>
        </w:tc>
        <w:tc>
          <w:tcPr>
            <w:tcW w:w="80" w:type="dxa"/>
            <w:vAlign w:val="bottom"/>
          </w:tcPr>
          <w:p>
            <w:pPr>
              <w:spacing w:after="0"/>
              <w:rPr>
                <w:sz w:val="7"/>
                <w:szCs w:val="7"/>
                <w:color w:val="auto"/>
              </w:rPr>
            </w:pPr>
          </w:p>
        </w:tc>
        <w:tc>
          <w:tcPr>
            <w:tcW w:w="900" w:type="dxa"/>
            <w:vAlign w:val="bottom"/>
          </w:tcPr>
          <w:p>
            <w:pPr>
              <w:jc w:val="right"/>
              <w:ind w:right="67"/>
              <w:spacing w:after="0" w:line="87" w:lineRule="exact"/>
              <w:rPr>
                <w:sz w:val="20"/>
                <w:szCs w:val="20"/>
                <w:color w:val="auto"/>
              </w:rPr>
            </w:pPr>
            <w:r>
              <w:rPr>
                <w:rFonts w:ascii="Times New Roman" w:cs="Times New Roman" w:eastAsia="Times New Roman" w:hAnsi="Times New Roman"/>
                <w:sz w:val="10"/>
                <w:szCs w:val="10"/>
                <w:b w:val="1"/>
                <w:bCs w:val="1"/>
                <w:color w:val="auto"/>
              </w:rPr>
              <w:t>Pro Forma As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Forma(1)</w:t>
            </w:r>
          </w:p>
        </w:tc>
        <w:tc>
          <w:tcPr>
            <w:tcW w:w="80" w:type="dxa"/>
            <w:vAlign w:val="bottom"/>
          </w:tcPr>
          <w:p>
            <w:pPr>
              <w:spacing w:after="0"/>
              <w:rPr>
                <w:sz w:val="11"/>
                <w:szCs w:val="11"/>
                <w:color w:val="auto"/>
              </w:rPr>
            </w:pPr>
          </w:p>
        </w:tc>
        <w:tc>
          <w:tcPr>
            <w:tcW w:w="900" w:type="dxa"/>
            <w:vAlign w:val="bottom"/>
            <w:tcBorders>
              <w:bottom w:val="single" w:sz="8" w:color="auto"/>
            </w:tcBorders>
          </w:tcPr>
          <w:p>
            <w:pPr>
              <w:jc w:val="right"/>
              <w:ind w:right="107"/>
              <w:spacing w:after="0"/>
              <w:rPr>
                <w:sz w:val="20"/>
                <w:szCs w:val="20"/>
                <w:color w:val="auto"/>
              </w:rPr>
            </w:pPr>
            <w:r>
              <w:rPr>
                <w:rFonts w:ascii="Times New Roman" w:cs="Times New Roman" w:eastAsia="Times New Roman" w:hAnsi="Times New Roman"/>
                <w:sz w:val="11"/>
                <w:szCs w:val="11"/>
                <w:b w:val="1"/>
                <w:bCs w:val="1"/>
                <w:color w:val="auto"/>
              </w:rPr>
              <w:t>Adjusted(2)</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920" w:type="dxa"/>
            <w:vAlign w:val="bottom"/>
            <w:gridSpan w:val="3"/>
          </w:tcPr>
          <w:p>
            <w:pPr>
              <w:jc w:val="right"/>
              <w:ind w:right="627"/>
              <w:spacing w:after="0" w:line="87" w:lineRule="exact"/>
              <w:rPr>
                <w:sz w:val="20"/>
                <w:szCs w:val="20"/>
                <w:color w:val="auto"/>
              </w:rPr>
            </w:pPr>
            <w:r>
              <w:rPr>
                <w:rFonts w:ascii="Times New Roman" w:cs="Times New Roman" w:eastAsia="Times New Roman" w:hAnsi="Times New Roman"/>
                <w:sz w:val="10"/>
                <w:szCs w:val="10"/>
                <w:b w:val="1"/>
                <w:bCs w:val="1"/>
                <w:color w:val="auto"/>
              </w:rPr>
              <w:t>(unaudited)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780" w:type="dxa"/>
            <w:vAlign w:val="bottom"/>
            <w:gridSpan w:val="5"/>
          </w:tcPr>
          <w:p>
            <w:pPr>
              <w:jc w:val="center"/>
              <w:ind w:right="107"/>
              <w:spacing w:after="0"/>
              <w:rPr>
                <w:sz w:val="20"/>
                <w:szCs w:val="20"/>
                <w:color w:val="auto"/>
              </w:rPr>
            </w:pPr>
            <w:r>
              <w:rPr>
                <w:rFonts w:ascii="Times New Roman" w:cs="Times New Roman" w:eastAsia="Times New Roman" w:hAnsi="Times New Roman"/>
                <w:sz w:val="11"/>
                <w:szCs w:val="11"/>
                <w:b w:val="1"/>
                <w:bCs w:val="1"/>
                <w:color w:val="auto"/>
              </w:rPr>
              <w:t>(in thousands, except for share data)</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6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marketable securities</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138,359</w:t>
            </w:r>
          </w:p>
        </w:tc>
        <w:tc>
          <w:tcPr>
            <w:tcW w:w="140" w:type="dxa"/>
            <w:vAlign w:val="bottom"/>
            <w:tcBorders>
              <w:right w:val="single" w:sz="8" w:color="CFF0FC"/>
            </w:tcBorders>
            <w:shd w:val="clear" w:color="auto" w:fill="CFF0FC"/>
          </w:tcPr>
          <w:p>
            <w:pPr>
              <w:spacing w:after="0"/>
              <w:rPr>
                <w:sz w:val="18"/>
                <w:szCs w:val="18"/>
                <w:color w:val="auto"/>
              </w:rPr>
            </w:pPr>
          </w:p>
        </w:tc>
        <w:tc>
          <w:tcPr>
            <w:tcW w:w="940" w:type="dxa"/>
            <w:vAlign w:val="bottom"/>
            <w:shd w:val="clear" w:color="auto" w:fill="CFF0FC"/>
          </w:tcPr>
          <w:p>
            <w:pPr>
              <w:jc w:val="right"/>
              <w:ind w:right="781"/>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74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1440" w:type="dxa"/>
            <w:vAlign w:val="bottom"/>
            <w:tcBorders>
              <w:top w:val="single" w:sz="8" w:color="CFF0FC"/>
            </w:tcBorders>
            <w:gridSpan w:val="2"/>
          </w:tcPr>
          <w:p>
            <w:pPr>
              <w:spacing w:after="0" w:line="140" w:lineRule="exact"/>
              <w:rPr>
                <w:sz w:val="20"/>
                <w:szCs w:val="20"/>
                <w:color w:val="auto"/>
              </w:rPr>
            </w:pPr>
            <w:r>
              <w:rPr>
                <w:rFonts w:ascii="Times New Roman" w:cs="Times New Roman" w:eastAsia="Times New Roman" w:hAnsi="Times New Roman"/>
                <w:sz w:val="14"/>
                <w:szCs w:val="14"/>
                <w:color w:val="auto"/>
              </w:rPr>
              <w:t>Term loan</w:t>
            </w:r>
          </w:p>
        </w:tc>
        <w:tc>
          <w:tcPr>
            <w:tcW w:w="660" w:type="dxa"/>
            <w:vAlign w:val="bottom"/>
            <w:tcBorders>
              <w:top w:val="single" w:sz="8" w:color="CFF0FC"/>
            </w:tcBorders>
          </w:tcPr>
          <w:p>
            <w:pPr>
              <w:spacing w:after="0"/>
              <w:rPr>
                <w:sz w:val="12"/>
                <w:szCs w:val="12"/>
                <w:color w:val="auto"/>
              </w:rPr>
            </w:pPr>
          </w:p>
        </w:tc>
        <w:tc>
          <w:tcPr>
            <w:tcW w:w="760" w:type="dxa"/>
            <w:vAlign w:val="bottom"/>
            <w:tcBorders>
              <w:top w:val="single" w:sz="8" w:color="CFF0FC"/>
            </w:tcBorders>
          </w:tcPr>
          <w:p>
            <w:pPr>
              <w:spacing w:after="0"/>
              <w:rPr>
                <w:sz w:val="12"/>
                <w:szCs w:val="12"/>
                <w:color w:val="auto"/>
              </w:rPr>
            </w:pPr>
          </w:p>
        </w:tc>
        <w:tc>
          <w:tcPr>
            <w:tcW w:w="740" w:type="dxa"/>
            <w:vAlign w:val="bottom"/>
            <w:tcBorders>
              <w:top w:val="single" w:sz="8" w:color="CFF0FC"/>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spacing w:after="0" w:line="140"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Borders>
              <w:top w:val="single" w:sz="8" w:color="CFF0FC"/>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gridSpan w:val="6"/>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Convertible preferred stock (Series A, B, C-1, C-2, D), $0.001</w:t>
            </w:r>
          </w:p>
        </w:tc>
        <w:tc>
          <w:tcPr>
            <w:tcW w:w="7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6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color w:val="auto"/>
              </w:rPr>
              <w:t>par value; 462,178,988 shares authorized and 460,228,341</w:t>
            </w:r>
          </w:p>
        </w:tc>
        <w:tc>
          <w:tcPr>
            <w:tcW w:w="7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6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color w:val="auto"/>
              </w:rPr>
              <w:t>shares issued and outstanding, actual; no shares authorized,</w:t>
            </w:r>
          </w:p>
        </w:tc>
        <w:tc>
          <w:tcPr>
            <w:tcW w:w="7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760" w:type="dxa"/>
            <w:vAlign w:val="bottom"/>
            <w:gridSpan w:val="6"/>
            <w:shd w:val="clear" w:color="auto" w:fill="CFF0FC"/>
          </w:tcPr>
          <w:p>
            <w:pPr>
              <w:spacing w:after="0"/>
              <w:rPr>
                <w:sz w:val="20"/>
                <w:szCs w:val="20"/>
                <w:color w:val="auto"/>
              </w:rPr>
            </w:pPr>
            <w:r>
              <w:rPr>
                <w:rFonts w:ascii="Times New Roman" w:cs="Times New Roman" w:eastAsia="Times New Roman" w:hAnsi="Times New Roman"/>
                <w:sz w:val="14"/>
                <w:szCs w:val="14"/>
                <w:color w:val="auto"/>
              </w:rPr>
              <w:t>issued or outstanding, pro forma and pro forma as adjusted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372,221</w:t>
            </w:r>
          </w:p>
        </w:tc>
        <w:tc>
          <w:tcPr>
            <w:tcW w:w="140" w:type="dxa"/>
            <w:vAlign w:val="bottom"/>
            <w:tcBorders>
              <w:right w:val="single" w:sz="8" w:color="CFF0FC"/>
            </w:tcBorders>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Stockholders' (deficit) equity:</w:t>
            </w: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gridSpan w:val="6"/>
            <w:shd w:val="clear" w:color="auto" w:fill="CFF0FC"/>
          </w:tcPr>
          <w:p>
            <w:pPr>
              <w:ind w:left="120"/>
              <w:spacing w:after="0" w:line="153" w:lineRule="exact"/>
              <w:rPr>
                <w:sz w:val="20"/>
                <w:szCs w:val="20"/>
                <w:color w:val="auto"/>
              </w:rPr>
            </w:pPr>
            <w:r>
              <w:rPr>
                <w:rFonts w:ascii="Times New Roman" w:cs="Times New Roman" w:eastAsia="Times New Roman" w:hAnsi="Times New Roman"/>
                <w:sz w:val="14"/>
                <w:szCs w:val="14"/>
                <w:color w:val="auto"/>
              </w:rPr>
              <w:t>Preferred stock, $0.001 par value; no shares authorized,</w:t>
            </w:r>
          </w:p>
        </w:tc>
        <w:tc>
          <w:tcPr>
            <w:tcW w:w="720" w:type="dxa"/>
            <w:vAlign w:val="bottom"/>
            <w:shd w:val="clear" w:color="auto" w:fill="CFF0FC"/>
          </w:tcPr>
          <w:p>
            <w:pPr>
              <w:spacing w:after="0"/>
              <w:rPr>
                <w:sz w:val="13"/>
                <w:szCs w:val="13"/>
                <w:color w:val="auto"/>
              </w:rPr>
            </w:pPr>
          </w:p>
        </w:tc>
        <w:tc>
          <w:tcPr>
            <w:tcW w:w="140" w:type="dxa"/>
            <w:vAlign w:val="bottom"/>
            <w:tcBorders>
              <w:right w:val="single" w:sz="8" w:color="CFF0FC"/>
            </w:tcBorders>
            <w:shd w:val="clear" w:color="auto" w:fill="CFF0FC"/>
          </w:tcPr>
          <w:p>
            <w:pPr>
              <w:spacing w:after="0"/>
              <w:rPr>
                <w:sz w:val="13"/>
                <w:szCs w:val="13"/>
                <w:color w:val="auto"/>
              </w:rPr>
            </w:pPr>
          </w:p>
        </w:tc>
        <w:tc>
          <w:tcPr>
            <w:tcW w:w="9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60" w:type="dxa"/>
            <w:vAlign w:val="bottom"/>
            <w:gridSpan w:val="6"/>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issued or outstanding, actual; 10,000,000 shares</w:t>
            </w:r>
          </w:p>
        </w:tc>
        <w:tc>
          <w:tcPr>
            <w:tcW w:w="7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760" w:type="dxa"/>
            <w:vAlign w:val="bottom"/>
            <w:gridSpan w:val="6"/>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authorized, and no shares issued or outstanding, pro</w:t>
            </w:r>
          </w:p>
        </w:tc>
        <w:tc>
          <w:tcPr>
            <w:tcW w:w="720" w:type="dxa"/>
            <w:vAlign w:val="bottom"/>
            <w:shd w:val="clear" w:color="auto" w:fill="CFF0FC"/>
          </w:tcPr>
          <w:p>
            <w:pPr>
              <w:spacing w:after="0"/>
              <w:rPr>
                <w:sz w:val="14"/>
                <w:szCs w:val="14"/>
                <w:color w:val="auto"/>
              </w:rPr>
            </w:pPr>
          </w:p>
        </w:tc>
        <w:tc>
          <w:tcPr>
            <w:tcW w:w="140" w:type="dxa"/>
            <w:vAlign w:val="bottom"/>
            <w:tcBorders>
              <w:right w:val="single" w:sz="8" w:color="CFF0FC"/>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1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forma and pro forma as adjusted</w:t>
            </w:r>
          </w:p>
        </w:tc>
        <w:tc>
          <w:tcPr>
            <w:tcW w:w="7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6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760" w:type="dxa"/>
            <w:vAlign w:val="bottom"/>
            <w:gridSpan w:val="6"/>
          </w:tcPr>
          <w:p>
            <w:pPr>
              <w:ind w:left="120"/>
              <w:spacing w:after="0" w:line="153" w:lineRule="exact"/>
              <w:rPr>
                <w:sz w:val="20"/>
                <w:szCs w:val="20"/>
                <w:color w:val="auto"/>
              </w:rPr>
            </w:pPr>
            <w:r>
              <w:rPr>
                <w:rFonts w:ascii="Times New Roman" w:cs="Times New Roman" w:eastAsia="Times New Roman" w:hAnsi="Times New Roman"/>
                <w:sz w:val="14"/>
                <w:szCs w:val="14"/>
                <w:color w:val="auto"/>
              </w:rPr>
              <w:t>Common stock, $0.001 par value; 575,000,000 shares</w:t>
            </w: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gridSpan w:val="2"/>
          </w:tcPr>
          <w:p>
            <w:pPr>
              <w:ind w:left="260"/>
              <w:spacing w:after="0"/>
              <w:rPr>
                <w:sz w:val="20"/>
                <w:szCs w:val="20"/>
                <w:color w:val="auto"/>
              </w:rPr>
            </w:pPr>
            <w:r>
              <w:rPr>
                <w:rFonts w:ascii="Times New Roman" w:cs="Times New Roman" w:eastAsia="Times New Roman" w:hAnsi="Times New Roman"/>
                <w:sz w:val="14"/>
                <w:szCs w:val="14"/>
                <w:color w:val="auto"/>
              </w:rPr>
              <w:t>authorized and</w:t>
            </w:r>
          </w:p>
        </w:tc>
        <w:tc>
          <w:tcPr>
            <w:tcW w:w="2320" w:type="dxa"/>
            <w:vAlign w:val="bottom"/>
            <w:gridSpan w:val="4"/>
          </w:tcPr>
          <w:p>
            <w:pPr>
              <w:jc w:val="right"/>
              <w:ind w:right="620"/>
              <w:spacing w:after="0"/>
              <w:rPr>
                <w:sz w:val="20"/>
                <w:szCs w:val="20"/>
                <w:color w:val="auto"/>
              </w:rPr>
            </w:pPr>
            <w:r>
              <w:rPr>
                <w:rFonts w:ascii="Times New Roman" w:cs="Times New Roman" w:eastAsia="Times New Roman" w:hAnsi="Times New Roman"/>
                <w:sz w:val="14"/>
                <w:szCs w:val="14"/>
                <w:color w:val="auto"/>
                <w:w w:val="99"/>
              </w:rPr>
              <w:t>shares issued and outstanding,</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10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actual;    shares authorized,</w:t>
            </w:r>
          </w:p>
        </w:tc>
        <w:tc>
          <w:tcPr>
            <w:tcW w:w="7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issued and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outstanding, pro forma;  shares authorized,  </w:t>
            </w:r>
          </w:p>
        </w:tc>
        <w:tc>
          <w:tcPr>
            <w:tcW w:w="9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shares</w:t>
            </w: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860" w:type="dxa"/>
            <w:vAlign w:val="bottom"/>
            <w:gridSpan w:val="4"/>
          </w:tcPr>
          <w:p>
            <w:pPr>
              <w:ind w:left="260"/>
              <w:spacing w:after="0"/>
              <w:rPr>
                <w:sz w:val="20"/>
                <w:szCs w:val="20"/>
                <w:color w:val="auto"/>
              </w:rPr>
            </w:pPr>
            <w:r>
              <w:rPr>
                <w:rFonts w:ascii="Times New Roman" w:cs="Times New Roman" w:eastAsia="Times New Roman" w:hAnsi="Times New Roman"/>
                <w:sz w:val="14"/>
                <w:szCs w:val="14"/>
                <w:color w:val="auto"/>
              </w:rPr>
              <w:t>issued and outstanding, pro forma as adjusted</w:t>
            </w: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w w:val="98"/>
              </w:rPr>
              <w:t>Additional paid-in capital</w:t>
            </w:r>
          </w:p>
        </w:tc>
        <w:tc>
          <w:tcPr>
            <w:tcW w:w="6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26,548</w:t>
            </w:r>
          </w:p>
        </w:tc>
        <w:tc>
          <w:tcPr>
            <w:tcW w:w="140" w:type="dxa"/>
            <w:vAlign w:val="bottom"/>
            <w:tcBorders>
              <w:right w:val="single" w:sz="8" w:color="CFF0FC"/>
            </w:tcBorders>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86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Accumulated other comprehensive income</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66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6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(265,362)</w:t>
            </w:r>
          </w:p>
        </w:tc>
        <w:tc>
          <w:tcPr>
            <w:tcW w:w="9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440" w:type="dxa"/>
            <w:vAlign w:val="bottom"/>
            <w:shd w:val="clear" w:color="auto" w:fill="CFF0FC"/>
          </w:tcPr>
          <w:p>
            <w:pPr>
              <w:spacing w:after="0" w:line="20" w:lineRule="exact"/>
              <w:rPr>
                <w:sz w:val="1"/>
                <w:szCs w:val="1"/>
                <w:color w:val="auto"/>
              </w:rPr>
            </w:pPr>
          </w:p>
        </w:tc>
        <w:tc>
          <w:tcPr>
            <w:tcW w:w="6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7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2100" w:type="dxa"/>
            <w:vAlign w:val="bottom"/>
            <w:gridSpan w:val="3"/>
          </w:tcPr>
          <w:p>
            <w:pPr>
              <w:spacing w:after="0" w:line="159" w:lineRule="exact"/>
              <w:rPr>
                <w:sz w:val="20"/>
                <w:szCs w:val="20"/>
                <w:color w:val="auto"/>
              </w:rPr>
            </w:pPr>
            <w:r>
              <w:rPr>
                <w:rFonts w:ascii="Times New Roman" w:cs="Times New Roman" w:eastAsia="Times New Roman" w:hAnsi="Times New Roman"/>
                <w:sz w:val="14"/>
                <w:szCs w:val="14"/>
                <w:color w:val="auto"/>
              </w:rPr>
              <w:t>Total stockholders’ (deficit) equity</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(238,656)</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vMerge w:val="continue"/>
          </w:tcPr>
          <w:p>
            <w:pPr>
              <w:spacing w:after="0"/>
              <w:rPr>
                <w:sz w:val="17"/>
                <w:szCs w:val="17"/>
                <w:color w:val="auto"/>
              </w:rPr>
            </w:pPr>
          </w:p>
        </w:tc>
        <w:tc>
          <w:tcPr>
            <w:tcW w:w="144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capitalization</w:t>
            </w:r>
          </w:p>
        </w:tc>
        <w:tc>
          <w:tcPr>
            <w:tcW w:w="6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133,565</w:t>
            </w:r>
          </w:p>
        </w:tc>
        <w:tc>
          <w:tcPr>
            <w:tcW w:w="140" w:type="dxa"/>
            <w:vAlign w:val="bottom"/>
            <w:tcBorders>
              <w:right w:val="single" w:sz="8" w:color="CFF0FC"/>
            </w:tcBorders>
            <w:shd w:val="clear" w:color="auto" w:fill="CFF0FC"/>
          </w:tcPr>
          <w:p>
            <w:pPr>
              <w:spacing w:after="0"/>
              <w:rPr>
                <w:sz w:val="17"/>
                <w:szCs w:val="17"/>
                <w:color w:val="auto"/>
              </w:rPr>
            </w:pPr>
          </w:p>
        </w:tc>
        <w:tc>
          <w:tcPr>
            <w:tcW w:w="940" w:type="dxa"/>
            <w:vAlign w:val="bottom"/>
            <w:shd w:val="clear" w:color="auto" w:fill="CFF0FC"/>
          </w:tcPr>
          <w:p>
            <w:pPr>
              <w:jc w:val="right"/>
              <w:ind w:right="781"/>
              <w:spacing w:after="0" w:line="15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CFF0FC"/>
          </w:tcPr>
          <w:p>
            <w:pPr>
              <w:jc w:val="right"/>
              <w:ind w:right="747"/>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0" w:type="dxa"/>
            <w:vAlign w:val="bottom"/>
            <w:tcBorders>
              <w:top w:val="single" w:sz="8" w:color="CFF0FC"/>
              <w:bottom w:val="single" w:sz="8" w:color="auto"/>
            </w:tcBorders>
          </w:tcPr>
          <w:p>
            <w:pPr>
              <w:spacing w:after="0"/>
              <w:rPr>
                <w:sz w:val="6"/>
                <w:szCs w:val="6"/>
                <w:color w:val="auto"/>
              </w:rPr>
            </w:pPr>
          </w:p>
        </w:tc>
        <w:tc>
          <w:tcPr>
            <w:tcW w:w="440" w:type="dxa"/>
            <w:vAlign w:val="bottom"/>
            <w:tcBorders>
              <w:top w:val="single" w:sz="8" w:color="CFF0FC"/>
            </w:tcBorders>
          </w:tcPr>
          <w:p>
            <w:pPr>
              <w:spacing w:after="0"/>
              <w:rPr>
                <w:sz w:val="6"/>
                <w:szCs w:val="6"/>
                <w:color w:val="auto"/>
              </w:rPr>
            </w:pPr>
          </w:p>
        </w:tc>
        <w:tc>
          <w:tcPr>
            <w:tcW w:w="660" w:type="dxa"/>
            <w:vAlign w:val="bottom"/>
            <w:tcBorders>
              <w:top w:val="single" w:sz="8" w:color="CFF0FC"/>
            </w:tcBorders>
          </w:tcPr>
          <w:p>
            <w:pPr>
              <w:spacing w:after="0"/>
              <w:rPr>
                <w:sz w:val="6"/>
                <w:szCs w:val="6"/>
                <w:color w:val="auto"/>
              </w:rPr>
            </w:pPr>
          </w:p>
        </w:tc>
        <w:tc>
          <w:tcPr>
            <w:tcW w:w="760" w:type="dxa"/>
            <w:vAlign w:val="bottom"/>
            <w:tcBorders>
              <w:top w:val="single" w:sz="8" w:color="CFF0FC"/>
            </w:tcBorders>
          </w:tcPr>
          <w:p>
            <w:pPr>
              <w:spacing w:after="0"/>
              <w:rPr>
                <w:sz w:val="6"/>
                <w:szCs w:val="6"/>
                <w:color w:val="auto"/>
              </w:rPr>
            </w:pPr>
          </w:p>
        </w:tc>
        <w:tc>
          <w:tcPr>
            <w:tcW w:w="740" w:type="dxa"/>
            <w:vAlign w:val="bottom"/>
            <w:tcBorders>
              <w:top w:val="single" w:sz="8" w:color="CFF0FC"/>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20" w:type="dxa"/>
            <w:vAlign w:val="bottom"/>
            <w:tcBorders>
              <w:top w:val="single" w:sz="8" w:color="auto"/>
            </w:tcBorders>
          </w:tcPr>
          <w:p>
            <w:pPr>
              <w:spacing w:after="0"/>
              <w:rPr>
                <w:sz w:val="6"/>
                <w:szCs w:val="6"/>
                <w:color w:val="auto"/>
              </w:rPr>
            </w:pPr>
          </w:p>
        </w:tc>
        <w:tc>
          <w:tcPr>
            <w:tcW w:w="140" w:type="dxa"/>
            <w:vAlign w:val="bottom"/>
            <w:tcBorders>
              <w:top w:val="single" w:sz="8" w:color="CFF0FC"/>
            </w:tcBorders>
          </w:tcPr>
          <w:p>
            <w:pPr>
              <w:spacing w:after="0"/>
              <w:rPr>
                <w:sz w:val="6"/>
                <w:szCs w:val="6"/>
                <w:color w:val="auto"/>
              </w:rPr>
            </w:pPr>
          </w:p>
        </w:tc>
        <w:tc>
          <w:tcPr>
            <w:tcW w:w="940" w:type="dxa"/>
            <w:vAlign w:val="bottom"/>
            <w:tcBorders>
              <w:top w:val="single" w:sz="8" w:color="auto"/>
            </w:tcBorders>
          </w:tcPr>
          <w:p>
            <w:pPr>
              <w:spacing w:after="0"/>
              <w:rPr>
                <w:sz w:val="6"/>
                <w:szCs w:val="6"/>
                <w:color w:val="auto"/>
              </w:rPr>
            </w:pPr>
          </w:p>
        </w:tc>
        <w:tc>
          <w:tcPr>
            <w:tcW w:w="80" w:type="dxa"/>
            <w:vAlign w:val="bottom"/>
            <w:tcBorders>
              <w:top w:val="single" w:sz="8" w:color="CFF0FC"/>
            </w:tcBorders>
          </w:tcPr>
          <w:p>
            <w:pPr>
              <w:spacing w:after="0"/>
              <w:rPr>
                <w:sz w:val="6"/>
                <w:szCs w:val="6"/>
                <w:color w:val="auto"/>
              </w:rPr>
            </w:pPr>
          </w:p>
        </w:tc>
        <w:tc>
          <w:tcPr>
            <w:tcW w:w="90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3637915</wp:posOffset>
            </wp:positionH>
            <wp:positionV relativeFrom="paragraph">
              <wp:posOffset>-2262505</wp:posOffset>
            </wp:positionV>
            <wp:extent cx="40005"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-2249170</wp:posOffset>
            </wp:positionV>
            <wp:extent cx="4000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-2262505</wp:posOffset>
            </wp:positionV>
            <wp:extent cx="6032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-2249170</wp:posOffset>
            </wp:positionV>
            <wp:extent cx="60325"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-320040</wp:posOffset>
            </wp:positionV>
            <wp:extent cx="40005"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-320040</wp:posOffset>
            </wp:positionV>
            <wp:extent cx="60325"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-92710</wp:posOffset>
            </wp:positionV>
            <wp:extent cx="40005"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3637915</wp:posOffset>
            </wp:positionH>
            <wp:positionV relativeFrom="paragraph">
              <wp:posOffset>-79375</wp:posOffset>
            </wp:positionV>
            <wp:extent cx="4000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-92710</wp:posOffset>
            </wp:positionV>
            <wp:extent cx="6032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032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-79375</wp:posOffset>
            </wp:positionV>
            <wp:extent cx="6032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6985"/>
                    </a:xfrm>
                    <a:prstGeom prst="rect">
                      <a:avLst/>
                    </a:prstGeom>
                    <a:noFill/>
                  </pic:spPr>
                </pic:pic>
              </a:graphicData>
            </a:graphic>
          </wp:anchor>
        </w:drawing>
      </w:r>
    </w:p>
    <w:p>
      <w:pPr>
        <w:jc w:val="both"/>
        <w:ind w:left="1560" w:right="1239" w:hanging="336"/>
        <w:spacing w:after="0" w:line="267" w:lineRule="auto"/>
        <w:tabs>
          <w:tab w:leader="none" w:pos="156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$1.00 increase or decrease, as applicable, in the assumed initial public offering price of $        per share, which is the midpoint of the price range set forth on the cover page of this prospectus, would increase or decrease, as applicable, the pro forma as adjusted amount of each of cash, cash equivalents and marketable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0" w:name="page91"/>
    <w:bookmarkEnd w:id="9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1560" w:right="1239"/>
        <w:spacing w:after="0" w:line="254" w:lineRule="auto"/>
        <w:rPr>
          <w:sz w:val="20"/>
          <w:szCs w:val="20"/>
          <w:color w:val="auto"/>
        </w:rPr>
      </w:pPr>
      <w:r>
        <w:rPr>
          <w:rFonts w:ascii="Times New Roman" w:cs="Times New Roman" w:eastAsia="Times New Roman" w:hAnsi="Times New Roman"/>
          <w:sz w:val="14"/>
          <w:szCs w:val="14"/>
          <w:color w:val="auto"/>
        </w:rPr>
        <w:t>securities, additional paid-in capital, total stockholders’ equity and total capitalization by $        million, assuming that the number of shares of common stock offered by us, as set forth on the cover page of this prospectus, remains the same and after deducting the estimated underwriting discounts and commissions and estimated offering expenses payable by us. Similarly, each increase or decrease, as applicable, of 1.0 million shares in the number of shares of common stock offered by us would increase or decrease, as applicable the pro forma as adjusted amount of each of cash, cash equivalents and marketable securities, additional paid-in capital, total stockholders’ equity and total capitalization by $        million, assuming no change in the assumed initial public offering price per share, and after deducting the estimated underwriting discounts and commissions and estimated offering expenses payable by us.</w:t>
      </w:r>
    </w:p>
    <w:p>
      <w:pPr>
        <w:spacing w:after="0" w:line="149"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after this offering on a pro forma and pro forma as adjusted basis is based on 483,842,421 shares of common stock outstanding as of December 31, 2025, after giving effect to the Preferred Stock Conversion, and excludes:</w:t>
      </w:r>
    </w:p>
    <w:p>
      <w:pPr>
        <w:spacing w:after="0" w:line="51" w:lineRule="exact"/>
        <w:rPr>
          <w:sz w:val="20"/>
          <w:szCs w:val="20"/>
          <w:color w:val="auto"/>
        </w:rPr>
      </w:pPr>
    </w:p>
    <w:p>
      <w:pPr>
        <w:ind w:left="1880" w:right="1239" w:hanging="323"/>
        <w:spacing w:after="0" w:line="283" w:lineRule="auto"/>
        <w:tabs>
          <w:tab w:leader="none" w:pos="18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5,269,073 shares of common stock issuable upon exercise of outstanding stock options as of December 31, 2025 under our 2012 Plan with a weighted-average exercise price of $0.28 per share;</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73,410,032 shares of common stock issuable upon exercise of outstanding stock options as of December 31, 2025 under our 2022 Plan with a weighted-average exercise price of $0.25 per share and 7,051,652 shares of common stock issuable upon exercise of outstanding stock options granted after December 31, 2025 pursuant to our 2022 Plan, with a weighted-average exercise price of $0.43 per share;</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4,287,641 shares of common stock issuable upon the exercise of a warrant to purchase shares of common stock outstanding as of December 31, 2025, which warrant shall become exercisable upon completion of the offering, with an exercise price of $0.29 per share;</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432,939 shares of common stock issuable upon the exercise of a warrant to purchase shares of common stock issued subsequent to December 31, 2025, with an exercise price of $0.51 per share;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941,150 shares of common stock reserved for future issuance as of December 31, 2025 under the 2022 Plan, which will cease to be available for issuance at the time that our 2026 Plan becomes effective;</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57" w:lineRule="auto"/>
        <w:tabs>
          <w:tab w:leader="none" w:pos="236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 that will become available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2012 Plan and 2022 Plan that expire or are repurchased, forfeited, cancelled, or withheld; and</w:t>
      </w:r>
    </w:p>
    <w:p>
      <w:pPr>
        <w:spacing w:after="0" w:line="58"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2675"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1" w:name="page92"/>
    <w:bookmarkEnd w:id="9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DILUTION</w:t>
      </w:r>
    </w:p>
    <w:p>
      <w:pPr>
        <w:spacing w:after="0" w:line="17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3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historical net tangible book value (deficit) as of December 31, 2025 was $(238.9) million, or $(10.12) per share of our common stock. Our historical net tangible book value (deficit) represents the amount of our total tangible assets (excluding deferred offering costs) less our total liabilities and the carrying value of our convertible preferred stock, which is not included within stockholders’ deficit. Historical net tangible book value (deficit) per share represents historical net tangible book value (deficit) divided by 23,614,080 shares of our common stock outstanding as of December 31, 2025.</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pro forma net tangible book value (deficit) as of December 31, 2025 was $ million, or $  per share. Pro forma net tangible book value (deficit) per share represents the amount of our total tangible assets less our total liabilities, divided by the number of shares of our common stock as of December 31, 2025, after giving effect to (i) the borrowing of $15.0 million in February 2026 under the Term Loan Facility, (ii) the Preferred Stock Conversion, and (iii) the filing and effectiveness of our amended and restated certificate of incorporation, which will occur immediately prior to the completion of this offering. Pro forma net tangible book value (deficit) per share represents pro forma net tangible book value (deficit) divided by the total number of shares outstanding as of December 31, 2025, after giving effect to the pro forma adjustments described above.</w:t>
      </w:r>
    </w:p>
    <w:p>
      <w:pPr>
        <w:spacing w:after="0" w:line="14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After giving further effect to the issuance and sale of        shares of common stock that we are offering at the assumed initial public offering price of $  per share, which is the midpoint of the price range set forth on the cover page of this prospectus, and after deducting the estimated underwriting discounts and commissions and estimated offering expenses payable by us, our pro forma as adjusted net tangible book value (deficit) as of</w:t>
      </w:r>
    </w:p>
    <w:tbl>
      <w:tblPr>
        <w:tblLayout w:type="fixed"/>
        <w:tblInd w:w="1220" w:type="dxa"/>
        <w:tblCellMar>
          <w:top w:w="0" w:type="dxa"/>
          <w:left w:w="0" w:type="dxa"/>
          <w:bottom w:w="0" w:type="dxa"/>
          <w:right w:w="0" w:type="dxa"/>
        </w:tblCellMar>
      </w:tblPr>
      <w:tr>
        <w:trPr>
          <w:trHeight w:val="154"/>
        </w:trPr>
        <w:tc>
          <w:tcPr>
            <w:tcW w:w="4280" w:type="dxa"/>
            <w:vAlign w:val="bottom"/>
          </w:tcPr>
          <w:p>
            <w:pPr>
              <w:spacing w:after="0" w:line="154" w:lineRule="exact"/>
              <w:rPr>
                <w:sz w:val="20"/>
                <w:szCs w:val="20"/>
                <w:color w:val="auto"/>
              </w:rPr>
            </w:pPr>
            <w:r>
              <w:rPr>
                <w:rFonts w:ascii="Times New Roman" w:cs="Times New Roman" w:eastAsia="Times New Roman" w:hAnsi="Times New Roman"/>
                <w:sz w:val="14"/>
                <w:szCs w:val="14"/>
                <w:color w:val="auto"/>
              </w:rPr>
              <w:t xml:space="preserve">December 31, 2025 would have been $            million, or $          </w:t>
            </w:r>
          </w:p>
        </w:tc>
        <w:tc>
          <w:tcPr>
            <w:tcW w:w="660" w:type="dxa"/>
            <w:vAlign w:val="bottom"/>
          </w:tcPr>
          <w:p>
            <w:pPr>
              <w:ind w:left="40"/>
              <w:spacing w:after="0" w:line="154" w:lineRule="exact"/>
              <w:rPr>
                <w:sz w:val="20"/>
                <w:szCs w:val="20"/>
                <w:color w:val="auto"/>
              </w:rPr>
            </w:pPr>
            <w:r>
              <w:rPr>
                <w:rFonts w:ascii="Times New Roman" w:cs="Times New Roman" w:eastAsia="Times New Roman" w:hAnsi="Times New Roman"/>
                <w:sz w:val="14"/>
                <w:szCs w:val="14"/>
                <w:color w:val="auto"/>
              </w:rPr>
              <w:t>per share.</w:t>
            </w:r>
          </w:p>
        </w:tc>
        <w:tc>
          <w:tcPr>
            <w:tcW w:w="320" w:type="dxa"/>
            <w:vAlign w:val="bottom"/>
          </w:tcPr>
          <w:p>
            <w:pPr>
              <w:ind w:left="40"/>
              <w:spacing w:after="0" w:line="154" w:lineRule="exact"/>
              <w:rPr>
                <w:sz w:val="20"/>
                <w:szCs w:val="20"/>
                <w:color w:val="auto"/>
              </w:rPr>
            </w:pPr>
            <w:r>
              <w:rPr>
                <w:rFonts w:ascii="Times New Roman" w:cs="Times New Roman" w:eastAsia="Times New Roman" w:hAnsi="Times New Roman"/>
                <w:sz w:val="14"/>
                <w:szCs w:val="14"/>
                <w:color w:val="auto"/>
              </w:rPr>
              <w:t>This</w:t>
            </w:r>
          </w:p>
        </w:tc>
        <w:tc>
          <w:tcPr>
            <w:tcW w:w="520" w:type="dxa"/>
            <w:vAlign w:val="bottom"/>
            <w:gridSpan w:val="2"/>
          </w:tcPr>
          <w:p>
            <w:pPr>
              <w:ind w:left="40"/>
              <w:spacing w:after="0" w:line="154" w:lineRule="exact"/>
              <w:rPr>
                <w:sz w:val="20"/>
                <w:szCs w:val="20"/>
                <w:color w:val="auto"/>
              </w:rPr>
            </w:pPr>
            <w:r>
              <w:rPr>
                <w:rFonts w:ascii="Times New Roman" w:cs="Times New Roman" w:eastAsia="Times New Roman" w:hAnsi="Times New Roman"/>
                <w:sz w:val="14"/>
                <w:szCs w:val="14"/>
                <w:color w:val="auto"/>
              </w:rPr>
              <w:t>amount</w:t>
            </w:r>
          </w:p>
        </w:tc>
        <w:tc>
          <w:tcPr>
            <w:tcW w:w="780" w:type="dxa"/>
            <w:vAlign w:val="bottom"/>
          </w:tcPr>
          <w:p>
            <w:pPr>
              <w:jc w:val="right"/>
              <w:spacing w:after="0" w:line="154" w:lineRule="exact"/>
              <w:rPr>
                <w:sz w:val="20"/>
                <w:szCs w:val="20"/>
                <w:color w:val="auto"/>
              </w:rPr>
            </w:pPr>
            <w:r>
              <w:rPr>
                <w:rFonts w:ascii="Times New Roman" w:cs="Times New Roman" w:eastAsia="Times New Roman" w:hAnsi="Times New Roman"/>
                <w:sz w:val="14"/>
                <w:szCs w:val="14"/>
                <w:color w:val="auto"/>
              </w:rPr>
              <w:t>represents an</w:t>
            </w: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immediate increase in pro forma net tangible book value (deficit) of</w:t>
            </w:r>
          </w:p>
        </w:tc>
        <w:tc>
          <w:tcPr>
            <w:tcW w:w="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 xml:space="preserve">$          </w:t>
            </w:r>
          </w:p>
        </w:tc>
        <w:tc>
          <w:tcPr>
            <w:tcW w:w="3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per</w:t>
            </w:r>
          </w:p>
        </w:tc>
        <w:tc>
          <w:tcPr>
            <w:tcW w:w="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w:t>
            </w:r>
          </w:p>
        </w:tc>
        <w:tc>
          <w:tcPr>
            <w:tcW w:w="18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91"/>
              </w:rPr>
              <w:t>to</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our existing</w:t>
            </w:r>
          </w:p>
        </w:tc>
      </w:tr>
      <w:tr>
        <w:trPr>
          <w:trHeight w:val="168"/>
        </w:trPr>
        <w:tc>
          <w:tcPr>
            <w:tcW w:w="5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stockholders and an immediate dilution in pro forma net tangible book value (deficit) of $    </w:t>
            </w:r>
          </w:p>
        </w:tc>
        <w:tc>
          <w:tcPr>
            <w:tcW w:w="3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per share to new</w:t>
            </w:r>
          </w:p>
        </w:tc>
      </w:tr>
      <w:tr>
        <w:trPr>
          <w:trHeight w:val="183"/>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investors purchasing shares of common stock in this offering.</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tcPr>
          <w:p>
            <w:pPr>
              <w:spacing w:after="0"/>
              <w:rPr>
                <w:sz w:val="15"/>
                <w:szCs w:val="15"/>
                <w:color w:val="auto"/>
              </w:rPr>
            </w:pPr>
          </w:p>
        </w:tc>
      </w:tr>
    </w:tbl>
    <w:p>
      <w:pPr>
        <w:spacing w:after="0" w:line="15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Dilution per share to new investors is determined by subtracting pro forma as adjusted net tangible book value (deficit) per share after this offering from the initial public offering price per share paid by new investors. The following table illustrates this dilution (without giving effect to any exercise by the underwriters of their option to purchase additional shares):</w:t>
      </w:r>
    </w:p>
    <w:p>
      <w:pPr>
        <w:spacing w:after="0" w:line="176" w:lineRule="exact"/>
        <w:rPr>
          <w:sz w:val="20"/>
          <w:szCs w:val="20"/>
          <w:color w:val="auto"/>
        </w:rPr>
      </w:pPr>
    </w:p>
    <w:tbl>
      <w:tblPr>
        <w:tblLayout w:type="fixed"/>
        <w:tblInd w:w="1220" w:type="dxa"/>
        <w:tblCellMar>
          <w:top w:w="0" w:type="dxa"/>
          <w:left w:w="0" w:type="dxa"/>
          <w:bottom w:w="0" w:type="dxa"/>
          <w:right w:w="0" w:type="dxa"/>
        </w:tblCellMar>
      </w:tblPr>
      <w:tr>
        <w:trPr>
          <w:trHeight w:val="168"/>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initial public offering price per share</w:t>
            </w:r>
          </w:p>
        </w:tc>
        <w:tc>
          <w:tcPr>
            <w:tcW w:w="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3"/>
            <w:shd w:val="clear" w:color="auto" w:fill="CCEEFF"/>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Historical net tangible book value (deficit) per share as of December 31, 2025</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(10.12)</w:t>
            </w:r>
          </w:p>
        </w:tc>
        <w:tc>
          <w:tcPr>
            <w:tcW w:w="680" w:type="dxa"/>
            <w:vAlign w:val="bottom"/>
          </w:tcPr>
          <w:p>
            <w:pPr>
              <w:spacing w:after="0"/>
              <w:rPr>
                <w:sz w:val="14"/>
                <w:szCs w:val="14"/>
                <w:color w:val="auto"/>
              </w:rPr>
            </w:pPr>
          </w:p>
        </w:tc>
      </w:tr>
      <w:tr>
        <w:trPr>
          <w:trHeight w:val="153"/>
        </w:trPr>
        <w:tc>
          <w:tcPr>
            <w:tcW w:w="486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Increase per share as of December 31, 2025 attributable to the pro forma</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83"/>
        </w:trPr>
        <w:tc>
          <w:tcPr>
            <w:tcW w:w="4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adjustment described above</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r>
      <w:tr>
        <w:trPr>
          <w:trHeight w:val="169"/>
        </w:trPr>
        <w:tc>
          <w:tcPr>
            <w:tcW w:w="4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Pro forma net tangible book value (deficit) per share as of December 31, 2025</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54"/>
        </w:trPr>
        <w:tc>
          <w:tcPr>
            <w:tcW w:w="4860" w:type="dxa"/>
            <w:vAlign w:val="bottom"/>
            <w:shd w:val="clear" w:color="auto" w:fill="CFF0FC"/>
          </w:tcPr>
          <w:p>
            <w:pPr>
              <w:ind w:left="260"/>
              <w:spacing w:after="0" w:line="153" w:lineRule="exact"/>
              <w:rPr>
                <w:sz w:val="20"/>
                <w:szCs w:val="20"/>
                <w:color w:val="auto"/>
              </w:rPr>
            </w:pPr>
            <w:r>
              <w:rPr>
                <w:rFonts w:ascii="Times New Roman" w:cs="Times New Roman" w:eastAsia="Times New Roman" w:hAnsi="Times New Roman"/>
                <w:sz w:val="14"/>
                <w:szCs w:val="14"/>
                <w:color w:val="auto"/>
              </w:rPr>
              <w:t>Increase in pro forma as adjusted net tangible book value (deficit) per share</w:t>
            </w:r>
          </w:p>
        </w:tc>
        <w:tc>
          <w:tcPr>
            <w:tcW w:w="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r>
      <w:tr>
        <w:trPr>
          <w:trHeight w:val="183"/>
        </w:trPr>
        <w:tc>
          <w:tcPr>
            <w:tcW w:w="4860" w:type="dxa"/>
            <w:vAlign w:val="bottom"/>
            <w:shd w:val="clear" w:color="auto" w:fill="CFF0FC"/>
          </w:tcPr>
          <w:p>
            <w:pPr>
              <w:ind w:left="360"/>
              <w:spacing w:after="0"/>
              <w:rPr>
                <w:sz w:val="20"/>
                <w:szCs w:val="20"/>
                <w:color w:val="auto"/>
              </w:rPr>
            </w:pPr>
            <w:r>
              <w:rPr>
                <w:rFonts w:ascii="Times New Roman" w:cs="Times New Roman" w:eastAsia="Times New Roman" w:hAnsi="Times New Roman"/>
                <w:sz w:val="14"/>
                <w:szCs w:val="14"/>
                <w:color w:val="auto"/>
              </w:rPr>
              <w:t>attributable to new investors participating in this offering</w:t>
            </w:r>
          </w:p>
        </w:tc>
        <w:tc>
          <w:tcPr>
            <w:tcW w:w="120" w:type="dxa"/>
            <w:vAlign w:val="bottom"/>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580" w:type="dxa"/>
            <w:vAlign w:val="bottom"/>
            <w:tcBorders>
              <w:bottom w:val="single" w:sz="8" w:color="auto"/>
            </w:tcBorders>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r>
      <w:tr>
        <w:trPr>
          <w:trHeight w:val="169"/>
        </w:trPr>
        <w:tc>
          <w:tcPr>
            <w:tcW w:w="486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4"/>
                <w:szCs w:val="14"/>
                <w:color w:val="auto"/>
              </w:rPr>
              <w:t>Pro forma as adjusted net tangible book value (deficit) per share after this offering</w:t>
            </w:r>
          </w:p>
        </w:tc>
        <w:tc>
          <w:tcPr>
            <w:tcW w:w="1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5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169"/>
        </w:trPr>
        <w:tc>
          <w:tcPr>
            <w:tcW w:w="48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Dilution per share to new investors participating in this offering</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320" w:type="dxa"/>
            <w:vAlign w:val="bottom"/>
            <w:gridSpan w:val="3"/>
            <w:shd w:val="clear" w:color="auto" w:fill="CFF0FC"/>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4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dilution information discussed above is illustrative only and may change based on the actual initial public offering price and other terms of this offering. Each $1.00 increase or decrease, as applicable, in the assumed initial public offering price of $        per share, which is the midpoint of the price range set forth on the cover page of this prospectus, would increase or decrease, as applicable, the pro forma as adjusted net tangible book value per share after this offering by $        , and dilution per share to new investors purchasing common stock in this offering by $        , assuming that the number of shares of common stock offered by us, as set forth on the cover page of this prospectus, remains the same and after deducting the estimated underwriting discounts and commissions and estimated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2" w:name="page93"/>
    <w:bookmarkEnd w:id="9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4"/>
          <w:szCs w:val="14"/>
          <w:color w:val="auto"/>
        </w:rPr>
        <w:t>offering expenses payable by us. Similarly, each increase or decrease, as applicable, of 1.0 million shares in the number of shares of common stock offered by us would increase or decrease, as applicable, our pro forma as adjusted net tangible book value (deficit) per share after this offering by $        per share, in each case, and increase or decrease, as applicable, the dilution to investors participating in this offering by $        per share, assuming no change in the assumed initial public offering price, and after deducting the estimated underwriting discounts and commissions and estimated offering expenses payable by us.</w:t>
      </w:r>
    </w:p>
    <w:p>
      <w:pPr>
        <w:spacing w:after="0" w:line="14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 xml:space="preserve">If the underwriters exercise their option to purchase additional shares of our common stock in full, our pro forma as adjusted net tangible book value (deficit) after the offering would be $        per share, representing an immediate increase in pro forma as adjusted net tangible book value (deficit) of $        per share to existing stockholders and immediate dilution in pro forma as adjusted net tangible book value (deficit) dilution of $       </w:t>
      </w:r>
    </w:p>
    <w:p>
      <w:pPr>
        <w:spacing w:after="0" w:line="1"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per share to new investors, in each case assuming an initial public offering price of $        per share, which is the midpoint of the price range set forth on the cover page of this prospectus, and after deducting the estimated underwriting discounts and commissions and estimated offering expenses payable by us.</w:t>
      </w:r>
    </w:p>
    <w:p>
      <w:pPr>
        <w:spacing w:after="0" w:line="14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following table summarizes on the pro forma as adjusted basis described above, as of December 31, 2025, the total number of shares of common stock purchased from us on an as-converted basis, the total consideration paid or to be paid to us, and the average price per share paid by existing stockholders or to be paid by new investors in this offering, based on the assumed initial public offering price of $        per share, which is the midpoint of the price range set forth on the cover page of this prospectus, before deducting the estimated underwriting discounts and commissions and estimated offering expenses payable by us. New investors purchasing shares of our common stock in this offering will pay an average price per share substantially higher than our existing stockholders paid.</w:t>
      </w:r>
    </w:p>
    <w:p>
      <w:pPr>
        <w:spacing w:after="0" w:line="149"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0" w:type="dxa"/>
            <w:vAlign w:val="bottom"/>
          </w:tcPr>
          <w:p>
            <w:pPr>
              <w:spacing w:after="0"/>
              <w:rPr>
                <w:sz w:val="1"/>
                <w:szCs w:val="1"/>
                <w:color w:val="auto"/>
              </w:rPr>
            </w:pPr>
          </w:p>
        </w:tc>
      </w:tr>
      <w:tr>
        <w:trPr>
          <w:trHeight w:val="116"/>
        </w:trPr>
        <w:tc>
          <w:tcPr>
            <w:tcW w:w="2920" w:type="dxa"/>
            <w:vAlign w:val="bottom"/>
          </w:tcPr>
          <w:p>
            <w:pPr>
              <w:spacing w:after="0"/>
              <w:rPr>
                <w:sz w:val="10"/>
                <w:szCs w:val="10"/>
                <w:color w:val="auto"/>
              </w:rPr>
            </w:pPr>
          </w:p>
        </w:tc>
        <w:tc>
          <w:tcPr>
            <w:tcW w:w="1560" w:type="dxa"/>
            <w:vAlign w:val="bottom"/>
            <w:gridSpan w:val="3"/>
            <w:vMerge w:val="restart"/>
          </w:tcPr>
          <w:p>
            <w:pPr>
              <w:jc w:val="right"/>
              <w:ind w:right="460"/>
              <w:spacing w:after="0"/>
              <w:rPr>
                <w:sz w:val="20"/>
                <w:szCs w:val="20"/>
                <w:color w:val="auto"/>
              </w:rPr>
            </w:pPr>
            <w:r>
              <w:rPr>
                <w:rFonts w:ascii="Times New Roman" w:cs="Times New Roman" w:eastAsia="Times New Roman" w:hAnsi="Times New Roman"/>
                <w:sz w:val="11"/>
                <w:szCs w:val="11"/>
                <w:b w:val="1"/>
                <w:bCs w:val="1"/>
                <w:color w:val="auto"/>
              </w:rPr>
              <w:t>Shares Purchased</w:t>
            </w:r>
          </w:p>
        </w:tc>
        <w:tc>
          <w:tcPr>
            <w:tcW w:w="80" w:type="dxa"/>
            <w:vAlign w:val="bottom"/>
          </w:tcPr>
          <w:p>
            <w:pPr>
              <w:spacing w:after="0"/>
              <w:rPr>
                <w:sz w:val="10"/>
                <w:szCs w:val="10"/>
                <w:color w:val="auto"/>
              </w:rPr>
            </w:pPr>
          </w:p>
        </w:tc>
        <w:tc>
          <w:tcPr>
            <w:tcW w:w="138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60" w:type="dxa"/>
            <w:vAlign w:val="bottom"/>
          </w:tcPr>
          <w:p>
            <w:pPr>
              <w:spacing w:after="0"/>
              <w:rPr>
                <w:sz w:val="10"/>
                <w:szCs w:val="10"/>
                <w:color w:val="auto"/>
              </w:rPr>
            </w:pPr>
          </w:p>
        </w:tc>
        <w:tc>
          <w:tcPr>
            <w:tcW w:w="5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0" w:type="dxa"/>
            <w:vAlign w:val="bottom"/>
          </w:tcPr>
          <w:p>
            <w:pPr>
              <w:spacing w:after="0"/>
              <w:rPr>
                <w:sz w:val="1"/>
                <w:szCs w:val="1"/>
                <w:color w:val="auto"/>
              </w:rPr>
            </w:pPr>
          </w:p>
        </w:tc>
      </w:tr>
      <w:tr>
        <w:trPr>
          <w:trHeight w:val="124"/>
        </w:trPr>
        <w:tc>
          <w:tcPr>
            <w:tcW w:w="2920" w:type="dxa"/>
            <w:vAlign w:val="bottom"/>
          </w:tcPr>
          <w:p>
            <w:pPr>
              <w:spacing w:after="0"/>
              <w:rPr>
                <w:sz w:val="10"/>
                <w:szCs w:val="10"/>
                <w:color w:val="auto"/>
              </w:rPr>
            </w:pPr>
          </w:p>
        </w:tc>
        <w:tc>
          <w:tcPr>
            <w:tcW w:w="156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560" w:type="dxa"/>
            <w:vAlign w:val="bottom"/>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Price Per</w:t>
            </w:r>
          </w:p>
        </w:tc>
        <w:tc>
          <w:tcPr>
            <w:tcW w:w="0" w:type="dxa"/>
            <w:vAlign w:val="bottom"/>
          </w:tcPr>
          <w:p>
            <w:pPr>
              <w:spacing w:after="0"/>
              <w:rPr>
                <w:sz w:val="1"/>
                <w:szCs w:val="1"/>
                <w:color w:val="auto"/>
              </w:rPr>
            </w:pPr>
          </w:p>
        </w:tc>
      </w:tr>
      <w:tr>
        <w:trPr>
          <w:trHeight w:val="106"/>
        </w:trPr>
        <w:tc>
          <w:tcPr>
            <w:tcW w:w="2920" w:type="dxa"/>
            <w:vAlign w:val="bottom"/>
          </w:tcPr>
          <w:p>
            <w:pPr>
              <w:spacing w:after="0"/>
              <w:rPr>
                <w:sz w:val="9"/>
                <w:szCs w:val="9"/>
                <w:color w:val="auto"/>
              </w:rPr>
            </w:pPr>
          </w:p>
        </w:tc>
        <w:tc>
          <w:tcPr>
            <w:tcW w:w="640" w:type="dxa"/>
            <w:vAlign w:val="bottom"/>
            <w:tcBorders>
              <w:top w:val="single" w:sz="8" w:color="auto"/>
              <w:bottom w:val="single" w:sz="8" w:color="auto"/>
            </w:tcBorders>
          </w:tcPr>
          <w:p>
            <w:pPr>
              <w:ind w:left="80"/>
              <w:spacing w:after="0" w:line="106" w:lineRule="exact"/>
              <w:rPr>
                <w:sz w:val="20"/>
                <w:szCs w:val="20"/>
                <w:color w:val="auto"/>
              </w:rPr>
            </w:pPr>
            <w:r>
              <w:rPr>
                <w:rFonts w:ascii="Times New Roman" w:cs="Times New Roman" w:eastAsia="Times New Roman" w:hAnsi="Times New Roman"/>
                <w:sz w:val="11"/>
                <w:szCs w:val="11"/>
                <w:b w:val="1"/>
                <w:bCs w:val="1"/>
                <w:color w:val="auto"/>
              </w:rPr>
              <w:t>Number</w:t>
            </w:r>
          </w:p>
        </w:tc>
        <w:tc>
          <w:tcPr>
            <w:tcW w:w="720" w:type="dxa"/>
            <w:vAlign w:val="bottom"/>
            <w:tcBorders>
              <w:top w:val="single" w:sz="8" w:color="auto"/>
              <w:bottom w:val="single" w:sz="8" w:color="auto"/>
            </w:tcBorders>
          </w:tcPr>
          <w:p>
            <w:pPr>
              <w:jc w:val="right"/>
              <w:ind w:right="35"/>
              <w:spacing w:after="0" w:line="106"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200" w:type="dxa"/>
            <w:vAlign w:val="bottom"/>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560" w:type="dxa"/>
            <w:vAlign w:val="bottom"/>
            <w:tcBorders>
              <w:top w:val="single" w:sz="8" w:color="auto"/>
              <w:bottom w:val="single" w:sz="8" w:color="auto"/>
            </w:tcBorders>
          </w:tcPr>
          <w:p>
            <w:pPr>
              <w:spacing w:after="0" w:line="106" w:lineRule="exact"/>
              <w:rPr>
                <w:sz w:val="20"/>
                <w:szCs w:val="20"/>
                <w:color w:val="auto"/>
              </w:rPr>
            </w:pPr>
            <w:r>
              <w:rPr>
                <w:rFonts w:ascii="Times New Roman" w:cs="Times New Roman" w:eastAsia="Times New Roman" w:hAnsi="Times New Roman"/>
                <w:sz w:val="11"/>
                <w:szCs w:val="11"/>
                <w:b w:val="1"/>
                <w:bCs w:val="1"/>
                <w:color w:val="auto"/>
              </w:rPr>
              <w:t>Amount</w:t>
            </w:r>
          </w:p>
        </w:tc>
        <w:tc>
          <w:tcPr>
            <w:tcW w:w="660" w:type="dxa"/>
            <w:vAlign w:val="bottom"/>
            <w:tcBorders>
              <w:top w:val="single" w:sz="8" w:color="auto"/>
              <w:bottom w:val="single" w:sz="8" w:color="auto"/>
            </w:tcBorders>
          </w:tcPr>
          <w:p>
            <w:pPr>
              <w:jc w:val="right"/>
              <w:ind w:right="15"/>
              <w:spacing w:after="0" w:line="106" w:lineRule="exact"/>
              <w:rPr>
                <w:sz w:val="20"/>
                <w:szCs w:val="20"/>
                <w:color w:val="auto"/>
              </w:rPr>
            </w:pPr>
            <w:r>
              <w:rPr>
                <w:rFonts w:ascii="Times New Roman" w:cs="Times New Roman" w:eastAsia="Times New Roman" w:hAnsi="Times New Roman"/>
                <w:sz w:val="11"/>
                <w:szCs w:val="11"/>
                <w:b w:val="1"/>
                <w:bCs w:val="1"/>
                <w:color w:val="auto"/>
              </w:rPr>
              <w:t>Percentage</w:t>
            </w:r>
          </w:p>
        </w:tc>
        <w:tc>
          <w:tcPr>
            <w:tcW w:w="16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Borders>
              <w:bottom w:val="single" w:sz="8" w:color="auto"/>
            </w:tcBorders>
          </w:tcPr>
          <w:p>
            <w:pPr>
              <w:jc w:val="center"/>
              <w:spacing w:after="0" w:line="106" w:lineRule="exact"/>
              <w:rPr>
                <w:sz w:val="20"/>
                <w:szCs w:val="20"/>
                <w:color w:val="auto"/>
              </w:rPr>
            </w:pPr>
            <w:r>
              <w:rPr>
                <w:rFonts w:ascii="Times New Roman" w:cs="Times New Roman" w:eastAsia="Times New Roman" w:hAnsi="Times New Roman"/>
                <w:sz w:val="11"/>
                <w:szCs w:val="11"/>
                <w:b w:val="1"/>
                <w:bCs w:val="1"/>
                <w:color w:val="auto"/>
              </w:rPr>
              <w:t>Share</w:t>
            </w:r>
          </w:p>
        </w:tc>
        <w:tc>
          <w:tcPr>
            <w:tcW w:w="0" w:type="dxa"/>
            <w:vAlign w:val="bottom"/>
          </w:tcPr>
          <w:p>
            <w:pPr>
              <w:spacing w:after="0"/>
              <w:rPr>
                <w:sz w:val="1"/>
                <w:szCs w:val="1"/>
                <w:color w:val="auto"/>
              </w:rPr>
            </w:pPr>
          </w:p>
        </w:tc>
      </w:tr>
      <w:tr>
        <w:trPr>
          <w:trHeight w:val="159"/>
        </w:trPr>
        <w:tc>
          <w:tcPr>
            <w:tcW w:w="3560" w:type="dxa"/>
            <w:vAlign w:val="bottom"/>
            <w:tcBorders>
              <w:right w:val="single" w:sz="8" w:color="CFF0FC"/>
            </w:tcBorders>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Existing stockholders</w:t>
            </w:r>
          </w:p>
        </w:tc>
        <w:tc>
          <w:tcPr>
            <w:tcW w:w="920" w:type="dxa"/>
            <w:vAlign w:val="bottom"/>
            <w:tcBorders>
              <w:right w:val="single" w:sz="8" w:color="CFF0FC"/>
            </w:tcBorders>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ind w:right="4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New investors purchasing shares in this offering</w:t>
            </w:r>
          </w:p>
        </w:tc>
        <w:tc>
          <w:tcPr>
            <w:tcW w:w="6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9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640" w:type="dxa"/>
            <w:vAlign w:val="bottom"/>
            <w:tcBorders>
              <w:right w:val="single" w:sz="8" w:color="CFF0FC"/>
            </w:tcBorders>
            <w:shd w:val="clear" w:color="auto" w:fill="CFF0FC"/>
          </w:tcPr>
          <w:p>
            <w:pPr>
              <w:spacing w:after="0"/>
              <w:rPr>
                <w:sz w:val="15"/>
                <w:szCs w:val="15"/>
                <w:color w:val="auto"/>
              </w:rPr>
            </w:pPr>
          </w:p>
        </w:tc>
        <w:tc>
          <w:tcPr>
            <w:tcW w:w="920" w:type="dxa"/>
            <w:vAlign w:val="bottom"/>
            <w:tcBorders>
              <w:right w:val="single" w:sz="8" w:color="CFF0FC"/>
            </w:tcBorders>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Borders>
              <w:right w:val="single" w:sz="8" w:color="CFF0FC"/>
            </w:tcBorders>
            <w:shd w:val="clear" w:color="auto" w:fill="CFF0FC"/>
          </w:tcPr>
          <w:p>
            <w:pPr>
              <w:spacing w:after="0"/>
              <w:rPr>
                <w:sz w:val="15"/>
                <w:szCs w:val="15"/>
                <w:color w:val="auto"/>
              </w:rPr>
            </w:pPr>
          </w:p>
        </w:tc>
        <w:tc>
          <w:tcPr>
            <w:tcW w:w="8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100.0%</w:t>
            </w:r>
          </w:p>
        </w:tc>
        <w:tc>
          <w:tcPr>
            <w:tcW w:w="620" w:type="dxa"/>
            <w:vAlign w:val="bottom"/>
            <w:gridSpan w:val="2"/>
            <w:shd w:val="clear" w:color="auto" w:fill="CFF0FC"/>
          </w:tcPr>
          <w:p>
            <w:pPr>
              <w:jc w:val="right"/>
              <w:ind w:right="4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2997200</wp:posOffset>
            </wp:positionH>
            <wp:positionV relativeFrom="paragraph">
              <wp:posOffset>-19685</wp:posOffset>
            </wp:positionV>
            <wp:extent cx="4000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2997200</wp:posOffset>
            </wp:positionH>
            <wp:positionV relativeFrom="paragraph">
              <wp:posOffset>-6350</wp:posOffset>
            </wp:positionV>
            <wp:extent cx="4000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-19685</wp:posOffset>
            </wp:positionV>
            <wp:extent cx="8699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3490595</wp:posOffset>
            </wp:positionH>
            <wp:positionV relativeFrom="paragraph">
              <wp:posOffset>-6350</wp:posOffset>
            </wp:positionV>
            <wp:extent cx="86995"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-19685</wp:posOffset>
            </wp:positionV>
            <wp:extent cx="4000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-6350</wp:posOffset>
            </wp:positionV>
            <wp:extent cx="4000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-19685</wp:posOffset>
            </wp:positionV>
            <wp:extent cx="8699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4438650</wp:posOffset>
            </wp:positionH>
            <wp:positionV relativeFrom="paragraph">
              <wp:posOffset>-6350</wp:posOffset>
            </wp:positionV>
            <wp:extent cx="8699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6995" cy="6985"/>
                    </a:xfrm>
                    <a:prstGeom prst="rect">
                      <a:avLst/>
                    </a:prstGeom>
                    <a:noFill/>
                  </pic:spPr>
                </pic:pic>
              </a:graphicData>
            </a:graphic>
          </wp:anchor>
        </w:drawing>
      </w:r>
    </w:p>
    <w:p>
      <w:pPr>
        <w:spacing w:after="0" w:line="155" w:lineRule="exact"/>
        <w:rPr>
          <w:sz w:val="20"/>
          <w:szCs w:val="20"/>
          <w:color w:val="auto"/>
        </w:rPr>
      </w:pPr>
    </w:p>
    <w:p>
      <w:pPr>
        <w:jc w:val="both"/>
        <w:ind w:left="1220" w:right="1239" w:firstLine="333"/>
        <w:spacing w:after="0" w:line="277" w:lineRule="auto"/>
        <w:rPr>
          <w:sz w:val="20"/>
          <w:szCs w:val="20"/>
          <w:color w:val="auto"/>
        </w:rPr>
      </w:pPr>
      <w:r>
        <w:rPr>
          <w:rFonts w:ascii="Times New Roman" w:cs="Times New Roman" w:eastAsia="Times New Roman" w:hAnsi="Times New Roman"/>
          <w:sz w:val="13"/>
          <w:szCs w:val="13"/>
          <w:color w:val="auto"/>
        </w:rPr>
        <w:t>The table above assumes no exercise of the underwriters’ option to purchase additional shares in this offering. If the underwriters exercise their option to purchase additional shares of common stock from us in full, our existing stockholders would own   %, and new investors purchasing shares of our common stock in this offering would own</w:t>
      </w:r>
    </w:p>
    <w:p>
      <w:pPr>
        <w:spacing w:after="0" w:line="2" w:lineRule="exact"/>
        <w:rPr>
          <w:sz w:val="20"/>
          <w:szCs w:val="20"/>
          <w:color w:val="auto"/>
        </w:rPr>
      </w:pPr>
    </w:p>
    <w:p>
      <w:pPr>
        <w:ind w:left="1220" w:right="1239" w:firstLine="4"/>
        <w:spacing w:after="0" w:line="270" w:lineRule="auto"/>
        <w:tabs>
          <w:tab w:leader="none" w:pos="136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of the total number of shares of our common stock outstanding immediately after the completion of this offering.</w:t>
      </w:r>
    </w:p>
    <w:p>
      <w:pPr>
        <w:spacing w:after="0" w:line="322"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number of shares of our common stock that will be outstanding after this offering is based on 483,842,421 shares outstanding as of December 31, 2025, after giving effect to the Preferred Stock Conversion, and excludes:</w:t>
      </w:r>
    </w:p>
    <w:p>
      <w:pPr>
        <w:spacing w:after="0" w:line="41" w:lineRule="exact"/>
        <w:rPr>
          <w:sz w:val="20"/>
          <w:szCs w:val="20"/>
          <w:color w:val="auto"/>
        </w:rPr>
      </w:pPr>
    </w:p>
    <w:p>
      <w:pPr>
        <w:ind w:left="1880" w:right="1239" w:hanging="323"/>
        <w:spacing w:after="0" w:line="283" w:lineRule="auto"/>
        <w:tabs>
          <w:tab w:leader="none" w:pos="18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5,269,073 shares of common stock issuable upon exercise of outstanding stock options as of December 31, 2025 under our 2012 Plan with a weighted-average exercise price of $0.28 per share;</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73,410,032 shares of common stock issuable upon exercise of outstanding stock options as of December 31, 2025 under our 2022 Plan with a weighted-average exercise price of $0.25 per share and 7,051,652 shares of common stock issuable upon exercise of outstanding stock options granted after December 31, 2025 pursuant to our 2022 Plan, with a weighted-average exercise price of $0.43 per share;</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4,287,641 shares of common stock issuable upon the exercise of a warrant to purchase shares of common stock outstanding as of December 31, 2025, which warrant shall become exercisable upon completion of the offering, with an exercise price of $0.29 per share;</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432,939 shares of common stock issuable upon the exercise of a warrant to purchase shares of common stock issued subsequent to December 31, 2025, with an exercise price of $0.51 per share;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941,150 shares of common stock reserved for future issuance as of December 31, 2025 under the 2022 Plan, which will cease to be available for issuance at the time that our 2026 Plan becomes effective;</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3" w:name="page94"/>
    <w:bookmarkEnd w:id="9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hanging="323"/>
        <w:spacing w:after="0" w:line="257" w:lineRule="auto"/>
        <w:tabs>
          <w:tab w:leader="none" w:pos="23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our common stock that will become available for future issuance under our 2026 Plan, which will become effective on the date immediately prior to the effectiveness of the registration statement of which this prospectus forms a part, as well as any automatic increases in the number of shares of common stock reserved for future issuance under the 2026 Plan and any shares underlying outstanding stock awards granted under the 2012 Plan and 2022 Plan that expire or are repurchased, forfeited, cancelled, or withheld; and</w:t>
      </w:r>
    </w:p>
    <w:p>
      <w:pPr>
        <w:spacing w:after="0" w:line="58"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2675"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of common stock reserved for future issuance under our ESPP which will become effective on the date immediately prior to the effectiveness of the registration statement of which this prospectus forms a part, as well as any automatic increases in the number of shares of common stock reserved for future issuance under the ESPP.</w:t>
      </w:r>
    </w:p>
    <w:p>
      <w:pPr>
        <w:spacing w:after="0" w:line="141"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To the extent any outstanding options or warrants are exercised, new options or other equity awards are issued under our equity incentive plans, or we issue additional shares of common stock in the future, there will be further dilution to new investors. In addition, we may choose to raise additional capital because of market conditions or strategic considerations, even if we believe that we have sufficient funds for our current or future operating plans. If we raise additional capital through the sale of equity or convertible debt securities, the issuance of these securities could result in further dilution to our stockholders.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4" w:name="page95"/>
    <w:bookmarkEnd w:id="9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MANAGEMENT’S DISCUSSION AND ANALYSIS OF FINANCIAL CONDITION AND RESULTS OF</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OPERATIONS</w:t>
      </w:r>
    </w:p>
    <w:p>
      <w:pPr>
        <w:spacing w:after="0" w:line="15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i w:val="1"/>
          <w:iCs w:val="1"/>
          <w:color w:val="auto"/>
        </w:rPr>
        <w:t>You should read the following discussion and analysis of our financial condition and results of operations in conjunction with our audited consolidated financial statements for the years ended December 31, 2025 and 2024, and related notes and other financial information included elsewhere in this prospectus. This discussion and analysis and other parts of this prospectus contain forward-looking statements based upon our current plans and expectations that involve risks, uncertainties and assumptions, such as statements regarding our plans, strategies, objectives, expectations, intentions and beliefs. The historical results are not necessarily indicative of results that may be expected in the future. Our actual results and the timing of events could differ materially from those anticipated in these forward-looking statements as a result of various factors, including those set forth under “Risk Factors” and elsewhere in this prospectus. You should carefully read the “Risk Factors” section of this prospectus to gain an understanding of the important factors that could cause actual results to differ materially from our forward-looking statements. Please also see “Special Note Regarding Forward-Looking Statements.” Our historical results are not necessarily indicative of the results that may be expected for any period in the future.</w:t>
      </w:r>
    </w:p>
    <w:p>
      <w:pPr>
        <w:spacing w:after="0" w:line="2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are a clinical-stage biopharmaceutical company on a mission to revolutionize the current treatment landscape for rare respiratory diseases, including progressive pulmonary fibrosis, or PPF, idiopathic pulmonary fibrosis, or IPF, and other interstitial lung diseases, or ILDs.</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Since our inception in 2011, we have incurred significant operating losses and have not generated any revenue. To date, we have funded our operations primarily with aggregate gross proceeds of $388.8 million from the sale and issuance of our preferred stock and convertible notes.</w:t>
      </w:r>
    </w:p>
    <w:p>
      <w:pPr>
        <w:spacing w:after="0" w:line="136"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Due to our significant research, development, and manufacturing expenditures related to the clinical trials, we have accumulated substantial losses and negative cash flows since our inception, including net losses of $85.2 million and $49.7 million for the years ended December 31, 2025 and December 31, 2024, respectively. As of December 31, 2025, we had an accumulated deficit of $265.4 million.</w:t>
      </w:r>
    </w:p>
    <w:p>
      <w:pPr>
        <w:spacing w:after="0" w:line="14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expect our expenses and operating losses will increase substantially as we:</w:t>
      </w:r>
    </w:p>
    <w:p>
      <w:pPr>
        <w:spacing w:after="0" w:line="91" w:lineRule="exact"/>
        <w:rPr>
          <w:sz w:val="20"/>
          <w:szCs w:val="20"/>
          <w:color w:val="auto"/>
        </w:rPr>
      </w:pPr>
    </w:p>
    <w:p>
      <w:pPr>
        <w:ind w:left="1880" w:right="1239" w:hanging="323"/>
        <w:spacing w:after="0" w:line="283"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advance clinical development of our lead candidates, AP01 and AP02, and other current and future product candidates, including conducting our ongoing clinical trials;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advance our research activities and seek to discover and develop additional product candidates to expand our pipeline;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pursue regulatory approvals for any current or future product candidates, including our lead PPF product candidate, that successfully complete clinical trials;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utilize third parties to manufacture our product candidates;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continue to develop, maintain, expand, enforce, defend, and protect our intellectual property portfolio (including intellectual property obtained through license agreements) and provide reimbursement of third-party expenses related to our intellectual property portfolio;</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attract, hire, and retain additional qualified personnel;</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 operational, financial, and management information systems;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undertake pre-commercial activities, and scale-up external commercial-scale manufacturing capabilities, to commercialize any current or future product candidates which may receive regulatory approval;</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ultimately establish a sales, marketing and distribution infrastructure to commercialize any current or future product candidates which may receive regulatory approval;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audit, legal, regulatory, tax, and other expenses associated with being a public company.</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5" w:name="page96"/>
    <w:bookmarkEnd w:id="9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addition, we have several clinical development, regulatory, and commercial milestones, as well as royalty payment obligations under our licensing arrangement and other agreements. Our net losses may fluctuate significantly from quarter to quarter and year to year, depending on the timing of our ongoing and planned clinical trials and our expenditures on other research and development activities.</w:t>
      </w:r>
    </w:p>
    <w:p>
      <w:pPr>
        <w:spacing w:after="0" w:line="141"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do not have any products approved for sale and have not generated any revenue from product sales. We will not generate revenue from product sales unless and until we successfully complete clinical development and obtain regulatory approval for our current and any future product candidates, which we expect will take a number of years or may never occur. 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or other capital sources, potentially including collaborations, licenses, or other strategic arrangements. See the section titled “—Liquidity and Capital Resources.”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grant rights to develop and market our product candidates even if we would otherwise prefer to develop and market such product candidates ourselves.</w:t>
      </w:r>
    </w:p>
    <w:p>
      <w:pPr>
        <w:spacing w:after="0" w:line="150"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Due to the numerous risks and uncertainties associated with drug development, we are unable to accurately predict the timing or amount of increased expenses or the timing of when, or if, we will be able to achieve or maintain profitability. Even if we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4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As of December 31, 2025, we had cash, cash equivalents, and marketable securities of $138.4 million. During 2025, we received aggregate gross proceeds of $100.4 million from the issuance of 126,036,334 shares of Series D preferred stock. In February 2026, we executed the LSA to borrow up to $30.0 million and withdrew $15.0 million to date. We believe, based on our current operating plans, that the estimated net proceeds from this offering, together with our existing cash, cash equivalents and investments in marketable securities, will enable us to fund our</w:t>
      </w: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operating expenses and capital expenditures through . We have based this estimate on assumptions that may prove to be wrong, and we could exhaust our available capital resources sooner than we expect. See the sections titled “—Liquidity and Capital Resources” and “Risk Factors—Risks Related to Our Financial Condition and Need for Additional Capital” included elsewhere in this prospectus.</w:t>
      </w:r>
    </w:p>
    <w:p>
      <w:pPr>
        <w:spacing w:after="0" w:line="2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Material Agreements</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Below is a summary of the key terms for our material agreements. For a more detailed description of the agreements, see the section titled “Business—Material Agreement.”</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PARI License Agreement and Material Transfer Agreement</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As consideration for the PARI License Agreement, we paid a non-refundable up-front initial payment of 400 thousand EUR ($0.4 million). To date, we have met one developmental milestone, for which the payment of 500 thousand EUR ($0.6 million) was expensed to research and development when the milestone was met. There were no regulatory milestones achieved during the years ended December 31, 2025 and 2024.</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Settlement Agreement</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Company was a party to a lawsuit filed in November 2020, in which the counterparty alleged that the Company had not used commercially reasonable efforts to investigate certain patent rights and develop a compound covered by those patent rights that were sold to the Company in March 2017 through a Stock Purchase Agreement, or SPA. In May 2024, the Company and the counterparty agreed to a final and binding term sheet to resolve the litigation. The settlement required the Company to pay the counterparty $4 million within 15 days of the parties’ execution of a definitive agreement, which occurred in July 2024 and was previously included in litigation liability as of December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6" w:name="page97"/>
    <w:bookmarkEnd w:id="9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31, 2023. In addition, the Company agreed to pay the counterparty royalties (less than 1%) on net sales of the monotherapy assets AP01 (inhaled pirfenidone) and AP02 (inhaled nintedanib). As part of the agreement, the parties released all claims related to the litigation, the SPA, or any other agreement related to counterparty and the Company. To date, the Company has incurred a total of $9.6 million of legal expenses related to the lawsuit. No legal expenses related to the lawsuit were incurred during the year ended December 31, 2025 and $1.4 million of legal expenses related to the lawsuit were incurred during the year ended December 31, 2024. The expenses are included in general and administrative expenses in the Company’s consolidated statements of comprehensive loss.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Our operating expenses consist of (i) research and development expenses and (ii) general and administrative expenses.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Research and development expenses consist primarily of costs associated with the preclinical and clinical development of our current and potential future product candidates. Our research and development expenses include direct costs specifically attributable to our programs including external expenses incurred under arrangements with third parties, such as contract research organizations, or CROs, contract manufacturing organizations, or CMOs, consultants and our scientific advisors, and the manufacturing expenditures, including costs for laboratory supplies, research materials and reagents, as well as indirect costs that are not directly attributable to a specific program such as:</w:t>
      </w:r>
    </w:p>
    <w:p>
      <w:pPr>
        <w:spacing w:after="0" w:line="59" w:lineRule="exact"/>
        <w:rPr>
          <w:sz w:val="20"/>
          <w:szCs w:val="20"/>
          <w:color w:val="auto"/>
        </w:rPr>
      </w:pPr>
    </w:p>
    <w:p>
      <w:pPr>
        <w:ind w:left="1880" w:right="1239" w:hanging="323"/>
        <w:spacing w:after="0" w:line="283" w:lineRule="auto"/>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personnel-related costs, including salaries, payroll tax, bonuses, benefits, and stock-based compensation for employees engaged in research and development functions,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facility costs, depreciation, and other expenses.</w:t>
      </w:r>
    </w:p>
    <w:p>
      <w:pPr>
        <w:spacing w:after="0" w:line="17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We recognize research and development costs in the periods in which they are incurred. Most of our research and development expenses have been related to identifying and developing our product candidates. Typically, external expenses are recognized based on an evaluation of the progress to completion of specific tasks using information provided to us by our service providers as of each reporting date. Advance payments that we make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w:t>
      </w:r>
    </w:p>
    <w:p>
      <w:pPr>
        <w:spacing w:after="0" w:line="14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External costs represent a significant portion of our research and development expenses, which we track on a program-by-program basis following the nomination of a product candidate. Our internal research and development expenses consist primarily of personnel-related expenses, including stock-based compensation expenses and allocated expenses. We do not track our internal research and development expenses on a program-by-program basis as they relate to costs that are deployed across multiple programs.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Product candidates in later stages of development generally have higher development costs than those in earlier stages resulting from larger and more complex clinical trials, manufacturing scale-up and an increase in research and development headcount to oversee these activities. As a result, management expects that our research and development expenses will increase substantially over the next several years as we potentially advance our product candidates into later-stage development efforts.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7" w:name="page98"/>
    <w:bookmarkEnd w:id="9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General and Administrative Expenses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personnel-related costs, including salaries, payroll tax, bonuses, benefits, and stock-based compensation charges for those individuals in executive, legal, finance, human resources, information technology, and other administrative functions. Other significant costs include professional service fees, including legal fees relating to intellectual property and corporate matters, and auditing, accounting, tax, and consulting services, as well as facilities and depreciation expense, and other general and administrative expenses that are allocated. We recognize general and administrative expenses in the periods in which they are incurred.</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anticipate that our general and administrative expenses will increase following this offering, as a result of increased personnel costs, including salaries, benefits and stock-based compensation expense, patent costs for our product candidates, expanded infrastructure, and higher legal, consulting and accounting services associated with maintaining compliance with the listing requirements of the Nasdaq Stock Market LLC and rules and regulations promulgated under the Securities Exchange Act of 1934, as amended, or the Exchange Act, investor relations costs and director and officer insurance premiums associated with being a public company.</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Interest Income</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Interest income consists primarily of interest earned and the amortization or accretion of discounts or premiums on our cash equivalents and investments in marketable securities.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Other Expense</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Other expense consists of realized and unrealized foreign currency gains and losses, as well as gains and losses on disposals of fixed assets.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i w:val="1"/>
          <w:iCs w:val="1"/>
          <w:color w:val="auto"/>
        </w:rPr>
        <w:t>Income Taxes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Since our inception, we have not recorded any income tax benefits or expenses for the net losses we have incurred in each period or for our earned research and development tax credits, as we believe, based upon the weight of available evidence, that it is more likely than not that all of our NOLs and tax credits will not be realized. As of December 31, 2025, we had NOLs for federal and state income tax purposes of $190.3 million and $58.8 million, respectively. Of this amount, $9.9 million of the NOLs begin to expire in 2031, and the remainder are indefinite lived. The net state operating loss carryforwards will begin to expire in 2043. These loss carryforwards are available to reduce future federal taxable income, if any. As of December 31, 2025, we have recorded a full valuation allowance against our net deferred tax assets.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Year Ended December 31, 2025 and 2024</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table summarizes our results of operations (in thousands):</w:t>
      </w:r>
    </w:p>
    <w:p>
      <w:pPr>
        <w:spacing w:after="0" w:line="192" w:lineRule="exact"/>
        <w:rPr>
          <w:sz w:val="20"/>
          <w:szCs w:val="20"/>
          <w:color w:val="auto"/>
        </w:rPr>
      </w:pPr>
    </w:p>
    <w:tbl>
      <w:tblPr>
        <w:tblLayout w:type="fixed"/>
        <w:tblInd w:w="200" w:type="dxa"/>
        <w:tblCellMar>
          <w:top w:w="0" w:type="dxa"/>
          <w:left w:w="0" w:type="dxa"/>
          <w:bottom w:w="0" w:type="dxa"/>
          <w:right w:w="0" w:type="dxa"/>
        </w:tblCellMar>
      </w:tblPr>
      <w:tr>
        <w:trPr>
          <w:trHeight w:val="135"/>
        </w:trPr>
        <w:tc>
          <w:tcPr>
            <w:tcW w:w="10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60" w:type="dxa"/>
            <w:vAlign w:val="bottom"/>
            <w:gridSpan w:val="6"/>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6"/>
        </w:trPr>
        <w:tc>
          <w:tcPr>
            <w:tcW w:w="102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24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14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08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4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5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76,614</w:t>
            </w:r>
          </w:p>
        </w:tc>
        <w:tc>
          <w:tcPr>
            <w:tcW w:w="80" w:type="dxa"/>
            <w:vAlign w:val="bottom"/>
          </w:tcPr>
          <w:p>
            <w:pPr>
              <w:spacing w:after="0"/>
              <w:rPr>
                <w:sz w:val="14"/>
                <w:szCs w:val="14"/>
                <w:color w:val="auto"/>
              </w:rPr>
            </w:pPr>
          </w:p>
        </w:tc>
        <w:tc>
          <w:tcPr>
            <w:tcW w:w="2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45,759</w:t>
            </w:r>
          </w:p>
        </w:tc>
        <w:tc>
          <w:tcPr>
            <w:tcW w:w="80" w:type="dxa"/>
            <w:vAlign w:val="bottom"/>
          </w:tcPr>
          <w:p>
            <w:pPr>
              <w:spacing w:after="0"/>
              <w:rPr>
                <w:sz w:val="14"/>
                <w:szCs w:val="1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30,855</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4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14,678</w:t>
            </w: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11,362</w:t>
            </w: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3,316</w:t>
            </w:r>
          </w:p>
        </w:tc>
        <w:tc>
          <w:tcPr>
            <w:tcW w:w="1080" w:type="dxa"/>
            <w:vAlign w:val="bottom"/>
            <w:tcBorders>
              <w:left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244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14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91,292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57,121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34,171</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24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14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2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(91,292)</w:t>
            </w:r>
          </w:p>
        </w:tc>
        <w:tc>
          <w:tcPr>
            <w:tcW w:w="6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7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(57,121)</w:t>
            </w:r>
          </w:p>
        </w:tc>
        <w:tc>
          <w:tcPr>
            <w:tcW w:w="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(34,171)</w:t>
            </w:r>
          </w:p>
        </w:tc>
        <w:tc>
          <w:tcPr>
            <w:tcW w:w="1080" w:type="dxa"/>
            <w:vAlign w:val="bottom"/>
            <w:tcBorders>
              <w:left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020" w:type="dxa"/>
            <w:vAlign w:val="bottom"/>
          </w:tcPr>
          <w:p>
            <w:pPr>
              <w:spacing w:after="0"/>
              <w:rPr>
                <w:sz w:val="14"/>
                <w:szCs w:val="14"/>
                <w:color w:val="auto"/>
              </w:rPr>
            </w:pPr>
          </w:p>
        </w:tc>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6,088</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7,377</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(1,289)</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020" w:type="dxa"/>
            <w:vAlign w:val="bottom"/>
            <w:vMerge w:val="continue"/>
          </w:tcPr>
          <w:p>
            <w:pPr>
              <w:spacing w:after="0"/>
              <w:rPr>
                <w:sz w:val="17"/>
                <w:szCs w:val="17"/>
                <w:color w:val="auto"/>
              </w:rPr>
            </w:pPr>
          </w:p>
        </w:tc>
        <w:tc>
          <w:tcPr>
            <w:tcW w:w="24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(85,204)</w:t>
            </w:r>
          </w:p>
        </w:tc>
        <w:tc>
          <w:tcPr>
            <w:tcW w:w="24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(49,744)</w:t>
            </w:r>
          </w:p>
        </w:tc>
        <w:tc>
          <w:tcPr>
            <w:tcW w:w="20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(35,460)</w:t>
            </w:r>
          </w:p>
        </w:tc>
        <w:tc>
          <w:tcPr>
            <w:tcW w:w="108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1020" w:type="dxa"/>
            <w:vAlign w:val="bottom"/>
          </w:tcPr>
          <w:p>
            <w:pPr>
              <w:spacing w:after="0"/>
              <w:rPr>
                <w:sz w:val="24"/>
                <w:szCs w:val="24"/>
                <w:color w:val="auto"/>
              </w:rPr>
            </w:pPr>
          </w:p>
        </w:tc>
        <w:tc>
          <w:tcPr>
            <w:tcW w:w="2440" w:type="dxa"/>
            <w:vAlign w:val="bottom"/>
            <w:tcBorders>
              <w:top w:val="single" w:sz="8" w:color="CFF0FC"/>
            </w:tcBorders>
          </w:tcPr>
          <w:p>
            <w:pPr>
              <w:spacing w:after="0"/>
              <w:rPr>
                <w:sz w:val="24"/>
                <w:szCs w:val="24"/>
                <w:color w:val="auto"/>
              </w:rPr>
            </w:pPr>
          </w:p>
        </w:tc>
        <w:tc>
          <w:tcPr>
            <w:tcW w:w="1400" w:type="dxa"/>
            <w:vAlign w:val="bottom"/>
            <w:tcBorders>
              <w:top w:val="single" w:sz="8" w:color="CFF0FC"/>
            </w:tcBorders>
          </w:tcPr>
          <w:p>
            <w:pPr>
              <w:jc w:val="right"/>
              <w:ind w:right="410"/>
              <w:spacing w:after="0"/>
              <w:rPr>
                <w:sz w:val="20"/>
                <w:szCs w:val="20"/>
                <w:color w:val="auto"/>
              </w:rPr>
            </w:pPr>
            <w:r>
              <w:rPr>
                <w:rFonts w:ascii="Times New Roman" w:cs="Times New Roman" w:eastAsia="Times New Roman" w:hAnsi="Times New Roman"/>
                <w:sz w:val="14"/>
                <w:szCs w:val="14"/>
                <w:color w:val="auto"/>
              </w:rPr>
              <w:t>94</w:t>
            </w:r>
          </w:p>
        </w:tc>
        <w:tc>
          <w:tcPr>
            <w:tcW w:w="1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2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-1280795</wp:posOffset>
            </wp:positionV>
            <wp:extent cx="4000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-1280795</wp:posOffset>
            </wp:positionV>
            <wp:extent cx="40005"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-1280795</wp:posOffset>
            </wp:positionV>
            <wp:extent cx="40005"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-833755</wp:posOffset>
            </wp:positionV>
            <wp:extent cx="4000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-820420</wp:posOffset>
            </wp:positionV>
            <wp:extent cx="40005"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-833755</wp:posOffset>
            </wp:positionV>
            <wp:extent cx="40005"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-820420</wp:posOffset>
            </wp:positionV>
            <wp:extent cx="4000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-833755</wp:posOffset>
            </wp:positionV>
            <wp:extent cx="4000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-820420</wp:posOffset>
            </wp:positionV>
            <wp:extent cx="40005"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8" w:name="page99"/>
    <w:bookmarkEnd w:id="9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table summarizes our research and development expenses (in thousands):</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3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gridSpan w:val="4"/>
          </w:tcPr>
          <w:p>
            <w:pPr>
              <w:jc w:val="right"/>
              <w:ind w:right="192"/>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vMerge w:val="restart"/>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Change</w:t>
            </w:r>
          </w:p>
        </w:tc>
        <w:tc>
          <w:tcPr>
            <w:tcW w:w="0" w:type="dxa"/>
            <w:vAlign w:val="bottom"/>
          </w:tcPr>
          <w:p>
            <w:pPr>
              <w:spacing w:after="0"/>
              <w:rPr>
                <w:sz w:val="1"/>
                <w:szCs w:val="1"/>
                <w:color w:val="auto"/>
              </w:rPr>
            </w:pPr>
          </w:p>
        </w:tc>
      </w:tr>
      <w:tr>
        <w:trPr>
          <w:trHeight w:val="106"/>
        </w:trPr>
        <w:tc>
          <w:tcPr>
            <w:tcW w:w="3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jc w:val="right"/>
              <w:ind w:right="23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35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Direct research and development expenses by program:</w:t>
            </w:r>
          </w:p>
        </w:tc>
        <w:tc>
          <w:tcPr>
            <w:tcW w:w="28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80" w:type="dxa"/>
            <w:vAlign w:val="bottom"/>
            <w:tcBorders>
              <w:top w:val="single" w:sz="8" w:color="auto"/>
            </w:tcBorders>
            <w:shd w:val="clear" w:color="auto" w:fill="CFF0FC"/>
          </w:tcPr>
          <w:p>
            <w:pPr>
              <w:spacing w:after="0"/>
              <w:rPr>
                <w:sz w:val="13"/>
                <w:szCs w:val="13"/>
                <w:color w:val="auto"/>
              </w:rPr>
            </w:pPr>
          </w:p>
        </w:tc>
        <w:tc>
          <w:tcPr>
            <w:tcW w:w="620" w:type="dxa"/>
            <w:vAlign w:val="bottom"/>
            <w:tcBorders>
              <w:top w:val="single" w:sz="8" w:color="auto"/>
            </w:tcBorders>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right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AP01</w:t>
            </w:r>
          </w:p>
        </w:tc>
        <w:tc>
          <w:tcPr>
            <w:tcW w:w="4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19,390</w:t>
            </w:r>
          </w:p>
        </w:tc>
        <w:tc>
          <w:tcPr>
            <w:tcW w:w="0" w:type="dxa"/>
            <w:vAlign w:val="bottom"/>
          </w:tcPr>
          <w:p>
            <w:pPr>
              <w:spacing w:after="0"/>
              <w:rPr>
                <w:sz w:val="1"/>
                <w:szCs w:val="1"/>
                <w:color w:val="auto"/>
              </w:rPr>
            </w:pPr>
          </w:p>
        </w:tc>
      </w:tr>
      <w:tr>
        <w:trPr>
          <w:trHeight w:val="168"/>
        </w:trPr>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AP02</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4,718</w:t>
            </w:r>
          </w:p>
        </w:tc>
        <w:tc>
          <w:tcPr>
            <w:tcW w:w="0" w:type="dxa"/>
            <w:vAlign w:val="bottom"/>
          </w:tcPr>
          <w:p>
            <w:pPr>
              <w:spacing w:after="0"/>
              <w:rPr>
                <w:sz w:val="1"/>
                <w:szCs w:val="1"/>
                <w:color w:val="auto"/>
              </w:rPr>
            </w:pPr>
          </w:p>
        </w:tc>
      </w:tr>
      <w:tr>
        <w:trPr>
          <w:trHeight w:val="168"/>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AP03</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2,248</w:t>
            </w:r>
          </w:p>
        </w:tc>
        <w:tc>
          <w:tcPr>
            <w:tcW w:w="0" w:type="dxa"/>
            <w:vAlign w:val="bottom"/>
          </w:tcPr>
          <w:p>
            <w:pPr>
              <w:spacing w:after="0"/>
              <w:rPr>
                <w:sz w:val="1"/>
                <w:szCs w:val="1"/>
                <w:color w:val="auto"/>
              </w:rPr>
            </w:pPr>
          </w:p>
        </w:tc>
      </w:tr>
      <w:tr>
        <w:trPr>
          <w:trHeight w:val="168"/>
        </w:trPr>
        <w:tc>
          <w:tcPr>
            <w:tcW w:w="35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Unallocated research and development expenses:</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Personnel-related (including stock-based compensation)</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10,056</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3,181</w:t>
            </w:r>
          </w:p>
        </w:tc>
        <w:tc>
          <w:tcPr>
            <w:tcW w:w="0" w:type="dxa"/>
            <w:vAlign w:val="bottom"/>
          </w:tcPr>
          <w:p>
            <w:pPr>
              <w:spacing w:after="0"/>
              <w:rPr>
                <w:sz w:val="1"/>
                <w:szCs w:val="1"/>
                <w:color w:val="auto"/>
              </w:rPr>
            </w:pPr>
          </w:p>
        </w:tc>
      </w:tr>
      <w:tr>
        <w:trPr>
          <w:trHeight w:val="168"/>
        </w:trPr>
        <w:tc>
          <w:tcPr>
            <w:tcW w:w="3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Facility and depreciation</w:t>
            </w:r>
          </w:p>
        </w:tc>
        <w:tc>
          <w:tcPr>
            <w:tcW w:w="2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374</w:t>
            </w:r>
          </w:p>
        </w:tc>
        <w:tc>
          <w:tcPr>
            <w:tcW w:w="14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68"/>
        </w:trPr>
        <w:tc>
          <w:tcPr>
            <w:tcW w:w="35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research and development related costs</w:t>
            </w: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0" w:type="dxa"/>
            <w:vAlign w:val="bottom"/>
          </w:tcPr>
          <w:p>
            <w:pPr>
              <w:spacing w:after="0"/>
              <w:rPr>
                <w:sz w:val="1"/>
                <w:szCs w:val="1"/>
                <w:color w:val="auto"/>
              </w:rPr>
            </w:pPr>
          </w:p>
        </w:tc>
      </w:tr>
      <w:tr>
        <w:trPr>
          <w:trHeight w:val="179"/>
        </w:trPr>
        <w:tc>
          <w:tcPr>
            <w:tcW w:w="35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research and development expenses</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76,614</w:t>
            </w:r>
          </w:p>
        </w:tc>
        <w:tc>
          <w:tcPr>
            <w:tcW w:w="32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45,759</w:t>
            </w:r>
          </w:p>
        </w:tc>
        <w:tc>
          <w:tcPr>
            <w:tcW w:w="28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30,854</w:t>
            </w:r>
          </w:p>
        </w:tc>
        <w:tc>
          <w:tcPr>
            <w:tcW w:w="0" w:type="dxa"/>
            <w:vAlign w:val="bottom"/>
          </w:tcPr>
          <w:p>
            <w:pPr>
              <w:spacing w:after="0"/>
              <w:rPr>
                <w:sz w:val="1"/>
                <w:szCs w:val="1"/>
                <w:color w:val="auto"/>
              </w:rPr>
            </w:pPr>
          </w:p>
        </w:tc>
      </w:tr>
      <w:tr>
        <w:trPr>
          <w:trHeight w:val="20"/>
        </w:trPr>
        <w:tc>
          <w:tcPr>
            <w:tcW w:w="35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-19685</wp:posOffset>
            </wp:positionV>
            <wp:extent cx="4000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3717925</wp:posOffset>
            </wp:positionH>
            <wp:positionV relativeFrom="paragraph">
              <wp:posOffset>-6350</wp:posOffset>
            </wp:positionV>
            <wp:extent cx="40005"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-19685</wp:posOffset>
            </wp:positionV>
            <wp:extent cx="4000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-6350</wp:posOffset>
            </wp:positionV>
            <wp:extent cx="4000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-19685</wp:posOffset>
            </wp:positionV>
            <wp:extent cx="4000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-6350</wp:posOffset>
            </wp:positionV>
            <wp:extent cx="40005"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Research and development expenses increased by $30.9 million to $76.6 million for the year ended December 31, 2025, from $45.8 million for the year ended December 31, 2024. The increase in research and development expenses was primarily attributed to:</w:t>
      </w:r>
    </w:p>
    <w:p>
      <w:pPr>
        <w:spacing w:after="0" w:line="51" w:lineRule="exact"/>
        <w:rPr>
          <w:sz w:val="20"/>
          <w:szCs w:val="20"/>
          <w:color w:val="auto"/>
        </w:rPr>
      </w:pPr>
    </w:p>
    <w:p>
      <w:pPr>
        <w:ind w:left="1880" w:right="1239" w:hanging="323"/>
        <w:spacing w:after="0" w:line="283"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$19.4 million increase of direct costs associated with our AP01 program costs driven by progression of the Phase 2b clinical trial and our OLE trial;</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$4.7 million increase of direct costs associated with our AP02 program costs driven by the completion of the Phase 1b clinical trial and start-up activities for the Phase 2b clinical trial;</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million increase of direct costs associated with our AP03 program costs driven by the progression of IND-enabling and scale-up activities;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increase in unallocated research and development expenses consisting of $3.2 million increase in personnel-related expenses, including stock-based compensation, due to an increase in headcount;</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$0.2 million increase in facility and depreciation expense;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million in other research and development related costs, driven by an increase in general research and development consulting expenses.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table summarizes our general and administrative expenses (in thousands):</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4"/>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Change</w:t>
            </w:r>
          </w:p>
        </w:tc>
      </w:tr>
      <w:tr>
        <w:trPr>
          <w:trHeight w:val="106"/>
        </w:trPr>
        <w:tc>
          <w:tcPr>
            <w:tcW w:w="384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4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20" w:type="dxa"/>
            <w:vAlign w:val="bottom"/>
            <w:tcBorders>
              <w:top w:val="single" w:sz="8" w:color="auto"/>
              <w:bottom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40" w:type="dxa"/>
            <w:vAlign w:val="bottom"/>
          </w:tcPr>
          <w:p>
            <w:pPr>
              <w:spacing w:after="0"/>
              <w:rPr>
                <w:sz w:val="9"/>
                <w:szCs w:val="9"/>
                <w:color w:val="auto"/>
              </w:rPr>
            </w:pPr>
          </w:p>
        </w:tc>
        <w:tc>
          <w:tcPr>
            <w:tcW w:w="14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59"/>
        </w:trPr>
        <w:tc>
          <w:tcPr>
            <w:tcW w:w="38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Personnel-related (including stock-based compensation)</w:t>
            </w:r>
          </w:p>
        </w:tc>
        <w:tc>
          <w:tcPr>
            <w:tcW w:w="16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8,619</w:t>
            </w:r>
          </w:p>
        </w:tc>
        <w:tc>
          <w:tcPr>
            <w:tcW w:w="32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5,335</w:t>
            </w:r>
          </w:p>
        </w:tc>
        <w:tc>
          <w:tcPr>
            <w:tcW w:w="28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3,284</w:t>
            </w:r>
          </w:p>
        </w:tc>
        <w:tc>
          <w:tcPr>
            <w:tcW w:w="60" w:type="dxa"/>
            <w:vAlign w:val="bottom"/>
            <w:shd w:val="clear" w:color="auto" w:fill="CFF0FC"/>
          </w:tcPr>
          <w:p>
            <w:pPr>
              <w:spacing w:after="0"/>
              <w:rPr>
                <w:sz w:val="13"/>
                <w:szCs w:val="13"/>
                <w:color w:val="auto"/>
              </w:rPr>
            </w:pPr>
          </w:p>
        </w:tc>
      </w:tr>
      <w:tr>
        <w:trPr>
          <w:trHeight w:val="168"/>
        </w:trPr>
        <w:tc>
          <w:tcPr>
            <w:tcW w:w="3840" w:type="dxa"/>
            <w:vAlign w:val="bottom"/>
          </w:tcPr>
          <w:p>
            <w:pPr>
              <w:spacing w:after="0"/>
              <w:rPr>
                <w:sz w:val="20"/>
                <w:szCs w:val="20"/>
                <w:color w:val="auto"/>
              </w:rPr>
            </w:pPr>
            <w:r>
              <w:rPr>
                <w:rFonts w:ascii="Times New Roman" w:cs="Times New Roman" w:eastAsia="Times New Roman" w:hAnsi="Times New Roman"/>
                <w:sz w:val="14"/>
                <w:szCs w:val="14"/>
                <w:color w:val="auto"/>
              </w:rPr>
              <w:t>Professional services &amp; fees</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5,624</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(471)</w:t>
            </w:r>
          </w:p>
        </w:tc>
      </w:tr>
      <w:tr>
        <w:trPr>
          <w:trHeight w:val="168"/>
        </w:trPr>
        <w:tc>
          <w:tcPr>
            <w:tcW w:w="38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Facility expenses</w:t>
            </w:r>
          </w:p>
        </w:tc>
        <w:tc>
          <w:tcPr>
            <w:tcW w:w="16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906</w:t>
            </w:r>
          </w:p>
        </w:tc>
        <w:tc>
          <w:tcPr>
            <w:tcW w:w="14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w:t>
            </w:r>
          </w:p>
        </w:tc>
        <w:tc>
          <w:tcPr>
            <w:tcW w:w="1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59"/>
        </w:trPr>
        <w:tc>
          <w:tcPr>
            <w:tcW w:w="384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 general and administrative expenses</w:t>
            </w:r>
          </w:p>
        </w:tc>
        <w:tc>
          <w:tcPr>
            <w:tcW w:w="160" w:type="dxa"/>
            <w:vAlign w:val="bottom"/>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14,678</w:t>
            </w:r>
          </w:p>
        </w:tc>
        <w:tc>
          <w:tcPr>
            <w:tcW w:w="32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11,362</w:t>
            </w:r>
          </w:p>
        </w:tc>
        <w:tc>
          <w:tcPr>
            <w:tcW w:w="28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3,316</w:t>
            </w:r>
          </w:p>
        </w:tc>
        <w:tc>
          <w:tcPr>
            <w:tcW w:w="60" w:type="dxa"/>
            <w:vAlign w:val="bottom"/>
          </w:tcPr>
          <w:p>
            <w:pPr>
              <w:spacing w:after="0"/>
              <w:rPr>
                <w:sz w:val="13"/>
                <w:szCs w:val="13"/>
                <w:color w:val="auto"/>
              </w:rPr>
            </w:pPr>
          </w:p>
        </w:tc>
      </w:tr>
      <w:tr>
        <w:trPr>
          <w:trHeight w:val="20"/>
        </w:trPr>
        <w:tc>
          <w:tcPr>
            <w:tcW w:w="3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3717925</wp:posOffset>
            </wp:positionH>
            <wp:positionV relativeFrom="paragraph">
              <wp:posOffset>-132715</wp:posOffset>
            </wp:positionV>
            <wp:extent cx="4000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4311650</wp:posOffset>
            </wp:positionH>
            <wp:positionV relativeFrom="paragraph">
              <wp:posOffset>-132715</wp:posOffset>
            </wp:positionV>
            <wp:extent cx="4000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-132715</wp:posOffset>
            </wp:positionV>
            <wp:extent cx="4000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General and administrative expenses increased by $3.3 million to $14.7 million for the year ended December 31, 2025, from $11.4 million for the year ended December 31, 2024. The increase in general and administrative expenses was primarily attributable to:</w:t>
      </w:r>
    </w:p>
    <w:p>
      <w:pPr>
        <w:spacing w:after="0" w:line="51" w:lineRule="exact"/>
        <w:rPr>
          <w:sz w:val="20"/>
          <w:szCs w:val="20"/>
          <w:color w:val="auto"/>
        </w:rPr>
      </w:pPr>
    </w:p>
    <w:p>
      <w:pPr>
        <w:jc w:val="both"/>
        <w:ind w:left="1880" w:right="1239" w:hanging="323"/>
        <w:spacing w:after="0" w:line="267" w:lineRule="auto"/>
        <w:tabs>
          <w:tab w:leader="none" w:pos="188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$3.3 million increase in personnel-related expenses, including stock-based compensation, driven by the increase of G&amp;A headcount to support expanded research and development activities and overall corporate operations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99" w:name="page100"/>
    <w:bookmarkEnd w:id="9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$0.5 million increase in facility expenses primarily associated with office sublease entered in September 2025;</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partially offset by $0.5 million decrease in professional services and fees primarily driven by external legal and general G&amp;A consulting costs.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Other income decreased by $1.3 million for the year ended December 31, 2025, to $6.1 million, from $7.4 million for the year ended December 31, 2024, primarily driven by decreases in interest income from marketable securities related to a lower federal funds rate.</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Sources of Liquidity</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Since our inception, we have not generated any revenue from product sales and have incurred significant operating losses and negative cash flows from operations. We expect to continue to incur significant expenses and operating losses for the foreseeable future as we advance the clinical development of our product candidates and any future product candidates. As such, we expect our research and development and general and administrative costs will continue to increase significantly, including the costs associated with operating as a public company following the completion of this offering. As a result, we will need additional capital to fund our operations, which we may obtain from additional equity, debt financings, or strategic agreements.</w:t>
      </w:r>
    </w:p>
    <w:p>
      <w:pPr>
        <w:spacing w:after="0" w:line="5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To date, we have funded our operations primarily from the sale of proceeds of preferred stock and convertible notes. As of December 31, 2025, we had $138.4 million in cash, cash equivalents, and marketable securities. In 2025, we entered into the Series D Preferred Stock Purchase Agreement with new and existing investors. During 2025, we issued and sold 126,036,334 shares of Series D preferred stock for aggregate gross proceeds of $100.4 million. To date, we have received aggregate gross proceeds of $388.8 million from the sale of our preferred stock and convertible notes. In February 2026, we entered into a loan and security agreement with Banc of California, or the Lender, for the issuance of a term loan facility with an aggregate principal amount of up to $30.0 million. The interest rate on amounts borrowed will be equal to the greater of the prime rate then in effect, or 5.00%. The maturity date for the loan is June 30, 2030. As of April 2026, $15.0 million has been borrowed under the Term Loan Facility. In connection with the LSA, we issued warrants to the Lender to purchase 432,939 shares of our common stock. We also granted the Lender a senior security interest in our property and other assets, which has priority over any existing or future indebtedness and related security interests, subject to limited exceptions, including our intellectual property. For additional information regarding the loan and security agreement, see Note 16, “Other Subsequent Events” in our consolidated financial statements included elsewhere in this prospectus.</w:t>
      </w:r>
    </w:p>
    <w:p>
      <w:pPr>
        <w:spacing w:after="0" w:line="2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Future Funding Requirements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Due to the inherently unpredictable nature of preclinical and clinical development and given the early stage of our programs and product candidates, we cannot reasonably estimate the costs we will incur and the timelines that will be required to complete development, obtain any marketing approval, and commercialize our products, if and when approved.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products, if approved, may be subject to future collaborations, when such arrangements will be secured, if at all, and to what degree such arrangements would affect our development plans and capital requirements. We will need to raise substantial additional capital in the future.</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Based upon our current operating plans, we believe that the estimated net proceeds from this offering, together with our existing cash, cash equivalents and investments in marketable securities, will be sufficient to fund our</w:t>
      </w:r>
    </w:p>
    <w:p>
      <w:pPr>
        <w:spacing w:after="0" w:line="1"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operations into . Our primary uses of capital are to fund research and development activities, compensation and related expenses, and general overhead costs. We expect our expenses to increase substantially in connection with our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0" w:name="page101"/>
    <w:bookmarkEnd w:id="10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spacing w:after="0" w:line="283" w:lineRule="auto"/>
        <w:rPr>
          <w:sz w:val="20"/>
          <w:szCs w:val="20"/>
          <w:color w:val="auto"/>
        </w:rPr>
      </w:pPr>
      <w:r>
        <w:rPr>
          <w:rFonts w:ascii="Times New Roman" w:cs="Times New Roman" w:eastAsia="Times New Roman" w:hAnsi="Times New Roman"/>
          <w:sz w:val="14"/>
          <w:szCs w:val="14"/>
          <w:color w:val="auto"/>
        </w:rPr>
        <w:t>ongoing activities, particularly as we advance our current and future product candidates through discovery, preclinical studies, and clinical trials.</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future funding requirements will depend largely on:</w:t>
      </w:r>
    </w:p>
    <w:p>
      <w:pPr>
        <w:spacing w:after="0" w:line="91" w:lineRule="exact"/>
        <w:rPr>
          <w:sz w:val="20"/>
          <w:szCs w:val="20"/>
          <w:color w:val="auto"/>
        </w:rPr>
      </w:pPr>
    </w:p>
    <w:p>
      <w:pPr>
        <w:ind w:left="1880" w:right="1239" w:hanging="323"/>
        <w:spacing w:after="0" w:line="283" w:lineRule="auto"/>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type, number, scope, progress, expansions, results, costs and timing of, discovery, preclinical studies, and clinical trials of our current and future product candidates;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manufacturing for our current and future product candidates and commercial manufacturing;</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timing, and outcome of regulatory review of our current and future product candidates;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milestones, royalties, or other payments we may be required to make to third parties, including PARI, and the terms and timing of establishing and maintaining any other similar arrangements we may enter in the future;</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legal costs of obtaining, maintaining, and enforcing our patents and other intellectual property rights;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efforts to enhance operational systems and hire additional personnel to satisfy our obligations as a public company;</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associated with hiring additional personnel and consultants as our clinical activities increase;</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timing of establishing or securing sales and marketing capabilities if any current or future product candidate is approved;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sufficient market acceptance, coverage and adequate reimbursement from third-party payors and adequate market share and revenue for any approved products;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terms of any such agreement that we may enter into, including if we in-license or acquire additional product candidates or intellectual property;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to add additional operational, financial, clinical, quality, and management information systems.</w:t>
      </w:r>
    </w:p>
    <w:p>
      <w:pPr>
        <w:spacing w:after="0" w:line="175"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have no committed sources of capital other than the $30 million loan facility. Until such time, if ever, as we can generate substantial product revenue to support our cost structure, we expect to finance our cash needs through equity offerings, debt financings, or other capital sources, potentially including collaborations, licenses, or other strategic arrangements. However, we may be unable to raise additional funds or enter into such other arrangements when needed on favorable terms or at all.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our existing common stockholders. In addition, debt financing and equity financing, if available, may involve agreements that include covenants limiting or restricting our ability to take specific actions, such as incurring additional debt, making capital expenditures, or declaring dividends. If we raise additional funds through a strategic agreement, we may have to grant rights to develop and market our current and future product candidates even if we would otherwise prefer to develop and market such product candidates ourselves. Our failure to raise capital or enter into such other arrangements when needed could have a negative impact on our financial condition and on our ability to pursue our business plans and strategies.</w:t>
      </w:r>
    </w:p>
    <w:p>
      <w:pPr>
        <w:spacing w:after="0" w:line="14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If we are unable to raise additional funds, we may be required to delay, limit, reduce or terminate our product development or future commercialization efforts. See “Risk Factors—Even if this offering is successful, we will need substantial additional funding. We may be unable to raise capital on acceptable terms, if at all, and, as a result, we may be required to delay, reduce, or eliminate our product development programs or commercialization efforts.”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1" w:name="page102"/>
    <w:bookmarkEnd w:id="10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table sets forth a summary of the net cash flow activity (in thousands):</w:t>
      </w:r>
    </w:p>
    <w:p>
      <w:pPr>
        <w:spacing w:after="0" w:line="192"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4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0" w:type="dxa"/>
            <w:vAlign w:val="bottom"/>
            <w:gridSpan w:val="6"/>
          </w:tcPr>
          <w:p>
            <w:pPr>
              <w:jc w:val="right"/>
              <w:ind w:right="4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4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80" w:type="dxa"/>
            <w:vAlign w:val="bottom"/>
            <w:tcBorders>
              <w:top w:val="single" w:sz="8" w:color="auto"/>
              <w:bottom w:val="single" w:sz="8" w:color="auto"/>
            </w:tcBorders>
          </w:tcPr>
          <w:p>
            <w:pPr>
              <w:spacing w:after="0"/>
              <w:rPr>
                <w:sz w:val="9"/>
                <w:szCs w:val="9"/>
                <w:color w:val="auto"/>
              </w:rPr>
            </w:pPr>
          </w:p>
        </w:tc>
        <w:tc>
          <w:tcPr>
            <w:tcW w:w="640" w:type="dxa"/>
            <w:vAlign w:val="bottom"/>
            <w:tcBorders>
              <w:top w:val="single" w:sz="8" w:color="auto"/>
              <w:bottom w:val="single" w:sz="8" w:color="auto"/>
            </w:tcBorders>
          </w:tcPr>
          <w:p>
            <w:pPr>
              <w:jc w:val="right"/>
              <w:ind w:right="23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r>
      <w:tr>
        <w:trPr>
          <w:trHeight w:val="159"/>
        </w:trPr>
        <w:tc>
          <w:tcPr>
            <w:tcW w:w="45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(81,484)</w:t>
            </w:r>
          </w:p>
        </w:tc>
        <w:tc>
          <w:tcPr>
            <w:tcW w:w="24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(48,368)</w:t>
            </w:r>
          </w:p>
        </w:tc>
      </w:tr>
      <w:tr>
        <w:trPr>
          <w:trHeight w:val="168"/>
        </w:trPr>
        <w:tc>
          <w:tcPr>
            <w:tcW w:w="456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10,057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(91,474)</w:t>
            </w:r>
          </w:p>
        </w:tc>
      </w:tr>
      <w:tr>
        <w:trPr>
          <w:trHeight w:val="168"/>
        </w:trPr>
        <w:tc>
          <w:tcPr>
            <w:tcW w:w="45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99,787</w:t>
            </w:r>
          </w:p>
        </w:tc>
        <w:tc>
          <w:tcPr>
            <w:tcW w:w="10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20" w:type="dxa"/>
            <w:vAlign w:val="bottom"/>
            <w:tcBorders>
              <w:bottom w:val="single" w:sz="8" w:color="CFF0FC"/>
            </w:tcBorders>
            <w:shd w:val="clear" w:color="auto" w:fill="CFF0FC"/>
          </w:tcPr>
          <w:p>
            <w:pPr>
              <w:spacing w:after="0"/>
              <w:rPr>
                <w:sz w:val="14"/>
                <w:szCs w:val="14"/>
                <w:color w:val="auto"/>
              </w:rPr>
            </w:pPr>
          </w:p>
        </w:tc>
      </w:tr>
      <w:tr>
        <w:trPr>
          <w:trHeight w:val="159"/>
        </w:trPr>
        <w:tc>
          <w:tcPr>
            <w:tcW w:w="456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2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28,360</w:t>
            </w:r>
          </w:p>
        </w:tc>
        <w:tc>
          <w:tcPr>
            <w:tcW w:w="100" w:type="dxa"/>
            <w:vAlign w:val="bottom"/>
          </w:tcPr>
          <w:p>
            <w:pPr>
              <w:spacing w:after="0"/>
              <w:rPr>
                <w:sz w:val="13"/>
                <w:szCs w:val="13"/>
                <w:color w:val="auto"/>
              </w:rPr>
            </w:pPr>
          </w:p>
        </w:tc>
        <w:tc>
          <w:tcPr>
            <w:tcW w:w="24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(139,753)</w:t>
            </w:r>
          </w:p>
        </w:tc>
      </w:tr>
      <w:tr>
        <w:trPr>
          <w:trHeight w:val="20"/>
        </w:trPr>
        <w:tc>
          <w:tcPr>
            <w:tcW w:w="45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-132715</wp:posOffset>
            </wp:positionV>
            <wp:extent cx="4000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4866005</wp:posOffset>
            </wp:positionH>
            <wp:positionV relativeFrom="paragraph">
              <wp:posOffset>-132715</wp:posOffset>
            </wp:positionV>
            <wp:extent cx="4000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23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For the year ended December 31, 2025, net cash used in operating activities was $81.5 million, which was primarily due to our net loss of $85.2 million, which was partially offset by changes in our operating assets and liabilities of $2.6 million and $1.1 million of non-cash charges related to stock-based compensation, depreciation and loss on disposal of property and equipment, non-cash operating lease expense, and accretion of premiums on marketable securities.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For the year ended December 31, 2024, net cash used in operating activities was $48.4 million, which was primarily due to our net loss of $49.7 million and changes in our operating assets and liabilities of $1.4 million, partially offset by $16 thousand of non-cash charges related to stock-based compensation, depreciation and loss on disposal of property and equipment, non-cash operating lease expense, and accretion of premiums on marketable securities.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Net cash provided by investing activities was $10.1 million during the year ended December 31, 2025, which was primarily driven by net purchases and maturities of marketable securities of $10.4 million, partially offset by purchases of property and equipment of $0.3 million.</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Net cash used in investing activities was $91.5 million during the year ended December 31, 2024, which was primarily driven by net purchases and maturities of marketable securities of $91.4 million and purchases of property and equipment of $0.1 million.</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Net cash provided by financing activities was $99.8 million during the year ended December 31, 2025, which was related to the proceeds from the issuance of Series D preferred stock, net of issuance costs.</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Net cash provided by financing activities was $0.1 million during the year ended December 31, 2024, which was related to the proceeds from the issuance of Series C-1 preferred stock, net of issuance costs.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9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and Manufacturing Agreements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enter into contracts in the normal course of business with CROs, CMOs, and other vendors to assist in the research and development activities and other services and products for operating purposes. These contracts generally provide for termination at any time upon a certain amount of prior notice, and therefore are cancelable contracts which are not included in contractual obligations and commitments. Upon termination for convenience, we would be required to pay amounts for services performed through the termination date and, in certain cases, a termination fee equal to 8% of the remaining contractual value for services terminated but not yet performed.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2" w:name="page103"/>
    <w:bookmarkEnd w:id="10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September 2025, we relocated our headquarters and executed a non-cancelable operating sublease in Boston, Massachusetts, or the Boston Sublease. Total fixed payments in connection with the Boston Sublease will be $1.9 million over the term of the agreement ending in 2029. This includes our share of facility operating expenses, real-estate taxes, but excludes our share of property management fees that are reimbursable to the landlord under the lease.</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Material Agreements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agreements with certain third parties to license intellectual property include potential milestone fees, sublicense fees, and royalty fees. The milestone fees are dependent upon the development of our drug products using the intellectual property licensed under the arrangements and contingent upon the achievement of development or regulatory approval milestones, as well as commercial milestones. These potential obligations are contingent upon the occurrence of future events and the timing and likelihood of such potential obligations are not known with certainty. For further information regarding these agreements, please see “Business—Material Agreements.”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Critical Accounting Estimates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management’s discussion and analysis of our financial condition and results of operations are based on our consolidated financial statements, which are prepared in accordance with GAAP. The preparation of our consolidated financial statements requires us to make estimates and assumptions that affect the reported amounts of assets, liabilities, costs and expenses and the disclosure of contingent assets and liabilities in our consolidated financial statements and accompanying notes. We evaluate our estimates and judgments on an ongoing basis. We base our estimates on historical experience, known trends and events and on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w:t>
      </w:r>
    </w:p>
    <w:p>
      <w:pPr>
        <w:spacing w:after="0" w:line="149"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While our significant accounting policies are more fully described in Note 2, “Summary of Significant Accounting Policies” in our consolidated financial statements included elsewhere in this prospectus, we believe that our critical accounting estimates are as follows.</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 Expenses and Accruals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preparing the consolidated financial statements, we are required to estimate our accrued research and development expenses as of each balance sheet date. In accruing service fees, we estimate the time period over which services will be performed and the level of effort to be expended in each period. This process involves reviewing open contracts, communicating with internal personnel to identify services that have been performed on our behalf and estimating the level of service performed and the associated cost incurred for the service when we have not yet been invoiced or otherwise notified of the actual cost. We periodically confirm the accuracy of our estimates with our service providers and make adjustments, if necessary. The majority of our service providers invoice in arrears for services performed or when contractual milestones are met. The financial terms of agreements with these service providers are subject to negotiation, vary from contract-to-contract and may result in uneven payment flows. In circumstances where amounts have been paid in excess of costs incurred, we record a prepaid expense.</w:t>
      </w:r>
    </w:p>
    <w:p>
      <w:pPr>
        <w:spacing w:after="0" w:line="144"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Contingent milestone payments, if any, are expensed when the milestone results are probable and estimable, which is generally upon the achievement of the milestone.</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Although we do not expect our estimates to be materially different from amounts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incurred.</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3" w:name="page104"/>
    <w:bookmarkEnd w:id="10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 Expense</w:t>
      </w:r>
    </w:p>
    <w:p>
      <w:pPr>
        <w:spacing w:after="0" w:line="93"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We measure stock-based awards granted to employees, directors and certain consultants based on their fair value on the date of the grant. We recognize compensation expense for awards to employees and directors over the requisite service period, which is generally the vesting period of the respective award. Compensation expense for awards to non-employees with service-based vesting conditions is recognized in the same manner as if we had paid cash in exchange for the goods or services, which is generally over the vesting period of the award. For stock-based awards with service-based vesting conditions, we recognize compensation expense using the straight-line method. The fair value of each stock option grant is estimated on the date of grant using the Black-Scholes option-pricing model, or OPM, which requires inputs based on certain subjective assumptions, including the expected stock price volatility, the expected term of the option, fair value of the underlying common stock, the risk-free interest rate for a period that approximates the expected term of the option and our expected dividend yield. Changes in the assumptions can materially affect the fair value and ultimately how much stock-based compensation expense is recognized. These inputs are subjective and generally require judgment to develop. See Note 11, “Stock Option Plan” in our annual consolidated financial statements included elsewhere in this prospectus for information concerning certain of the specific assumptions we used in applying the Black-Scholes option pricing model to determine the estimated fair value of our stock options granted for the year ended December 31, 2025 and 2024. The expected term of stock options granted to non-employees is equal to the contractual term of the option award.</w:t>
      </w:r>
    </w:p>
    <w:p>
      <w:pPr>
        <w:spacing w:after="0" w:line="23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Determination of Fair Value of Common Stock Valuations</w:t>
      </w:r>
    </w:p>
    <w:p>
      <w:pPr>
        <w:spacing w:after="0" w:line="93"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As there has been no public market for our common stock to date, the estimated fair value of our common stock has been determined by our board of directors as of the date of each option grant with input from management, considering our most recently available third-party valuations of common stock, and our board of directors’ assessment of additional objective and subjective factors that it believed were relevant and which may have changed from the date of the most recent valuation through the date of the grant. These third-party valuations were performed in accordance with the guidance outlined in the American Institute of Certified Public Accountants’ Accounting and Valuation Guide, Valuation of Privately-Held-Company Equity Securities Issued as Compensation. Our common stock valuation was prepared using either the OPM or the hybrid method, both of which used a market approach to estimate our equity value. The OPM treats common stock and convertible preferred stock as call options on the equity value of a company, with exercise prices based on the value thresholds at which the allocation among the various holders of a company’s securities changes. Under the OPM, the common stock has value only if the funds available for distribution to stockholders exceeded the value of the convertible preferred stock liquidation preferences at the time of the liquidity event, such as a strategic sale or a merger. The hybrid method consists of a probability-weighted expected return method, or PWERM, where the company has insight into one or more near-term exits (e.g., IPO scenario using a PWERM) but is unsure about what will occur if the current plan falls through (e.g., sale scenario using an OPM). The PWERM is a scenario-based methodology that estimates the fair value of common stock based upon an analysis of future values for us, assuming various outcomes. The common stock value in the PWERM scenario is based on the expected future investment returns considering each of the possible outcomes available as well as the rights of each class of stock. The future value of the common stock under in the PWERM scenario is discounted back to the valuation date at an appropriate risk-adjusted discount rate and probability weighted to arrive at an indication of value for the common stock. The OPM is used when specific future liquidity events are difficult to forecast (e.g. sale scenario) as the enterprise’s value depends on how well it follows an uncharted path through the various possible opportunities and challenges. A discount for lack of marketability of the common stock is then applied to arrive at an indication of value for the common stock in each respective scenario, and weightings are applied to arrive at the concluded indication of value for the common stock.</w:t>
      </w:r>
    </w:p>
    <w:p>
      <w:pPr>
        <w:spacing w:after="0" w:line="14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These third-party valuations were performed at various dates. The fair value of our common stock was determined by our board of directors, with input from management and considering the independent third-party valuations and various objective and subjective factors as of each grant date, including:</w:t>
      </w:r>
    </w:p>
    <w:p>
      <w:pPr>
        <w:spacing w:after="0" w:line="51" w:lineRule="exact"/>
        <w:rPr>
          <w:sz w:val="20"/>
          <w:szCs w:val="20"/>
          <w:color w:val="auto"/>
        </w:rPr>
      </w:pPr>
    </w:p>
    <w:p>
      <w:pPr>
        <w:ind w:left="1880" w:right="1239" w:hanging="323"/>
        <w:spacing w:after="0" w:line="283" w:lineRule="auto"/>
        <w:tabs>
          <w:tab w:leader="none" w:pos="18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prices at which we sold preferred stock and the superior rights and preferences of the preferred stock relative to our common stock at the time of each grant;</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raise future financings;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4" w:name="page105"/>
    <w:bookmarkEnd w:id="10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progress of our research and development efforts, including the status of clinical trials for our product candidates;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lack of liquidity of our equity as a private company;</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stage of development and business strategy and the material risks related to our business and industry;</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achievement of enterprise milestones, including entering into collaboration and license agreements;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valuation of publicly traded companies in the life sciences and biotechnology sectors, as well as recently completed mergers and acquisitions of peer companies;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external market conditions affecting the biotechnology industry and trends within the biotechnology industry;</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likelihood of achieving a liquidity event for the holders of our preferred stock and holders of our common stock, such as an initial public offering, or a sale of our company, given prevailing market conditions; and</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61" w:lineRule="auto"/>
        <w:tabs>
          <w:tab w:leader="none" w:pos="1880" w:val="left"/>
        </w:tabs>
        <w:numPr>
          <w:ilvl w:val="0"/>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analysis of IPOs and the market performance of similar companies in the biopharmaceutical industry.</w:t>
      </w:r>
    </w:p>
    <w:p>
      <w:pPr>
        <w:spacing w:after="0" w:line="330"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assumptions underlying these valuations were highly complex and subjective and represented management’s best estimates, which involved inherent uncertainties and the application of management’s judgment. As a result, if we had used significantly different assumptions or estimates, the fair value of our common stock and our stock-based compensation expense could be materially different.</w:t>
      </w:r>
    </w:p>
    <w:p>
      <w:pPr>
        <w:spacing w:after="0" w:line="14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Once a public trading market for our common stock has been established in connection with the completion of this offering, it will no longer be necessary for our board of directors to estimate the fair value of our common stock in connection with our accounting for granted stock options and other such awards we may grant, as the fair value of our common stock will be determined based on the quoted market price of our common stock.</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5" w:name="page106"/>
    <w:bookmarkEnd w:id="10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following table summarizes by grant date the number of shares subject to awards granted between January 1, 2024 and the date hereof, the per share exercise price of the awards and the fair value of common stock underlying the awards on each grant date:</w:t>
      </w:r>
    </w:p>
    <w:p>
      <w:pPr>
        <w:spacing w:after="0" w:line="12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200" w:type="dxa"/>
            <w:vAlign w:val="bottom"/>
          </w:tcPr>
          <w:p>
            <w:pPr>
              <w:spacing w:after="0"/>
              <w:rPr>
                <w:sz w:val="11"/>
                <w:szCs w:val="11"/>
                <w:color w:val="auto"/>
              </w:rPr>
            </w:pPr>
          </w:p>
        </w:tc>
        <w:tc>
          <w:tcPr>
            <w:tcW w:w="780" w:type="dxa"/>
            <w:vAlign w:val="bottom"/>
          </w:tcPr>
          <w:p>
            <w:pPr>
              <w:jc w:val="center"/>
              <w:ind w:right="13"/>
              <w:spacing w:after="0"/>
              <w:rPr>
                <w:sz w:val="20"/>
                <w:szCs w:val="20"/>
                <w:color w:val="auto"/>
              </w:rPr>
            </w:pPr>
            <w:r>
              <w:rPr>
                <w:rFonts w:ascii="Times New Roman" w:cs="Times New Roman" w:eastAsia="Times New Roman" w:hAnsi="Times New Roman"/>
                <w:sz w:val="11"/>
                <w:szCs w:val="11"/>
                <w:b w:val="1"/>
                <w:bCs w:val="1"/>
                <w:color w:val="auto"/>
              </w:rPr>
              <w:t>Per share fair</w:t>
            </w:r>
          </w:p>
        </w:tc>
        <w:tc>
          <w:tcPr>
            <w:tcW w:w="20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Range of per share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Type of</w:t>
            </w:r>
          </w:p>
        </w:tc>
        <w:tc>
          <w:tcPr>
            <w:tcW w:w="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ind w:right="13"/>
              <w:spacing w:after="0" w:line="116" w:lineRule="exact"/>
              <w:rPr>
                <w:sz w:val="20"/>
                <w:szCs w:val="20"/>
                <w:color w:val="auto"/>
              </w:rPr>
            </w:pPr>
            <w:r>
              <w:rPr>
                <w:rFonts w:ascii="Times New Roman" w:cs="Times New Roman" w:eastAsia="Times New Roman" w:hAnsi="Times New Roman"/>
                <w:sz w:val="11"/>
                <w:szCs w:val="11"/>
                <w:b w:val="1"/>
                <w:bCs w:val="1"/>
                <w:color w:val="auto"/>
              </w:rPr>
              <w:t>value of</w:t>
            </w:r>
          </w:p>
        </w:tc>
        <w:tc>
          <w:tcPr>
            <w:tcW w:w="200" w:type="dxa"/>
            <w:vAlign w:val="bottom"/>
          </w:tcPr>
          <w:p>
            <w:pPr>
              <w:spacing w:after="0"/>
              <w:rPr>
                <w:sz w:val="10"/>
                <w:szCs w:val="10"/>
                <w:color w:val="auto"/>
              </w:rPr>
            </w:pPr>
          </w:p>
        </w:tc>
        <w:tc>
          <w:tcPr>
            <w:tcW w:w="920" w:type="dxa"/>
            <w:vAlign w:val="bottom"/>
            <w:gridSpan w:val="2"/>
          </w:tcPr>
          <w:p>
            <w:pPr>
              <w:jc w:val="center"/>
              <w:ind w:right="140"/>
              <w:spacing w:after="0" w:line="116" w:lineRule="exact"/>
              <w:rPr>
                <w:sz w:val="20"/>
                <w:szCs w:val="20"/>
                <w:color w:val="auto"/>
              </w:rPr>
            </w:pPr>
            <w:r>
              <w:rPr>
                <w:rFonts w:ascii="Times New Roman" w:cs="Times New Roman" w:eastAsia="Times New Roman" w:hAnsi="Times New Roman"/>
                <w:sz w:val="11"/>
                <w:szCs w:val="11"/>
                <w:b w:val="1"/>
                <w:bCs w:val="1"/>
                <w:color w:val="auto"/>
              </w:rPr>
              <w:t>estimated fair</w:t>
            </w:r>
          </w:p>
        </w:tc>
        <w:tc>
          <w:tcPr>
            <w:tcW w:w="0" w:type="dxa"/>
            <w:vAlign w:val="bottom"/>
          </w:tcPr>
          <w:p>
            <w:pPr>
              <w:spacing w:after="0"/>
              <w:rPr>
                <w:sz w:val="1"/>
                <w:szCs w:val="1"/>
                <w:color w:val="auto"/>
              </w:rPr>
            </w:pPr>
          </w:p>
        </w:tc>
      </w:tr>
      <w:tr>
        <w:trPr>
          <w:trHeight w:val="114"/>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Grant Date (1)</w:t>
            </w:r>
          </w:p>
        </w:tc>
        <w:tc>
          <w:tcPr>
            <w:tcW w:w="8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60" w:type="dxa"/>
            <w:vAlign w:val="bottom"/>
          </w:tcPr>
          <w:p>
            <w:pPr>
              <w:jc w:val="center"/>
              <w:spacing w:after="0" w:line="11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jc w:val="center"/>
              <w:ind w:right="32"/>
              <w:spacing w:after="0" w:line="114" w:lineRule="exact"/>
              <w:rPr>
                <w:sz w:val="20"/>
                <w:szCs w:val="20"/>
                <w:color w:val="auto"/>
              </w:rPr>
            </w:pPr>
            <w:r>
              <w:rPr>
                <w:rFonts w:ascii="Times New Roman" w:cs="Times New Roman" w:eastAsia="Times New Roman" w:hAnsi="Times New Roman"/>
                <w:sz w:val="11"/>
                <w:szCs w:val="11"/>
                <w:b w:val="1"/>
                <w:bCs w:val="1"/>
                <w:color w:val="auto"/>
              </w:rPr>
              <w:t>exercise price</w:t>
            </w:r>
          </w:p>
        </w:tc>
        <w:tc>
          <w:tcPr>
            <w:tcW w:w="200" w:type="dxa"/>
            <w:vAlign w:val="bottom"/>
          </w:tcPr>
          <w:p>
            <w:pPr>
              <w:spacing w:after="0"/>
              <w:rPr>
                <w:sz w:val="9"/>
                <w:szCs w:val="9"/>
                <w:color w:val="auto"/>
              </w:rPr>
            </w:pPr>
          </w:p>
        </w:tc>
        <w:tc>
          <w:tcPr>
            <w:tcW w:w="780" w:type="dxa"/>
            <w:vAlign w:val="bottom"/>
          </w:tcPr>
          <w:p>
            <w:pPr>
              <w:jc w:val="center"/>
              <w:ind w:right="33"/>
              <w:spacing w:after="0" w:line="114"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200" w:type="dxa"/>
            <w:vAlign w:val="bottom"/>
          </w:tcPr>
          <w:p>
            <w:pPr>
              <w:spacing w:after="0"/>
              <w:rPr>
                <w:sz w:val="9"/>
                <w:szCs w:val="9"/>
                <w:color w:val="auto"/>
              </w:rPr>
            </w:pPr>
          </w:p>
        </w:tc>
        <w:tc>
          <w:tcPr>
            <w:tcW w:w="920" w:type="dxa"/>
            <w:vAlign w:val="bottom"/>
            <w:gridSpan w:val="2"/>
          </w:tcPr>
          <w:p>
            <w:pPr>
              <w:jc w:val="center"/>
              <w:ind w:right="140"/>
              <w:spacing w:after="0" w:line="114" w:lineRule="exact"/>
              <w:rPr>
                <w:sz w:val="20"/>
                <w:szCs w:val="20"/>
                <w:color w:val="auto"/>
              </w:rPr>
            </w:pPr>
            <w:r>
              <w:rPr>
                <w:rFonts w:ascii="Times New Roman" w:cs="Times New Roman" w:eastAsia="Times New Roman" w:hAnsi="Times New Roman"/>
                <w:sz w:val="11"/>
                <w:szCs w:val="11"/>
                <w:b w:val="1"/>
                <w:bCs w:val="1"/>
                <w:color w:val="auto"/>
              </w:rPr>
              <w:t>value on award</w:t>
            </w:r>
          </w:p>
        </w:tc>
        <w:tc>
          <w:tcPr>
            <w:tcW w:w="0" w:type="dxa"/>
            <w:vAlign w:val="bottom"/>
          </w:tcPr>
          <w:p>
            <w:pPr>
              <w:spacing w:after="0"/>
              <w:rPr>
                <w:sz w:val="1"/>
                <w:szCs w:val="1"/>
                <w:color w:val="auto"/>
              </w:rPr>
            </w:pPr>
          </w:p>
        </w:tc>
      </w:tr>
      <w:tr>
        <w:trPr>
          <w:trHeight w:val="137"/>
        </w:trPr>
        <w:tc>
          <w:tcPr>
            <w:tcW w:w="17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award</w:t>
            </w:r>
          </w:p>
        </w:tc>
        <w:tc>
          <w:tcPr>
            <w:tcW w:w="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subject to award</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32"/>
              <w:spacing w:after="0"/>
              <w:rPr>
                <w:sz w:val="20"/>
                <w:szCs w:val="20"/>
                <w:color w:val="auto"/>
              </w:rPr>
            </w:pPr>
            <w:r>
              <w:rPr>
                <w:rFonts w:ascii="Times New Roman" w:cs="Times New Roman" w:eastAsia="Times New Roman" w:hAnsi="Times New Roman"/>
                <w:sz w:val="11"/>
                <w:szCs w:val="11"/>
                <w:b w:val="1"/>
                <w:bCs w:val="1"/>
                <w:color w:val="auto"/>
              </w:rPr>
              <w:t>of award</w:t>
            </w:r>
          </w:p>
        </w:tc>
        <w:tc>
          <w:tcPr>
            <w:tcW w:w="200" w:type="dxa"/>
            <w:vAlign w:val="bottom"/>
          </w:tcPr>
          <w:p>
            <w:pPr>
              <w:spacing w:after="0"/>
              <w:rPr>
                <w:sz w:val="11"/>
                <w:szCs w:val="11"/>
                <w:color w:val="auto"/>
              </w:rPr>
            </w:pPr>
          </w:p>
        </w:tc>
        <w:tc>
          <w:tcPr>
            <w:tcW w:w="780" w:type="dxa"/>
            <w:vAlign w:val="bottom"/>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on grant date</w:t>
            </w:r>
          </w:p>
        </w:tc>
        <w:tc>
          <w:tcPr>
            <w:tcW w:w="200" w:type="dxa"/>
            <w:vAlign w:val="bottom"/>
          </w:tcPr>
          <w:p>
            <w:pPr>
              <w:spacing w:after="0"/>
              <w:rPr>
                <w:sz w:val="11"/>
                <w:szCs w:val="11"/>
                <w:color w:val="auto"/>
              </w:rPr>
            </w:pPr>
          </w:p>
        </w:tc>
        <w:tc>
          <w:tcPr>
            <w:tcW w:w="920" w:type="dxa"/>
            <w:vAlign w:val="bottom"/>
            <w:gridSpan w:val="2"/>
          </w:tcPr>
          <w:p>
            <w:pPr>
              <w:jc w:val="center"/>
              <w:ind w:right="140"/>
              <w:spacing w:after="0" w:line="137" w:lineRule="exact"/>
              <w:rPr>
                <w:sz w:val="20"/>
                <w:szCs w:val="20"/>
                <w:color w:val="auto"/>
              </w:rPr>
            </w:pPr>
            <w:r>
              <w:rPr>
                <w:rFonts w:ascii="Times New Roman" w:cs="Times New Roman" w:eastAsia="Times New Roman" w:hAnsi="Times New Roman"/>
                <w:sz w:val="11"/>
                <w:szCs w:val="11"/>
                <w:b w:val="1"/>
                <w:bCs w:val="1"/>
                <w:color w:val="auto"/>
                <w:w w:val="99"/>
              </w:rPr>
              <w:t>on grant date</w:t>
            </w:r>
            <w:r>
              <w:rPr>
                <w:rFonts w:ascii="Times New Roman" w:cs="Times New Roman" w:eastAsia="Times New Roman" w:hAnsi="Times New Roman"/>
                <w:sz w:val="15"/>
                <w:szCs w:val="15"/>
                <w:b w:val="1"/>
                <w:bCs w:val="1"/>
                <w:color w:val="auto"/>
                <w:w w:val="99"/>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vMerge w:val="continue"/>
          </w:tcPr>
          <w:p>
            <w:pPr>
              <w:spacing w:after="0"/>
              <w:rPr>
                <w:sz w:val="13"/>
                <w:szCs w:val="13"/>
                <w:color w:val="auto"/>
              </w:rPr>
            </w:pPr>
          </w:p>
        </w:tc>
        <w:tc>
          <w:tcPr>
            <w:tcW w:w="17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01/25/2024</w:t>
            </w: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Option</w:t>
            </w:r>
          </w:p>
        </w:tc>
        <w:tc>
          <w:tcPr>
            <w:tcW w:w="60" w:type="dxa"/>
            <w:vAlign w:val="bottom"/>
            <w:shd w:val="clear" w:color="auto" w:fill="CFF0FC"/>
          </w:tcPr>
          <w:p>
            <w:pPr>
              <w:spacing w:after="0"/>
              <w:rPr>
                <w:sz w:val="13"/>
                <w:szCs w:val="13"/>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29,181,114</w:t>
            </w:r>
          </w:p>
        </w:tc>
        <w:tc>
          <w:tcPr>
            <w:tcW w:w="2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0.24</w:t>
            </w:r>
          </w:p>
        </w:tc>
        <w:tc>
          <w:tcPr>
            <w:tcW w:w="20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0.24</w:t>
            </w:r>
          </w:p>
        </w:tc>
        <w:tc>
          <w:tcPr>
            <w:tcW w:w="2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0.17-0.18</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02/14/2024</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989,689</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06/11/2024</w:t>
            </w:r>
          </w:p>
        </w:tc>
        <w:tc>
          <w:tcPr>
            <w:tcW w:w="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5,308,930</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07/24/2024</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845,267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08/29/2024</w:t>
            </w:r>
          </w:p>
        </w:tc>
        <w:tc>
          <w:tcPr>
            <w:tcW w:w="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416,333</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2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0.18</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10/30/2024</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1,374,063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0.29</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05/29/2025</w:t>
            </w:r>
          </w:p>
        </w:tc>
        <w:tc>
          <w:tcPr>
            <w:tcW w:w="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6,119,299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09/11/2025</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22,676,091</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12/10/2025</w:t>
            </w:r>
          </w:p>
        </w:tc>
        <w:tc>
          <w:tcPr>
            <w:tcW w:w="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3,782,351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0.15-0.16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01/02/2026</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3,090,117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02/02/2026</w:t>
            </w:r>
          </w:p>
        </w:tc>
        <w:tc>
          <w:tcPr>
            <w:tcW w:w="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1,703,251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2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03/09/2026</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1,129,142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0.41-0.43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04/02/2026</w:t>
            </w:r>
          </w:p>
        </w:tc>
        <w:tc>
          <w:tcPr>
            <w:tcW w:w="84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283,875</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0" w:type="dxa"/>
            <w:vAlign w:val="bottom"/>
            <w:tcBorders>
              <w:right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Pr>
          <w:p>
            <w:pPr>
              <w:spacing w:after="0"/>
              <w:rPr>
                <w:sz w:val="20"/>
                <w:szCs w:val="20"/>
                <w:color w:val="auto"/>
              </w:rPr>
            </w:pPr>
            <w:r>
              <w:rPr>
                <w:rFonts w:ascii="Times New Roman" w:cs="Times New Roman" w:eastAsia="Times New Roman" w:hAnsi="Times New Roman"/>
                <w:sz w:val="14"/>
                <w:szCs w:val="14"/>
                <w:color w:val="auto"/>
              </w:rPr>
              <w:t>04/03/2026</w:t>
            </w: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Option</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845,267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0.61</w:t>
            </w:r>
          </w:p>
        </w:tc>
        <w:tc>
          <w:tcPr>
            <w:tcW w:w="20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1560" w:right="1239" w:hanging="336"/>
        <w:spacing w:after="0" w:line="266" w:lineRule="auto"/>
        <w:tabs>
          <w:tab w:leader="none" w:pos="15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 dates exclude 4,287,641 warrants to purchase shares of common stock issued to our former CEO in January 2025 that have an exercise price of $0.29 per share, which were in exchange for 4,935,717 stock options that were cancelled and forfeited.</w:t>
      </w:r>
    </w:p>
    <w:p>
      <w:pPr>
        <w:ind w:left="1560" w:right="1239" w:hanging="336"/>
        <w:spacing w:after="0" w:line="283" w:lineRule="auto"/>
        <w:tabs>
          <w:tab w:leader="none" w:pos="156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 share estimated fair value of options reflects the fair value of options granted on each grant date determined using the Black-Scholes OPM.</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 description of recently issued accounting pronouncements that may potentially impact our financial position and results of operations is disclosed in Note 2, “Summary of Significant Accounting Policies” in our consolidated financial statements included elsewhere in this prospectus.</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Qualitative and Quantitative Disclosures about Market Risk</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We are a “smaller reporting company” as defined in Rule 12b-2 of the Exchange Act and are not required to provide the information otherwise required under this Item.</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Emerging Growth Company and Smaller Reporting Company Status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are an “emerging growth company,” as defined in the JOBS Act, and we may take advantage of certain exemptions from various reporting requirements that are applicable to other public companies that are not emerging growth companies. We may take advantage of these exemptions until we are no longer an emerging growth company. Section 107 of the JOBS Act provides that an “emerging growth company” can take advantage of the extended transition period afforded by the JOBS Act for the implementation of new or revised accounting standards. We have elected to use the extended transition period for complying with new or revised accounting standards and as a result of this election, our consolidated financial statements may not be comparable to companies that comply with public company effective dates. We may take advantage of these exemptions up until the time that we are no longer an “emerging growth company.”</w:t>
      </w:r>
    </w:p>
    <w:p>
      <w:pPr>
        <w:spacing w:after="0" w:line="149"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will remain an emerging growth company until the earlier of (1) the last day of the fiscal year (a) following the fifth anniversary of the completion of this offering, (b) in which we have total annual gross revenue of at least</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6" w:name="page107"/>
    <w:bookmarkEnd w:id="10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$1.235 billion or (c) in which we are deemed to be a “large accelerated filer” under the rules of the SEC, which means, among other things, the market value of our common stock that is held by non-affiliates exceeds $700.0 million as of the last business day of our most recently completed second fiscal quarter and (2) the date on which we have issued more than $1.0 billion in non-convertible debt during the prior three-year period.</w:t>
      </w:r>
    </w:p>
    <w:p>
      <w:pPr>
        <w:spacing w:after="0" w:line="141"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for so long as either (i) our voting and non-voting common stock held by non-affiliates is less than $250.0 million measured on the last business day of our second fiscal quarter, or (ii) our annual revenue is less than $100.0 million during the most recently completed fiscal year and our voting and non-voting common stock held by non-affiliates is less than $700.0 million measured on the last business day of our second fiscal quarter.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7" w:name="page108"/>
    <w:bookmarkEnd w:id="10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BUSINESS</w:t>
      </w:r>
    </w:p>
    <w:p>
      <w:pPr>
        <w:spacing w:after="0" w:line="1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are a clinical-stage biopharmaceutical company pioneering inhaled therapies to transform the treatment paradigm of serious, rare respiratory diseases with significant unmet needs. Our approach is designed to address the limitations of current oral therapies by delivering optimized inhaled formulations of approved oral medicines directly to the lungs to enhance efficacy and minimize systemic exposure that contributes to side effects and treatment discontinuation.</w:t>
      </w:r>
    </w:p>
    <w:p>
      <w:pPr>
        <w:spacing w:after="0" w:line="144" w:lineRule="exact"/>
        <w:rPr>
          <w:sz w:val="20"/>
          <w:szCs w:val="20"/>
          <w:color w:val="auto"/>
        </w:rPr>
      </w:pPr>
    </w:p>
    <w:p>
      <w:pPr>
        <w:jc w:val="both"/>
        <w:ind w:left="1220" w:right="1239" w:firstLine="333"/>
        <w:spacing w:after="0" w:line="245" w:lineRule="auto"/>
        <w:rPr>
          <w:sz w:val="20"/>
          <w:szCs w:val="20"/>
          <w:color w:val="auto"/>
        </w:rPr>
      </w:pPr>
      <w:r>
        <w:rPr>
          <w:rFonts w:ascii="Times New Roman" w:cs="Times New Roman" w:eastAsia="Times New Roman" w:hAnsi="Times New Roman"/>
          <w:sz w:val="14"/>
          <w:szCs w:val="14"/>
          <w:color w:val="auto"/>
        </w:rPr>
        <w:t>Our current pipeline is focused on treating pulmonary fibrosis, a life-threatening disease with a median survival of three to five years, which is a significantly shorter prognosis than that observed for many forms of cancer. Pulmonary fibrosis is characterized by scarring of the lungs, which can lead to a decline in lung function, progressive shortness of breath, reduced quality of life, and increased mortality risk. There are currently three approved oral antifibrotic therapies for pulmonary fibrosis: pirfenidone, or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nintedanib, or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nerandomilast, or JASCAYD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While these oral antifibrotics slow fibrosis progression, none stop progression entirely. In addition, their use is frequently limited by tolerability challenges associated with their systemic delivery. Due to their side effects, around 50% of patients who start treatment with available therapies discontinue within one year. Despite limited use,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generated more than $4.0 billion in gross global sales in 2024.</w:t>
      </w:r>
    </w:p>
    <w:p>
      <w:pPr>
        <w:spacing w:after="0" w:line="9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most clinically advanced candidates, AP01 and AP02, are inhaled formulations of pirfenidone and nintedanib for the treatment of progressive pulmonary fibrosis, or PPF, and idiopathic pulmonary fibrosis, or IPF, respectively. We have completed ATLAS, a Phase 1b clinical trial of AP01 in patients with IPF. Patients from ATLAS transitioned into an ongoing open-label extension, or OLE, trial, along with compassionate-use cohorts of patients with IPF and PPF. We currently have over four and a half years of data demonstrating a favorable tolerability profile and preliminary data on clinical activity, including near-stabilization of lung function.</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AP01 is currently being evaluated in MIST, a global Phase 2b clinical trial for the treatment of PPF. We have also completed Phase 1 trials of AP02 in healthy adult volunteers and patients with IPF. AP02 is currently being evaluated in AURA, a global Phase 2 clinical trial for the treatment of IPF. We are also advancing AP03 into a Phase 1 clinical trial. AP03 is a fixed-dose combination of inhaled pirfenidone and nintedanib designed to deliver dual antifibrotic mechanisms with the potential for additive or synergistic benefit. We believe our inhaled therapies, if successfully developed and approved, may offer improved tolerability and efficacy for long-term treatment. These programs are intentionally designed, leveraging our deep expertise in rare respiratory diseases, advanced inhaled drug formulation, and our exclusive license to customize the delivery device.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8" w:name="page109"/>
    <w:bookmarkEnd w:id="10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Pipeline</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wholly owned pipeline is summarized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120650</wp:posOffset>
            </wp:positionV>
            <wp:extent cx="4051935" cy="17487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051935" cy="174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AP01 (Inhaled Pirfenidone)</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wholly owned product candidate, AP01, is an optimized inhaled formulation of pirfenidone that we are advancing as a treatment for PPF. AP01 demonstrated encouraging tolerability and clinical activity data in ATLAS, a Phase 1b clinical trial in patients with IPF, and an OLE trial in IPF and PPF patients, which has supported development in PPF. ATLAS was a randomized, open-label trial comparing AP01 50 mg once-daily, or QD, and AP01 100 mg twice-daily, or BID. Both dose regimens of AP01 showed low rates of side effects, including GI toxicities and liver enzyme elevations, which have been commonly seen with oral products. At 48 weeks, the high-dose AP01 achieved near stabilization of lung function, as measured by forced vital capacity, or FVC. In addition, analyses of high-resolution computed tomography, or HRCT, imaging indicated fibrosis stabilization or improvement in over 70% of patients evaluated, with reduced lung scarring and improved lung volume, suggesting a potential disease-modifying effect.</w:t>
      </w:r>
    </w:p>
    <w:p>
      <w:pPr>
        <w:spacing w:after="0" w:line="14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An ongoing OLE trial of AP01 has further supported its long-term favorable tolerability potential and the potential to stabilize lung function decline. Patients from ATLAS transitioned into the OLE trial with AP01 100 mg BID treatment, along with compassionate-use cohorts of patients with IPF and PPF. Long-term data show a consistent tolerability profile and clinical activity data as ATLAS. The OLE trial has now been underway for more than four and a half years, with 23 of the 100 initially enrolled patients continuing to receive AP01 100 mg BID treatment. Many of these continuing patients are surpassing six years post-diagnosis, exceeding the three to five years median survival for patients with pulmonary fibrosis after diagnosis, with other patients having discontinued due to mortality, disease progression, or other clinical considerations, including one patient who discontinued due to tolerability considerations.</w:t>
      </w:r>
    </w:p>
    <w:p>
      <w:pPr>
        <w:spacing w:after="0" w:line="149" w:lineRule="exact"/>
        <w:rPr>
          <w:sz w:val="20"/>
          <w:szCs w:val="20"/>
          <w:color w:val="auto"/>
        </w:rPr>
      </w:pPr>
    </w:p>
    <w:p>
      <w:pPr>
        <w:jc w:val="both"/>
        <w:ind w:left="1220" w:right="1239" w:firstLine="333"/>
        <w:spacing w:after="0"/>
        <w:rPr>
          <w:sz w:val="20"/>
          <w:szCs w:val="20"/>
          <w:color w:val="auto"/>
        </w:rPr>
      </w:pPr>
      <w:r>
        <w:rPr>
          <w:rFonts w:ascii="Times New Roman" w:cs="Times New Roman" w:eastAsia="Times New Roman" w:hAnsi="Times New Roman"/>
          <w:sz w:val="14"/>
          <w:szCs w:val="14"/>
          <w:color w:val="auto"/>
        </w:rPr>
        <w:t>These results supported our initiation of MIST, a global, randomized, 52-week Phase 2b clinical trial evaluating AP01 in PPF. We strategically selected PPF for Phase 2b development based on the clinical activity and observed anatomical changes seen with AP01; the higher global prevalence of PPF, which is nearly double that of IPF; and a potentially more efficient development and regulatory path. Given pirfenidone, or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is not approved for the treatment of PPF, we are not required to include a comparator arm to oral pirfenidone in the MIST trial. We believe there will be fewer commercial restrictions given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is not approved for the treatment of PPF, leading to potentially greater market access. MIST enrollment is ongoing, with initial data expected in the second half of 2027.</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09" w:name="page110"/>
    <w:bookmarkEnd w:id="10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AP02 (Inhaled Nintedanib)</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AP02, our inhaled formulation of nintedanib, has completed a Phase 1 single-ascending dose, or SAD, trial in healthy volunteers and patients with IPF and a Phase 1 SAD and multiple-ascending dose, or MAD, trial in healthy volunteers. AP02 was generally well-tolerated following single doses and throughout 7 days BID, up to the highest dose of 8 mg BID. AP02 also showed favorable pharmacokinetic, or PK, properties, notably no difference in systemic exposure between healthy volunteers and IPF patients, and an increase in pulmonary exposure and significantly lower systemic exposure with AP02, supporting its targeted lung delivery in contrast to data observed with oral delivery. Based on these data, we initiated AURA, a global Phase 2 clinical trial of AP02 in patients with IPF. The first patient was dosed in the first quarter of 2026 and data from AURA is expected in late 2027.</w:t>
      </w:r>
    </w:p>
    <w:p>
      <w:pPr>
        <w:spacing w:after="0" w:line="2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AP03 (Inhaled Fixed-Dose Combination of Pirfenidone and Nintedanib)</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Combination therapies targeting multiple mechanisms are well established in other chronic lung diseases such as asthma, chronic obstructive pulmonary disease, or COPD, and pulmonary arterial hypertension, or PAH. We designed AP03 as a fixed-dose combination of inhaled pirfenidone and inhaled nintedanib, leveraging the two complementary antifibrotic mechanisms of action that have shown signals of enhanced treatment response in pulmonary fibrosis, but have been historically limited by overlapping systemic toxicities. A historical, independent clinical trial in IPF demonstrated that combined use of oral pirfenidone and oral nintedanib exhibit potential for additive or even synergistic effects, improving lung function decline more than monotherapy. However, the challenging systemic side effects have limited the clinical feasibility of oral combination, given the overlapping adverse event, or AE, profiles of nintedanib and pirfenidone. We believe that delivering both molecules via inhalation has the potential to be transformative in the treatment of pulmonary fibrosis, where treatment options remain limited. AP03 reflects our initial effort to advance the treatment algorithm in pulmonary fibrosis. We are advancing manufacturing activities through a CMO for AP03. Pending alignment with regulatory authorities, we plan to initiate a Phase 1 clinical trial of AP03 as an inhaled fixed-dose combination in late 2026.</w:t>
      </w:r>
    </w:p>
    <w:p>
      <w:pPr>
        <w:spacing w:after="0" w:line="1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Lung-Targeted Inhalation Delivery Method</w:t>
      </w:r>
    </w:p>
    <w:p>
      <w:pPr>
        <w:spacing w:after="0" w:line="183" w:lineRule="exact"/>
        <w:rPr>
          <w:sz w:val="20"/>
          <w:szCs w:val="20"/>
          <w:color w:val="auto"/>
        </w:rPr>
      </w:pPr>
    </w:p>
    <w:p>
      <w:pPr>
        <w:jc w:val="both"/>
        <w:ind w:left="1220" w:right="1239" w:firstLine="333"/>
        <w:spacing w:after="0" w:line="234" w:lineRule="auto"/>
        <w:rPr>
          <w:sz w:val="20"/>
          <w:szCs w:val="20"/>
          <w:color w:val="auto"/>
        </w:rPr>
      </w:pPr>
      <w:r>
        <w:rPr>
          <w:rFonts w:ascii="Times New Roman" w:cs="Times New Roman" w:eastAsia="Times New Roman" w:hAnsi="Times New Roman"/>
          <w:sz w:val="14"/>
          <w:szCs w:val="14"/>
          <w:color w:val="auto"/>
        </w:rPr>
        <w:t>Our pipeline benefits from an exclusive license to PARI Technology Services’, or PARI’s,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with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for their delivery. PARI’s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nebulizers are clinically and commercially validated, with five drug-device combinations products using their nebulizers approved by regulatory authorities in North America, Europe, and Japan, including LAMIRA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ARIKAYCE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ALTERA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CAYSTON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PARI exclusivity offers a key competitive advantage, as the proprietary device would be included in any potential product labels approved by the U.S. Food and Drug Administration, or the FDA, and other foreign regulatory authorities given that we plan to seek approval for our drug product and the device under a single application. However, this approach may result in the increased complexity of the review process. See “Risk Factors —Risks Related to the Discovery and Development of Our Product Candidates—We intend to deliver AP01 and AP02 and our other product candidates via a drug delivery device that will have its own regulatory, development, supply and other risks. Where approval of the drug product and device is sought under a single application, the increased complexity of the review process may delay approval.”</w:t>
      </w:r>
    </w:p>
    <w:p>
      <w:pPr>
        <w:spacing w:after="0" w:line="16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have chosen nebulized delivery for our current programs, as we believe it offers the best solution for patients with pulmonary fibrosis, who often suffer from chronic cough and compromised lung function. Nebulized formulation produces a soft, gentle mist that allows for normal tidal breathing without requiring forceful inhalation. This minimizes cough induction and improves usability for the vast majority of patients. In contrast, other approaches like dry powder inhalers, or DPIs, require a powder formulation that is aerosolized through the device and depend on patients initiating a deep, vigorous inhalation to deliver the dose. Such inhalation can trigger cough, and if the patient coughs immediately afterward, much of the drug may be expelled, reducing efficacy. While a segment of the population with pulmonary fibrosis could successfully use a DPI, the size of that segment remains uncertain. We believe that nebulization offers a more reliable and patient-friendly solution.</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0" w:name="page111"/>
    <w:bookmarkEnd w:id="11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By advancing a portfolio of optimized inhaled therapies, we aim to deliver transformative, patient-centered treatment solutions for pulmonary fibrosis and other interstitial lung diseases, or ILDs, setting a new standard of care for these underserved populations.</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Team</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have a seasoned leadership team with deep experience in developing and commercializing respiratory medicines and inhaled therapeutics. Collectively, our team members have played key roles in the development, regulatory review, and commercial launches of several respiratory and inhaled therapeutics, including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JASCAYD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BREZTRI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BEVESPI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XOLAIR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TOBI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BAXDELA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8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Our key leadership team consists of:</w:t>
      </w:r>
    </w:p>
    <w:p>
      <w:pPr>
        <w:spacing w:after="0" w:line="89" w:lineRule="exact"/>
        <w:rPr>
          <w:sz w:val="20"/>
          <w:szCs w:val="20"/>
          <w:color w:val="auto"/>
        </w:rPr>
      </w:pPr>
    </w:p>
    <w:p>
      <w:pPr>
        <w:jc w:val="both"/>
        <w:ind w:left="1880" w:right="1239" w:hanging="323"/>
        <w:spacing w:after="0" w:line="243" w:lineRule="auto"/>
        <w:tabs>
          <w:tab w:leader="none" w:pos="18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Lyn Baranowski, </w:t>
      </w:r>
      <w:r>
        <w:rPr>
          <w:rFonts w:ascii="Times New Roman" w:cs="Times New Roman" w:eastAsia="Times New Roman" w:hAnsi="Times New Roman"/>
          <w:sz w:val="14"/>
          <w:szCs w:val="14"/>
          <w:color w:val="auto"/>
        </w:rPr>
        <w:t>our Chief Executive Officer, has over 20 years of experience in biopharmaceuticals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venture capital, with a significant focus on the immunology and respiratory therapeutic areas. Throughout her career, Ms. Baranowski has played pivotal roles in the development and commercialization of market-shaping therapies, including BREZTRI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BEVESPI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XOLAIR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TOBI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RECLAST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BAXDELA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She previously served as Chief Operating Officer at Altavant, overseeing development of therapies for rare respiratory diseases and culminating in the company’s acquisition by Sumitomo Dainippon in 2019. Prior to Altavant, she served as Vice President of Commercial Development at Pearl Therapeutics, which successfully developed a portfolio of inhaled respiratory medicines that led to its $1.15 billion acquisition by AstraZeneca. The products developed at Pearl and acquired by AstraZeneca are approved, including BREZTRI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BEVESPI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serve as the foundation of AstraZeneca’s respiratory portfolio. Her prior roles include senior roles at Novartis Pharmaceuticals and a healthcare-focused venture capital firm.</w:t>
      </w:r>
    </w:p>
    <w:p>
      <w:pPr>
        <w:spacing w:after="0" w:line="69" w:lineRule="exact"/>
        <w:rPr>
          <w:rFonts w:ascii="Times New Roman" w:cs="Times New Roman" w:eastAsia="Times New Roman" w:hAnsi="Times New Roman"/>
          <w:sz w:val="14"/>
          <w:szCs w:val="14"/>
          <w:color w:val="auto"/>
        </w:rPr>
      </w:pPr>
    </w:p>
    <w:p>
      <w:pPr>
        <w:jc w:val="both"/>
        <w:ind w:left="1880" w:right="1239" w:hanging="323"/>
        <w:spacing w:after="0" w:line="255" w:lineRule="auto"/>
        <w:tabs>
          <w:tab w:leader="none" w:pos="18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Douglas Carlson, </w:t>
      </w:r>
      <w:r>
        <w:rPr>
          <w:rFonts w:ascii="Times New Roman" w:cs="Times New Roman" w:eastAsia="Times New Roman" w:hAnsi="Times New Roman"/>
          <w:sz w:val="14"/>
          <w:szCs w:val="14"/>
          <w:color w:val="auto"/>
        </w:rPr>
        <w:t>our Chief Financial Officer and Chief Business Officer has more than 23 years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corporate finance, M&amp;A, business development and commercial experience in public and private biopharma companies. He was Chief Financial Officer and Chief Operating Officer at Avenge Bio and Ikena Oncology, where he led the Series B and initial public offering for Ikena. In addition, Mr. Carlson held senior positions at Collegium Pharmaceutical, BTG plc (acquired by Boston Scientific), and Lundbeck Inc. (formerly Ovation Pharmaceuticals acquired by H. Lundbeck A/S). Early in his career, Mr. Carlson held roles in venture capital and investment banking at Pequot Capital and Cowen &amp; Co., respectively.</w:t>
      </w:r>
    </w:p>
    <w:p>
      <w:pPr>
        <w:spacing w:after="0" w:line="61" w:lineRule="exact"/>
        <w:rPr>
          <w:rFonts w:ascii="Times New Roman" w:cs="Times New Roman" w:eastAsia="Times New Roman" w:hAnsi="Times New Roman"/>
          <w:sz w:val="14"/>
          <w:szCs w:val="14"/>
          <w:color w:val="auto"/>
        </w:rPr>
      </w:pPr>
    </w:p>
    <w:p>
      <w:pPr>
        <w:jc w:val="both"/>
        <w:ind w:left="1880" w:right="1239" w:hanging="323"/>
        <w:spacing w:after="0" w:line="259" w:lineRule="auto"/>
        <w:tabs>
          <w:tab w:leader="none" w:pos="18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Melissa Rhodes, Ph.D., D.A.B.T., </w:t>
      </w:r>
      <w:r>
        <w:rPr>
          <w:rFonts w:ascii="Times New Roman" w:cs="Times New Roman" w:eastAsia="Times New Roman" w:hAnsi="Times New Roman"/>
          <w:sz w:val="14"/>
          <w:szCs w:val="14"/>
          <w:color w:val="auto"/>
        </w:rPr>
        <w:t>our Chief Operating Officer has extensive operational and clinical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development expertise in respiratory medicine. She previously held leadership roles at Kriya Therapeutics, Aerami Therapeutics, and Altavant, focusing on the development of inhaled therapies. Her career also includes roles in nonclinical development at Roivant, GlaxoSmithKline, and Erimos Pharmaceuticals.</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50" w:lineRule="auto"/>
        <w:tabs>
          <w:tab w:leader="none" w:pos="18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Howard Lazarus, M.D., FCCP, </w:t>
      </w:r>
      <w:r>
        <w:rPr>
          <w:rFonts w:ascii="Times New Roman" w:cs="Times New Roman" w:eastAsia="Times New Roman" w:hAnsi="Times New Roman"/>
          <w:sz w:val="14"/>
          <w:szCs w:val="14"/>
          <w:color w:val="auto"/>
        </w:rPr>
        <w:t>our Chief Medical Officer is a board-certified pulmonary and critical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care physician with more than 20 years of biopharmaceutical and academic experience. Prior to Avalyn, he served as Chief Medical Officer of Altavant. In this role, he was responsible for developing and implementing the clinical development plans for candidates addressing PAH, and chronic lung allograft dysfunction, or CLAD. In his career, he was a key contributor to the development of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its non-IPF ILD indications at Boehringer Ingelheim and contributed to the development of Gilead’s PAH and IPF portfolios. Earlier, Dr. Lazarus practiced at Oregon Pulmonary Associates, diagnosing and treating patients with complex pulmonary vascular and ILDs.</w:t>
      </w:r>
    </w:p>
    <w:p>
      <w:pPr>
        <w:spacing w:after="0" w:line="61" w:lineRule="exact"/>
        <w:rPr>
          <w:rFonts w:ascii="Times New Roman" w:cs="Times New Roman" w:eastAsia="Times New Roman" w:hAnsi="Times New Roman"/>
          <w:sz w:val="14"/>
          <w:szCs w:val="14"/>
          <w:color w:val="auto"/>
        </w:rPr>
      </w:pPr>
    </w:p>
    <w:p>
      <w:pPr>
        <w:jc w:val="both"/>
        <w:ind w:left="1880" w:right="1239" w:hanging="323"/>
        <w:spacing w:after="0" w:line="250" w:lineRule="auto"/>
        <w:tabs>
          <w:tab w:leader="none" w:pos="188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Craig Conoscenti, M.D., FCCP, ATSF, </w:t>
      </w:r>
      <w:r>
        <w:rPr>
          <w:rFonts w:ascii="Times New Roman" w:cs="Times New Roman" w:eastAsia="Times New Roman" w:hAnsi="Times New Roman"/>
          <w:sz w:val="14"/>
          <w:szCs w:val="14"/>
          <w:color w:val="auto"/>
        </w:rPr>
        <w:t>our SVP of Clinical Development has deep experience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respiratory and pulmonary drug development. He oversaw ILD drug development and medical affairs at Boehringer Ingelheim for over 20 years, where he played a critical role in the development and commercial launch of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IPF and other ILDs. Before his industry career, Dr. Conoscenti was a senior pulmonary critical care consultant for over 17 years.</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1" w:name="page112"/>
    <w:bookmarkEnd w:id="11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prior experience of our team does not provide any guarantee or increased probability that we will be successful in developing and commercializing our product candidates.</w:t>
      </w:r>
    </w:p>
    <w:p>
      <w:pPr>
        <w:spacing w:after="0" w:line="12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Since our inception, we have raised approximately $389 million in equity capital from a syndicate of premier investors in healthcare and life sciences, including our greater than 5% holders: Novo Holdings A/S; SR One; F-Prime; Perceptive Xontogeny Venture Funds; Norwest Venture Funds; Eventide Asset Management; Wellington Management; and Vida Ventures, among other leading investors in our industry. Potential investors should not consider investments made by our existing investors as a factor when making a decision to purchase shares in this offering since our existing investors likely have different risk tolerances and paid significantly less per share than the price at which the shares are being offered in this offering. See the section titled “Principal Stockholders” for more information on prior purchases by and current holdings of our greater than 5% holders and other leading investors.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Strategy</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Our mission is to transform the lives of patients with serious, rare respiratory diseases through innovative inhaled therapies, beginning with pulmonary fibrosis. To achieve our mission, we are focused on the following strategic priorities:</w:t>
      </w:r>
    </w:p>
    <w:p>
      <w:pPr>
        <w:spacing w:after="0" w:line="49" w:lineRule="exact"/>
        <w:rPr>
          <w:sz w:val="20"/>
          <w:szCs w:val="20"/>
          <w:color w:val="auto"/>
        </w:rPr>
      </w:pPr>
    </w:p>
    <w:p>
      <w:pPr>
        <w:jc w:val="both"/>
        <w:ind w:left="1880" w:right="1239" w:hanging="323"/>
        <w:spacing w:after="0" w:line="254" w:lineRule="auto"/>
        <w:tabs>
          <w:tab w:leader="none" w:pos="18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Continue to efficiently advance AP01, our optimized inhaled formulation of pirfenidone, through late-stage clinical development for the treatment of PPF. </w:t>
      </w:r>
      <w:r>
        <w:rPr>
          <w:rFonts w:ascii="Times New Roman" w:cs="Times New Roman" w:eastAsia="Times New Roman" w:hAnsi="Times New Roman"/>
          <w:sz w:val="14"/>
          <w:szCs w:val="14"/>
          <w:color w:val="auto"/>
        </w:rPr>
        <w:t>We purposefully designed AP01 to be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optimal inhaled formulation of pirfenidone for the treatment of PPF. We believe AP01 has the potential, if successfully developed and approved, to overcome the historical off-tissue safety limitations of oral pirfenidone, enabling improved efficacy and tolerability for more durable outcomes for patients relative to current standard of care. To date, we have completed ATLAS, a Phase 1b clinical trial, and have an ongoing OLE trial of AP01 among patients with IPF and PPF, which has demonstrated durable clinical proof-of-concept, including preservation of patient lung function for over four and a half years. We are currently evaluating AP01 in MIST, a global Phase 2b trial in PPF, with data expected in the second half of 2027.</w:t>
      </w:r>
    </w:p>
    <w:p>
      <w:pPr>
        <w:spacing w:after="0" w:line="62" w:lineRule="exact"/>
        <w:rPr>
          <w:rFonts w:ascii="Times New Roman" w:cs="Times New Roman" w:eastAsia="Times New Roman" w:hAnsi="Times New Roman"/>
          <w:sz w:val="14"/>
          <w:szCs w:val="14"/>
          <w:color w:val="auto"/>
        </w:rPr>
      </w:pPr>
    </w:p>
    <w:p>
      <w:pPr>
        <w:jc w:val="both"/>
        <w:ind w:left="1880" w:right="1239" w:hanging="323"/>
        <w:spacing w:after="0" w:line="254" w:lineRule="auto"/>
        <w:tabs>
          <w:tab w:leader="none" w:pos="18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Efficiently progress clinical development of AP02, our optimized inhaled formulation of nintedanib, for the treatment of IPF. </w:t>
      </w:r>
      <w:r>
        <w:rPr>
          <w:rFonts w:ascii="Times New Roman" w:cs="Times New Roman" w:eastAsia="Times New Roman" w:hAnsi="Times New Roman"/>
          <w:sz w:val="14"/>
          <w:szCs w:val="14"/>
          <w:color w:val="auto"/>
        </w:rPr>
        <w:t>We purposefully designed AP02 to be an optimal inhaled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formulation of nintedanib for the treatment of IPF, using the same delivery device as AP01 to maximize its potential use in future fixed-dose combinations. We believe AP02 has the potential, if successfully developed and approved, to overcome the historical off-tissue safety limitations of oral nintedanib by preferentially delivering treatment directly to the lungs, offering more durable outcomes for patients relative to current standard of care. In two completed Phase 1 trials, AP02 demonstrated encouraging tolerability, with a PK profile consistent with highly lung-favored tissue distribution and low systemic exposure. AP02 is now currently being evaluated in AURA, a global Phase 2 clinical trial in IPF, with data expected in late 2027.</w:t>
      </w:r>
    </w:p>
    <w:p>
      <w:pPr>
        <w:spacing w:after="0" w:line="62" w:lineRule="exact"/>
        <w:rPr>
          <w:rFonts w:ascii="Times New Roman" w:cs="Times New Roman" w:eastAsia="Times New Roman" w:hAnsi="Times New Roman"/>
          <w:sz w:val="14"/>
          <w:szCs w:val="14"/>
          <w:color w:val="auto"/>
        </w:rPr>
      </w:pPr>
    </w:p>
    <w:p>
      <w:pPr>
        <w:jc w:val="both"/>
        <w:ind w:left="1880" w:right="1239" w:hanging="323"/>
        <w:spacing w:after="0" w:line="254" w:lineRule="auto"/>
        <w:tabs>
          <w:tab w:leader="none" w:pos="18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Unlock the potential of combination therapy with AP03, our innovative inhaled fixed-dose combination therapy. </w:t>
      </w:r>
      <w:r>
        <w:rPr>
          <w:rFonts w:ascii="Times New Roman" w:cs="Times New Roman" w:eastAsia="Times New Roman" w:hAnsi="Times New Roman"/>
          <w:sz w:val="14"/>
          <w:szCs w:val="14"/>
          <w:color w:val="auto"/>
        </w:rPr>
        <w:t>We designed AP03 as a fixed-dose combination of inhaled pirfenidone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inhaled nintedanib, leveraging the two complementary antifibrotic mechanisms of action that have long been established to enable enhanced treatment response, but have been historically limited by overlapping systemic toxicities. By delivering both agents directly to the lungs simultaneously, we believe AP03 has the potential to provide additive or synergistic efficacy potential with a favorable tolerability profile, analogous to combination regimens that have transformed treatment paradigms in other pulmonary diseases, such as COPD and asthma. We have intentionally sequenced development of AP03 following inhaled monotherapy validations to support regulatory requirements for fixed-dose combinations. Manufacturing activities are underway to support the initiation of a Phase 1 trial of AP03, which we plan to initiate in late 2026, with data expected in the second half of 2027.</w:t>
      </w:r>
    </w:p>
    <w:p>
      <w:pPr>
        <w:spacing w:after="0" w:line="60" w:lineRule="exact"/>
        <w:rPr>
          <w:rFonts w:ascii="Times New Roman" w:cs="Times New Roman" w:eastAsia="Times New Roman" w:hAnsi="Times New Roman"/>
          <w:sz w:val="14"/>
          <w:szCs w:val="14"/>
          <w:color w:val="auto"/>
        </w:rPr>
      </w:pPr>
    </w:p>
    <w:p>
      <w:pPr>
        <w:jc w:val="both"/>
        <w:ind w:left="1880" w:right="1239" w:hanging="323"/>
        <w:spacing w:after="0" w:line="257" w:lineRule="auto"/>
        <w:tabs>
          <w:tab w:leader="none" w:pos="188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Maintain our competitive advantage through proprietary drug-device combinations and intellectual property. </w:t>
      </w:r>
      <w:r>
        <w:rPr>
          <w:rFonts w:ascii="Times New Roman" w:cs="Times New Roman" w:eastAsia="Times New Roman" w:hAnsi="Times New Roman"/>
          <w:sz w:val="14"/>
          <w:szCs w:val="14"/>
          <w:color w:val="auto"/>
        </w:rPr>
        <w:t>Our proprietary drug-device combinations create high regulatory and technical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barriers to entry. The regulatory pathway for generic inhaled products is exceptionally complex, often requiring large clinical trials due to the need to demonstrate therapeutic equivalence and drug-device performance equivalence, such as particle size distribution and lung deposition pattern. This has historically resulted in</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2" w:name="page113"/>
    <w:bookmarkEnd w:id="11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spacing w:after="0" w:line="254" w:lineRule="auto"/>
        <w:rPr>
          <w:sz w:val="20"/>
          <w:szCs w:val="20"/>
          <w:color w:val="auto"/>
        </w:rPr>
      </w:pPr>
      <w:r>
        <w:rPr>
          <w:rFonts w:ascii="Times New Roman" w:cs="Times New Roman" w:eastAsia="Times New Roman" w:hAnsi="Times New Roman"/>
          <w:sz w:val="14"/>
          <w:szCs w:val="14"/>
          <w:color w:val="auto"/>
        </w:rPr>
        <w:t>very few approved and commercialized generic products in the U.S. We have built a robust intellectual property portfolio covering drug compositions, formulations, and drug-device combinations, with issued patents extending beyond 2035, and pending patent applications that may extend protection beyond 2040. We also hold exclusive licenses to develop and commercialize our inhaled therapies using PARI’s eFlow® Nebulizer System. Therefore, even after existing patents expire after commercialization, we have exclusivity in the device for inhaled pirfenidone and nintedanib. Any company would need to develop a generic version of the device, a complex and costly technical challenge. These protections create high technical, regulatory, and manufacturing barriers to entry that we believe will support prolonged effective market exclusivity and a durable competitive advantage, well beyond patent expiries.</w:t>
      </w:r>
    </w:p>
    <w:p>
      <w:pPr>
        <w:spacing w:after="0" w:line="60" w:lineRule="exact"/>
        <w:rPr>
          <w:sz w:val="20"/>
          <w:szCs w:val="20"/>
          <w:color w:val="auto"/>
        </w:rPr>
      </w:pPr>
    </w:p>
    <w:p>
      <w:pPr>
        <w:jc w:val="both"/>
        <w:ind w:left="1880" w:right="1239" w:hanging="323"/>
        <w:spacing w:after="0" w:line="253" w:lineRule="auto"/>
        <w:tabs>
          <w:tab w:leader="none" w:pos="188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Establish Avalyn as a leader in developing and delivering transformative therapies to patients suffering from a broad range of rare pulmonary diseases. </w:t>
      </w:r>
      <w:r>
        <w:rPr>
          <w:rFonts w:ascii="Times New Roman" w:cs="Times New Roman" w:eastAsia="Times New Roman" w:hAnsi="Times New Roman"/>
          <w:sz w:val="14"/>
          <w:szCs w:val="14"/>
          <w:color w:val="auto"/>
        </w:rPr>
        <w:t>We are and plan to continue advancing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pipeline of innovative therapeutics that address the underlying drivers of rare and serious respiratory diseases. We see significant opportunities to apply our expertise in pulmonary biology, inhaled therapeutic delivery, and translational science and clinical development, to extend our platform into additional ILDs beyond our initial focus of IPF and PPF. By leveraging approved molecules, validated inhalation technologies, and emerging clinical data, we intend to identify optimal patient populations and indications where lung-targeted intervention may meaningfully alter disease trajectory. These include diseases with high unmet needs before or at early stages of fibrosis, such as rheumatoid arthritis-associated ILD, or RA-ILD, and chronic lung allograft dysfunction, or CLAD. These efforts, combined with continued advancement in operational, regulatory, manufacturing and commercial capabilities, position us to efficiently progress our therapeutic candidates through clinical development and into commercialization.</w:t>
      </w:r>
    </w:p>
    <w:p>
      <w:pPr>
        <w:spacing w:after="0" w:line="151"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We believe in the value our approach could unlock and are committed to growing into a company fully capable of realizing that potential opportunity.</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Focus on Interstitial Lung Diseases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ILDs are a heterogeneous group of rare pulmonary disorders, comprising over 200 distinct conditions, many of which lack approved or effective treatments. ILDs are characterized by varying degrees of inflammation, fibrosis, or both. These conditions impair gas exchange and patients’ quality of life, or QoL, by causing chronic breathlessness, fatigue, coughing, and reduced ability to perform daily activities.</w:t>
      </w:r>
    </w:p>
    <w:p>
      <w:pPr>
        <w:spacing w:after="0" w:line="141"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Treatment and management of ILDs vary based on the specific underlying disease and patient characteristics. Historically, the treatment of many ILDs has primarily relied on systemic therapies, including oral antifibrotics, corticosteroids, and other immunomodulatory therapies. These systemic treatments are often associated with tolerability limitations that can affect long-term use. We believe we may be able to address certain limitations of systemic ILD therapies, initially focusing on pulmonary fibrosis, through the development of optimized inhaled formulations of these established oral antifibrotic agents.</w:t>
      </w:r>
    </w:p>
    <w:p>
      <w:pPr>
        <w:spacing w:after="0" w:line="14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By delivering drugs directly to the lungs, our approach is designed to fundamentally improve the benefit-risk profile of antifibrotic therapy by achieving higher drug concentration at the site of disease while substantially reducing systemic exposure. We believe this lung-targeted delivery strategy enables sustained long-term treatment, addressing key limitations of existing systemic therapies and supporting better treatment adherence and long-term disease management for patients with interstitial lung disease.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3" w:name="page114"/>
    <w:bookmarkEnd w:id="11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Pulmonary Fibrosis Background</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Pulmonary fibrosis is a pathologic phenotype observed across a large subset of ILDs characterized by chronic injury, aberrant repair, progressive, typically irreversible, fibrosis, and stiffening of lung tissue. Although different ILDs have distinct underlying etiologies, pathophysiology, and clinical courses, many forms of ILD can ultimately result in pulmonary fibrosis. Once pulmonary fibrosis develops, disease progression may continue even if the underlying cause of ILD is treated or removed. ILDs represent a significant global health burden, affecting over 650,000 in the U.S. alone, of which approximately 300,000 have pulmonary fibrosis. The median survival of pulmonary fibrosis is three to five years, which is a significantly shorter prognosis than that observed for many forms of cancer.</w:t>
      </w:r>
    </w:p>
    <w:p>
      <w:pPr>
        <w:spacing w:after="0" w:line="14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Pulmonary fibrosis is often caused by repeated injury to the lungs and results from a dysregulated tissue repair response. Recurrent damage to the alveolar epithelial cells disrupts the epithelium, triggers recruitment of platelets and inflammatory cells, and subsequently promotes chronic inflammation and progressive fibrosis through excessive deposition of extracellular matrix components. Over time, this fibrotic remodeling disrupts normal lung architecture and impairs gas exchange, compromising the lung’s ability to transfer oxygen into the bloodstream and leading to worsening respiratory symptoms, including persistent dry cough, shortness of breath, and fatigue. Cough is among the most common and distressing symptoms, affecting more than 70% of patients with pulmonary fibrosis, often refractory to standard therapies, and significantly impairs quality of life. These symptoms typically worsen in parallel with declining pulmonary function test results and frequently ultimately result in acute respiratory deterioration or death. Current treatment approaches for pulmonary fibrosis focus on antifibrotic therapies to slow disease progression, along with supportive care.</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There are two primary clinical forms of pulmonary fibrosis: IPF and PPF. IPF is an ILD of unknown etiology characterized by progressive fibrotic remodeling of the lungs over time. Patients with IPF typically present with a chronic, dry cough and progressively worsening shortness of breath, with symptoms advancing over months to years. IPF affects approximately 120,000 people in the U.S. The disease is most commonly diagnosed in men aged 65 years and older and has been associated with environmental exposures, such as smoking, chronic viral infections, abnormal gastroesophageal reflux, as well as certain genetic predispositions.</w:t>
      </w:r>
    </w:p>
    <w:p>
      <w:pPr>
        <w:spacing w:after="0" w:line="14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PPF, by contrast, refers to ILDs with a known etiological factor, such as autoimmune disease or exposure to allergens, asbestos, or certain drugs where a subset of patients develop a progressive pulmonary fibrotic phenotype. Patients with PPF also experience chronic cough and breathlessness, although the rate and severity of progression may vary based on the underlying etiology. Consequently, management of PPF typically requires treatment of the underlying disease in combination with antifibrotic therapy. PPF represents a more prevalent form of pulmonary fibrosis, affecting approximately 180,000 people in the U.S.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4" w:name="page115"/>
    <w:bookmarkEnd w:id="11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021227"/>
        </w:rPr>
        <w:t>Types of Interstitial Lung Disease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121920</wp:posOffset>
            </wp:positionV>
            <wp:extent cx="4045585" cy="23164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045585" cy="2316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Sources: 1. Jeganathan et al., 2024; 2. Avalyn Market Research; 3. Olson et al., 2021.</w:t>
      </w:r>
    </w:p>
    <w:p>
      <w:pPr>
        <w:jc w:val="center"/>
        <w:ind w:right="19"/>
        <w:spacing w:after="0"/>
        <w:rPr>
          <w:sz w:val="20"/>
          <w:szCs w:val="20"/>
          <w:color w:val="auto"/>
        </w:rPr>
      </w:pPr>
      <w:r>
        <w:rPr>
          <w:rFonts w:ascii="Times New Roman" w:cs="Times New Roman" w:eastAsia="Times New Roman" w:hAnsi="Times New Roman"/>
          <w:sz w:val="10"/>
          <w:szCs w:val="10"/>
          <w:color w:val="auto"/>
        </w:rPr>
        <w:t>PPF, previously referred to as Progressive Fibrosing ILD (PF-ILD)</w:t>
      </w:r>
    </w:p>
    <w:p>
      <w:pPr>
        <w:spacing w:after="0" w:line="14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If left untreated, patients with IPF and PPF will experience a decline in FVC, a measure of the total amount of air an individual can breathe out after taking the deepest breath possible. Change in FVC is a widely accepted measure of disease progression and a surrogate endpoint associated with increased mortality risk. Patients with IPF and PPF typically experience a decline of approximately 4 to 7%, or approximately 200 mL, per year. By comparison, average FVC decline among healthy adults over 40 years of age is approximately 20 mL to 50 mL per year. With IPF patients, such accelerated decline in FVC is associated with clinically significant consequences. These include increased risk of hospitalization, overall decreased health-related quality of life, or HRQoL, due to worsening symptoms, such as cough and shortness of breath, and mortality risk. Despite the availability of approved therapies, the prognosis of pulmonary fibrosis remains poor, with a median survival of three to five years, a significantly shorter prognosis than</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5" w:name="page116"/>
    <w:bookmarkEnd w:id="11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that observed for many forms of cancers. As a result, there remains a critical need for new treatment options that offer improved tolerability, efficacy, and patient convenience to enable long-term disease management.</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Natural History of Baseline FVC Changes in Healthy Subjects and IPF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121920</wp:posOffset>
            </wp:positionV>
            <wp:extent cx="4051935" cy="25165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51935" cy="2516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Source: Raghu et al., 2017</w:t>
      </w:r>
    </w:p>
    <w:p>
      <w:pPr>
        <w:spacing w:after="0" w:line="2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Approach to Transforming the Treatment Paradigm for ILDs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change we aim to make in the treatment paradigm of pulmonary fibrosis and other ILDs parallels the transformation seen in the treatment of asthma and COPD over the past six decades, where treatment progressed through successive waves of therapeutic innovation.</w:t>
      </w:r>
    </w:p>
    <w:p>
      <w:pPr>
        <w:spacing w:after="0" w:line="136" w:lineRule="exact"/>
        <w:rPr>
          <w:sz w:val="20"/>
          <w:szCs w:val="20"/>
          <w:color w:val="auto"/>
        </w:rPr>
      </w:pPr>
    </w:p>
    <w:p>
      <w:pPr>
        <w:jc w:val="both"/>
        <w:ind w:left="1220" w:right="1239" w:firstLine="333"/>
        <w:spacing w:after="0" w:line="234" w:lineRule="auto"/>
        <w:rPr>
          <w:sz w:val="20"/>
          <w:szCs w:val="20"/>
          <w:color w:val="auto"/>
        </w:rPr>
      </w:pPr>
      <w:r>
        <w:rPr>
          <w:rFonts w:ascii="Times New Roman" w:cs="Times New Roman" w:eastAsia="Times New Roman" w:hAnsi="Times New Roman"/>
          <w:sz w:val="14"/>
          <w:szCs w:val="14"/>
          <w:color w:val="auto"/>
        </w:rPr>
        <w:t>The first generation of treatments for managing asthma and COPD were systemic oral drugs like prednisone which first emerged in the 1960s. By the 1990s, the introduction of inhaled corticosteroids such as Flovent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shifted the treatment toward targeted pulmonary delivery, which enabled improved efficacy and tolerability. As inhaler devices with diverse mechanisms became available, physicians began combining medications to better manage patients’ conditions. In the early 2000s, dual combination inhalers like ADVAIR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SYMBICORT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set a new benchmark by combining two antifibrotic agents with distinct mechanisms of action in a single device. Today, triple combination therapies such as TRELEGY</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BREZTRI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represent the latest standard-of-care, providing further enhanced efficacy and convenience compared to previous generations.</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241300</wp:posOffset>
            </wp:positionV>
            <wp:extent cx="54857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6" w:name="page117"/>
    <w:bookmarkEnd w:id="11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4"/>
          <w:szCs w:val="14"/>
          <w:b w:val="1"/>
          <w:bCs w:val="1"/>
          <w:color w:val="021227"/>
        </w:rPr>
        <w:t>Evolution of Asthma and COPD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800735</wp:posOffset>
            </wp:positionH>
            <wp:positionV relativeFrom="paragraph">
              <wp:posOffset>121920</wp:posOffset>
            </wp:positionV>
            <wp:extent cx="4125595" cy="17221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12559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Today, the pulmonary fibrosis market is currently in “Generation One,” relying on oral systemic medications: pirfenidone, nintedanib, and nerandomilast. We aim to usher in “Generation Two” developing and commercializing inhaled formulations of these two oral antifibrotic medicines, as AP01 and AP02, and potentially improving safety and efficacy. Beyond AP01 and AP02 we aspire to also deliver “Generation Three,” with AP03, a dual fixed-dose combination of drugs with complementary mechanisms for even greater therapeutic impact. Looking ahead, we also aspire to deliver “Generation Four,” building on AP03 by incorporating other approved distinct mechanisms into triple fixed-dose combinations.</w:t>
      </w:r>
    </w:p>
    <w:p>
      <w:pPr>
        <w:spacing w:after="0" w:line="142"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4"/>
          <w:szCs w:val="14"/>
          <w:b w:val="1"/>
          <w:bCs w:val="1"/>
          <w:color w:val="auto"/>
        </w:rPr>
        <w:t>Potential Evolution of IPF and PPF Treatment Landscape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121920</wp:posOffset>
            </wp:positionV>
            <wp:extent cx="4105275" cy="17354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105275" cy="1735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If successful, we believe our approach would meaningfully enhance patient outcomes and redefine the future treatment paradigm of pulmonary fibrosis.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241300</wp:posOffset>
            </wp:positionV>
            <wp:extent cx="54857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7" w:name="page118"/>
    <w:bookmarkEnd w:id="11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Antifibrotic Treatment Landscape for Pulmonary Fibrosis</w:t>
      </w:r>
    </w:p>
    <w:p>
      <w:pPr>
        <w:spacing w:after="0" w:line="93" w:lineRule="exact"/>
        <w:rPr>
          <w:sz w:val="20"/>
          <w:szCs w:val="20"/>
          <w:color w:val="auto"/>
        </w:rPr>
      </w:pPr>
    </w:p>
    <w:p>
      <w:pPr>
        <w:jc w:val="both"/>
        <w:ind w:left="1220" w:right="1239" w:firstLine="333"/>
        <w:spacing w:after="0" w:line="244" w:lineRule="auto"/>
        <w:rPr>
          <w:sz w:val="20"/>
          <w:szCs w:val="20"/>
          <w:color w:val="auto"/>
        </w:rPr>
      </w:pPr>
      <w:r>
        <w:rPr>
          <w:rFonts w:ascii="Times New Roman" w:cs="Times New Roman" w:eastAsia="Times New Roman" w:hAnsi="Times New Roman"/>
          <w:sz w:val="14"/>
          <w:szCs w:val="14"/>
          <w:color w:val="auto"/>
        </w:rPr>
        <w:t>There are currently three FDA-approved antifibrotic therapies for the treatment of pulmonary fibrosis: pirfenidone, or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Legacy Pharma Inc. and Genentech/Roche; nintedanib, or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Boehringer Ingelheim; and nerandomilast, or JASCAYD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Boehringer Ingelheim. These current standard-of-care oral antifibrotic therapies slow but do not halt nor reverse disease progression. As a result, current oral antifibrotic therapies expose patients to chronic systemic drug exposure without directly targeting the site of disease, contributing to significant reported limitations impacting patient utilization, including safety concerns, tolerability issues, and tablet burden. Importantly, most investigational therapies for pulmonary fibrosis, including those targeting novel biological pathways, are in development as potential add-on treatments to existing oral antifibrotics. Given we are developing inhaled formulations of these background standard-of-care antifibrotics, we believe our product candidates, if approved, could be used as standalone therapies or in combination with other approved medicines. While lung transplants can be performed for pulmonary fibrosis patients at an increased risk of death, this option is only viable for a very small subset of patients due to age, comorbidities, and limited organ availability.</w:t>
      </w:r>
    </w:p>
    <w:p>
      <w:pPr>
        <w:spacing w:after="0" w:line="24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Oral Pirfenidone (ESBRIET</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i w:val="1"/>
          <w:iCs w:val="1"/>
          <w:color w:val="auto"/>
        </w:rPr>
        <w:t>) for IPF</w:t>
      </w:r>
    </w:p>
    <w:p>
      <w:pPr>
        <w:spacing w:after="0" w:line="53" w:lineRule="exact"/>
        <w:rPr>
          <w:sz w:val="20"/>
          <w:szCs w:val="20"/>
          <w:color w:val="auto"/>
        </w:rPr>
      </w:pPr>
    </w:p>
    <w:p>
      <w:pPr>
        <w:jc w:val="both"/>
        <w:ind w:left="1220" w:right="1239" w:firstLine="333"/>
        <w:spacing w:after="0" w:line="248" w:lineRule="auto"/>
        <w:rPr>
          <w:sz w:val="20"/>
          <w:szCs w:val="20"/>
          <w:color w:val="auto"/>
        </w:rPr>
      </w:pPr>
      <w:r>
        <w:rPr>
          <w:rFonts w:ascii="Times New Roman" w:cs="Times New Roman" w:eastAsia="Times New Roman" w:hAnsi="Times New Roman"/>
          <w:sz w:val="14"/>
          <w:szCs w:val="14"/>
          <w:color w:val="auto"/>
        </w:rPr>
        <w:t>Oral pirfenidone is a small molecule inhibitor that has anti-inflammatory and anti-fibrotic effects through modulation of a broad range of cytokines and growth factors.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was approved for the treatment of IPF initially by the European Medicines Agency, or EMA, in 2011 followed by the FDA in 2014. The FDA approval of pirfenidone was based on data from the CAPACITY (Studies 004 and 006) and ASCEND (Study 016) clinical trials. These randomized, double-blind, placebo-controlled trials collectively enrolled more than 1,200 patients with IPF. The ASCEND trial and CAPACITY-004 trial demonstrated a statistically significant reduction in FVC decline at 52 weeks (ASCEND: -118 mL vs -265 mL, p&lt;0.001, representing a percent predicted FVC decline of 3% in the treatment arm; CAPACITY-004: -181mL vs -350 mL, p&lt;0.001, representing a percent predicted FVC decline of 2.4% in the treatment arm). Additionally, pooled analyses of the CAPACITY and ASCEND trials showed improved progression-free survival and a trend toward reduced all-cause mortality.</w:t>
      </w:r>
    </w:p>
    <w:p>
      <w:pPr>
        <w:spacing w:after="0" w:line="150"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Oral pirfenidone is prescribed using a dose-escalation regimen over a 14-day period, culminating in a target dose of 801 mg three times daily for a total daily dose of 2,403 mg. This is typically achieved through the administration of nine 267 mg capsules per day.</w:t>
      </w:r>
    </w:p>
    <w:p>
      <w:pPr>
        <w:spacing w:after="0" w:line="136"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Commonly reported AEs for pirfenidone include GI intolerance characterized by nausea, vomiting, indigestion, and diarrhea. The chart below illustrates pooled AE rates for oral pirfenidone in pivotal trials (dark gray bars) and placebo (light gray bars). In registrational trials, 19% of patients required dose reductions or treatment interruptions due to GI events. In addition, due to photosensitivity reactions and rashes, patients on oral pirfenidone are advised to take precautions against sun exposure. These were the most clinically consequential toxicities frequently cited as leading cause of dose reduction and treatment discontinuation. Elevations in liver enzymes are a known risk with oral pirfenidone and require routine monitoring.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8" w:name="page119"/>
    <w:bookmarkEnd w:id="11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Top 10 AEs for Oral Pirfenidone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94615</wp:posOffset>
            </wp:positionV>
            <wp:extent cx="3998595" cy="18961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998595"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Source: Pirfenidone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 Prescribing Information.</w:t>
      </w:r>
    </w:p>
    <w:p>
      <w:pPr>
        <w:jc w:val="center"/>
        <w:ind w:right="19"/>
        <w:spacing w:after="0"/>
        <w:rPr>
          <w:sz w:val="20"/>
          <w:szCs w:val="20"/>
          <w:color w:val="auto"/>
        </w:rPr>
      </w:pPr>
      <w:r>
        <w:rPr>
          <w:rFonts w:ascii="Times New Roman" w:cs="Times New Roman" w:eastAsia="Times New Roman" w:hAnsi="Times New Roman"/>
          <w:sz w:val="10"/>
          <w:szCs w:val="10"/>
          <w:color w:val="auto"/>
        </w:rPr>
        <w:t>*Decreased Appetite is classified as Anorexia in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0"/>
          <w:szCs w:val="10"/>
          <w:color w:val="auto"/>
        </w:rPr>
        <w:t xml:space="preserve"> Prescribing Information</w:t>
      </w:r>
    </w:p>
    <w:p>
      <w:pPr>
        <w:spacing w:after="0" w:line="19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Oral Nintedanib (OFEV</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i w:val="1"/>
          <w:iCs w:val="1"/>
          <w:color w:val="auto"/>
        </w:rPr>
        <w:t>) for IPF and PPF</w:t>
      </w:r>
    </w:p>
    <w:p>
      <w:pPr>
        <w:spacing w:after="0" w:line="5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Oral nintedanib is a small molecule tyrosine kinase inhibitor that was approved for the treatment of IPF by the FDA in 2014 and subsequently by the EMA in 2015. FDA approval of nintedanib for IPF was based on clinical results from a pair of randomized, double-blind, placebo-controlled Phase 3 trials (INPULSIS-1 and INPULSIS-2) that demonstrated a statistically significant reduction in the annual rate of FVC decline over a 52-week period compared to placebo (-113.6 mL/year vs. -223.5 mL/year, p&lt;0.001).</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By 2020, nintedanib gained additional approvals from both the FDA and EMA for the treatment of two types of PPF: chronic fibrosing ILDs with a progressive phenotype, and systemic sclerosis-associated ILD. These approvals were supported by clinical data from the INBUILD and SENSCIS trials, where both of the studies demonstrated that oral nintedanib significantly reduced the annual rate of FVC decline in patients compared to placebo (SENSCIS: -52.4 mL/year vs. -93.3 mL/year, p=0.04; INBUILD: -80.8 mL/year vs. -187.8 mL/year, p&lt;0.001).</w:t>
      </w:r>
    </w:p>
    <w:p>
      <w:pPr>
        <w:spacing w:after="0" w:line="14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Similar to oral pirfenidone, oral nintedanib, as reported is also associated with multiple serious side effects, including nausea, vomiting, abdominal pain, headache, hyperbilirubinemia (which can lead to jaundice), GI perforation, as well as cardiovascular events, including high blood pressure, increased risk of myocardial infarction, and arterial thromboembolism. Across all registrational studies, 61-76% of patients experienced diarrhea, which can be severe enough to lead to treatment discontinuation.</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Current Utility of Oral Pirfenidone and Nintedanib Hindered by Systemic Toxicities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Although oral pirfenidone and nintedanib are approved for the treatment of pulmonary fibrosis, their utilization is largely limited by systemic AEs and efficacy data that shows the ability to slow, but not halt nor reverse, disease progression. Both agents are associated with high rates of GI and other treatment-limiting toxicities that frequently require dose reductions, treatment interruptions, or permanent discontinuations. As a result, only approximately 30% of patients with IPF are actively treated with antifibrotics and 50% of patients discontinue within one year of treatment.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19" w:name="page120"/>
    <w:bookmarkEnd w:id="11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Both oral pirfenidone and nintedanib have label warnings for elevated liver enzymes and drug-induced liver injury, which further impacts their potential for long-term use. In the labeling, routine monitoring of liver function is recommended to mitigate risks with both agents, with the potential for dose reduction or treatment discontinuation. Particularly for nintedanib that is metabolized in the liver, its use in patients with moderate-to-severe hepatic impairment is not recommended, per the labeling, due to increased drug exposure and potential toxicity. Caution is advised in patients with coagulation disorders or those on anticoagulant therapy as nintedanib may increase the risk of bleeding.</w:t>
      </w:r>
    </w:p>
    <w:p>
      <w:pPr>
        <w:spacing w:after="0" w:line="149" w:lineRule="exact"/>
        <w:rPr>
          <w:sz w:val="20"/>
          <w:szCs w:val="20"/>
          <w:color w:val="auto"/>
        </w:rPr>
      </w:pPr>
    </w:p>
    <w:p>
      <w:pPr>
        <w:jc w:val="both"/>
        <w:ind w:left="1220" w:right="1239" w:firstLine="333"/>
        <w:spacing w:after="0" w:line="224" w:lineRule="auto"/>
        <w:rPr>
          <w:sz w:val="20"/>
          <w:szCs w:val="20"/>
          <w:color w:val="auto"/>
        </w:rPr>
      </w:pPr>
      <w:r>
        <w:rPr>
          <w:rFonts w:ascii="Times New Roman" w:cs="Times New Roman" w:eastAsia="Times New Roman" w:hAnsi="Times New Roman"/>
          <w:sz w:val="14"/>
          <w:szCs w:val="14"/>
          <w:color w:val="auto"/>
        </w:rPr>
        <w:t>Despite these safety and tolerability limitations, oral pirfenidone, or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oral nintedanib, or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remain commercially significant products.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experienced comparable global adoption following their initial launches through 2018. However,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generated substantial incremental revenue following its label expansion to include PPF beginning in 2019. In 2024, global sales of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exceeded $4.0 billion. These limitations and the commercial performance highlight the significant unmet medical need and commercial opportunity for antifibrotic therapies that preserve lung function while offering a more favorable tolerability profile that supports sustained long-term use in this progressive and ultimately fatal disease.</w:t>
      </w:r>
    </w:p>
    <w:p>
      <w:pPr>
        <w:spacing w:after="0" w:line="2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Oral Nerandomilast (JASCAYD</w:t>
      </w:r>
      <w:r>
        <w:rPr>
          <w:rFonts w:ascii="Times New Roman" w:cs="Times New Roman" w:eastAsia="Times New Roman" w:hAnsi="Times New Roman"/>
          <w:sz w:val="18"/>
          <w:szCs w:val="18"/>
          <w:i w:val="1"/>
          <w:iCs w:val="1"/>
          <w:color w:val="auto"/>
          <w:vertAlign w:val="superscript"/>
        </w:rPr>
        <w:t>®</w:t>
      </w:r>
      <w:r>
        <w:rPr>
          <w:rFonts w:ascii="Times New Roman" w:cs="Times New Roman" w:eastAsia="Times New Roman" w:hAnsi="Times New Roman"/>
          <w:sz w:val="14"/>
          <w:szCs w:val="14"/>
          <w:i w:val="1"/>
          <w:iCs w:val="1"/>
          <w:color w:val="auto"/>
        </w:rPr>
        <w:t>) for IPF and PPF</w:t>
      </w:r>
    </w:p>
    <w:p>
      <w:pPr>
        <w:spacing w:after="0" w:line="5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Nerandomilast is an oral, small molecule, selective phosphodiesterase-4B inhibitor that was approved by the FDA in 2025 for the treatment of IPF and PPF. FDA approval of nerandomilast was based on clinical results from two randomized, double-blind, placebo-controlled Phase 3 trials (FIBRONEER-IPF and FIBRONEER-ILD) that demonstrated a statistically significant reduction in the annual rate of FVC decline over a 52-week period compared to placebo (IPF: -114.7 mL/year vs. -183.5 mL/year, p&lt;0.001; PPF: -98.6 mL/year vs. -165.8 mL/year).</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Similar to oral nintedanib, nerandomilast is also associated with GI AEs, most notably diarrhea, which occurred in approximately 40% of patients in pivotal trials. The incidence of diarrhea was higher among patients receiving nerandomilast in combination with background oral nintedanib, affecting approximately 50–60% of such patients. Diarrhea was the most frequently reported adverse reaction in pivotal trials leading to treatment discontinuation, again most common when nerandomilast was used in combination with nintedanib.</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chart below compares FVC declines across placebo (gray bars) and approved agents in patients with no background antifibrotics from published pivotal trial results. The results demonstrate that treatment with oral antifibrotics approximately halves the 52-week FVC decline of patients compared to placebo. Declines in 52-week FVC ranged from 118 mL to 220 mL for oral pirfenidone, 81 mL to 115 mL for oral nintedanib, and 79 mL to 95 mL for oral nerandomilast.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0" w:name="page121"/>
    <w:bookmarkEnd w:id="12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FVC Decline for Oral Pirfenidone, Oral Nintedanib, and Oral Nerandomilast in IPF and PPF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121920</wp:posOffset>
            </wp:positionV>
            <wp:extent cx="4058920" cy="17291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058920" cy="172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left="1220" w:right="1259"/>
        <w:spacing w:after="0" w:line="227" w:lineRule="auto"/>
        <w:rPr>
          <w:sz w:val="20"/>
          <w:szCs w:val="20"/>
          <w:color w:val="auto"/>
        </w:rPr>
      </w:pPr>
      <w:r>
        <w:rPr>
          <w:rFonts w:ascii="Times New Roman" w:cs="Times New Roman" w:eastAsia="Times New Roman" w:hAnsi="Times New Roman"/>
          <w:sz w:val="10"/>
          <w:szCs w:val="10"/>
          <w:color w:val="auto"/>
        </w:rPr>
        <w:t xml:space="preserve">Sources: 1. Pirfenidone NDA – Medical Reviews; 2. Pirfenidone NDA – Statistical Reviews; 3. Richeldi et al., </w:t>
      </w:r>
      <w:r>
        <w:rPr>
          <w:rFonts w:ascii="Times New Roman" w:cs="Times New Roman" w:eastAsia="Times New Roman" w:hAnsi="Times New Roman"/>
          <w:sz w:val="10"/>
          <w:szCs w:val="10"/>
          <w:i w:val="1"/>
          <w:iCs w:val="1"/>
          <w:color w:val="auto"/>
        </w:rPr>
        <w:t>N Engl J Med</w:t>
      </w:r>
      <w:r>
        <w:rPr>
          <w:rFonts w:ascii="Times New Roman" w:cs="Times New Roman" w:eastAsia="Times New Roman" w:hAnsi="Times New Roman"/>
          <w:sz w:val="10"/>
          <w:szCs w:val="10"/>
          <w:color w:val="auto"/>
        </w:rPr>
        <w:t xml:space="preserve"> 2014; 4. Flaherty et al., </w:t>
      </w:r>
      <w:r>
        <w:rPr>
          <w:rFonts w:ascii="Times New Roman" w:cs="Times New Roman" w:eastAsia="Times New Roman" w:hAnsi="Times New Roman"/>
          <w:sz w:val="10"/>
          <w:szCs w:val="10"/>
          <w:i w:val="1"/>
          <w:iCs w:val="1"/>
          <w:color w:val="auto"/>
        </w:rPr>
        <w:t>N Engl J Med</w:t>
      </w:r>
      <w:r>
        <w:rPr>
          <w:rFonts w:ascii="Times New Roman" w:cs="Times New Roman" w:eastAsia="Times New Roman" w:hAnsi="Times New Roman"/>
          <w:sz w:val="10"/>
          <w:szCs w:val="10"/>
          <w:color w:val="auto"/>
        </w:rPr>
        <w:t xml:space="preserve"> 2019; 5. Richeldi et al., </w:t>
      </w:r>
      <w:r>
        <w:rPr>
          <w:rFonts w:ascii="Times New Roman" w:cs="Times New Roman" w:eastAsia="Times New Roman" w:hAnsi="Times New Roman"/>
          <w:sz w:val="10"/>
          <w:szCs w:val="10"/>
          <w:i w:val="1"/>
          <w:iCs w:val="1"/>
          <w:color w:val="auto"/>
        </w:rPr>
        <w:t>N Engl J Med</w:t>
      </w:r>
      <w:r>
        <w:rPr>
          <w:rFonts w:ascii="Times New Roman" w:cs="Times New Roman" w:eastAsia="Times New Roman" w:hAnsi="Times New Roman"/>
          <w:sz w:val="10"/>
          <w:szCs w:val="10"/>
          <w:color w:val="auto"/>
        </w:rPr>
        <w:t xml:space="preserve"> 2025; 6. Maher et al., </w:t>
      </w:r>
      <w:r>
        <w:rPr>
          <w:rFonts w:ascii="Times New Roman" w:cs="Times New Roman" w:eastAsia="Times New Roman" w:hAnsi="Times New Roman"/>
          <w:sz w:val="10"/>
          <w:szCs w:val="10"/>
          <w:i w:val="1"/>
          <w:iCs w:val="1"/>
          <w:color w:val="auto"/>
        </w:rPr>
        <w:t>N Engl J Med</w:t>
      </w:r>
      <w:r>
        <w:rPr>
          <w:rFonts w:ascii="Times New Roman" w:cs="Times New Roman" w:eastAsia="Times New Roman" w:hAnsi="Times New Roman"/>
          <w:sz w:val="10"/>
          <w:szCs w:val="10"/>
          <w:color w:val="auto"/>
        </w:rPr>
        <w:t xml:space="preserve"> 2025. ASCEND, INPULSIS, and INBUILD data are non-imputed. CAPACITY and FIBRONEER data are imputed.</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Note: FIBRONEER data represent patients on no background antifibrotics</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Other Developmental Treatments for IPF and PPF</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Beyond pirfenidone, nintedanib, and nerandomilast, there are also other product candidates in various stages of development for IPF and PPF. All of the companies actively conducting trials of novel mechanisms of action allow patients to remain on background oral antifibrotics. If these novel mechanisms are successful, we believe they may benefit from combination with inhaled, tissue-specific therapies in the future.</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Expertise Enables Differentiated Inhaled Therapeutic Solutions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By leveraging our expertise in inhaled drug formulation, delivery systems, and customization, we aim to provide effective, patient-centric therapeutic solutions that address the unmet needs in respiratory disease treatment. Key aspects of our patented formulation process include:</w:t>
      </w:r>
    </w:p>
    <w:p>
      <w:pPr>
        <w:spacing w:after="0" w:line="49" w:lineRule="exact"/>
        <w:rPr>
          <w:sz w:val="20"/>
          <w:szCs w:val="20"/>
          <w:color w:val="auto"/>
        </w:rPr>
      </w:pPr>
    </w:p>
    <w:p>
      <w:pPr>
        <w:jc w:val="both"/>
        <w:ind w:left="1880" w:right="1239" w:hanging="323"/>
        <w:spacing w:after="0" w:line="268" w:lineRule="auto"/>
        <w:tabs>
          <w:tab w:leader="none" w:pos="18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Particle Engineering: </w:t>
      </w:r>
      <w:r>
        <w:rPr>
          <w:rFonts w:ascii="Times New Roman" w:cs="Times New Roman" w:eastAsia="Times New Roman" w:hAnsi="Times New Roman"/>
          <w:sz w:val="14"/>
          <w:szCs w:val="14"/>
          <w:color w:val="auto"/>
        </w:rPr>
        <w:t>We focus on optimizing particle size, morphology, and aerodynamic properties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to ensure efficient deposition in the lungs. Fine-tuning particle size is critical for achieving deep lung penetration while minimizing oropharyngeal deposition.</w:t>
      </w:r>
    </w:p>
    <w:p>
      <w:pPr>
        <w:spacing w:after="0" w:line="49" w:lineRule="exact"/>
        <w:rPr>
          <w:rFonts w:ascii="Times New Roman" w:cs="Times New Roman" w:eastAsia="Times New Roman" w:hAnsi="Times New Roman"/>
          <w:sz w:val="14"/>
          <w:szCs w:val="14"/>
          <w:color w:val="auto"/>
        </w:rPr>
      </w:pPr>
    </w:p>
    <w:p>
      <w:pPr>
        <w:jc w:val="both"/>
        <w:ind w:left="1880" w:right="1239" w:hanging="323"/>
        <w:spacing w:after="0" w:line="268" w:lineRule="auto"/>
        <w:tabs>
          <w:tab w:leader="none" w:pos="18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Carrier Agents and Excipients: </w:t>
      </w:r>
      <w:r>
        <w:rPr>
          <w:rFonts w:ascii="Times New Roman" w:cs="Times New Roman" w:eastAsia="Times New Roman" w:hAnsi="Times New Roman"/>
          <w:sz w:val="14"/>
          <w:szCs w:val="14"/>
          <w:color w:val="auto"/>
        </w:rPr>
        <w:t>Our formulations incorporate excipients that facilitate uniform drug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distribution, enhance solubility, and improve stability. The selection and distribution of carrier agents are tailored to support optimal aerosolization and drug absorption in the respiratory tract.</w:t>
      </w:r>
    </w:p>
    <w:p>
      <w:pPr>
        <w:spacing w:after="0" w:line="49" w:lineRule="exact"/>
        <w:rPr>
          <w:rFonts w:ascii="Times New Roman" w:cs="Times New Roman" w:eastAsia="Times New Roman" w:hAnsi="Times New Roman"/>
          <w:sz w:val="14"/>
          <w:szCs w:val="14"/>
          <w:color w:val="auto"/>
        </w:rPr>
      </w:pPr>
    </w:p>
    <w:p>
      <w:pPr>
        <w:jc w:val="both"/>
        <w:ind w:left="1880" w:right="1239" w:hanging="323"/>
        <w:spacing w:after="0" w:line="255" w:lineRule="auto"/>
        <w:tabs>
          <w:tab w:leader="none" w:pos="18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PK Optimization: </w:t>
      </w:r>
      <w:r>
        <w:rPr>
          <w:rFonts w:ascii="Times New Roman" w:cs="Times New Roman" w:eastAsia="Times New Roman" w:hAnsi="Times New Roman"/>
          <w:sz w:val="14"/>
          <w:szCs w:val="14"/>
          <w:color w:val="auto"/>
        </w:rPr>
        <w:t>Our inhaled therapies are developed to deliver high concentrations of drug directly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lungs while minimizing systemic absorption. This targeted approach enhances local activity, particularly for diseases such as pulmonary fibrosis, where achieving higher drug concentrations at the site of disease can maximize antifibrotic and anti-inflammatory activities while reducing systemic side effects. Importantly, we can measure drug exposure in the target tissue of the lungs by collecting epithelial lining fluid, or ELF, via bronchoalveolar lavage, or BAL. These PK assessments have been performed across our clinical programs and have consistently demonstrated substantially higher lung exposure with inhaled delivery compared to oral administration at a fraction of the dose, reinforcing the rationale for inhaled therapy in pulmonary fibrosis.</w:t>
      </w:r>
    </w:p>
    <w:p>
      <w:pPr>
        <w:spacing w:after="0" w:line="58" w:lineRule="exact"/>
        <w:rPr>
          <w:rFonts w:ascii="Times New Roman" w:cs="Times New Roman" w:eastAsia="Times New Roman" w:hAnsi="Times New Roman"/>
          <w:sz w:val="14"/>
          <w:szCs w:val="14"/>
          <w:color w:val="auto"/>
        </w:rPr>
      </w:pPr>
    </w:p>
    <w:p>
      <w:pPr>
        <w:jc w:val="both"/>
        <w:ind w:left="1880" w:right="1239" w:hanging="323"/>
        <w:spacing w:after="0" w:line="249" w:lineRule="auto"/>
        <w:tabs>
          <w:tab w:leader="none" w:pos="18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Optimized Delivery Systems: </w:t>
      </w:r>
      <w:r>
        <w:rPr>
          <w:rFonts w:ascii="Times New Roman" w:cs="Times New Roman" w:eastAsia="Times New Roman" w:hAnsi="Times New Roman"/>
          <w:sz w:val="14"/>
          <w:szCs w:val="14"/>
          <w:color w:val="auto"/>
        </w:rPr>
        <w:t>Our inhaled therapies are initially designed for nebulized administration,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with a focus on the PARI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for AP01, AP02, and AP03. The device is optimized</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1" w:name="page122"/>
    <w:bookmarkEnd w:id="12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spacing w:after="0" w:line="254" w:lineRule="auto"/>
        <w:rPr>
          <w:sz w:val="20"/>
          <w:szCs w:val="20"/>
          <w:color w:val="auto"/>
        </w:rPr>
      </w:pPr>
      <w:r>
        <w:rPr>
          <w:rFonts w:ascii="Times New Roman" w:cs="Times New Roman" w:eastAsia="Times New Roman" w:hAnsi="Times New Roman"/>
          <w:sz w:val="14"/>
          <w:szCs w:val="14"/>
          <w:color w:val="auto"/>
        </w:rPr>
        <w:t>to deliver drug formulation efficiently, with the nebulization time for AP01 taking approximately nine minutes. We have and will continue to work closely with device manufacturers such as PARI to ensure our formulations are optimized for specific delivery platforms, enabling consistent aerosol performance and efficient lung deposition. In addition to nebulizers, we will continue to evaluate other inhalation methods, taking into account formulation considerations, disease rationale, and patient usability. For example, we have successfully developed nintedanib in a DPI formulation; however, we are prioritizing nebulized delivery for now, given that AP03 can only be used in solution for nebulization and our belief that DPI administration may be challenging for the majority of patients with pulmonary fibrosis. This nintedanib DPI formulation, however, provides us flexibility to enable future product candidates as part of our long-term strategy.</w:t>
      </w:r>
    </w:p>
    <w:p>
      <w:pPr>
        <w:spacing w:after="0" w:line="60" w:lineRule="exact"/>
        <w:rPr>
          <w:sz w:val="20"/>
          <w:szCs w:val="20"/>
          <w:color w:val="auto"/>
        </w:rPr>
      </w:pPr>
    </w:p>
    <w:p>
      <w:pPr>
        <w:jc w:val="both"/>
        <w:ind w:left="1880" w:right="1239" w:hanging="323"/>
        <w:spacing w:after="0" w:line="259" w:lineRule="auto"/>
        <w:tabs>
          <w:tab w:leader="none" w:pos="18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Solubility and Stability: </w:t>
      </w:r>
      <w:r>
        <w:rPr>
          <w:rFonts w:ascii="Times New Roman" w:cs="Times New Roman" w:eastAsia="Times New Roman" w:hAnsi="Times New Roman"/>
          <w:sz w:val="14"/>
          <w:szCs w:val="14"/>
          <w:color w:val="auto"/>
        </w:rPr>
        <w:t>We employ advanced formulation techniques to enhance drug solubility in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aqueous and non-aqueous environments, thereby ensuring consistent dosing and prolonged shelf-life. Storage conditions and packaging are carefully considered to accommodate real-world storage conditions, ensuring that our therapies maintain formulation integrity and effectiveness under varying environmental conditions.</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50" w:lineRule="auto"/>
        <w:tabs>
          <w:tab w:leader="none" w:pos="188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User Experience &amp; Compliance: </w:t>
      </w:r>
      <w:r>
        <w:rPr>
          <w:rFonts w:ascii="Times New Roman" w:cs="Times New Roman" w:eastAsia="Times New Roman" w:hAnsi="Times New Roman"/>
          <w:sz w:val="14"/>
          <w:szCs w:val="14"/>
          <w:color w:val="auto"/>
        </w:rPr>
        <w:t>Long-term patient adherence is critical for treatment success,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particularly in chronic conditions like pulmonary fibrosis. We prioritize factors such as ease of use, treatment duration, and portability to enhance patient compliance. The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for example, provides a shorter nebulization time compared to traditional jet nebulizers, reducing the treatment burden and improving convenience. Importantly, the nebulized approach is designed to be responsive to a patient’s normal breathing pattern and does not require a vigorous inhalation to deliver the dose. This is a key advantage because forceful inhalation often triggers coughing, which is already a primary and distressing symptom of pulmonary fibrosis. Furthermore, pulmonary fibrosis patients have reduced lung capacity and later-stage patients do not always have the capacity to absorb an adequate dose through DPI dosing. The nebulized approach helps ensure comfort, reduces cough exacerbation, and support consistent adherence to therapy.</w:t>
      </w:r>
    </w:p>
    <w:p>
      <w:pPr>
        <w:spacing w:after="0" w:line="149"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We believe there is a significant and urgent opportunity for new inhaled therapies that are more tolerable and effective, that better align with patient needs, and support improved adherence.</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Our Solution: Inhaled Therapies Designed to Deliver Enhanced Therapeutic Benefits</w:t>
      </w:r>
    </w:p>
    <w:p>
      <w:pPr>
        <w:spacing w:after="0" w:line="93"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By leveraging optimized inhaled formulations of existing oral treatments for respiratory diseases, we aim to provide a differentiated therapeutic approach that offers multiple, clinically meaningful advantages:</w:t>
      </w:r>
    </w:p>
    <w:p>
      <w:pPr>
        <w:spacing w:after="0" w:line="39" w:lineRule="exact"/>
        <w:rPr>
          <w:sz w:val="20"/>
          <w:szCs w:val="20"/>
          <w:color w:val="auto"/>
        </w:rPr>
      </w:pPr>
    </w:p>
    <w:p>
      <w:pPr>
        <w:jc w:val="both"/>
        <w:ind w:left="1880" w:right="1239" w:hanging="323"/>
        <w:spacing w:after="0" w:line="255" w:lineRule="auto"/>
        <w:tabs>
          <w:tab w:leader="none" w:pos="18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Targeted Delivery to the Lungs for Enhanced Treatment Response and Favorable Tolerability Profile: </w:t>
      </w:r>
      <w:r>
        <w:rPr>
          <w:rFonts w:ascii="Times New Roman" w:cs="Times New Roman" w:eastAsia="Times New Roman" w:hAnsi="Times New Roman"/>
          <w:sz w:val="14"/>
          <w:szCs w:val="14"/>
          <w:color w:val="auto"/>
        </w:rPr>
        <w:t>Our inhaled therapies are designed to deliver drug directly to the lungs. This localized delivery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approach to the primary site of disease is intended to provide two important benefits: (1) enhanced treatment response, including the potential for disease-modifying effect, and (2) improved tolerability. Our approach is designed to increase pulmonary drug exposure and may improve lung function at substantially lower doses than required with oral formulations. In addition, inhaled delivery is intended to reduce systemic exposure, which may mitigate side effects commonly associated with oral antifibrotic treatments that often lead to treatment discontinuation.</w:t>
      </w:r>
    </w:p>
    <w:p>
      <w:pPr>
        <w:spacing w:after="0" w:line="61" w:lineRule="exact"/>
        <w:rPr>
          <w:rFonts w:ascii="Times New Roman" w:cs="Times New Roman" w:eastAsia="Times New Roman" w:hAnsi="Times New Roman"/>
          <w:sz w:val="14"/>
          <w:szCs w:val="14"/>
          <w:color w:val="auto"/>
        </w:rPr>
      </w:pPr>
    </w:p>
    <w:p>
      <w:pPr>
        <w:jc w:val="both"/>
        <w:ind w:left="1880" w:right="1239" w:hanging="323"/>
        <w:spacing w:after="0" w:line="256" w:lineRule="auto"/>
        <w:tabs>
          <w:tab w:leader="none" w:pos="18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Support for Long-term Adherence: </w:t>
      </w:r>
      <w:r>
        <w:rPr>
          <w:rFonts w:ascii="Times New Roman" w:cs="Times New Roman" w:eastAsia="Times New Roman" w:hAnsi="Times New Roman"/>
          <w:sz w:val="14"/>
          <w:szCs w:val="14"/>
          <w:color w:val="auto"/>
        </w:rPr>
        <w:t>We expect inhaled therapies will enable a more tolerable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patient-friendly treatment, promoting long-term adherence for sustained therapeutic benefit. The OLE trial has now been underway for more than four and a half years, with 23 of the 100 initially enrolled patients continuing to receive AP01 100 mg BID treatment. Many of these patients are now surpassing six years post-diagnosis, exceeding the three to five years median survival for patients with pulmonary fibrosis after diagnosis. Such long-term data are not available for oral pirfenidone or oral nintedanib, as systemic toxicities with these therapies often limit patients’ treatment duration to less than one year.</w:t>
      </w:r>
    </w:p>
    <w:p>
      <w:pPr>
        <w:spacing w:after="0" w:line="59" w:lineRule="exact"/>
        <w:rPr>
          <w:rFonts w:ascii="Times New Roman" w:cs="Times New Roman" w:eastAsia="Times New Roman" w:hAnsi="Times New Roman"/>
          <w:sz w:val="14"/>
          <w:szCs w:val="14"/>
          <w:color w:val="auto"/>
        </w:rPr>
      </w:pPr>
    </w:p>
    <w:p>
      <w:pPr>
        <w:ind w:left="1880" w:right="1239" w:hanging="323"/>
        <w:spacing w:after="0" w:line="286" w:lineRule="auto"/>
        <w:tabs>
          <w:tab w:leader="none" w:pos="188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Expanding the Total Addressable Patient Population: </w:t>
      </w:r>
      <w:r>
        <w:rPr>
          <w:rFonts w:ascii="Times New Roman" w:cs="Times New Roman" w:eastAsia="Times New Roman" w:hAnsi="Times New Roman"/>
          <w:sz w:val="14"/>
          <w:szCs w:val="14"/>
          <w:color w:val="auto"/>
        </w:rPr>
        <w:t>Inhaled therapies have the potential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significantly expand the current treatment landscape by addressing two key underserved patient groups.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2" w:name="page123"/>
    <w:bookmarkEnd w:id="12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spacing w:after="0" w:line="261" w:lineRule="auto"/>
        <w:rPr>
          <w:sz w:val="20"/>
          <w:szCs w:val="20"/>
          <w:color w:val="auto"/>
        </w:rPr>
      </w:pPr>
      <w:r>
        <w:rPr>
          <w:rFonts w:ascii="Times New Roman" w:cs="Times New Roman" w:eastAsia="Times New Roman" w:hAnsi="Times New Roman"/>
          <w:sz w:val="14"/>
          <w:szCs w:val="14"/>
          <w:color w:val="auto"/>
        </w:rPr>
        <w:t>First, patients who are unable to tolerate or have discontinued oral antifibrotic therapies may benefit from our inhaled therapeutic programs if we are able to demonstrate an improved tolerability profile. Second, patients who are newly diagnosed may also benefit from an earlier intervention to halt fibrosis progression.</w:t>
      </w:r>
    </w:p>
    <w:p>
      <w:pPr>
        <w:spacing w:after="0" w:line="55" w:lineRule="exact"/>
        <w:rPr>
          <w:sz w:val="20"/>
          <w:szCs w:val="20"/>
          <w:color w:val="auto"/>
        </w:rPr>
      </w:pPr>
    </w:p>
    <w:p>
      <w:pPr>
        <w:jc w:val="both"/>
        <w:ind w:left="1880" w:right="1239" w:hanging="323"/>
        <w:spacing w:after="0" w:line="250" w:lineRule="auto"/>
        <w:tabs>
          <w:tab w:leader="none" w:pos="188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High Barriers to Entry Create Durable Competitive Advantage: </w:t>
      </w:r>
      <w:r>
        <w:rPr>
          <w:rFonts w:ascii="Times New Roman" w:cs="Times New Roman" w:eastAsia="Times New Roman" w:hAnsi="Times New Roman"/>
          <w:sz w:val="14"/>
          <w:szCs w:val="14"/>
          <w:color w:val="auto"/>
        </w:rPr>
        <w:t>We believe we hold a uniquely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defensible market position, since our proprietary drug-device combinations create high technical and regulatory barriers of entry. To date, only a very small number of generic inhaled products have ever been approved and commercially marketed in the U.S., underscoring the exceptionally high hurdles for follow-on competitors. Development of a generic inhaled therapy is complex, often requiring large clinical trials to demonstrate therapeutic equivalence. In addition, we hold exclusive licenses to develop and commercialize our inhaled candidates with PARI’s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Because the device is included in the label of the product and licensed under an exclusive agreement, we have exclusivity in the device for inhaled pirfenidone and nintedanib even after existing patents expire. Any company would need to develop a generic version of the device and demonstrate drug-device equivalence, such as particle size distribution and lung deposition patterns, a complex and costly technical challenge. These protections create high technical, regulatory, and manufacturing barriers to entry that we believe will support prolonged effective market exclusivity and a durable competitive advantage, well beyond patent expiries.</w:t>
      </w:r>
    </w:p>
    <w:p>
      <w:pPr>
        <w:spacing w:after="0" w:line="156" w:lineRule="exact"/>
        <w:rPr>
          <w:sz w:val="20"/>
          <w:szCs w:val="20"/>
          <w:color w:val="auto"/>
        </w:rPr>
      </w:pPr>
    </w:p>
    <w:p>
      <w:pPr>
        <w:jc w:val="both"/>
        <w:ind w:left="1220" w:right="1239" w:firstLine="333"/>
        <w:spacing w:after="0" w:line="227" w:lineRule="auto"/>
        <w:rPr>
          <w:sz w:val="20"/>
          <w:szCs w:val="20"/>
          <w:color w:val="auto"/>
        </w:rPr>
      </w:pPr>
      <w:r>
        <w:rPr>
          <w:rFonts w:ascii="Times New Roman" w:cs="Times New Roman" w:eastAsia="Times New Roman" w:hAnsi="Times New Roman"/>
          <w:sz w:val="14"/>
          <w:szCs w:val="14"/>
          <w:color w:val="auto"/>
        </w:rPr>
        <w:t>Our initial development candidates are all in development for nebulized lung delivery using PARI’s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nebulizers. These nebulizers are clinically and commercially validated, with five drug-device combination products approved by regulatory authorities in North America, Europe, and Japan, including LAMIRA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ARIKAYCE</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ALTERA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CAYSTON</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Our current product candidates benefit from an exclusive license to the PARI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with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a convenient, handheld nebulizer device intended for their delivery. Our exclusivity to the eRapid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 provides a significant advantage for intellectual property protection, as the device would be included in any potential product labels approved by the FDA and other foreign regulatory authorities.</w:t>
      </w:r>
    </w:p>
    <w:p>
      <w:pPr>
        <w:spacing w:after="0" w:line="2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AP01: Optimized Inhaled Formulation of Pirfenidone</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AP01 is an optimized inhaled formulation of pirfenidone, being developed as a potential next-generation standard-of-care treatment for patients with PPF. Pirfenidone is a small molecule inhibitor that has anti-inflammatory and anti-fibrotic effects and is therefore well suited to address a broad range of molecular pathways driving pathogenesis. It modulates numerous cytokines and growth factors involved in the pathogenesis of pulmonary fibrosis, resulting in reduced fibroblast proliferation, collagen production, and anti-inflammatory and antioxidative effects.</w:t>
      </w:r>
    </w:p>
    <w:p>
      <w:pPr>
        <w:spacing w:after="0" w:line="14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selected PPF as the primary indication for the development of AP01 based on multiple criteria, including expert advisor feedback, demonstrated lung function stabilization in patients with PPF in the ongoing OLE trial, the unmet need in PPF given the large population, and a potentially more efficient development and regulatory path.</w:t>
      </w:r>
    </w:p>
    <w:p>
      <w:pPr>
        <w:spacing w:after="0" w:line="136"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While not approved for PPF, oral pirfenidone has demonstrated the ability to reduce lung function decline and mortality in patients with IPF. However, its low efficacy and observed systemic exposure cause significant side effects, which have limited its long-term tolerability and use by patients. Delivering inhaled AP01 bypasses the GI tract and first-pass metabolism and results in a high local lung concentration and maintains low systemic exposure while using lower doses. These characteristics are designed to enable AP01 to reduce, in PPF patients, the known side effects associated with oral pirfenidone in IPF patients and enable targeted drug delivery directly to the lung for maximal efficacy. Over time, we believe AP01 may serve as a foundational treatment for inhaled fixed-dose combination regimens for PPF and other ILDs.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3" w:name="page124"/>
    <w:bookmarkEnd w:id="12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ATLAS Phase 1b Clinical Trial and OLE Trial</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have successfully completed ATLAS, a Phase 1b randomized, open-label clinical trial designed to evaluate the preliminary safety and tolerability of AP01 50 mg QD and AP01 100 mg BID in patients with IPF. Although ATLAS was not designed or powered to assess efficacy, metrics including spirometry, respiratory rate, and oxygenation were collected throughout the study and provided descriptive insights into potential efficacy including function changes during treatment. ATLAS was conducted across 25 sites in Asia-Pacific and Europe.</w:t>
      </w:r>
    </w:p>
    <w:p>
      <w:pPr>
        <w:spacing w:after="0" w:line="14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Patients enrolled in ATLAS were randomized to receive either 50 mg AP01 QD or 100 mg BID over a 72-week treatment period. At Week 24, an independent Data Safety Monitoring Board, or DSMB, reviewed safety and preliminary efficacy data, observed a greater treatment effect with AP01 100 mg BID dosing, and recommended transitioning all patients to the higher BID regimen for the remainder of the trial, which took time to implement and was accomplished after week 48. At the conclusion of the 72-week treatment period, all patients remaining on trial were eligible to continue receiving AP01 100 mg BID in an OLE trial. Recognizing the limited access to oral therapies for some patients with IPF and PPF, we expanded the OLE to include two additional compassionate-use cohorts: (1) patients with IPF who met the original eligibility criteria and (2) patients with PPF.</w:t>
      </w:r>
    </w:p>
    <w:p>
      <w:pPr>
        <w:spacing w:after="0" w:line="14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OLE trial has now been underway for more than four and a half years, with 23 patients continuing to receive AP01 100 mg BID treatment. This ongoing study underscores the potential for sustained, long-term use of AP01 as a treatment option for patients with pulmonary fibrosis.</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ATLAS Phase 1b Clinical Trial Followed by Open-Label Extension (OLE)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994410</wp:posOffset>
            </wp:positionH>
            <wp:positionV relativeFrom="paragraph">
              <wp:posOffset>121920</wp:posOffset>
            </wp:positionV>
            <wp:extent cx="3738245" cy="104775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738245" cy="1047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ATLAS Patient Demographics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ATLAS enrolled 91 adult patients with IPF who were either intolerant to or ineligible for oral pirfenidone or nintedanib. Patients were diagnosed with IPF according to American Thoracic Society and European Respiratory Society criteria within the prior five years, had FVC values of &gt;40% but &lt;90% of predicted, and had a FEV1/FVC ratio &gt;0.7. Patients were excluded from the trial if they were on either oral pirfenidone or nintedanib at the time of enrollment. Patients in ATLAS were, on average, older and had more advanced disease compared to those enrolled in the pivotal trials for oral pirfenidone or oral nintedanib. Patients in ATLAS had a lower mean FVC % predicted (71.9% compared to 67.8-80.0%) and an average disease duration of two years since diagnosis compared to 1.2-1.7 years since diagnosis.</w:t>
      </w:r>
    </w:p>
    <w:p>
      <w:pPr>
        <w:spacing w:after="0" w:line="14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ATLAS was conducted between 2019-2021. During 2020, the COVID-19 pandemic impacted trial operations with several countries implementing various lockdown policies that led to a temporary shutdown of many of the 25 clinical trial sites. These disruptions affected patients’ ability to attend scheduled clinical assessments, resulting in missed visits for many participants. Despite the challenges posed by the pandemic, many patients returned to trial sites following the lockdown period, and data collection on these patients resumed.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4" w:name="page125"/>
    <w:bookmarkEnd w:id="12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AP01: Generally Well-Tolerated in ATLAS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AP01 was generally well-tolerated, with no reported AEs related to respiratory rate, spirometry, or oxygen desaturation during or following in-clinic administration. Of the 91 total patients enrolled in ATLAS, AEs reported in 10% or more of patients across dosing cohorts included cough (n=25), rash (n=14), shortness of breath (dyspnea) (n=13), nausea (n=10), IPF progression or exacerbation (n=9), fatigue (n=8), lower respiratory tract infection (n=8), and upper respiratory tract infection (n=8).</w:t>
      </w:r>
    </w:p>
    <w:p>
      <w:pPr>
        <w:spacing w:after="0" w:line="144" w:lineRule="exact"/>
        <w:rPr>
          <w:sz w:val="20"/>
          <w:szCs w:val="20"/>
          <w:color w:val="auto"/>
        </w:rPr>
      </w:pPr>
    </w:p>
    <w:p>
      <w:pPr>
        <w:jc w:val="both"/>
        <w:ind w:left="1220" w:right="1239" w:firstLine="333"/>
        <w:spacing w:after="0" w:line="245" w:lineRule="auto"/>
        <w:rPr>
          <w:sz w:val="20"/>
          <w:szCs w:val="20"/>
          <w:color w:val="auto"/>
        </w:rPr>
      </w:pPr>
      <w:r>
        <w:rPr>
          <w:rFonts w:ascii="Times New Roman" w:cs="Times New Roman" w:eastAsia="Times New Roman" w:hAnsi="Times New Roman"/>
          <w:sz w:val="14"/>
          <w:szCs w:val="14"/>
          <w:color w:val="auto"/>
        </w:rPr>
        <w:t>Results from ATLAS demonstrated a favorable tolerability profile with AP01 at both the 50 mg QD and 100 mg BID doses. The chart below illustrates AE rates for AP01 50 mg QD (light purple bars) and AP01 100 mg BID (dark purple bars) from ATLAS. For a chart detailing the most common AEs for oral pirfenidone, please refer to section above entitled “—</w:t>
      </w:r>
      <w:r>
        <w:rPr>
          <w:rFonts w:ascii="Times New Roman" w:cs="Times New Roman" w:eastAsia="Times New Roman" w:hAnsi="Times New Roman"/>
          <w:sz w:val="14"/>
          <w:szCs w:val="14"/>
          <w:i w:val="1"/>
          <w:iCs w:val="1"/>
          <w:color w:val="auto"/>
        </w:rPr>
        <w:t>Antifibrotic Treatment Landscape for Pulmonary Fibrosis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Oral Pirfenidone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for IPF.</w:t>
      </w:r>
      <w:r>
        <w:rPr>
          <w:rFonts w:ascii="Times New Roman" w:cs="Times New Roman" w:eastAsia="Times New Roman" w:hAnsi="Times New Roman"/>
          <w:sz w:val="14"/>
          <w:szCs w:val="14"/>
          <w:color w:val="auto"/>
        </w:rPr>
        <w:t>”</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AEs from AP01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121920</wp:posOffset>
            </wp:positionV>
            <wp:extent cx="3998595" cy="18961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998595" cy="189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 xml:space="preserve">Source: West et al., </w:t>
      </w:r>
      <w:r>
        <w:rPr>
          <w:rFonts w:ascii="Times New Roman" w:cs="Times New Roman" w:eastAsia="Times New Roman" w:hAnsi="Times New Roman"/>
          <w:sz w:val="10"/>
          <w:szCs w:val="10"/>
          <w:i w:val="1"/>
          <w:iCs w:val="1"/>
          <w:color w:val="auto"/>
        </w:rPr>
        <w:t>Thorax</w:t>
      </w:r>
      <w:r>
        <w:rPr>
          <w:rFonts w:ascii="Times New Roman" w:cs="Times New Roman" w:eastAsia="Times New Roman" w:hAnsi="Times New Roman"/>
          <w:sz w:val="10"/>
          <w:szCs w:val="10"/>
          <w:color w:val="auto"/>
        </w:rPr>
        <w:t xml:space="preserve"> 2023.</w:t>
      </w:r>
    </w:p>
    <w:p>
      <w:pPr>
        <w:spacing w:after="0" w:line="15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AP01 demonstrated a low incidence of AEs across categories and GI- and skin-related AEs occurred at meaningfully low rates with AP01 in ATLAS. Elevations in liver enzymes, a known risk reported in the labeling with oral products, were mild and infrequent with AP01, with the exception of one Grade 2 treatment-related increase in liver enzymes, which resolved following dose interruption. Overall, the majority of treatment-related AEs, or TEAEs, observed with AP01, were mild or moderate in severity. There was one Grade 3 event of parainfluenza virus infection, which was considered a suspected unexpected serious adverse reaction and resolved following dose interruption. See section above entitled “—</w:t>
      </w:r>
      <w:r>
        <w:rPr>
          <w:rFonts w:ascii="Times New Roman" w:cs="Times New Roman" w:eastAsia="Times New Roman" w:hAnsi="Times New Roman"/>
          <w:sz w:val="14"/>
          <w:szCs w:val="14"/>
          <w:i w:val="1"/>
          <w:iCs w:val="1"/>
          <w:color w:val="auto"/>
        </w:rPr>
        <w:t>Antifibrotic Treatment Landscape for Pulmonary Fibrosis</w:t>
      </w:r>
    </w:p>
    <w:p>
      <w:pPr>
        <w:spacing w:after="0" w:line="4" w:lineRule="exact"/>
        <w:rPr>
          <w:sz w:val="20"/>
          <w:szCs w:val="20"/>
          <w:color w:val="auto"/>
        </w:rPr>
      </w:pPr>
    </w:p>
    <w:p>
      <w:pPr>
        <w:jc w:val="both"/>
        <w:ind w:left="1220" w:right="1239"/>
        <w:spacing w:after="0" w:line="226" w:lineRule="auto"/>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Oral Pirfenidone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i w:val="1"/>
          <w:iCs w:val="1"/>
          <w:color w:val="auto"/>
        </w:rPr>
        <w:t>) for IPF</w:t>
      </w:r>
      <w:r>
        <w:rPr>
          <w:rFonts w:ascii="Times New Roman" w:cs="Times New Roman" w:eastAsia="Times New Roman" w:hAnsi="Times New Roman"/>
          <w:sz w:val="14"/>
          <w:szCs w:val="14"/>
          <w:color w:val="auto"/>
        </w:rPr>
        <w:t>” for information on the most common AEs and observed elevation in liver enzymes and monitoring issues for oral pirfenidone.</w:t>
      </w:r>
    </w:p>
    <w:p>
      <w:pPr>
        <w:spacing w:after="0" w:line="15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AEs leading to AP01 treatment discontinuation were infrequent and included cough (n=2), progression of IPF (n=2), pneumonia (n=1), rash (n=1), and an abnormal chest computed tomography (CT) scan (n=1), which was observed in a patient suspected of having lung carcinoma who also had abnormal tumor markers at the time. There were four non-treatment-related deaths among trial participants; two deaths in the first 24 weeks (one in the 50 mg QD from embolic stroke/septic embolus and another in the 100 mg BID from IPF), and additional two deaths between Week 24 and Week 48 (one in the 50 mg QD from IPF and another in the 100 mg BID from pulmonary embolism).</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5" w:name="page126"/>
    <w:bookmarkEnd w:id="12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Cough is one of the most common and distressing symptoms, affecting more than 70% of patients with pulmonary fibrosis. Airway irritation is also a potential risk with inhaled administration, which can be manifested by coughing, increased secretions, or bronchospasm. ATLAS did not discern between different types of cough, including (1) cough due to nebulization of the aerosol and its effect on the pharynx and retropharyngeal space, (2) cough as a part of the background disease, and (3) cough as an AE. In ATLAS, cough occurred in 25/91 (27.5%) of patients; however, only 14/91 (15.4%) cases were considered treatment-related cough. There was no increase or progression of cough rates over the duration of the trial. Importantly, there was no bronchospasm observed in ATLAS or in the subsequent OLE trial. To understand the different types of cough, MIST is designed to discern cough related to nebulization through a cough and bronchospasm assessment completed during the screening phase prior to randomization. This will enable establishment of baseline cough levels prior to drug treatment so we understand cough levels attributable to the background disease prior to beginning treatment.</w:t>
      </w:r>
    </w:p>
    <w:p>
      <w:pPr>
        <w:spacing w:after="0" w:line="14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believe the favorable tolerability findings for AP01 are particularly encouraging given that patients in ATLAS were older, had more advanced disease as measured by baseline FVC, and had been diagnosed with IPF for a longer duration compared to participants in oral pirfenidone pivotal trials.</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AP01 Has Demonstrated Near Stabilization of Lung Function in ATLAS</w:t>
      </w:r>
    </w:p>
    <w:p>
      <w:pPr>
        <w:spacing w:after="0" w:line="93" w:lineRule="exact"/>
        <w:rPr>
          <w:sz w:val="20"/>
          <w:szCs w:val="20"/>
          <w:color w:val="auto"/>
        </w:rPr>
      </w:pPr>
    </w:p>
    <w:p>
      <w:pPr>
        <w:jc w:val="both"/>
        <w:ind w:left="1220" w:right="1239" w:firstLine="333"/>
        <w:spacing w:after="0" w:line="247" w:lineRule="auto"/>
        <w:rPr>
          <w:sz w:val="20"/>
          <w:szCs w:val="20"/>
          <w:color w:val="auto"/>
        </w:rPr>
      </w:pPr>
      <w:r>
        <w:rPr>
          <w:rFonts w:ascii="Times New Roman" w:cs="Times New Roman" w:eastAsia="Times New Roman" w:hAnsi="Times New Roman"/>
          <w:sz w:val="14"/>
          <w:szCs w:val="14"/>
          <w:color w:val="auto"/>
        </w:rPr>
        <w:t>Although ATLAS was not designed or powered to assess efficacy, metrics including spirometry, respiratory rate, and oxygenation were collected throughout the study and provided descriptive insights into lung function changes during treatment. The absolute change from baseline to Week 24 in FVC % predicted was also analyzed using a slope analysis to model the linear trajectory of changes over time. At the higher 100 mg BID dose, AP01 had a change in FVC % predicted of only -0.4% (-34 mL) at Week 48. See section above entitled “—</w:t>
      </w:r>
      <w:r>
        <w:rPr>
          <w:rFonts w:ascii="Times New Roman" w:cs="Times New Roman" w:eastAsia="Times New Roman" w:hAnsi="Times New Roman"/>
          <w:sz w:val="14"/>
          <w:szCs w:val="14"/>
          <w:i w:val="1"/>
          <w:iCs w:val="1"/>
          <w:color w:val="auto"/>
        </w:rPr>
        <w:t>Antifibrotic</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Treatment Landscape for Pulmonary Fibrosis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Oral Pirfenidone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i w:val="1"/>
          <w:iCs w:val="1"/>
          <w:color w:val="auto"/>
        </w:rPr>
        <w:t>) for IPF</w:t>
      </w:r>
      <w:r>
        <w:rPr>
          <w:rFonts w:ascii="Times New Roman" w:cs="Times New Roman" w:eastAsia="Times New Roman" w:hAnsi="Times New Roman"/>
          <w:sz w:val="14"/>
          <w:szCs w:val="14"/>
          <w:color w:val="auto"/>
        </w:rPr>
        <w:t>” for information on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Phase 3 ASCEND trial of oral pirfenidone after 52 weeks of treatment.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Changes in Lung Function (FVC) with AP01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827405</wp:posOffset>
            </wp:positionH>
            <wp:positionV relativeFrom="paragraph">
              <wp:posOffset>121920</wp:posOffset>
            </wp:positionV>
            <wp:extent cx="4065270" cy="22764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065270" cy="2276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 xml:space="preserve">Source: West et al., </w:t>
      </w:r>
      <w:r>
        <w:rPr>
          <w:rFonts w:ascii="Times New Roman" w:cs="Times New Roman" w:eastAsia="Times New Roman" w:hAnsi="Times New Roman"/>
          <w:sz w:val="10"/>
          <w:szCs w:val="10"/>
          <w:i w:val="1"/>
          <w:iCs w:val="1"/>
          <w:color w:val="auto"/>
        </w:rPr>
        <w:t>Thorax</w:t>
      </w:r>
      <w:r>
        <w:rPr>
          <w:rFonts w:ascii="Times New Roman" w:cs="Times New Roman" w:eastAsia="Times New Roman" w:hAnsi="Times New Roman"/>
          <w:sz w:val="10"/>
          <w:szCs w:val="10"/>
          <w:color w:val="auto"/>
        </w:rPr>
        <w:t xml:space="preserve"> 2023.</w:t>
      </w:r>
    </w:p>
    <w:p>
      <w:pPr>
        <w:spacing w:after="0" w:line="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 Through 48 weeks, 100 mg BID vs. 50 mg QD p=0.0222 (24-week p=0.133).</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6" w:name="page127"/>
    <w:bookmarkEnd w:id="12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Placebo cohorts from registrational antifibrotic studies and natural history studies demonstrate that patients with IPF and PPF will experience a decline in FVC of approximately 4-7%, or approximately 200 mL, per year. Based on the published literature, the effect observed with AP01 100 mg BID over 48 weeks represents the first clinical evidence of near stabilization of lung function in this patient population. This is comparable to the expected decline in FVC among healthy adults over 40 years of age, who typically lose on average 20 mL to 50 mL per year.</w:t>
      </w:r>
    </w:p>
    <w:p>
      <w:pPr>
        <w:spacing w:after="0" w:line="60"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bar graph below demonstrates the FVC decline of AP01 100 mg BID (dark purple bar), which achieved a decline of only 34 mL, further supporting its potential for stabilization or near-stabilization of lung function in patients with IPF. See section above entitled “—</w:t>
      </w:r>
      <w:r>
        <w:rPr>
          <w:rFonts w:ascii="Times New Roman" w:cs="Times New Roman" w:eastAsia="Times New Roman" w:hAnsi="Times New Roman"/>
          <w:sz w:val="14"/>
          <w:szCs w:val="14"/>
          <w:i w:val="1"/>
          <w:iCs w:val="1"/>
          <w:color w:val="auto"/>
        </w:rPr>
        <w:t>Current Utility of Oral Pirfenidone and Nintedanib Hindered by</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Systemic Toxicities</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Oral Nerandomilast (JASCAYD®) for IPF and PPF</w:t>
      </w:r>
      <w:r>
        <w:rPr>
          <w:rFonts w:ascii="Times New Roman" w:cs="Times New Roman" w:eastAsia="Times New Roman" w:hAnsi="Times New Roman"/>
          <w:sz w:val="14"/>
          <w:szCs w:val="14"/>
          <w:color w:val="auto"/>
        </w:rPr>
        <w:t>” for information on FVC declines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approved oral agents.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FVC Decline for AP01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2249170</wp:posOffset>
            </wp:positionH>
            <wp:positionV relativeFrom="paragraph">
              <wp:posOffset>121920</wp:posOffset>
            </wp:positionV>
            <wp:extent cx="1228090" cy="18421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28090" cy="1842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 xml:space="preserve">Source: West et al., </w:t>
      </w:r>
      <w:r>
        <w:rPr>
          <w:rFonts w:ascii="Times New Roman" w:cs="Times New Roman" w:eastAsia="Times New Roman" w:hAnsi="Times New Roman"/>
          <w:sz w:val="10"/>
          <w:szCs w:val="10"/>
          <w:i w:val="1"/>
          <w:iCs w:val="1"/>
          <w:color w:val="auto"/>
        </w:rPr>
        <w:t>Thorax</w:t>
      </w:r>
      <w:r>
        <w:rPr>
          <w:rFonts w:ascii="Times New Roman" w:cs="Times New Roman" w:eastAsia="Times New Roman" w:hAnsi="Times New Roman"/>
          <w:sz w:val="10"/>
          <w:szCs w:val="10"/>
          <w:color w:val="auto"/>
        </w:rPr>
        <w:t xml:space="preserve"> 2023.</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*Per protocol set in 48-week trial. ATLAS data is non-imputed.</w:t>
      </w:r>
    </w:p>
    <w:p>
      <w:pPr>
        <w:spacing w:after="0" w:line="14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To confirm the robustness of the results from ATLAS, we conducted a post-hoc assessment using the mixed model of repeated measures, or MMRM, to analyze changes in FVC % predicted.</w:t>
      </w:r>
    </w:p>
    <w:p>
      <w:pPr>
        <w:spacing w:after="0" w:line="41"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a random slopes model, we assume linear trends for the mean FVC at each visit, meaning each individual’s FVC measurements follow a straight line plus measurement error. Compared to the slopes model, MMRM assumes no particular form for the individual or the overall pattern of mean FVC at each visit. Hence, MMRM is particularly advantageous in handling repeated measures over time without requiring imputation for missing data, making it a current FDA standard for analyzing longitudinal data in pulmonary fibrosis trials. The chart below supports that the changes in FVC % predicted as measured by MMRM were consistent with the findings from our slopes analysis for</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7" w:name="page128"/>
    <w:bookmarkEnd w:id="12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both AP01 100 mg BID (dark purple line) with a mean change of -0.35% and AP01 50 mg QD (light purple line) with a mean change of -5.20% at 48 weeks.</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021227"/>
        </w:rPr>
        <w:t>MMRM Analysis of Change from Baseline in FVC Across AP01 100 mg BID and 50 mg QD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121920</wp:posOffset>
            </wp:positionV>
            <wp:extent cx="3958590" cy="16021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958590" cy="160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believe these findings highlight the potential of AP01 for further development as an inhaled therapy that delivers targeted treatment with improved treatment response and tolerability compared to oral options. This advantage could translate into better long-term outcomes for patients with pulmonary fibrosis.</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HRCT Imaging Correlates with FVC Changes and Fibrosis Improvement in ATLAS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HRCT is considered the gold-standard for diagnosing pulmonary fibrosis, as it can detect specific fibrosis patterns, such as honeycombing, reticulations, or ground-glass opacities, the latter often indicative of inflammation and fine fibrosis associated with early-stage disease. Using HRCT imaging, we can numerically quantify regions as fibrotic or nonfibrotic and identify specific fibrosis patterns.</w:t>
      </w:r>
    </w:p>
    <w:p>
      <w:pPr>
        <w:spacing w:after="0" w:line="141"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images below illustrate the response of a patient treated with AP01 100 mg BID in ATLAS who showed a meaningful improvement in their FVC. The image on the left shows an HRCT scan of the patient’s lungs at baseline, while the image on the right shows the same patient’s lung after 24 weeks of treatment. Quantitative lung fibrosis, or QLF, is represented by yellow, blue, and red dots, where different colors represent different types of fibrosis. An increased QLF score has been associated with worsening of pulmonary fibrosis. As shown below, there is a reduction in lung fibrosis from baseline to Week 24 (15.2% vs 11.0%) and an increase in whole lung volume (3.9L to 4.1L). In this patient, their QLF reduction correlated with FVC lung function and quality of life measures.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8" w:name="page129"/>
    <w:bookmarkEnd w:id="12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Changes in Whole Lung Volume, QLF, and QLF Volume with AP01 100 mg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1087755</wp:posOffset>
            </wp:positionH>
            <wp:positionV relativeFrom="paragraph">
              <wp:posOffset>121920</wp:posOffset>
            </wp:positionV>
            <wp:extent cx="3544570" cy="17957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3544570" cy="179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Sources: 1. Kim, H.J.K et al. (2026); 2. Poster Presentations at ERS 2022 and PPF Summit 2023</w:t>
      </w:r>
    </w:p>
    <w:p>
      <w:pPr>
        <w:jc w:val="center"/>
        <w:ind w:right="19"/>
        <w:spacing w:after="0"/>
        <w:rPr>
          <w:sz w:val="20"/>
          <w:szCs w:val="20"/>
          <w:color w:val="auto"/>
        </w:rPr>
      </w:pPr>
      <w:r>
        <w:rPr>
          <w:rFonts w:ascii="Times New Roman" w:cs="Times New Roman" w:eastAsia="Times New Roman" w:hAnsi="Times New Roman"/>
          <w:sz w:val="10"/>
          <w:szCs w:val="10"/>
          <w:color w:val="auto"/>
        </w:rPr>
        <w:t>*Red, yellow, and blue dots indicate reticulation (QLF), ground glass (QGG), and honeycombing (QHC).</w:t>
      </w:r>
    </w:p>
    <w:p>
      <w:pPr>
        <w:spacing w:after="0" w:line="147" w:lineRule="exact"/>
        <w:rPr>
          <w:sz w:val="20"/>
          <w:szCs w:val="20"/>
          <w:color w:val="auto"/>
        </w:rPr>
      </w:pPr>
    </w:p>
    <w:p>
      <w:pPr>
        <w:ind w:left="1220" w:right="1399" w:firstLine="505"/>
        <w:spacing w:after="0" w:line="258" w:lineRule="auto"/>
        <w:rPr>
          <w:sz w:val="20"/>
          <w:szCs w:val="20"/>
          <w:color w:val="auto"/>
        </w:rPr>
      </w:pPr>
      <w:r>
        <w:rPr>
          <w:rFonts w:ascii="Times New Roman" w:cs="Times New Roman" w:eastAsia="Times New Roman" w:hAnsi="Times New Roman"/>
          <w:sz w:val="14"/>
          <w:szCs w:val="14"/>
          <w:color w:val="auto"/>
        </w:rPr>
        <w:t>To date, data on QLF with existing oral antifibrotic treatments is limited. Studies of nintedanib and other investigational therapies for IPF have shown either an increase or stabilization of QLF scores, with no evidence of fibrosis reduction or correlation with clinical activity. As shown in the graph below, HRCT imaging data from ATLAS showed stabilization or reversal of fibrosis in over 70% of patients treated with AP01 100 mg BID, suggesting AP01’s disease modifying potential.</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29" w:name="page130"/>
    <w:bookmarkEnd w:id="12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 from Baseline in QLF (%) Across AP01 100 mg BID</w:t>
      </w:r>
      <w:r>
        <w:rPr>
          <w:rFonts w:ascii="Times New Roman" w:cs="Times New Roman" w:eastAsia="Times New Roman" w:hAnsi="Times New Roman"/>
          <w:sz w:val="18"/>
          <w:szCs w:val="18"/>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1648460</wp:posOffset>
            </wp:positionH>
            <wp:positionV relativeFrom="paragraph">
              <wp:posOffset>95885</wp:posOffset>
            </wp:positionV>
            <wp:extent cx="2430145" cy="27635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30145" cy="2763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0"/>
          <w:szCs w:val="10"/>
          <w:color w:val="auto"/>
        </w:rPr>
        <w:t>Sources: 1. Kim, H.J.K et al. (2026); 2. Poster Presentation at ERS 2022; 3. Poster Presentation at PFF Summit 2023</w:t>
      </w:r>
    </w:p>
    <w:p>
      <w:pPr>
        <w:spacing w:after="0" w:line="15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This finding on the correlation between lung fibrosis and lung function was observed across patients studied in ATLAS. As shown in the graph below, change in the QLF score negatively correlated with change in FVC for AP01 100 mg BID cohort. We believe these are the first reported data to demonstrate a correlation between observed changes in lung function and lung fibrosis using HRCT imaging.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0" w:name="page131"/>
    <w:bookmarkEnd w:id="13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Correlations of FVC and QLF Across AP01 100 mg BID and 50 mg QD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1000760</wp:posOffset>
            </wp:positionH>
            <wp:positionV relativeFrom="paragraph">
              <wp:posOffset>121920</wp:posOffset>
            </wp:positionV>
            <wp:extent cx="3724910" cy="28638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724910" cy="2863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 xml:space="preserve">Source: West et al., </w:t>
      </w:r>
      <w:r>
        <w:rPr>
          <w:rFonts w:ascii="Times New Roman" w:cs="Times New Roman" w:eastAsia="Times New Roman" w:hAnsi="Times New Roman"/>
          <w:sz w:val="10"/>
          <w:szCs w:val="10"/>
          <w:i w:val="1"/>
          <w:iCs w:val="1"/>
          <w:color w:val="auto"/>
        </w:rPr>
        <w:t>Thorax</w:t>
      </w:r>
      <w:r>
        <w:rPr>
          <w:rFonts w:ascii="Times New Roman" w:cs="Times New Roman" w:eastAsia="Times New Roman" w:hAnsi="Times New Roman"/>
          <w:sz w:val="10"/>
          <w:szCs w:val="10"/>
          <w:color w:val="auto"/>
        </w:rPr>
        <w:t xml:space="preserve"> 2023</w:t>
      </w:r>
    </w:p>
    <w:p>
      <w:pPr>
        <w:spacing w:after="0" w:line="15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 second patient case study from ATLAS showed a meaningful improvement in FVC, and a reduction in ground-glass opacities, a specific fibrosis pattern (shown in yellow), that was even more pronounced after 24 weeks of treatment with AP01 100 mg BID. Ground glass opacities can represent areas of inflammation and fine fibrosis, preceding reticulation or honeycombing. This characteristic suggests that AP01 may effectively target earlier stages of fibrosis before progression to advanced, irreversible scarring, which may be particularly beneficial in newly diagnosed patients. By doing so, it may significantly expand the potential total addressable market for PPF therapies, because evidence of disease modification could be a compelling driver for early intervention in ILD patients before their fibrosis advances.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1" w:name="page132"/>
    <w:bookmarkEnd w:id="13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Changes in Quantitative Lung Fibrosis with AP01 100 mg BID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840740</wp:posOffset>
            </wp:positionH>
            <wp:positionV relativeFrom="paragraph">
              <wp:posOffset>115570</wp:posOffset>
            </wp:positionV>
            <wp:extent cx="4038600" cy="20027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038600" cy="2002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0"/>
          <w:szCs w:val="10"/>
          <w:color w:val="auto"/>
        </w:rPr>
        <w:t>Sources: 1. Kim, H.J.K et al. (2026); 2. Poster Presentation at ERS 2024</w:t>
      </w:r>
    </w:p>
    <w:p>
      <w:pPr>
        <w:ind w:left="2420"/>
        <w:spacing w:after="0"/>
        <w:rPr>
          <w:sz w:val="20"/>
          <w:szCs w:val="20"/>
          <w:color w:val="auto"/>
        </w:rPr>
      </w:pPr>
      <w:r>
        <w:rPr>
          <w:rFonts w:ascii="Times New Roman" w:cs="Times New Roman" w:eastAsia="Times New Roman" w:hAnsi="Times New Roman"/>
          <w:sz w:val="10"/>
          <w:szCs w:val="10"/>
          <w:color w:val="auto"/>
        </w:rPr>
        <w:t>*Red, yellow, and blue dots indicate reticulation (QLF), ground glass (QGG), and honeycombing (QHC).</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Patient-reported Outcomes Demonstrate Symptomatic Improvement with AP01 in ATLAS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ATLAS, patient-reported outcomes, or PROs, were assessed using clinically validated questionnaires: King’s Brief Interstitial Lung Disease, or K-BILD, a validated tool designed to measure health-related quality of life specifically in patients with ILDs, and the Leicester Cough Questionnaire, or LCQ, which assesses the impact of cough on patients’ quality of life. PRO results remained stable over 48 weeks in both AP01 dose groups for both LCQ and K-BILD assessments. These data indicate that patients did not experience a significant decline in their perceived health status while on either the AP01 100 mg BID or 50 mg QD, which correlated with the changes in their lung function and lung fibrosis as measured by HRCT scans.</w:t>
      </w:r>
    </w:p>
    <w:p>
      <w:pPr>
        <w:spacing w:after="0" w:line="144"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ATLAS data in totality provide clinical proof-of-concept of the disease modifying potential with AP01 and support its continued development as a treatment for patients with pulmonary fibrosis.</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AP01 OLE Trial Supports Potential for Long-term Tolerability and Clinical Activity of AP01</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An ongoing OLE trial of AP01 has reinforced its potential long-term tolerability and clinical activity in patients with pulmonary fibrosis. Patients who completed study visits through the 72-week treatment period in ATLAS were eligible to enroll in an OLE trial to receive AP01 100 mg BID.</w:t>
      </w:r>
    </w:p>
    <w:p>
      <w:pPr>
        <w:spacing w:after="0" w:line="136"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OLE trial enrolled 41 patients with IPF who completed ATLAS, along with an additional 28 patients with IPF and 31 patients with PPF who were AP01-naïve. The trial remains ongoing, with 23 patients receiving AP01 100 mg BID and some patients on AP01 for more than four and a half years. Given the patients enrolled in ATLAS had an average of two years disease duration since diagnosis when they were first treated, many of these patients have now experienced survival of six or more years, exceeding the median survival of three to five years typically reported for patients with pulmonary fibrosis. This reinforces AP01’s potential for disease modification over a long-term for patients with pulmonary fibrosis.</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AP01 administered at 100 mg BID has been generally well-tolerated across all cohorts in the OLE trial. The safety profile of AP01 to date remains generally consistent with the safety observed in ATLAS, without the emergence of any serious safety events. Our tolerability data of AP01 for more than four and a half years is unprecedented, as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2" w:name="page133"/>
    <w:bookmarkEnd w:id="13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there are no long-term tolerability data with orals. Similarly, AEs, including nausea, rash, and diarrhea occurred at a much lower frequency in the compassionate-use cohorts compared to historical data. To date, the most frequently reported TEAEs include lower respiratory tract infections and cough. Importantly, no AEs of changes in respiratory rate, spirometry, or oxygenation have been observed during or following AP01 administration.</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addition to encouraging tolerability data, stabilization of lung function observed with AP01 in ATLAS has been consistent with that observed in the OLE. Compared to the change in FVC after 48 weeks of AP01 100 mg BID in ATLAS (blue line), the compassionate-use cohorts – IPF (green line) and PPF (purple line) – demonstrate reproducible results, with the majority experiencing on average near stabilization in lung function across all three cohorts and study populations.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 in FVC % Predicted from Baseline Across AP01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121920</wp:posOffset>
            </wp:positionV>
            <wp:extent cx="4058920" cy="26301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058920" cy="26301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All patients in all cohorts were on 100 mg BID dose throughout</w:t>
      </w:r>
    </w:p>
    <w:p>
      <w:pPr>
        <w:jc w:val="center"/>
        <w:ind w:right="19"/>
        <w:spacing w:after="0"/>
        <w:rPr>
          <w:sz w:val="20"/>
          <w:szCs w:val="20"/>
          <w:color w:val="auto"/>
        </w:rPr>
      </w:pPr>
      <w:r>
        <w:rPr>
          <w:rFonts w:ascii="Times New Roman" w:cs="Times New Roman" w:eastAsia="Times New Roman" w:hAnsi="Times New Roman"/>
          <w:sz w:val="10"/>
          <w:szCs w:val="10"/>
          <w:color w:val="auto"/>
        </w:rPr>
        <w:t xml:space="preserve">Sources: 1. West et al., </w:t>
      </w:r>
      <w:r>
        <w:rPr>
          <w:rFonts w:ascii="Times New Roman" w:cs="Times New Roman" w:eastAsia="Times New Roman" w:hAnsi="Times New Roman"/>
          <w:sz w:val="10"/>
          <w:szCs w:val="10"/>
          <w:i w:val="1"/>
          <w:iCs w:val="1"/>
          <w:color w:val="auto"/>
        </w:rPr>
        <w:t>Thorax</w:t>
      </w:r>
      <w:r>
        <w:rPr>
          <w:rFonts w:ascii="Times New Roman" w:cs="Times New Roman" w:eastAsia="Times New Roman" w:hAnsi="Times New Roman"/>
          <w:sz w:val="10"/>
          <w:szCs w:val="10"/>
          <w:color w:val="auto"/>
        </w:rPr>
        <w:t xml:space="preserve"> 2023; 0: 1-8.; 2. Poster Presentation at ATS/RIS 2024</w:t>
      </w:r>
    </w:p>
    <w:p>
      <w:pPr>
        <w:spacing w:after="0" w:line="14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Further analysis from the ongoing OLE trial suggests that AP01 has the potential to deliver meaningful long-term benefit, offering a viable therapeutic option for patients with pulmonary fibrosis. As shown in the chart below, the lung function of patients who initially received AP01 100 mg BID in ATLAS and subsequently transitioned into the OLE trial demonstrated on average sustained stabilization, as shown by the near flat trendline, extending beyond four and a half years.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3" w:name="page134"/>
    <w:bookmarkEnd w:id="13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Change in FVC % Predicted from Baseline Among ATLAS AP01 100 mg</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BID Patients Who Rolled Over into the OLE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111125</wp:posOffset>
            </wp:positionV>
            <wp:extent cx="4058920" cy="2296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058920" cy="2296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Data downloaded October 15, 2024. Source: Presentation at ATS 2025</w:t>
      </w:r>
    </w:p>
    <w:p>
      <w:pPr>
        <w:spacing w:after="0" w:line="7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 similar trendline is also observed in the OLE cohorts of IPF and PPF patients. As shown in the chart below, lung function of PPF patients from the OLE trial similarly demonstrates mean sustained stabilization, as shown by the near flat trendline, extending nearly three years.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4" w:name="page135"/>
    <w:bookmarkEnd w:id="13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 in FVC % Predicted from Baseline Among PPF Patients in the OLE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115570</wp:posOffset>
            </wp:positionV>
            <wp:extent cx="4058920" cy="25101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58920" cy="251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Data downloaded October 15, 2024. Source: Presentation at ATS 2025</w:t>
      </w:r>
    </w:p>
    <w:p>
      <w:pPr>
        <w:spacing w:after="0" w:line="15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These findings demonstrate signals of durable benefit and a favorable tolerability profile, supportive of the long-term treatment. To our knowledge, this magnitude of long-term data is unavailable for oral pirfenidone or oral nintedanib, as systemic toxicities associated with these therapies have historically limited patients’ ability to remain on treatment or because patients succumb to disease progression.</w:t>
      </w:r>
    </w:p>
    <w:p>
      <w:pPr>
        <w:spacing w:after="0" w:line="14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These positive data on tolerability and antifibrotic activity seen in ATLAS, together with accumulating long-term data from the OLE trial, support our belief that AP01 has the potential to be a next-generation disease modifying standard-of-care treatment for patients with pulmonary fibrosis. The trial findings have informed the design and initiation of MIST, a global Phase 2b clinical trial in patients with PPF.</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MIST Global Phase 2b Clinical Trial of AP01 in Patients with PPF Ongoing</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In June 2024, we initiated MIST, the global, randomized, double-blinded, placebo-controlled Phase 2b clinical trial designed to evaluate the safety and efficacy of AP01 in patients with PPF.</w:t>
      </w:r>
    </w:p>
    <w:p>
      <w:pPr>
        <w:spacing w:after="0" w:line="12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MIST is expected to enroll 375 patients with PPF, randomized 2:1:2 into three cohorts: AP01 100 mg BID, AP01 50 mg BID, and placebo. Patients are allowed to continue their immunosuppressive standard-of-care for other underlying conditions, and up to 50% of patients may be prescribed oral nintedanib and oral nerandomilast as background standard-of-care. Studying the treatment effect of AP01 in combination with oral nintedanib or oral nerandomilast is strategically important to guide our future development plans in pulmonary fibrosis. At the time of enrollment, the remaining patients enrolled in MIST are either treatment-naïve or have previously discontinued nintedanib or nerandomilast and completed the required washout period. Although enrollment for our Phase 2b MIST clinical trial was initially slower than anticipated, due to higher-than-expected screen failure rates and site activation delays, we have since addressed such factors and currently remain on track for our expected enrollment timeline. We believe this trial design is sufficient to evaluate the effect of AP01 on the key endpoints and is designed to support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5" w:name="page136"/>
    <w:bookmarkEnd w:id="13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registration. The trial is being conducted at ILD Centers of Excellence across North America, South America, Europe, and Asia-Pacific.</w:t>
      </w:r>
    </w:p>
    <w:p>
      <w:pPr>
        <w:spacing w:after="0" w:line="12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primary endpoint of the trial is the change from baseline in FVC at Week 52. The study is designed with 90% power to detect a meaningful difference in the change in FVC at Week 52 for the 100 mg BID dose compared to placebo. Secondary endpoints include quality of life measurements, time to disease progression, and change in lung fibrosis score based on HRCT. Additionally, exploratory outcomes, including respiratory hospitalization, will be evaluated. Patients who remain on study at Week 52 will then be eligible to transition into a long-term extension trial and will receive AP01 100 mg BID, assuming the dose remains generally well-tolerated.</w:t>
      </w:r>
    </w:p>
    <w:p>
      <w:pPr>
        <w:spacing w:after="0" w:line="14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Enrollment in MIST is ongoing, and we expect to report topline data from this trial in the second half of 2027. Based on the results from MIST, we plan to determine the optimal dosing regimen for future development of AP01. Pending the successful completion of MIST and alignment with regulatory authorities, we intend to conduct a single Phase 3 clinical trial to support the potential approval of AP01 in the U.S. and select foreign countries.</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SAIL: Long-Term Extension Clinical Trial of AP01</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April 2025, we initiated SAIL, a global, open-label, long-term extension clinical trial designed to evaluate the long-term safety, tolerability, and efficacy of AP01 in patients with IPF and PPF. IPF and PPF patients from the OLE trial and PPF patients from MIST are eligible to enroll in the SAIL trial to receive AP01 100 mg BID. The primary endpoint is the long-term safety and tolerability of AP01. Secondary endpoints include changes in lung function, changes in lung fibrosis score based on HRCT, and quality of life measurements.</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SAIL has enrolled 27 IPF and PPF patients from the previous ongoing OLE trial and is actively enrolling patients who have completed MIST. Of the 27 patients from the previous OLE trial, 23 patients remain on trial, with some patients on AP01 for more than four and a half years. Given the average of two years disease duration since diagnosis when they were first treated, many of these patients have now experienced survival of six or more years, exceeding the median survival of three to five years typically reported for patients with pulmonary fibrosis. This reinforces the potential of AP01 as a long-term therapeutic option for patients with pulmonary fibrosis.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AP02: Optimized Inhaled Formulation of Nintedanib</w:t>
      </w:r>
    </w:p>
    <w:p>
      <w:pPr>
        <w:spacing w:after="0" w:line="93" w:lineRule="exact"/>
        <w:rPr>
          <w:sz w:val="20"/>
          <w:szCs w:val="20"/>
          <w:color w:val="auto"/>
        </w:rPr>
      </w:pPr>
    </w:p>
    <w:p>
      <w:pPr>
        <w:jc w:val="both"/>
        <w:ind w:left="1220" w:right="1239" w:firstLine="333"/>
        <w:spacing w:after="0" w:line="300" w:lineRule="auto"/>
        <w:rPr>
          <w:sz w:val="20"/>
          <w:szCs w:val="20"/>
          <w:color w:val="auto"/>
        </w:rPr>
      </w:pPr>
      <w:r>
        <w:rPr>
          <w:rFonts w:ascii="Times New Roman" w:cs="Times New Roman" w:eastAsia="Times New Roman" w:hAnsi="Times New Roman"/>
          <w:sz w:val="14"/>
          <w:szCs w:val="14"/>
          <w:color w:val="auto"/>
        </w:rPr>
        <w:t>AP02 is an optimized, inhaled formulation of nintedanib and builds on the proven efficacy and well-validated antifibrotic mechanism of action of oral nintedanib (commercialized under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for treatment of IPF and PPF).</w:t>
      </w:r>
    </w:p>
    <w:p>
      <w:pPr>
        <w:spacing w:after="0" w:line="5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Leveraging our expertise in inhalation development, we optimized AP02 to address limitations associated with systemic exposure by delivering drug directly to the lung at doses approximately 50-fold lower than those required for oral administration. Despite the substantially lower dose, AP02 has demonstrated markedly higher lung exposure than oral nintedanib. With localized delivery in the target organ, this approach has the potential to deliver disease-modifying effects directly to the lungs while minimizing the AEs associated with systemic delivery. Given our experience and demonstrated activity and favorable tolerability profile with AP01, we believe our ability to achieve proof-of-concept with AP02 has been increased. A global Phase 2 clinical program has been initiated, with a data readout expected in late 2027.</w:t>
      </w:r>
    </w:p>
    <w:p>
      <w:pPr>
        <w:spacing w:after="0" w:line="14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are developing AP02 as a BID regimen, aligning it with AP01 to enable advancement of AP03 as a fixed-dose combination, in a BID regimen. However, given the half-life of nintedanib, we may explore a QD dosing regimen for nintedanib as part of our long-term strategy.</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AP02 First Phase 1 Clinical Trial Completed in Healthy Volunteers and IPF Patients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2022, we completed an open-label Phase 1 clinical trial of AP02 in healthy volunteers and patients with IPF. The primary objectives were to evaluate the safety, tolerability, and PK of AP02 across single-ascending doses up to 2 mg. A total of 38 adult participants were enrolled, including 32 healthy volunteers and six patients diagnosed with</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6" w:name="page137"/>
    <w:bookmarkEnd w:id="13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IPF. Participants received a single nebulized dose of AP02 at 0.5 mg, 1 mg, or 2 mg, or placebo, and four additional healthy volunteers received marketed dose of 150 mg oral nintedanib for comparative analysis.</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both healthy volunteers and patients with IPF, AP02 was generally well-tolerated with no serious adverse events, no bronchospasm, no meaningful clinical changes in oxygen saturation, and no maximum-tolerated dose was identified. The most common treatment-emergent adverse events, or TEAEs, were headache, nausea, and cough, all of which were mild, except for one moderate TEAE of headache by an IPF patient, and all resolved during the study.</w:t>
      </w:r>
    </w:p>
    <w:p>
      <w:pPr>
        <w:spacing w:after="0" w:line="141" w:lineRule="exact"/>
        <w:rPr>
          <w:sz w:val="20"/>
          <w:szCs w:val="20"/>
          <w:color w:val="auto"/>
        </w:rPr>
      </w:pPr>
    </w:p>
    <w:p>
      <w:pPr>
        <w:jc w:val="both"/>
        <w:ind w:left="1220" w:right="1239" w:firstLine="333"/>
        <w:spacing w:after="0" w:line="236" w:lineRule="auto"/>
        <w:rPr>
          <w:sz w:val="20"/>
          <w:szCs w:val="20"/>
          <w:color w:val="auto"/>
        </w:rPr>
      </w:pPr>
      <w:r>
        <w:rPr>
          <w:rFonts w:ascii="Times New Roman" w:cs="Times New Roman" w:eastAsia="Times New Roman" w:hAnsi="Times New Roman"/>
          <w:sz w:val="14"/>
          <w:szCs w:val="14"/>
          <w:color w:val="auto"/>
        </w:rPr>
        <w:t>AP02 also showed favorable PK properties. As shown in the chart below, AP02 demonstrated a dose-related increase in systemic exposure (left panel). There was also no difference in systemic exposure between healthy volunteers and patients with IPF (middle panel). Notably, AP02 exhibited significantly lower systemic exposure (right panel), with approximately 15-fold lower maximum concentration, or C</w:t>
      </w:r>
      <w:r>
        <w:rPr>
          <w:rFonts w:ascii="Times New Roman" w:cs="Times New Roman" w:eastAsia="Times New Roman" w:hAnsi="Times New Roman"/>
          <w:sz w:val="18"/>
          <w:szCs w:val="18"/>
          <w:color w:val="auto"/>
          <w:vertAlign w:val="subscript"/>
        </w:rPr>
        <w:t>max</w:t>
      </w:r>
      <w:r>
        <w:rPr>
          <w:rFonts w:ascii="Times New Roman" w:cs="Times New Roman" w:eastAsia="Times New Roman" w:hAnsi="Times New Roman"/>
          <w:sz w:val="14"/>
          <w:szCs w:val="14"/>
          <w:color w:val="auto"/>
        </w:rPr>
        <w:t>, and 68-fold lower area under the curve over the last 24-hour dosing interval, or AUC</w:t>
      </w:r>
      <w:r>
        <w:rPr>
          <w:rFonts w:ascii="Times New Roman" w:cs="Times New Roman" w:eastAsia="Times New Roman" w:hAnsi="Times New Roman"/>
          <w:sz w:val="18"/>
          <w:szCs w:val="18"/>
          <w:color w:val="auto"/>
          <w:vertAlign w:val="subscript"/>
        </w:rPr>
        <w:t>0-24</w:t>
      </w:r>
      <w:r>
        <w:rPr>
          <w:rFonts w:ascii="Times New Roman" w:cs="Times New Roman" w:eastAsia="Times New Roman" w:hAnsi="Times New Roman"/>
          <w:sz w:val="14"/>
          <w:szCs w:val="14"/>
          <w:color w:val="auto"/>
        </w:rPr>
        <w:t>, than the oral nintedanib approved dosage.</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 in Nintedanib Plasma Concentrations Over Time Across AP02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115570</wp:posOffset>
            </wp:positionV>
            <wp:extent cx="4058920" cy="13284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058920"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Source: Poster Presentation at ATS 2025</w:t>
      </w:r>
    </w:p>
    <w:p>
      <w:pPr>
        <w:spacing w:after="0" w:line="157"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contrast, 2 mg of AP02 achieved approximately 9-fold higher lung exposure, or ELF, as measured by BAL, than 150 mg oral nintedanib. These results highlight nebulization as an optimized delivery approach to increase lung exposure while reducing systemic exposure, thereby potentially improving efficacy and tolerability of the therapy relative to oral nintedanib, at a fraction of the oral dose. Given the observed dose-dependent effects and safety profile in both healthy individuals and patients with IPF, we conducted a subsequent Phase 1 trial to assess AP02 at higher doses to understand the potential maximal therapeutic benefit.</w:t>
      </w:r>
    </w:p>
    <w:p>
      <w:pPr>
        <w:spacing w:after="0" w:line="225" w:lineRule="exact"/>
        <w:rPr>
          <w:sz w:val="20"/>
          <w:szCs w:val="20"/>
          <w:color w:val="auto"/>
        </w:rPr>
      </w:pPr>
    </w:p>
    <w:p>
      <w:pPr>
        <w:ind w:left="1560" w:right="1299"/>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Completed Second Phase 1 Clinical Trial Further Validates Favorable Tolerability Profile and Antifibrotic Activity Potential of AP02</w:t>
      </w:r>
    </w:p>
    <w:p>
      <w:pPr>
        <w:spacing w:after="0" w:line="39"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early 2025, we completed a randomized, double-blinded, placebo-controlled Phase 1 clinical trial designed to further evaluate the tolerability and PK of AP02 in healthy volunteers. The trial consisted of a SAD portion, which assessed AP02 at 2 mg, 4 mg, and 8 mg QD, and a MAD portion, which evaluated BID dosing at the same dose levels over a period of seven days. An additional cohort underwent BAL following a single 4 mg dose at 45 minutes, 4 hours, or 12 hours. Lung exposure was evaluated using cross-trial comparative analysis against the ELF data from the first Phase 1 trial of 150 mg nintedanib. Because lung exposure for the 150 mg nintedanib dose had been established in our first Phase 1 trial, the second Phase 1 trial did not include a direct head-to-head comparison of the 4 mg AP02 dose to the approved oral product. Instead, a cross-trial comparative analysis against the first Phase 1 study with the same product formulations and patient population criteria was conducted, which may not be reliable as the dosing occurred under two separate protocols.</w:t>
      </w:r>
    </w:p>
    <w:p>
      <w:pPr>
        <w:spacing w:after="0" w:line="14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AP02 was generally well-tolerated following single doses and seven days BID, up to the highest dose (8 mg BID). There were no cases of bronchospasm, cough, oxygen desaturation, or diarrhea observed in the study, and there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7" w:name="page138"/>
    <w:bookmarkEnd w:id="13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7" w:lineRule="auto"/>
        <w:rPr>
          <w:sz w:val="20"/>
          <w:szCs w:val="20"/>
          <w:color w:val="auto"/>
        </w:rPr>
      </w:pPr>
      <w:r>
        <w:rPr>
          <w:rFonts w:ascii="Times New Roman" w:cs="Times New Roman" w:eastAsia="Times New Roman" w:hAnsi="Times New Roman"/>
          <w:sz w:val="14"/>
          <w:szCs w:val="14"/>
          <w:color w:val="auto"/>
        </w:rPr>
        <w:t>were no meaningful clinical changes in oxygen saturation. The most common TEAEs were mild and transient, consistent with the previous Phase 1 clinical trial findings, and included throat irritation and dizziness. The data demonstrated an ability to minimize the AE burden associated with systemic exposure of oral nintedanib.</w:t>
      </w:r>
    </w:p>
    <w:p>
      <w:pPr>
        <w:spacing w:after="0" w:line="136" w:lineRule="exact"/>
        <w:rPr>
          <w:sz w:val="20"/>
          <w:szCs w:val="20"/>
          <w:color w:val="auto"/>
        </w:rPr>
      </w:pPr>
    </w:p>
    <w:p>
      <w:pPr>
        <w:jc w:val="both"/>
        <w:ind w:left="1220" w:right="1239" w:firstLine="333"/>
        <w:spacing w:after="0" w:line="227" w:lineRule="auto"/>
        <w:rPr>
          <w:sz w:val="20"/>
          <w:szCs w:val="20"/>
          <w:color w:val="auto"/>
        </w:rPr>
      </w:pPr>
      <w:r>
        <w:rPr>
          <w:rFonts w:ascii="Times New Roman" w:cs="Times New Roman" w:eastAsia="Times New Roman" w:hAnsi="Times New Roman"/>
          <w:sz w:val="14"/>
          <w:szCs w:val="14"/>
          <w:color w:val="auto"/>
        </w:rPr>
        <w:t>As shown in the figure below, compared to 150 mg oral nintedanib (purple line), 4 mg AP02 dose (blue line) demonstrated improved exposure in the lungs, delivering 27-fold higher lung C</w:t>
      </w:r>
      <w:r>
        <w:rPr>
          <w:rFonts w:ascii="Times New Roman" w:cs="Times New Roman" w:eastAsia="Times New Roman" w:hAnsi="Times New Roman"/>
          <w:sz w:val="18"/>
          <w:szCs w:val="18"/>
          <w:color w:val="auto"/>
          <w:vertAlign w:val="subscript"/>
        </w:rPr>
        <w:t>max</w:t>
      </w:r>
      <w:r>
        <w:rPr>
          <w:rFonts w:ascii="Times New Roman" w:cs="Times New Roman" w:eastAsia="Times New Roman" w:hAnsi="Times New Roman"/>
          <w:sz w:val="14"/>
          <w:szCs w:val="14"/>
          <w:color w:val="auto"/>
        </w:rPr>
        <w:t xml:space="preserve"> and 27-fold higher lung AUC</w:t>
      </w:r>
      <w:r>
        <w:rPr>
          <w:rFonts w:ascii="Times New Roman" w:cs="Times New Roman" w:eastAsia="Times New Roman" w:hAnsi="Times New Roman"/>
          <w:sz w:val="18"/>
          <w:szCs w:val="18"/>
          <w:color w:val="auto"/>
          <w:vertAlign w:val="subscript"/>
        </w:rPr>
        <w:t>0-24</w:t>
      </w:r>
      <w:r>
        <w:rPr>
          <w:rFonts w:ascii="Times New Roman" w:cs="Times New Roman" w:eastAsia="Times New Roman" w:hAnsi="Times New Roman"/>
          <w:sz w:val="14"/>
          <w:szCs w:val="14"/>
          <w:color w:val="auto"/>
        </w:rPr>
        <w:t>. In addition, based on the lung exposure data, we estimate that nintedanib in ELF clears from lungs with a half-life of approximately 8 hours.</w:t>
      </w:r>
    </w:p>
    <w:p>
      <w:pPr>
        <w:spacing w:after="0" w:line="15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ELF Comparison Over Time Across AP02 4 mg</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and Oral Nintedanib 150 mg (ELF Data from Phase 1 Trial, Part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1388110</wp:posOffset>
            </wp:positionH>
            <wp:positionV relativeFrom="paragraph">
              <wp:posOffset>104775</wp:posOffset>
            </wp:positionV>
            <wp:extent cx="2950210" cy="166878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950210" cy="166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Oral 150 mg represents ELF data from the first Phase 1 trial, not the approved product.</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Source: Poster Presentation at ATS 2025</w:t>
      </w:r>
    </w:p>
    <w:p>
      <w:pPr>
        <w:spacing w:after="0" w:line="147"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4"/>
          <w:szCs w:val="14"/>
          <w:color w:val="auto"/>
        </w:rPr>
        <w:t>Lung exposure was evaluated using cross-trial comparative analysis against the ELF data from the first Phase 1 trial of 150 mg oral nintedanib. Data are not directly comparable due to differences in product formulations, trial protocols, dosing regimens, and patient populations and characteristics. Accordingly, cross-trial comparisons may not be reliable.</w:t>
      </w:r>
    </w:p>
    <w:p>
      <w:pPr>
        <w:spacing w:after="0" w:line="141" w:lineRule="exact"/>
        <w:rPr>
          <w:sz w:val="20"/>
          <w:szCs w:val="20"/>
          <w:color w:val="auto"/>
        </w:rPr>
      </w:pPr>
    </w:p>
    <w:p>
      <w:pPr>
        <w:jc w:val="both"/>
        <w:ind w:left="1220" w:right="1239" w:firstLine="333"/>
        <w:spacing w:after="0" w:line="235" w:lineRule="auto"/>
        <w:rPr>
          <w:sz w:val="20"/>
          <w:szCs w:val="20"/>
          <w:color w:val="auto"/>
        </w:rPr>
      </w:pPr>
      <w:r>
        <w:rPr>
          <w:rFonts w:ascii="Times New Roman" w:cs="Times New Roman" w:eastAsia="Times New Roman" w:hAnsi="Times New Roman"/>
          <w:sz w:val="14"/>
          <w:szCs w:val="14"/>
          <w:color w:val="auto"/>
        </w:rPr>
        <w:t>Consistent with the previous Phase 1 clinical trial findings, AP02 treatment had low systemic exposures compared to cross-trial data with oral nintedanib. Plasma exposures at steady state for AP02 4 mg BID represented 17-fold and 26-fold decreases in C</w:t>
      </w:r>
      <w:r>
        <w:rPr>
          <w:rFonts w:ascii="Times New Roman" w:cs="Times New Roman" w:eastAsia="Times New Roman" w:hAnsi="Times New Roman"/>
          <w:sz w:val="18"/>
          <w:szCs w:val="18"/>
          <w:color w:val="auto"/>
          <w:vertAlign w:val="subscript"/>
        </w:rPr>
        <w:t>max</w:t>
      </w:r>
      <w:r>
        <w:rPr>
          <w:rFonts w:ascii="Times New Roman" w:cs="Times New Roman" w:eastAsia="Times New Roman" w:hAnsi="Times New Roman"/>
          <w:sz w:val="14"/>
          <w:szCs w:val="14"/>
          <w:color w:val="auto"/>
        </w:rPr>
        <w:t xml:space="preserve"> and AUC</w:t>
      </w:r>
      <w:r>
        <w:rPr>
          <w:rFonts w:ascii="Times New Roman" w:cs="Times New Roman" w:eastAsia="Times New Roman" w:hAnsi="Times New Roman"/>
          <w:sz w:val="18"/>
          <w:szCs w:val="18"/>
          <w:color w:val="auto"/>
          <w:vertAlign w:val="subscript"/>
        </w:rPr>
        <w:t>0-24</w:t>
      </w:r>
      <w:r>
        <w:rPr>
          <w:rFonts w:ascii="Times New Roman" w:cs="Times New Roman" w:eastAsia="Times New Roman" w:hAnsi="Times New Roman"/>
          <w:sz w:val="14"/>
          <w:szCs w:val="14"/>
          <w:color w:val="auto"/>
        </w:rPr>
        <w:t>, respectively. Sustained lung exposure of nintedanib above the half-maximal inhibition concentration, or IC</w:t>
      </w:r>
      <w:r>
        <w:rPr>
          <w:rFonts w:ascii="Times New Roman" w:cs="Times New Roman" w:eastAsia="Times New Roman" w:hAnsi="Times New Roman"/>
          <w:sz w:val="18"/>
          <w:szCs w:val="18"/>
          <w:color w:val="auto"/>
          <w:vertAlign w:val="subscript"/>
        </w:rPr>
        <w:t>50</w:t>
      </w:r>
      <w:r>
        <w:rPr>
          <w:rFonts w:ascii="Times New Roman" w:cs="Times New Roman" w:eastAsia="Times New Roman" w:hAnsi="Times New Roman"/>
          <w:sz w:val="14"/>
          <w:szCs w:val="14"/>
          <w:color w:val="auto"/>
        </w:rPr>
        <w:t>, of key pro-fibrotic signaling pathways is believed to be important for inhibiting fibroblast activation and extracellular matrix production, which are central drivers of fibrotic progression. In prior published clinical studies of oral nintedanib, systemic exposure has been associated with reductions in the rate of decline in FVC. We believe this study suggests that AP02 can achieve sustained concentrations in the lungs above the IC</w:t>
      </w:r>
      <w:r>
        <w:rPr>
          <w:rFonts w:ascii="Times New Roman" w:cs="Times New Roman" w:eastAsia="Times New Roman" w:hAnsi="Times New Roman"/>
          <w:sz w:val="18"/>
          <w:szCs w:val="18"/>
          <w:color w:val="auto"/>
          <w:vertAlign w:val="subscript"/>
        </w:rPr>
        <w:t>50</w:t>
      </w:r>
      <w:r>
        <w:rPr>
          <w:rFonts w:ascii="Times New Roman" w:cs="Times New Roman" w:eastAsia="Times New Roman" w:hAnsi="Times New Roman"/>
          <w:sz w:val="14"/>
          <w:szCs w:val="14"/>
          <w:color w:val="auto"/>
        </w:rPr>
        <w:t xml:space="preserve"> of key tyrosine kinases and known pulmonary fibrosis marker Type I collagen alpha-1, or Col1a1, which could lead to improved antifibrotic activity while reducing systemic exposure and the underlying AEs.</w:t>
      </w: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8" w:name="page139"/>
    <w:bookmarkEnd w:id="13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AP02 Lung Concentration Surpasses IC</w:t>
      </w:r>
      <w:r>
        <w:rPr>
          <w:rFonts w:ascii="Times New Roman" w:cs="Times New Roman" w:eastAsia="Times New Roman" w:hAnsi="Times New Roman"/>
          <w:sz w:val="18"/>
          <w:szCs w:val="18"/>
          <w:b w:val="1"/>
          <w:bCs w:val="1"/>
          <w:color w:val="auto"/>
          <w:vertAlign w:val="subscript"/>
        </w:rPr>
        <w:t>50</w:t>
      </w:r>
      <w:r>
        <w:rPr>
          <w:rFonts w:ascii="Times New Roman" w:cs="Times New Roman" w:eastAsia="Times New Roman" w:hAnsi="Times New Roman"/>
          <w:sz w:val="14"/>
          <w:szCs w:val="14"/>
          <w:b w:val="1"/>
          <w:bCs w:val="1"/>
          <w:color w:val="auto"/>
        </w:rPr>
        <w:t xml:space="preserve"> For Key Targets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861060</wp:posOffset>
            </wp:positionH>
            <wp:positionV relativeFrom="paragraph">
              <wp:posOffset>128905</wp:posOffset>
            </wp:positionV>
            <wp:extent cx="4004945" cy="13284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004945" cy="1328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Oral 150 mg represents ELF data from the first Phase 1 trial, not the approved product.</w:t>
      </w:r>
    </w:p>
    <w:p>
      <w:pPr>
        <w:spacing w:after="0" w:line="15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Lung exposure was evaluated using cross-trial comparative analysis against the ELF data from the first Phase 1 trial of 150 mg oral nintedanib. Data are not directly comparable due to differences in product formulations, trial protocols, dosing regimens, and patient populations and characteristics. Accordingly, cross-trial comparisons may not be reliable.</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Plans for AURA Phase 2 Development of AP02 in IPF</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December 2025, we initiated AURA, a global randomized, double-blinded, placebo-controlled Phase 2 clinical trial designed to evaluate the safety and efficacy of AP02 in patients with IPF. We expect to enroll approximately 160 patients with IPF in AURA, randomized 3:2:3 into three cohorts: AP02 4 mg BID, AP02 2 mg BID, and placebo. This is a global clinical trial being conducted at ILD Centers of Excellence.</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primary endpoint of the trial is the change from baseline in FVC at Week 12. This 12-week timeframe is based on historical clinical trials of oral nintedanib, including TOMORROW, INPULSIS, and INBUILD, which consistently demonstrated separation in lung function decline between the nintedanib and placebo arms before Week</w:t>
      </w:r>
    </w:p>
    <w:p>
      <w:pPr>
        <w:jc w:val="both"/>
        <w:ind w:left="1220" w:right="1239" w:firstLine="4"/>
        <w:spacing w:after="0" w:line="256" w:lineRule="auto"/>
        <w:tabs>
          <w:tab w:leader="none" w:pos="1451"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Secondary endpoints include quality of life measurements, time to disease progression, and changes in lung fibrosis score based on HRCT. Additionally, exploratory outcomes such as respiratory hospitalization will also be evaluated.</w:t>
      </w:r>
    </w:p>
    <w:p>
      <w:pPr>
        <w:spacing w:after="0" w:line="14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development strategy for AP02 enables parallel advancement toward regulatory approval. We are advancing our Phase 2 clinical trial outside of the United States and intend to submit an IND with the safety and efficacy data from our Phase 2 trial, if successful, to potentially enable a future Phase 3 clinical trial that includes U.S. sites. We decided to advance our Phase 2 clinical trial outside of the United States due to, among other things, a faster start-up time and pre-IND feedback, where the FDA, but no other regulatory agency, asked us to complete an additional device compatibility study (which we have since successfully completed) and also commented on a nonclinical rat toxicology study that showed findings that were considered non-adverse and/or species-specific. We believe that the data package including our Phase 2 trial, if successful, will provide compelling support to open an IND in the United States while enabling an efficient use of our resources. Pending the successful completion of the planned Phase 2 trial and alignment with regulatory authorities, AP02 has the potential to begin Phase 3 alongside the AP01 Phase 3 trial.</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AP03: Fixed-Dose Combination of Inhaled Pirfenidone and Inhaled Nintedanib</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Across multiple pulmonary diseases, treatment paradigms have evolved toward combination regimens to improve efficacy and extend durability of benefit. In IPF, however, the shortcomings associated with systemic exposure have historically limited the feasibility of combining the two approved antifibrotic agents, pirfenidone and nintedanib. Our inhalation platform enables targeted delivery to the lungs at substantially lower doses. This has opened the opportunity to pursue a next-generation combination approach with complementary mechanisms of action, with the objective of further increasing both efficacy and duration of treatment while minimizing tolerability issues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39" w:name="page140"/>
    <w:bookmarkEnd w:id="13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associated with current oral antifibrotic therapies. We believe an inhaled fixed-dose combination has the potential to overcome the historical trade-off between efficacy and tolerability that has constrained combination antifibrotic therapy in pulmonary fibrosis and represents a natural extension of our lung-targeted inhalation platform. AP03 is our “Generation-Three” fixed-dose combination of inhaled pirfenidone and inhaled nintedanib, and represents a key strategic initiative in our portfolio, with potential to transform the treatment paradigm for pulmonary fibrosis. AP03 is designed to minimize systemic exposure and the associated risk of side effects, while further improving tolerability, with the potential for additive, or even synergistic, efficacy compared to monotherapies.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Validated Approach to Combining Pirfenidone and Nintedanib</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Preclinical studies in IPF have demonstrated that pirfenidone and nintedanib exhibit additive or synergistic effects when used together, reducing fibrosis and improving lung function. An in vitro assay using human lung cells from healthy donors and IPF patients demonstrates that combination of pirfenidone and nintedanib may provide enhanced efficacy in suppressing the proliferation and differentiation of fibroblasts into myofibroblasts. Studies in murine models of bleomycin-induced pulmonary fibrosis, a widely used preclinical model in pulmonary fibrosis, have shown that oral pirfenidone and nintedanib, when administered together, reduce key markers of fibrosis, such as collagen deposition and TGF-β expression, more effectively than either drug alone. Together, these preclinical findings support the biological rationale for combining pirfenidone and nintedanib to more comprehensively inhibit fibrotic pathways implicated in disease progression.</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Data from the third-party INJOURNEY Phase 4 open-label, 12-week exploratory trial of oral nintedanib and oral pirfenidone in patients with IPF also showed the combination reduced lung function decline more than oral nintedanib alone. Reductions in fibrosis-related biomarkers, such as surfactant protein D and Krebs von den Lungen-6 were observed, further suggesting potential additive effects of the combination therapy.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Change in FVC Across Oral Nintedanib Only and Oral Pirfenidone + Nintedanib Combination at Week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847725</wp:posOffset>
            </wp:positionH>
            <wp:positionV relativeFrom="paragraph">
              <wp:posOffset>121920</wp:posOffset>
            </wp:positionV>
            <wp:extent cx="4031615" cy="19627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031615"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0"/>
          <w:szCs w:val="10"/>
          <w:color w:val="auto"/>
        </w:rPr>
        <w:t>Source: Adapted from Vancheri et al., 2018</w:t>
      </w:r>
    </w:p>
    <w:p>
      <w:pPr>
        <w:spacing w:after="0" w:line="15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Clinically, the combination approach is limited by the oral agents’ additive side effect profiles. As shown in the table below, the most common AEs with the oral combination were nausea and diarrhea, each of which affected about 40% of patients, followed by vomiting and fatigue. These AEs led approximately one-third of patients in the combination group to discontinue treatment during a 12-week study period. In the nintedanib monotherapy cohort, similar AEs were observed, including diarrhea, nausea and vomiting, but with lower rates than seen with the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241300</wp:posOffset>
            </wp:positionV>
            <wp:extent cx="54857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0" w:name="page141"/>
    <w:bookmarkEnd w:id="14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spacing w:after="0" w:line="283" w:lineRule="auto"/>
        <w:rPr>
          <w:sz w:val="20"/>
          <w:szCs w:val="20"/>
          <w:color w:val="auto"/>
        </w:rPr>
      </w:pPr>
      <w:r>
        <w:rPr>
          <w:rFonts w:ascii="Times New Roman" w:cs="Times New Roman" w:eastAsia="Times New Roman" w:hAnsi="Times New Roman"/>
          <w:sz w:val="14"/>
          <w:szCs w:val="14"/>
          <w:color w:val="auto"/>
        </w:rPr>
        <w:t>combination. Elevated liver enzyme levels were reported in about 20% of patients receiving combination therapy and were also less frequent in the nintedanib monotherapy cohort.</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021227"/>
        </w:rPr>
        <w:t>Adverse Events Across Oral Nintedanib Monotherapy and Oral Pirfenidone + Nintedanib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981075</wp:posOffset>
            </wp:positionH>
            <wp:positionV relativeFrom="paragraph">
              <wp:posOffset>121920</wp:posOffset>
            </wp:positionV>
            <wp:extent cx="3764915" cy="18554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764915" cy="1855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Source: Vancheri et al., 2018</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color w:val="auto"/>
        </w:rPr>
        <w:t>Data are shown as n (%) of patients with at least one such adverse event.</w:t>
      </w:r>
    </w:p>
    <w:p>
      <w:pPr>
        <w:spacing w:after="0" w:line="32" w:lineRule="exact"/>
        <w:rPr>
          <w:sz w:val="20"/>
          <w:szCs w:val="20"/>
          <w:color w:val="auto"/>
        </w:rPr>
      </w:pPr>
    </w:p>
    <w:p>
      <w:pPr>
        <w:ind w:left="2000" w:hanging="65"/>
        <w:spacing w:after="0"/>
        <w:tabs>
          <w:tab w:leader="none" w:pos="2000" w:val="left"/>
        </w:tabs>
        <w:numPr>
          <w:ilvl w:val="0"/>
          <w:numId w:val="7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Adverse events reported in greater than 10% of patients in either treatment group by preferred term in the Medical Dictionary for</w:t>
      </w:r>
    </w:p>
    <w:p>
      <w:pPr>
        <w:ind w:left="3860"/>
        <w:spacing w:after="0"/>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Regulatory Activities (MedDRA)</w:t>
      </w:r>
    </w:p>
    <w:p>
      <w:pPr>
        <w:spacing w:after="0" w:line="22" w:lineRule="exact"/>
        <w:rPr>
          <w:rFonts w:ascii="Times New Roman" w:cs="Times New Roman" w:eastAsia="Times New Roman" w:hAnsi="Times New Roman"/>
          <w:sz w:val="10"/>
          <w:szCs w:val="10"/>
          <w:color w:val="auto"/>
        </w:rPr>
      </w:pPr>
    </w:p>
    <w:p>
      <w:pPr>
        <w:ind w:left="2200" w:hanging="77"/>
        <w:spacing w:after="0"/>
        <w:tabs>
          <w:tab w:leader="none" w:pos="2200" w:val="left"/>
        </w:tabs>
        <w:numPr>
          <w:ilvl w:val="1"/>
          <w:numId w:val="7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An adverse event that resulted in death, was life threatening, required hospitalization or prolongation of hospitalization,</w:t>
      </w:r>
    </w:p>
    <w:p>
      <w:pPr>
        <w:jc w:val="center"/>
        <w:spacing w:after="0" w:line="219" w:lineRule="auto"/>
        <w:rPr>
          <w:sz w:val="20"/>
          <w:szCs w:val="20"/>
          <w:color w:val="auto"/>
        </w:rPr>
      </w:pPr>
      <w:r>
        <w:rPr>
          <w:rFonts w:ascii="Times New Roman" w:cs="Times New Roman" w:eastAsia="Times New Roman" w:hAnsi="Times New Roman"/>
          <w:sz w:val="10"/>
          <w:szCs w:val="10"/>
          <w:color w:val="auto"/>
        </w:rPr>
        <w:t>resulted in persistent or significant disability or incapacity, was a congenital anomaly or birth defect, or was deemed serious for</w:t>
      </w:r>
    </w:p>
    <w:p>
      <w:pPr>
        <w:jc w:val="center"/>
        <w:spacing w:after="0"/>
        <w:rPr>
          <w:sz w:val="20"/>
          <w:szCs w:val="20"/>
          <w:color w:val="auto"/>
        </w:rPr>
      </w:pPr>
      <w:r>
        <w:rPr>
          <w:rFonts w:ascii="Times New Roman" w:cs="Times New Roman" w:eastAsia="Times New Roman" w:hAnsi="Times New Roman"/>
          <w:sz w:val="10"/>
          <w:szCs w:val="10"/>
          <w:color w:val="auto"/>
        </w:rPr>
        <w:t>any other reason.</w:t>
      </w:r>
    </w:p>
    <w:p>
      <w:pPr>
        <w:spacing w:after="0" w:line="14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While the combination of pirfenidone and nintedanib is an opportunity to enhance therapeutic effects, challenging systemic side effects have limited the clinical feasibility of oral combinations. Our data to date from clinical trials of AP01 and AP02 have demonstrated favorable tolerability and PK profiles for each agent with potential for higher or lower dosing regimen, providing a solid foundation and critically reducing risk that supports continued development of AP03.</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Development and Regulatory Strategy for AP03</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are actively advancing manufacturing activities to support the initiation of a Phase 1 clinical trial of AP03 in late 2026, pending alignment with regulatory authorities. These efforts are focused on validating the safety and PK profiles of the fixed-dose combination, paving the way for future clinical development. Importantly, under the FDA’s combination product guidance, pivotal studies must demonstrate the combination is superior to its monotherapy components, requiring the robust clinical development of each of the monotherapy components. This means AP03 will need to be compared against its individual AP01 and AP02 components in late-stage trials, following a development pathway similar to ADVAIR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SYMBICORT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BEVESPI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BREZTRI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1" w:name="page142"/>
    <w:bookmarkEnd w:id="14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Our ongoing nonclinical research leverages a precision cut lung slice, or PCLS, ex vivo model of human explanted lungs from patients with IPF to evaluate drug levels for the two monotherapy components, as well as their fixed-dose combination. While the initial assumption is that the AP03 dose will consist of the two monotherapy doses combined, it is possible that the combination may allow for dose reductions due to synergistic effects. Nonclinical data are expected to inform dose selection and delineate the contribution of each component for the planned Phase 1 and subsequent Phase 2 clinical trials, an essential element of the FDA’s recommendations for combination products.</w:t>
      </w:r>
    </w:p>
    <w:p>
      <w:pPr>
        <w:spacing w:after="0" w:line="14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By combining two antifibrotic agents with distinct mechanisms of action into a single inhaled formulation, AP03 has the potential to set a new standard of care for patients with pulmonary fibrosis, offering enhanced efficacy, improved tolerability, and improved patient experience.</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Pipeline Expansion</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ILDs encompass more than 200 diseases, many of which lack any approved treatments. We believe there is a compelling market opportunity for a company focused on enhancing the treatment paradigm for ILDs, particularly those characterized by lung fibrosis, and the tremendous value our approach could unlock.</w:t>
      </w:r>
    </w:p>
    <w:p>
      <w:pPr>
        <w:spacing w:after="0" w:line="13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have identified numerous molecules that could be adapted for inhaled delivery to address a broad range of conditions. Candidate selection is guided by biological relevance to fibrotic pathways, feasibility of lung-targeted delivery, and the availability of clinical or safety data to support efficient development. By leveraging molecules with established safety and efficacy profiles, and applying innovative inhaled delivery technologies, we intend to maximize therapeutic benefits for patients, families, and caregivers.</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Our decision-making will be guided by data from our ongoing and planned clinical programs and through engagement with the scientific and patient communities. Insights from ATLAS, for example, suggest that AP01 may play a key role in addressing early-stage fibrosis, as evidenced by the observed reduction in ground-glass opacities, which is linked to inflammatory cascades that drive fibrosis. These data indicate the potential for AP01 to treat pre-fibrotic conditions, such as interstitial lung abnormalities or connective tissue diseases like RA-ILD, where severe inflammation often progresses into fibrosis. By intervening early, our inhaled therapies might not only slow disease progression but also delay or prevent it entirely, preserving lung function in a range of high-risk populations.</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By integrating data-driven insights with our expertise in ILDs and inhaled drug development, we are well-positioned to build a robust and diversified pipeline that targets the underlying mechanisms of disease. This approach reflects our commitment to meaningfully improve care for patients and addressing critical gaps in the treatment landscape for rare respiratory diseases.</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3" w:lineRule="exact"/>
        <w:rPr>
          <w:sz w:val="20"/>
          <w:szCs w:val="20"/>
          <w:color w:val="auto"/>
        </w:rPr>
      </w:pPr>
    </w:p>
    <w:p>
      <w:pPr>
        <w:jc w:val="both"/>
        <w:ind w:left="1220" w:right="1239" w:firstLine="333"/>
        <w:spacing w:after="0" w:line="244" w:lineRule="auto"/>
        <w:rPr>
          <w:sz w:val="20"/>
          <w:szCs w:val="20"/>
          <w:color w:val="auto"/>
        </w:rPr>
      </w:pPr>
      <w:r>
        <w:rPr>
          <w:rFonts w:ascii="Times New Roman" w:cs="Times New Roman" w:eastAsia="Times New Roman" w:hAnsi="Times New Roman"/>
          <w:sz w:val="14"/>
          <w:szCs w:val="14"/>
          <w:color w:val="auto"/>
        </w:rPr>
        <w:t>While there is no cure for pulmonary fibrosis, there are three FDA-approved therapies to treat pulmonary fibrosis: pirfenidone, or ESBRIET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Legacy Pharma Inc. and Genentech/Roche; nintedanib, or OFEV</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Boehringer Ingelheim; and nerandomilast, or JASCAYD</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marketed by Boehringer Ingelheim. In addition, there are a number of companies developing drug candidates for pulmonary fibrosis utilizing approaches with various mechanisms of action including but not limited to United Therapeutics, Bristol-Meyers Squibb, Insmed, Celea Therapeutics, Vicore Pharma, Endeavor Biomedicines, Contineum Therapeutics, Eli Lilly and Company in collaboration with Mediar Therapeutics, Boehringer Ingelheim, Insilico Medicine, MannKind, Syndax Pharmaceuticals, Roche, Calluna Pharma, and Rein Therapeutics. All of the companies in active clinical development of novel mechanisms of action allow patients to remain on background oral antifibrotics. We aim to improve safety, tolerability, and efficacy of the standard of care agents by leveraging our inhaled delivery system that allows for direct delivery to the lungs. In the future, we envision any approved novel mechanism of action to be used in combination with our inhaled background standard of care. Given these factors, we believe that our portfolio is advantageously positioned relative to competitive agents on the market or in clinical development.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2" w:name="page143"/>
    <w:bookmarkEnd w:id="14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strive to protect the proprietary technology that we believe is important to our business, including seeking and maintaining patents intended to cover our product candidates, their methods of use, and any other aspects of inventions that are commercially important to the development of our business. We also rely on trade secrets to protect aspects of our business that are not amenable to, or that we do not consider appropriate for, patent protection.</w:t>
      </w:r>
    </w:p>
    <w:p>
      <w:pPr>
        <w:spacing w:after="0" w:line="14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plan to continue to expand our intellectual property estate by filing patent applications directed to formulations, methods of treatment and patient selection created or identified from our ongoing development of our product candidates. Our success will depend on our ability to obtain and maintain patent and other proprietary protection for commercially important technology, inventions and know-how related to our business, defend and enforce our patents and other proprietary rights, preserve the confidentiality of our trade secrets and operate without infringing or otherwise violating the valid and enforceable patents and proprietary rights of third parties. We also rely on know-how, continuing technological innovation and in-licensing opportunities to develop and maintain our proprietary position. We seek to obtain domestic and international patent protection, and endeavor to promptly file patent applications for new commercially valuable inventions.</w:t>
      </w:r>
    </w:p>
    <w:p>
      <w:pPr>
        <w:spacing w:after="0" w:line="149"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patent scope can be reinterpreted by the courts after issuance. Moreover, many jurisdictions permit third parties to challenge issued patents in administrative proceedings, which may result in further narrowing or even cancellation of patent claims. We cannot predict whether the patent applications we are currently pursuing will issue as patents in any particular jurisdiction or whether the claims of any issued patents will provide sufficient protection from competitors.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Because patent applications in the United States and certain other jurisdictions are maintained in secrecy for 18 months or potentially even longer, and since publication of discoveries in the scientific or patent literature often lags behind actual discoveries, we cannot be certain of the priority of inventions covered by any of our owned or licensed patents or pending patent applications. A discussion of risks relating to intellectual property is provided under the section titled “Risk Factors</w:t>
      </w:r>
      <w:r>
        <w:rPr>
          <w:rFonts w:ascii="Times New Roman" w:cs="Times New Roman" w:eastAsia="Times New Roman" w:hAnsi="Times New Roman"/>
          <w:sz w:val="14"/>
          <w:szCs w:val="14"/>
          <w:color w:val="0000FF"/>
        </w:rPr>
        <w:t>—</w:t>
      </w:r>
      <w:r>
        <w:rPr>
          <w:rFonts w:ascii="Times New Roman" w:cs="Times New Roman" w:eastAsia="Times New Roman" w:hAnsi="Times New Roman"/>
          <w:sz w:val="14"/>
          <w:szCs w:val="14"/>
          <w:color w:val="auto"/>
        </w:rPr>
        <w:t>Risks Related to Our Intellectual Property.”</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Patents</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As of April 1, 2026, our owned patent portfolio included over 10 issued U.S. patents, over 10 pending U.S.</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patent applications, over 70 granted foreign patents, and over 50 pending foreign patent applications.</w:t>
      </w:r>
    </w:p>
    <w:p>
      <w:pPr>
        <w:spacing w:after="0" w:line="2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AP01 (Pirfenidone)</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regards to AP01, we own two patent families with claims directed to aqueous formulations of pirfenidone which includes 6 granted U.S. patents, 2 pending U.S. patent applications, 5 pending foreign patent applications, and over 45 granted foreign patents in various jurisdictions, such as Australia, Canada, a European patent validated in over 20 counties, a European patent validated in over 5 countries, Japan, and New Zealand, where the patents and patent applications, if issued, are expected to expire between January 2032 and July 2033, without giving effect to any potential patent term extensions and patent term adjustments and assuming payment of all appropriate maintenance, renewal, annuity or other governmental fees.</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own a patent family with claims directed to additional formulations of pirfenidone, which includes 5 granted U.S. patents, 1 pending U.S. patent applications, 4 pending foreign patent applications, and over 10 granted foreign patents in various jurisdictions, such as Australia, Canada, a Unitary European patent also validated in 4 countries, Japan, and New Zealand, where the patents and patent applications, if issued, are expected to expire in January 2035, without giving effect to any potential patent term extensions and patent term adjustments and assuming payment of all appropriate maintenance, renewal, annuity or other governmental fees.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3" w:name="page144"/>
    <w:bookmarkEnd w:id="14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own a patent family with drug (pirfenidone)-device claims, which includes 2 pending U.S. patent applications and 10 pending foreign patent applications, where the patents and patent applications, if issued, are expected to expire in September 2041, without giving effect to any potential patent term extensions and patent term adjustments and assuming payment of all appropriate maintenance, renewal, annuity or other governmental fees.</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AP02 (Nintedanib)</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own a patent family with claims directed to formulations of nintedanib and other tyrosine kinase inhibitors which includes 1 granted U.S. patent, 3 pending U.S. patent applications, 8 pending foreign patent applications, and over 5 granted foreign patents in various jurisdictions, such as Canada, a Unitary European patent also validated in 2 countries, Japan, and New Zealand, where the patents and patent applications, if issued, are expected to expire in July 2034, without giving effect to any potential patent term extensions and patent term adjustments and assuming payment of all appropriate maintenance, renewal, annuity or other governmental fees.</w:t>
      </w:r>
    </w:p>
    <w:p>
      <w:pPr>
        <w:spacing w:after="0" w:line="14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also own a patent family with claims directed to formulations of nintedanib which includes 2 granted U.S. patents, 1 pending U.S. patent applications, over 10 pending foreign patent applications, and over 5 granted foreign patents in various jurisdictions, such as Australia, Israel, India, Japan, Mexico, and New Zealand, where the patents and patent applications, if issued, are expected to expire in August 2039, without giving effect to any potential patent term extensions and patent term adjustments and assuming payment of all appropriate maintenance, renewal, annuity or other governmental fees.</w:t>
      </w:r>
    </w:p>
    <w:p>
      <w:pPr>
        <w:spacing w:after="0" w:line="14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also own a patent family with claims directed to dry powder formulations of nintedanib which includes 2 pending U.S. patent applications and over 10 pending foreign patent applications, where the patents and patent applications, if issued, are expected to expire in May 2043, without giving effect to any potential patent term extensions and patent term adjustments and assuming payment of all appropriate maintenance, renewal, annuity or other governmental fees.</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also own three pending U.S. provisional patent applications, where patent applications claiming priority to these applications, if issued, are expected to expire in March 2046, without giving effect to any potential patent term extensions and patent term adjustments and assuming payment of all appropriate maintenance, renewal, annuity or other governmental fees.</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Material Agreements</w:t>
      </w:r>
    </w:p>
    <w:p>
      <w:pPr>
        <w:spacing w:after="0" w:line="93" w:lineRule="exact"/>
        <w:rPr>
          <w:sz w:val="20"/>
          <w:szCs w:val="20"/>
          <w:color w:val="auto"/>
        </w:rPr>
      </w:pPr>
    </w:p>
    <w:p>
      <w:pPr>
        <w:jc w:val="both"/>
        <w:ind w:left="1220" w:right="1239" w:firstLine="333"/>
        <w:spacing w:after="0"/>
        <w:rPr>
          <w:sz w:val="20"/>
          <w:szCs w:val="20"/>
          <w:color w:val="auto"/>
        </w:rPr>
      </w:pPr>
      <w:r>
        <w:rPr>
          <w:rFonts w:ascii="Times New Roman" w:cs="Times New Roman" w:eastAsia="Times New Roman" w:hAnsi="Times New Roman"/>
          <w:sz w:val="14"/>
          <w:szCs w:val="14"/>
          <w:color w:val="auto"/>
        </w:rPr>
        <w:t>On April 3, 2017, our predecessor, Genoa Pharmaceuticals, Inc., entered into a license agreement, or the PARI License Agreement, with PARI Pharma GmbH, or PARI, to develop and commercialize liquid formulations of pirfenidone, certain N-aryl-pyridones, and combinations thereof, or Licensed Products, for pulmonary delivery exclusively using PARI’s proprietary nebulizer that is based on the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or the Device. We also receive an option to expand our license grant to include PARI’s closed system nebulizer based on a perforated vibrating membrane technology and includes the mixing chamber and valve system, or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Nebulizer, and PARI agreed to discuss options to include certain other drug products of interest to us under such licenses.</w:t>
      </w:r>
    </w:p>
    <w:p>
      <w:pPr>
        <w:spacing w:after="0" w:line="15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Under the terms of the PARI License Agreement, we are solely responsible for the development of Licensed Products. PARI continues to conduct certain development and feasibility work, including at our request upon mutual consent, on the Device and certain accessories thereto, or Device Accessories, under one or more development plans. We are responsible for the costs of such work that are specific to our Licensed Products, but not those that are related to general development of the Device. PARI controls manufacturing and regulatory activities related to the Device and the Device Accessories, provided that we control regulatory activities related to the Device and/or the Device Accessories as a combination product together with Licensed Products. We have exclusive rights to commercialize the Device (whether individually or together with the Device Accessories) for pulmonary delivery with Licensed Products, provided that we have agreed to use commercially reasonable efforts to develop, obtain regulatory approval for, and commercialize at least one product using the Device for pulmonary delivery of Licensed Products.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4" w:name="page145"/>
    <w:bookmarkEnd w:id="14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45" w:lineRule="auto"/>
        <w:rPr>
          <w:sz w:val="20"/>
          <w:szCs w:val="20"/>
          <w:color w:val="auto"/>
        </w:rPr>
      </w:pPr>
      <w:r>
        <w:rPr>
          <w:rFonts w:ascii="Times New Roman" w:cs="Times New Roman" w:eastAsia="Times New Roman" w:hAnsi="Times New Roman"/>
          <w:sz w:val="14"/>
          <w:szCs w:val="14"/>
          <w:color w:val="auto"/>
        </w:rPr>
        <w:t>As partial consideration for the rights and licenses under the PARI License Agreement, we paid to PARI a non-refundable upfront payment of €400,000. As partial consideration for the rights and licenses under the PARI License Agreement, we are also required to pay certain milestone payments upon the achievement of certain development and regulatory milestones, up to an aggregate low-mid single-digit million euro amount for products using the Device and, separately, up to an aggregate total mid single-digit million euro amount for products using PARI’s closed system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Nebulizer, if we exercise such option. We also are obligated to pay to PARI mid-single digit royalties on net sales of Licensed Products, on a country-by-country basis, subject to standard reductions. A single, annual minimum royalty payment, ranging from $0.0 million to mid single-digit million USD amount depending on the year of sale and whether the Device or PARI’s closed system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Nebulizer is used, is payable by us to PARI for each year of sales of Licensed Products in at least one specified major market. Under the PARI License Agreement, if, following the first commercial sale of a Licensed Product in a major market, we decide to no longer exclusively use the Device, then we may elect to either continue to pay royalties (including annual minimum royalties) or to terminate the PARI License Agreement and pay to PARI a one-time lump sum payment ranging from low single-digit million USD amounts to a mid-teen million USD amount, depending on the proximity of the date of such termination to such first commercial sale.</w:t>
      </w:r>
    </w:p>
    <w:p>
      <w:pPr>
        <w:spacing w:after="0" w:line="15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Under the PARI License Agreement, we receive an exclusive, sublicensable, transferable, in each case subject to certain conditions, royalty-bearing license under certain of PARI’s and its affiliates’ owned or controlled patents, know-how, information and improvements to exploit the Device for exclusive use with Licensed Products. We also receive a non-exclusive, sublicensable, transferable, in each case subject to certain conditions, royalty-free license under such intellectual property owned or controlled by PARI or its affiliates to exploit the Device Accessories that are owned or controlled by PARI for exclusive use with the Device solely for use with Licensed Products. Notwithstanding the licenses we are granted, our licenses under the patents licensed to PARI by a third-party are non-sublicensable, but PARI agrees to grant a direct sublicense under such patents to any potential sublicensee we request. Under the PARI License Agreement, we and PARI grant to the other certain rights of references solely for regulatory purposes. We also grant to PARI a perpetual, worldwide, non-exclusive, sublicensable, transferable, fully paid-up, royalty-free license under intellectual property related to Licensed Products that are developed by us or our affiliates or PARI or its affiliates under the PARI License Agreement to exploit such licensed intellectual property as it relates to the use of any PARI nebulizer (including the Device) or any Device Accessory for any use during the term of the PARI License Agreement other than pulmonary delivery of the related Licensed Product, and for any use thereafter.</w:t>
      </w:r>
    </w:p>
    <w:p>
      <w:pPr>
        <w:spacing w:after="0" w:line="14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PARI agreed under the PARI License Agreement that, during the term of the PARI License Agreement, neither PARI nor any of its affiliates would itself exploit or license or grant to or affirmatively facilitate any third party in exploiting the Device for pulmonary delivery of Licensed Products. PARI’s non-compete obligations are discontinued in certain European countries in which we fail to submit for marketing approval within 18 months of receiving regulatory approval by FDA or in which we fail to continue to use commercially reasonable efforts to seek regulatory approval after filing. We agreed under the PARI License Agreement that we would not develop, copy, make or have made, make derivative works of, or seek regulatory approvals for the Device or the Device Accessories as long as PARI fulfills its clinical supply requirements under the supply agreement between PARI and us. The maximum prices for supply by PARI of the Device and the Device Accessories are set forth in the PARI License Agreement, which prices we have amended in two amendments with PARI as our product pipeline has further developed.</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Unless earlier terminated, the PARI License Agreement will continue until the end of the royalty term, which shall occur on a country-by-country and Licensed Product-by-Licensed Product basis upon the later of (i) the date of the expiration of the last valid claim included in certain of the patents owned, licensed or otherwise controlled by PARI, or its affiliates, claiming the Device; or (ii) low double-digit years after the first commercial sale of such Licensed Product; provided, however, that the royalty term for a Licensed Product shall remain in effect (x) in Latin American countries so long as there is a valid patent claim in effect in each of Brazil and Mexico, (y) in European countries so long as there is a valid patent claim in effect in each of certain specified countries in the EU, and (z) in countries in the Pacific Rim so long as there is a valid patent claim in effect in each of China, India, Australia and Japan. Either party may terminate the PARI License Agreement upon the other party’s material breach, subject to specified notice and cure provisions. In addition, PARI may terminate the PARI License Agreement immediately if we notify PARI of our election to cease development or commercialization of, or if we fail, without cure, to use commercially reasonable efforts to develop and commercialize, Licensed Products. PARI may also terminate in the</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5" w:name="page146"/>
    <w:bookmarkEnd w:id="14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7" w:lineRule="auto"/>
        <w:rPr>
          <w:sz w:val="20"/>
          <w:szCs w:val="20"/>
          <w:color w:val="auto"/>
        </w:rPr>
      </w:pPr>
      <w:r>
        <w:rPr>
          <w:rFonts w:ascii="Times New Roman" w:cs="Times New Roman" w:eastAsia="Times New Roman" w:hAnsi="Times New Roman"/>
          <w:sz w:val="14"/>
          <w:szCs w:val="14"/>
          <w:color w:val="auto"/>
        </w:rPr>
        <w:t>event of our bankruptcy. Prior to the first commercial sale of Licensed Products using the Device, we may terminate the PARI License Agreement for any reason upon 60 days’ notice. Following first commercial sale, we may terminate with notice, subject to paying PARI a lump-sum payment.</w:t>
      </w:r>
    </w:p>
    <w:p>
      <w:pPr>
        <w:spacing w:after="0" w:line="136"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Upon expiration of the royalty term, all licenses to us become non-exclusive, irrevocable, fully paid-up and royalty free on a country-by-country basis.</w:t>
      </w:r>
    </w:p>
    <w:p>
      <w:pPr>
        <w:spacing w:after="0" w:line="125" w:lineRule="exact"/>
        <w:rPr>
          <w:sz w:val="20"/>
          <w:szCs w:val="20"/>
          <w:color w:val="auto"/>
        </w:rPr>
      </w:pPr>
    </w:p>
    <w:p>
      <w:pPr>
        <w:jc w:val="both"/>
        <w:ind w:left="1220" w:right="1239" w:firstLine="333"/>
        <w:spacing w:after="0" w:line="249" w:lineRule="auto"/>
        <w:rPr>
          <w:sz w:val="20"/>
          <w:szCs w:val="20"/>
          <w:color w:val="auto"/>
        </w:rPr>
      </w:pPr>
      <w:r>
        <w:rPr>
          <w:rFonts w:ascii="Times New Roman" w:cs="Times New Roman" w:eastAsia="Times New Roman" w:hAnsi="Times New Roman"/>
          <w:sz w:val="14"/>
          <w:szCs w:val="14"/>
          <w:color w:val="auto"/>
        </w:rPr>
        <w:t>On January 23, 2020, we entered into a material transfer agreement with PARI, or the PARI MTA, for the evaluation of PARI’s investigational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systems, or the Investigational Device, and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nebulizer handsets for delivery purposes with our liquid formulation which contains Imatinib as the sole active ingredient or Nintedanib as the sole active ingredient or Nintedanib in combination with Pirfenidone. We agreed to pay to PARI a technology access fee on a per-control unit or per-nebulizer handset basis. Under the PARI MTA, we receive from PARI a limited non-exclusive license to temporarily maintain and conduct certain evaluation studies using the Investigational Device. Under the PARI MTA, we agree not to file any patent applications or amendments in a manner that make certain disclosures related to PARI confidential information, PARI intellectual property, PARI’s proprietary nebulizer devices, including the Investigational Device unless we enter into a separate license agreement with respect to (i) Nintedanib as the sole active ingredient, or Nintedanib in combination with Pirfenidone, or (ii) Imatinib as the sole active ingredient, with terms substantially similar to the PARI License Agreement. Under the MTA, as amended in 2021, 2023 and 2025, PARI performs certain services on our behalf related to liquid formulation which contains Imatinib as the sole active ingredient or Nintedanib as the sole active ingredient or Nintedanib in combination with Pirfenidone. We pay PARI at an hourly rate and reimburse for expenses. Unless earlier terminated, the PARI MTA continues until December 31, 2027. We may terminate the PARI MTA for any reason upon 30 days’ notice. Either party may terminate the PARI MTA upon the other party’s material breach, subject to specified notice and cure provisions.</w:t>
      </w:r>
    </w:p>
    <w:p>
      <w:pPr>
        <w:spacing w:after="0" w:line="151" w:lineRule="exact"/>
        <w:rPr>
          <w:sz w:val="20"/>
          <w:szCs w:val="20"/>
          <w:color w:val="auto"/>
        </w:rPr>
      </w:pPr>
    </w:p>
    <w:p>
      <w:pPr>
        <w:jc w:val="both"/>
        <w:ind w:left="1220" w:right="1239" w:firstLine="333"/>
        <w:spacing w:after="0" w:line="247" w:lineRule="auto"/>
        <w:rPr>
          <w:sz w:val="20"/>
          <w:szCs w:val="20"/>
          <w:color w:val="auto"/>
        </w:rPr>
      </w:pPr>
      <w:r>
        <w:rPr>
          <w:rFonts w:ascii="Times New Roman" w:cs="Times New Roman" w:eastAsia="Times New Roman" w:hAnsi="Times New Roman"/>
          <w:sz w:val="14"/>
          <w:szCs w:val="14"/>
          <w:color w:val="auto"/>
        </w:rPr>
        <w:t>On January 1, 2024, we and PARI entered into an option agreement, or the Option Agreement, under which PARI granted us an exclusive option to negotiate a separate license agreement to develop and commercialize our proprietary liquid formulation of nintedanib or our fixed combination of nintedanib and pirfenidone with PARI’s eFlow</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Technology Nebulizer on substantially the same terms and conditions as the PARI License Agreement. In consideration of the option grant, we paid a one-time upfront fee of €50,000, and we must pay an annual option fee in the tens of thousands of Euros for each 12 month period following the effective date of the Option Agreement until expiration of the option period or termination of the option. We may exercise our option any time before January 1, 2028 by providing notice in writing to PARI. PARI may terminate the Option Agreement and our option if (i) we fail to pay the option fee on time, (ii) we and PARI fail to execute a license agreement before January 1, 2028 (iii) we and PARI fail to negotiate a license agreement within six months following our exercise of the option,</w:t>
      </w:r>
    </w:p>
    <w:p>
      <w:pPr>
        <w:spacing w:after="0" w:line="3" w:lineRule="exact"/>
        <w:rPr>
          <w:sz w:val="20"/>
          <w:szCs w:val="20"/>
          <w:color w:val="auto"/>
        </w:rPr>
      </w:pPr>
    </w:p>
    <w:p>
      <w:pPr>
        <w:jc w:val="both"/>
        <w:ind w:left="1220" w:right="1239" w:firstLine="4"/>
        <w:spacing w:after="0" w:line="252" w:lineRule="auto"/>
        <w:tabs>
          <w:tab w:leader="none" w:pos="1462"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give PARI written notice during the option period that we are no longer interested in negotiating the license agreement, or (v) we commence a clinical trial for inhaled delivery of our proprietary liquid formulation of nintedanib or our fixed combination of nintedanib and pirfenidone without use of the optioned device. Either party may terminate the Option Agreement upon the other party’s material breach, subject to notice and cure procedures. Either party may also terminate the Option Agreement if the PARI License Agreement or PARI MTA is terminated for breach by the other party.</w:t>
      </w:r>
    </w:p>
    <w:p>
      <w:pPr>
        <w:spacing w:after="0" w:line="2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Government Regulation</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FDA and comparable regulatory authorities in federal, state and local jurisdictions and in other foreign countries impose extensive requirements upon companies involved in the clinical development, manufacture, marketing and distribution of drugs, such as those we are developing. These agencies and other federal, state and local entities extensively regulate, among other things, the research and development, testing, manufacture, quality control, safety, effectiveness, labeling, packaging, storage, record keeping, approval, advertising and promotion, distribution, post-approval monitoring and reporting, sampling and export and import of drugs. The process of obtaining regulatory approvals in the U.S. and in foreign countries and jurisdictions, along with subsequent compliance with applicable federal, state, local and foreign statutes and regulations, requires the expenditure of substantial time and financial resources. Failure to comply with the applicable requirements at any time during the product development process, approval process or after approval, may subject an applicant and/or sponsor to a variety of sanctions. For example,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6" w:name="page147"/>
    <w:bookmarkEnd w:id="14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8" w:lineRule="auto"/>
        <w:rPr>
          <w:sz w:val="20"/>
          <w:szCs w:val="20"/>
          <w:color w:val="auto"/>
        </w:rPr>
      </w:pPr>
      <w:r>
        <w:rPr>
          <w:rFonts w:ascii="Times New Roman" w:cs="Times New Roman" w:eastAsia="Times New Roman" w:hAnsi="Times New Roman"/>
          <w:sz w:val="14"/>
          <w:szCs w:val="14"/>
          <w:color w:val="auto"/>
        </w:rPr>
        <w:t>failure to comply with the applicable U.S. requirements may result in administrative or judicial sanctions including refusal by FDA to approve pending applications, withdrawal of an approval, imposition of a clinical hold, issuance of warning letters and untitled letters, product recalls, product seizures, total or partial suspension of production or distribution, injunctions, fines, refusals of government contracts, restitution, disgorgement or civil or criminal investigations and penalties brought by the FDA and the Department of Justice or other governmental entities.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Drugs in the United States</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In the U.S., the FDA regulates drugs under the Federal Food, Drug, and Cosmetic Act, or the FDCA, and its implementing regulations. Drugs are also subject to other federal, state and local statutes and regulations.</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process required by the FDA before a drug may be marketed in the U.S. generally involves the following:</w:t>
      </w:r>
    </w:p>
    <w:p>
      <w:pPr>
        <w:spacing w:after="0" w:line="91" w:lineRule="exact"/>
        <w:rPr>
          <w:sz w:val="20"/>
          <w:szCs w:val="20"/>
          <w:color w:val="auto"/>
        </w:rPr>
      </w:pPr>
    </w:p>
    <w:p>
      <w:pPr>
        <w:ind w:left="1880" w:right="1239" w:hanging="323"/>
        <w:spacing w:after="0" w:line="283"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completion of extensive nonclinical, or preclinical, laboratory tests, animal studies and formulation studies in compliance with the FDA’s Good Laboratory Practice, or GLP, regulations;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submission to the FDA of an IND, which must become effective before human clinical trials may begin and must be updated annually and when certain changes are made;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an institutional review board, or IRB, or independent ethics committee, or IEC, at each clinical site before each trial may be initiated at that site;</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of adequate and well-controlled human clinical trials in accordance with Good Clinical Practices, or GCP, requirements and other clinical trial-related regulations to establish the safety and efficacy of the investigational drug product for each proposed indication;</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and submission to the FDA of an NDA after completion of all pivotal trials, together with the payment of application user fees, as applicable;</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determination by the FDA within 60 days of its receipt of an NDA to accept the marketing application for review;</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an FDA advisory committee review, if applicable;</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one or more FDA inspections of the manufacturing facility or facilities at which the product is produced to assess compliance with current Good Manufacturing Practice, or cGMP, requirements and to assure that the facilities, methods and controls are adequate to preserve the product’s identity, strength, quality and purity;</w:t>
      </w:r>
    </w:p>
    <w:p>
      <w:pPr>
        <w:spacing w:after="0" w:line="56"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satisfactory completion of FDA audits of clinical trial sites to assure compliance with GCPs and the integrity of the clinical data;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FDA review and approval of the NDA.</w:t>
      </w:r>
    </w:p>
    <w:p>
      <w:pPr>
        <w:spacing w:after="0" w:line="2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Preclinical Studies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Before testing any drug product candidate, including our product candidates, in humans, the product candidate must undergo rigorous preclinical testing. Preclinical studies include laboratory evaluations of the product’s chemistry, purity, toxicity, formulation, and stability as well as in vitro and animal studies to assess potential safety and efficacy and in some cases to establish the rationale for therapeutic use. The conduct of preclinical studies is subject to federal regulations and requirements, including GLP regulations for safety and toxicology studies.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The IND and IRB Process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Prior to beginning the first clinical trial with a product candidate in the U.S., we must submit an IND to the FDA. An IND sponsor must submit a protocol for each clinical trial, the results of the preclinical tests, manufacturing information, analytical data and any available clinical data or literature and plans for clinical studies, among other things, to the FDA as part of an IND. An IND is a request for authorization from the FDA to grant an exemption that allows an unapproved drug to be shipped in interstate commerce for use and administration in an investigational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7" w:name="page148"/>
    <w:bookmarkEnd w:id="14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clinical trial for humans. The IND must become effective before human clinical trials may begin in the U.S. Some preclinical testing, such as animal tests of reproductive adverse events and carcinogenicity, may continue even after the IND is submitted. An IND automatically becomes effective 30 days after receipt by the FDA, unless before that time the FDA raises concerns or questions related to one or more proposed clinical trials and places the clinical trial on a clinical hold. A clinical hold is an order issued by the FDA to the sponsor to delay a proposed clinical investigation or to suspend an ongoing clinical trial. Clinical holds may be imposed by the FDA when there is concern for patient safety, and may be a result of new data, findings or developments in clinical, nonclinical, and/or chemistry, manufacturing and controls or where there is non-compliance with regulatory requirements. A partial clinical hold is a delay or suspension of only part of the clinical work requested under the IND. Following issuance of a clinical hold or partial clinical hold, an investigation (or full investigation in the case of a partial clinical hold) may only resume after the FDA has notified the sponsor that the investigation may proceed. As a result, submission of an IND may not result in the FDA allowing clinical trials to initiate.</w:t>
      </w:r>
    </w:p>
    <w:p>
      <w:pPr>
        <w:spacing w:after="0" w:line="150"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 separate submission to an existing IND must also be made for each successive clinical trial to be conducted, and the FDA must grant permission, either explicitly or implicitly by not objecting, before each clinical trial can begin.</w:t>
      </w:r>
    </w:p>
    <w:p>
      <w:pPr>
        <w:spacing w:after="0" w:line="13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A sponsor may choose, but is not required, to conduct a foreign clinical trial under an IND. When a foreign clinical trial is conducted under an IND, all FDA IND requirements must be met unless waived. When the foreign clinical trial is not conducted under an IND, the sponsor must ensure that the study is conducted in accordance with GCP, including review and approval by an IEC and informed consent from subjects. FDA must be able to validate the data from the study through an on-site inspection if necessary.</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to the foregoing IND requirements, an IRB representing each institution participating in the clinical trial must review and approve the plan for any clinical trial before it commences at that institution, and the IRB must conduct continuing review of the study. The IRB is charged with protecting the welfare and rights of trial participants and considers whether the risks to individuals participating in the clinical trials are minimized and are reasonable in relation to anticipated benefits. The IRB must review and approve, among other things, the study protocol and informed consent information to be provided to study subjects and must monitor the clinical trial until completion. An IRB can suspend or terminate approval of a clinical trial at its institution, or an institution it represents, if the clinical trial is not being conducted in accordance with the IRB’s requirements or if the product candidate has been associated with unexpected serious harm to patients.</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Clinical Trials in Support of an NDA</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Clinical trials involve the administration of the investigational new drug to human subjects under the supervision of qualified investigator in accordance with GCP requirements, which include the requirement that all research subjects, or their legal representative, provide their informed consent in writing for their participation in any clinical trial. Clinical trials are conducted under written study protocols detailing, among other things, the exclusion and inclusion criteria, the objectives of the trial, dosing procedures, subject selection, the parameters to be used in monitoring safety and the effectiveness criteria to be evaluated. As part of an IND, a protocol for each clinical trial and any subsequent protocol amendments must be submitted to the FDA.</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and safety monitoring board, or the DSMB, which provides authorization for whether or not a study may move forward at designated check points based on access to certain data from the study and may halt the clinical trial if it determines that there is an unacceptable safety or health risk for subjects or other grounds, such as no demonstration of efficacy.</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8" w:name="page149"/>
    <w:bookmarkEnd w:id="14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Information about certain clinical trials must be submitted within specific timeframes to the National Institutes of Health, or NIH, for public dissemination on their www.clinicaltrials.gov website. Information related to the investigational product, patient population, phase of investigation, study sites and investigators and other aspects of the clinical trial is made public as part of the registration of the clinical trial. Although sponsors are obligated to disclose the results of their clinical trials after completion, disclosure of the results can be delayed in some cases for some time. Failure to timely register a covered clinical study or to submit study results as provided for in the law can give rise to civil monetary penalties and also prevent the non-compliant party from receiving future grant funds from the federal government.</w:t>
      </w:r>
    </w:p>
    <w:p>
      <w:pPr>
        <w:spacing w:after="0" w:line="1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Human clinical trials are typically conducted in three sequential phases, which may overlap or be combined:</w:t>
      </w:r>
    </w:p>
    <w:p>
      <w:pPr>
        <w:spacing w:after="0" w:line="91" w:lineRule="exact"/>
        <w:rPr>
          <w:sz w:val="20"/>
          <w:szCs w:val="20"/>
          <w:color w:val="auto"/>
        </w:rPr>
      </w:pPr>
    </w:p>
    <w:p>
      <w:pPr>
        <w:jc w:val="both"/>
        <w:ind w:left="1880" w:right="1239" w:hanging="323"/>
        <w:spacing w:after="0" w:line="261" w:lineRule="auto"/>
        <w:tabs>
          <w:tab w:leader="none" w:pos="18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1: The investigational drug is initially introduced into a limited population of healthy human subjects or, in certain indications such as cancer, patients with the target disease or condition and tested for safety, dosage tolerance, absorption, metabolism, distribution, excretion, side effects, and, if possible, to gain an early indication of its effectiveness or determine optimal dosage.</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2: The investigational drug is administered to a limited patient population with a specified disease or condition to identify possible adverse effects and safety risks, to preliminarily evaluate the efficacy of the product for specific targeted diseases and to determine dosage tolerance and optimal dosage. Multiple Phase 2 clinical trials may be conducted to obtain information prior to beginning Phase 3 clinical trials.</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57" w:lineRule="auto"/>
        <w:tabs>
          <w:tab w:leader="none" w:pos="1880"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Phase 3: The investigational drug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product approval and labeling of the product. Generally, two adequate and well-controlled Phase 3 clinical trials are required by the FDA for approval of an NDA.</w:t>
      </w:r>
    </w:p>
    <w:p>
      <w:pPr>
        <w:spacing w:after="0" w:line="14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Post-approval trials, sometimes referred to as Phase 4 clinical trials, may be conducted after initial marketing approval. These trials are used to gain additional experience from the treatment of patients in the intended therapeutic indication and are commonly intended to generate additional safety data regarding use of the product in a clinical setting. In certain instances, the FDA may mandate the performance of Phase 4 clinical trials as a condition of approval on an NDA.</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Progress reports detailing the results of the clinical trials must be submitted at least annually to the FDA and more frequently if serious adverse events occur. In addition, within 15 calendar days after the sponsor determines that the information qualifies for reporting, written IND safety reports must be submitted to the FDA and investigators for serious and unexpected suspected adverse events, findings from other studies or animal or in vitro testing that suggest a significant risk for human subjects and any clinically important increase in the rate of a serious suspected adverse reaction over that listed in the protocol or investigator brochure. The sponsor also must notify the FDA of any unexpected fatal or life-threatening suspected adverse reaction within seven calendar days after the sponsor’s initial receipt of the information. The FDA will typically inspect one or more clinical sites to assure compliance with GCP and the integrity of the clinical data submitted.</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and for the FDA to provide advice.</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Concurrent with clinical trials, companies usually complete additional animal studies and must also develop additional information about the chemistry and physical characteristics of the product candidate and finalize a process for manufacturing the drug product in commercial quantities in accordance with cGMP requirements. The manufacturing process must be capable of consistently producing quality batches of the product candidate and manufacturers must develop, among other things, methods for testing the identity, strength, quality and purity of the</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49" w:name="page150"/>
    <w:bookmarkEnd w:id="14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final drug product. Additionally, appropriate packaging must be selected and tested, and stability studies must be conducted to demonstrate that the product candidate does not undergo unacceptable deterioration over its shelf life.</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FDA Review of an NDA Submission and FDA Approval</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Assuming successful completion of the required clinical testing, the results of the preclinical and clinical studies, together with detailed information relating to the product’s chemistry, manufacture, controls and proposed labeling, among other things, are submitted to the FDA as part of an NDA requesting approval to market the product for one or more indications. An NDA is a request for approval to market a new drug for one or more specified indications and must contain proof of the drug’s safety and efficacy for the requested indications. FDA must approve an NDA before a drug may be marketed in the U.S. For companies, the marketing application is required to include both negative and ambiguous results of preclinical studies and clinical trials, as well as positive findings. Data may come from company-sponsored clinical trials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drug product for the proposed indication to the satisfaction of the FDA. In most cases, the submission of an NDA is subject to a significant application user fee. Fee exceptions or fee waivers may be obtained under certain limited circumstances.</w:t>
      </w:r>
    </w:p>
    <w:p>
      <w:pPr>
        <w:spacing w:after="0" w:line="149"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FDA conducts a preliminary review of all NDAs within the first 60 days of its receipt,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w:t>
      </w:r>
    </w:p>
    <w:p>
      <w:pPr>
        <w:spacing w:after="0" w:line="14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During its review of an NDA, the FDA typically will inspect the facility or facilities where the product is or will be manufactured. These pre-approval inspections may cover all facilities associated with an NDA, including drug component manufacturing (such as APIs), finished drug product manufacturing and control testing laboratories. The FDA will not approve an NDA unless it determines that the manufacturing processes and facilities are in compliance with cGMP requirements and adequate to assure consistent production of the product within required specifications.</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addition, as a condition of approval, or post-approval if it becomes aware of a serious risk associated with the use of the product, the FDA may require the submission of a Risk Evaluation and Mitigation Strategy, or REMS, if it determines that a REMS is necessary to ensure that the benefits of the drug outweigh its risks and to assure the safe use of the drug. If the FDA concludes a REMS is needed, the sponsor of the NDA must submit a proposed REMS. The FDA will not approve the NDA without a REMS, if required. A REMS may include one or more elements, including medication guides, physician communication plans, patient package insert and/or elements to assure safe use, such as special training or certification for prescribing or dispensing, restricted distribution methods, special monitoring, patient registries or other risk minimization tools.</w:t>
      </w:r>
    </w:p>
    <w:p>
      <w:pPr>
        <w:spacing w:after="0" w:line="14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Under the Prescription Drug User Fee Act, or PDUFA, guidelines that are currently in effect, the FDA has a goal of ten months from the date of “filing” of a standard NDA, for a new molecular entity, to review and act on the submission, and six months from the filing date of a new molecular entity NDA with priority review. Accordingly, this review process typically takes 12 months and eight months, respectively, from the date the NDA is submitted to the FDA. The FDA does not always meet its PDUFA goal dates for standard or priority NDAs, and the review process is often extended by FDA requests for additional information or clarification.</w:t>
      </w:r>
    </w:p>
    <w:p>
      <w:pPr>
        <w:spacing w:after="0" w:line="14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addition, under the Pediatric Research Equity Act of 2003, as amended, or PREA, certain NDAs or supplements to an NDA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0" w:name="page151"/>
    <w:bookmarkEnd w:id="15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adults, or full or partial waivers from the pediatric data requirements. A sponsor who is planning to submit a marketing application for a drug that includes a new active ingredient, new indication, new dosage form, new dosing regimen or new route of administration must submit an initial Pediatric Study Plan, or the PSP, within 60 days of an end-of-Phase 2 meeting or, if there is no such meeting, as early as practicable before initiation of the Phase 3 or Phase 2/3 study.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The FDA and the sponsor must reach an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FDA may refer an application for a novel drug or a drug that presents difficult questions of safety or efficacy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indicates that the review cycle of the application is complete, and the application will not be approved in its present form. A Complete Response Letter generally outlines the deficiencies in the submission and contains a statement of specific conditions that must be met in order to secure final approval of the NDA and it may require additional clinical or preclinical testing in order for FDA to reconsider the application. If a Complete Response Letter is issued, the applicant may resubmit the NDA, addressing all of the deficiencies identified in the letter, withdraw the application, or request a hearing.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150"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Even if the FDA approves a product, depending on the specific risk(s) to be addressed, it may limit the approved indications for use of the product, require that contraindications, warnings or precautions be included in the product labeling, require that post-approval studies, including Phase 4 clinical trials, be conducted to further assess a drug’s safety after approval, require testing and surveillance programs to monitor the product after commercialization or impose other conditions, including distribution and use restrictions or other risk management mechanisms under a REMS, which can materially affect the potential market and profitability of the product. The FDA may prevent or limit further marketing of a product based on the results of post-marketing studies or surveillance programs. After approval, some types of changes to the approved product, such as adding new indications, manufacturing changes and additional labeling claims, are subject to further testing requirements and FDA review and approval.</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Orphan Drug Designation and Exclusivity</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Under the Orphan Drug Act, the FDA may grant orphan designation to a drug product intended to treat a rare disease or condition, which is generally a disease or condition that affects either (i) fewer than 200,000 individuals in the U.S. or (ii) more than 200,000 individuals in the U.S. and for which there is no reasonable expectation that the cost of developing and making the product available in the U.S. for this type of disease or condition will be recovered from sales of the product. A company must request orphan drug designation before submitting an NDA. If the request is granted, the FDA will disclose the identity of the therapeutic agent and its potential use. Orphan drug designation does not convey any advantage in or shorten the duration of the regulatory review and approval process.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1" w:name="page152"/>
    <w:bookmarkEnd w:id="15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If a product with orphan status receives the first FDA approval for the disease or condition for which it has such designation or for a select indication or use within the rare disease or condition for which it was designated, the product is entitled to orphan product exclusivity. Orphan product exclusivity means that the FDA may not approve any other applications to market the same product for the same indication for seven years, except in certain limited circumstances, including if a subsequent product with the same active ingredient for the same indication is shown to be clinically superior to the approved product on the basis of greater efficacy or safety, or providing a major contribution to patient care, or if the company with orphan drug exclusivity is not able to meet market demand. Further, the FDA may approve more than one product for the same orphan indication or disease as long as the products contain different active ingredients. Moreover, competitors may receive approval of different products for the indication for which the orphan product has exclusivity or obtain approval for the same product but for a different indication for which the orphan drug has exclusivity. Orphan drug designation entitles a party to financial incentives such as opportunities for grant funding towards clinical trial costs, tax advantages, and user-fee waivers.</w:t>
      </w:r>
    </w:p>
    <w:p>
      <w:pPr>
        <w:spacing w:after="0" w:line="150"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 designated orphan drug may not receive orphan drug exclusivity if it is approved for a use that is broader than the indication for which it received orphan designation. In addition, orphan drug exclusive marketing rights in the U.S.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14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FDA has historically taken the position that the scope of orphan exclusivity aligns with the approved indication or use of a product, rather than the disease or condition for which the product received orphan designation. However, in Catalyst Pharms., Inc. v. Becerra, 14 F.4th 1299 (11th Cir. 2021), the court disagreed with this position, holding that orphan-drug exclusivity blocked the FDA’s approval of the same drug for all uses or indications within the same orphan-designated disease. On January 24, 2023, the FDA published a notice in the Federal Register to clarify that the FDA intends to continue to apply its longstanding interpretation of the regulations to all matters outside of the scope of the Catalyst order and will continue tying the scope of orphan drug exclusivity to the uses or indications for which a drug is approved. It is unclear how future litigation, legislation, agency decisions and administrative actions will impact the scope of orphan drug exclusivity.</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Expedited Development and Review Programs for Drugs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FDA maintains several programs intended to facilitate and expedite development and review of new drugs that were intended to address unmet medical needs in the treatment of serious or life-threatening diseases or conditions. Some of these programs are referred to as Fast Track designation, Breakthrough Therapy designation, Priority Review and Accelerated Approval, and the purpose of these programs is to either expedite the development or review of important new drugs to get them to patients earlier than under standard FDA development and review procedures.</w:t>
      </w:r>
    </w:p>
    <w:p>
      <w:pPr>
        <w:spacing w:after="0" w:line="14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FDA has a Fast Track designation program that is intended to expedite or facilitate the process for reviewing new drugs that meet certain criteria. Specifically, new drugs are eligible for Fast Track designation if they are intended, whether alone or in combination with one or more other products, to treat a serious or life-threatening condition and preclinical or clinical data demonstrate the potential to address unmet medical needs for the condition. Fast Track designation applies to both the product and the specific indication for which it is being studied. The sponsor can request that the FDA grant the product Fast Track designation any time before receiving NDA approval but ideally no later than the pre-NDA meeting. Fast Track designation provides increased opportunities for sponsor interactions with the FDA review team to expedite development and review of the product. The FDA may also review sections of the NDA for a Fast Track designated product on a rolling basis before the completed application is submitted, if the sponsor provides a schedule for the submission of the sections of the application, the FDA agrees to accept sections of the application and determines that the schedule is acceptable, and the sponsor pays any required user fees upon submission of the first section of the application. The FDA’s goal for reviewing a Fast Track application does not begin until the last section of the NDA is submitted. Fast Track designation may be lost if the designation is no longer supported by data emerging in the clinical trial process.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2" w:name="page153"/>
    <w:bookmarkEnd w:id="15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Additionally, a drug may be eligible for designation as a Breakthrough Therapy if the product is intended, alone or in combination with one or more other products, to treat a serious or life-threatening condition and preliminary clinical evidence indicates that the product may demonstrate substantial improvement over currently approved therapies on one or more clinically significant endpoints, such as substantial treatment effects observed early in clinical development. The benefits of Breakthrough Therapy designation include the same benefits as Fast Track designation, plus intensive guidance from the FDA to ensure an efficient drug development program. Breakthrough Therapy designation comes with all of the benefits of Fast Track designation, which means that the sponsor may file sections of the NDA for review on a rolling basis if certain conditions are satisfied, including an agreement with the FDA on the proposed schedule for submission of portions of the application and the payment of applicable user fees before the FDA may initiate a review. The FDA may take certain actions with respect to Breakthrough Therapies, including holding meetings with the sponsor throughout the development process; providing timely advice to the product sponsor regarding development and approval; involving more senior staff in the review process; assigning a cross-disciplinary project lead for the review team; or taking other steps to design the clinical trials in an efficient manner.</w:t>
      </w:r>
    </w:p>
    <w:p>
      <w:pPr>
        <w:spacing w:after="0" w:line="14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 product may also be eligible for priority review if it treats a serious or life-threatening condition and, if approved, would provide a significant improvement in safety and effectiveness compared to available therapies. The FDA determines at the time that the marketing application is submitted, on a case-by-case basis, whether the proposed drug represents a significant improvement in treatment, prevention or diagnosis of disease when compared with other available therapies. Significant improvement may be demonstrated by evidence of increased effectiveness in the treatment of a condition, elimination or substantial reduction of a treatment-limiting product reaction, documented enhancement of patient compliance that may lead to improvement in serious outcomes and evidence of safety and effectiveness in a new subpopulation. A priority review designation is intended to direct overall attention and resources to the evaluation of such applications and to shorten the FDA’s goal for taking action on a marketing application from ten months to six months for an NDA for a new molecular entity from the date of filing. If criteria are not met for priority review, the application for a new molecular entity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149"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A product may also be eligible for accelerated approval if it treats a serious or life-threatening disease or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taking into account the severity, rarity or prevalence of the condition and the availability or lack of alternative treatments. Accelerated approval by the FDA is generally contingent on a sponsor’s agreement to conduct, in an adequate and diligent manner, additional post-approval confirmatory studies to verify and describe the product’s clinical benefit. These confirmatory trials must be completed with due diligence, and, under the Food and Drug Omnibus Reform Act of 2022, or FDORA, the FDA is now permitted to require, as appropriate, that such trials be underway prior to approval or within a specific time period after the date of approval for a product granted accelerated approval. Under FDORA, the FDA has increased authority for expedited procedures to withdraw the product from the market (and withdraw its approval). As a result, a product candidate approved on this basis is subject to rigorous post-marketing compliance requirements, including the completion of Phase 4 or post-approval clinical trials to confirm the effect on the clinical endpoint. Failure to conduct required post-approval studies, or confirm a clinical benefit during post-marketing studies, could result in the FDA’s withdrawal of the approval and require the withdrawal of the product from the market on an expedited basis. All promotional materials for product candidates approved under accelerated regulations are subject to prior review by the FDA.</w:t>
      </w:r>
    </w:p>
    <w:p>
      <w:pPr>
        <w:spacing w:after="0" w:line="15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Even if a product qualifies for one or more of these programs, the FDA may later decide that the product no longer meets the conditions for qualification or decide that the time period for FDA review or approval will not be shortened. Fast Track designation, Breakthrough Therapy designation, priority review and accelerated approval do not change the standards for approval and may not ultimately expedite the development or approval process.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3" w:name="page154"/>
    <w:bookmarkEnd w:id="15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Hatch-Waxman Amendments</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Section 505 of the FDCA describes three types of marketing applications that may be submitted to the FDA to request marketing authorization for a new drug. A Section 505(b)(1) NDA is an application that contains full reports of investigations of safety and efficacy. A 505(b)(2) NDA is an application that contains full reports of investigations of safety and efficacy but where at least some of the information required for approval comes from investigations that were not conducted by or for the applicant and for which the applicant has not obtained a right of reference or use from the person by or for whom the investigations were conducted. This regulatory pathway enables the applicant to rely, in part, on the FDA’s prior findings of safety and efficacy for an existing product, or published literature, in support of its application. Section 505(j) establishes an abbreviated approval process for a generic version of approved drug products through the submission of an Abbreviated New Drug Application, or ANDA. An ANDA provides for marketing of a generic drug product that has the same active ingredients, dosage form, strength, route of administration, labeling, performance characteristics and intended use, among other things, to a previously approved product, known as a reference listed drug, or RLD. ANDAs are termed “abbreviated” because they are generally not required to include preclinical (animal) and clinical (human) data to establish safety and efficacy. Instead, generic applicants must scientifically demonstrate that their product is bioequivalent to, or performs in the same manner as, the innovator drug through in vitro, in vivo or other testing.</w:t>
      </w:r>
    </w:p>
    <w:p>
      <w:pPr>
        <w:spacing w:after="0" w:line="2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U.S. Non-Patent Exclusivity</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Under the Hatch-Waxman Amendments, the FDA may not approve (or in some cases accept) an ANDA or 505(b)(2) application until any applicable period of non-patent exclusivity for the RLD has expired. Market exclusivity provisions under the FDCA can delay the submission or the approval of certain follow-on applications. The FDCA provides a five-year period of non-patent data exclusivity within the U.S. to the first applicant to gain approval of an NDA for a new chemical entity, or NCE. A drug is an NCE if the FDA has not previously approved any other new drug containing the same active moiety, which is the molecule or ion responsible for the physiological or pharmacological action of the drug substance. In cases where such NCE exclusivity has been granted, the FDA may not accept for review an ANDA, for a generic version of the drug or a 505(b)(2) NDA for another version of such drug where the applicant does not own or have a legal right of reference to all the data required for approval, until the expiration of five years unless the submission is accompanied by a paragraph IV certification, which states the proposed generic drug will not infringe one or more of the already approved product’s listed patents or that such patents are invalid or unenforceable, in which case the applicant may submit its application four years following the original product approval.</w:t>
      </w:r>
    </w:p>
    <w:p>
      <w:pPr>
        <w:spacing w:after="0" w:line="14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FDA has previously taken the position that NCE exclusivity is not available for fixed-dose combination products if one of the active moieties in the combination product had been previously approved in a drug product. In October 2014, however, the FDA reversed that position when it issued final guidance stating that an application for a fixed-dose combination product will be eligible for 5-year NCE exclusivity if it contains a drug substance with a single, new active moiety, even if the fixed-combination also contains a drug substance with a previously approved active moiety.</w:t>
      </w:r>
    </w:p>
    <w:p>
      <w:pPr>
        <w:spacing w:after="0" w:line="14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FDCA also provides three years of market exclusivity for non-NCE NDAs, 505(b)(2)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period covers only the conditions of use associated with the new clinical investigations and often protects changes to a previously approved drug product, such as a new dosage form, route of administration, combination or indication, but it generally would not protect the original, unmodified product from generic competition. In other words, it does not prohibit the FDA from approving follow-on applications that do not reference the protected clinical data.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4" w:name="page155"/>
    <w:bookmarkEnd w:id="15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Pediatric exclusivity is another type of regulatory market exclusivity in the U.S. Pediatric exclusivity, if granted, adds six months to existing regulatory exclusivity periods for all formulations, dosage forms, indications of the active moiety, and listed patent terms. This six-month exclusivity, which runs from the end of other exclusivity protection or patent term, may be granted based on the voluntary completion of a pediatric trial in accordance with an FDA-issued “Written Request” for such a trial, provided that at the time pediatric exclusivity is granted there is not less than nine months of term remaining. The issuance of a Written Request does not require the sponsor to undertake the described clinical trials.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Hatch-Waxman Patent Certification and the 30-Month Stay</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seeking approval of an NDA or a supplement thereto, NDA sponsors are required to list with the FDA each patent with claims that cover the applicant’s product or an approved method of using the product. Upon approval, each of the patents listed by the NDA sponsor is published in the FDA’s Approved Drug Products with Therapeutic Equivalence Evaluations, commonly known as the Orange Book. Upon submission of an ANDA or 505(b)(2) NDA, an applicant is required to certify to the FDA concerning any patents listed for the RLD in the Orange Book that:</w:t>
      </w:r>
    </w:p>
    <w:p>
      <w:pPr>
        <w:spacing w:after="0" w:line="60" w:lineRule="exact"/>
        <w:rPr>
          <w:sz w:val="20"/>
          <w:szCs w:val="20"/>
          <w:color w:val="auto"/>
        </w:rPr>
      </w:pPr>
    </w:p>
    <w:p>
      <w:pPr>
        <w:ind w:left="1880" w:right="1239" w:hanging="323"/>
        <w:spacing w:after="0" w:line="283" w:lineRule="auto"/>
        <w:tabs>
          <w:tab w:leader="none" w:pos="18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patent information on the drug product that is the subject of the application has been submitted to the FDA;</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patent has expired;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on which such patent expires; or</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patent is invalid, unenforceable or will not be infringed upon by the manufacture, use or sale of the drug product for which the application is submitted.</w:t>
      </w:r>
    </w:p>
    <w:p>
      <w:pPr>
        <w:spacing w:after="0" w:line="125"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Generally, the ANDA or 505(b)(2) NDA cannot be approved until all listed patents have expired, except where the ANDA or 505(b)(2) NDA applicant challenges a listed patent through the last type of certification, also known as a paragraph IV certification. If the applicant does not challenge the listed patents or indicates that it is not seeking approval of a patented method of use, the ANDA or 505(b)(2) NDA application will not be approved until all of the listed patents claiming the referenced product have expired. If the ANDA or 505(b)(2) NDA applicant has provided a paragraph IV certification the applicant must send notice of the paragraph IV certification to the NDA and patent holders once the application has been accepted for filing by the FDA. The NDA and patent holders may then initiate a patent infringement lawsuit in response to the notice of the paragraph IV certification. If the paragraph IV certification is challenged by an NDA holder or the patent owner(s) asserts a patent challenge to the paragraph IV certification, the FDA may not approve that application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This prohibition is generally referred to as the 30-month stay. In instances where an ANDA or 505(b)(2) NDA applicant files a paragraph IV certification, the NDA holder or patent owner(s) regularly take action to trigger the 30-month stay, recognizing that the related patent litigation may take many months or years to resolve. Thus, approval of an ANDA or 505(b)(2) NDA could be delayed for a significant period of time depending on the patent certification the applicant makes and the reference drug sponsor’s decision to initiate patent litigation. If the drug has NCE exclusivity and the ANDA is submitted four years after approval, the 30-month stay is extended so that it expires seven and a half years after approval of the innovator drug, unless the patent expires or there is a decision in the infringement case that is favorable to the ANDA applicant before then.</w:t>
      </w:r>
    </w:p>
    <w:p>
      <w:pPr>
        <w:spacing w:after="0" w:line="23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Patent Term Restoration and Extension</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 patent claiming a new drug product may be eligible for a limited patent term extension under the Hatch-Waxman Amendments, which permits a patent term restoration of up to five years for patent term lost during product development and the FDA regulatory review. The restoration period granted is typically one-half the time between the effective date of an IND and the submission date of an NDA, plus the time between the submission date of an NDA and the ultimate approval date, provided the sponsor acted with diligence. Patent term restoration cannot be used to extend the remaining term of a patent past a total of 14 years from the product’s approval date. Only one patent applicable to an approved drug product is eligible for the extension, and the application for the extension must be</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5" w:name="page156"/>
    <w:bookmarkEnd w:id="15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submitted prior to the expiration of the patent in question and within 60 days of drug approval. A patent that covers multiple drugs for which approval is sought can only be extended in connection with one of the approvals. The U.S. Patent and Trademark Office reviews and approves the application for any patent term extension or restoration in consultation with the FDA.</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Regulation of Combination Products in the United States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Certain products may be comprised of components, such as drug components and device components, that would normally be regulated under different types of regulatory authorities, and frequently by different centers at the FDA. These products are known as combination products. Specifically, under regulations issued by the FDA, a combination product may be:</w:t>
      </w:r>
    </w:p>
    <w:p>
      <w:pPr>
        <w:spacing w:after="0" w:line="57" w:lineRule="exact"/>
        <w:rPr>
          <w:sz w:val="20"/>
          <w:szCs w:val="20"/>
          <w:color w:val="auto"/>
        </w:rPr>
      </w:pPr>
    </w:p>
    <w:p>
      <w:pPr>
        <w:ind w:left="1880" w:right="1239" w:hanging="323"/>
        <w:spacing w:after="0" w:line="283" w:lineRule="auto"/>
        <w:tabs>
          <w:tab w:leader="none" w:pos="18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product comprised of two or more regulated components that are physically, chemically, or otherwise combined or mixed and produced as a single entity;</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two or more separate products packaged together in a single package or as a unit and comprised of drug and device products, device and biological products, or biological and drug products;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57" w:lineRule="auto"/>
        <w:tabs>
          <w:tab w:leader="none" w:pos="18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drug, or device, or biological product packaged separately that according to its investigational plan or proposed labeling is intended for use only with an approved individually specified drug, or device, or biological product where both are required to achieve the intended use, indication, or effect and where upon approval of the proposed product the labeling of the approved product would need to be changed, e.g., to reflect a change in intended use, dosage form, strength, route of administration, or significant change in dose; or</w:t>
      </w:r>
    </w:p>
    <w:p>
      <w:pPr>
        <w:spacing w:after="0" w:line="58"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investigational drug, or device, or biological product packaged separately that according to its proposed labeling is for use only with another individually specified investigational drug, device, or biological product where both are required to achieve the intended use, indication, or effect.</w:t>
      </w:r>
    </w:p>
    <w:p>
      <w:pPr>
        <w:spacing w:after="0" w:line="136"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Under the FDCA and its implementing regulations, the FDA is charged with assigning a center with primary jurisdiction, or a lead center, for review of a combination product. The designation of a lead center generally eliminates the need to receive approvals from more than one FDA component for combination products, although it does not preclude consultations by the lead center with other components of FDA. The determination of which center will be the lead center is based on the “primary mode of action” of the combination product. Thus, if the primary mode of action of a drug-device combination product is attributable to the drug product, the FDA center responsible for premarket review of the drug product would have primary jurisdiction for the combination product. The FDA has also established an Office of Combination Products to address issues surrounding combination products and provide more certainty to the regulatory review process. That office serves as a focal point for combination product issues for agency reviewers and industry. It is also responsible for developing guidance and regulations to clarify the regulation of combination products, and for assignment of the FDA center that has primary jurisdiction for review of combination products where the jurisdiction is unclear or in dispute.</w:t>
      </w:r>
    </w:p>
    <w:p>
      <w:pPr>
        <w:spacing w:after="0" w:line="150"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A combination product with a drug primary mode of action generally would be reviewed and approved pursuant to the drug approval processes under the FDCA. In reviewing the NDA application for such a product, however, FDA reviewers in the drug center could consult with their counterparts in the device center to ensure that the device component of the combination product met applicable requirements regarding safety, effectiveness, durability and performance. In addition, under FDA regulations, combination products are subject to current GMP requirements applicable to both drugs and devices, including the Quality System, or QS, regulations applicable to medical devices.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Combination Therapy</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Combination therapy is a treatment modality that involves the use of two or more drugs to be used in combination to treat a disease or condition. If those drugs are combined in one dosage form, that is known as a fixed-dose combination product and it is reviewed pursuant to the FDA’s Combination Rule at 21 CFR 300.50 (Combination Rule). The Combination Rule provides that two or more drugs may be combined in a single dosage form when each component contributes to the claimed effects and the dosage of each component (amount, frequency and duration) is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6" w:name="page157"/>
    <w:bookmarkEnd w:id="15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67" w:lineRule="auto"/>
        <w:rPr>
          <w:sz w:val="20"/>
          <w:szCs w:val="20"/>
          <w:color w:val="auto"/>
        </w:rPr>
      </w:pPr>
      <w:r>
        <w:rPr>
          <w:rFonts w:ascii="Times New Roman" w:cs="Times New Roman" w:eastAsia="Times New Roman" w:hAnsi="Times New Roman"/>
          <w:sz w:val="14"/>
          <w:szCs w:val="14"/>
          <w:color w:val="auto"/>
        </w:rPr>
        <w:t>such that the combination is safe and effective for a significant patient population requiring such concurrent therapy as defined in the labeling for the drug. Similar requirements may be imposed on us by comparable regulatory authorities in other jurisdictions.</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Post-Approval Requirements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are also annual prescription drug product program fee requirements for marketed products.</w:t>
      </w:r>
    </w:p>
    <w:p>
      <w:pPr>
        <w:spacing w:after="0" w:line="14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FDA may impose a number of post-approval requirements as a condition of approval of an NDA. For example, the FDA may require post-marketing testing, including Phase 4 clinical trials, and surveillance to further assess and monitor the product’s safety and effectiveness after commercialization.</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FDA regulations require that products be manufactured in specific facilities and in accordance with cGMP regulations which require, among other things, quality control and quality assurance, the maintenance of records and documentation and the obligation to investigate and correct any deviations from cGMP.</w:t>
      </w:r>
    </w:p>
    <w:p>
      <w:pPr>
        <w:spacing w:after="0" w:line="13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drug manufacturers and other entities involved in the manufacture and distribution of approved drugs and those supplying products, ingredients and components of them are required to register their establishments with the FDA and state agencies and are subject to periodic unannounced inspections by the FDA and these state agencies for compliance with cGMP requirements. Manufacturers and other parties involved in the drug supply chain for prescription drug products must also comply with product tracking and tracing requirements and for notifying FDA of counterfeit, diverted, stolen and intentionally adulterated products or products that are otherwise unfit for distribution in the U.S.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144"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Once an approval of a drug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Any of these limitations on approval or marketing could restrict the commercial promotion, distribution, prescription or dispensing of products. Other potential consequences include, among other things:</w:t>
      </w:r>
    </w:p>
    <w:p>
      <w:pPr>
        <w:spacing w:after="0" w:line="61" w:lineRule="exact"/>
        <w:rPr>
          <w:sz w:val="20"/>
          <w:szCs w:val="20"/>
          <w:color w:val="auto"/>
        </w:rPr>
      </w:pPr>
    </w:p>
    <w:p>
      <w:pPr>
        <w:ind w:left="1880" w:right="1239" w:hanging="323"/>
        <w:spacing w:after="0" w:line="283" w:lineRule="auto"/>
        <w:tabs>
          <w:tab w:leader="none" w:pos="18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the marketing or manufacturing of the product, complete withdrawal of the product from the market or product recalls;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fines, warning letters or clinical holds on post-approval clinical trials;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refusal of the FDA to approve pending NDAs or supplements to approved NDAs, or suspension or withdrawal of product approvals;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seizure or detention, or refusal to permit the import or export of products;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consent decrees, corporate integrity agreements, debarment or exclusion from federal healthcare programs;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mandated modification of promotional materials and labeling and the issuance of corrective information;</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7" w:name="page158"/>
    <w:bookmarkEnd w:id="15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 of safety alerts, Dear Healthcare Provider letters, press releases and other communications containing warnings or other safety information about the product;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injunctions or the imposition of civil or criminal penalties.</w:t>
      </w:r>
    </w:p>
    <w:p>
      <w:pPr>
        <w:spacing w:after="0" w:line="17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FDA strictly regulates marketing, labeling, advertising and promotion of products that are placed on the market. Drugs may be promoted by a manufacturer and any third parties acting on behalf of a manufacturer only for the approved indications and in a manner consistent with the approved label for the product. The FDA and other agencies actively enforce the laws and regulations prohibiting the promotion of off-label uses, and a company that is found to have improperly promoted off-label uses may be subject to significant liability.</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Failure to comply with any of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evaluated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and/or imposed permanent injunctions under which specified promotional conduct is changed or curtailed.</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Review and Approval of Drugs in the European Union</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In the EU, the research, development and commercialization of medicinal products are also subject to extensive regulatory requirements. As in the U.S., medicinal products can only be marketed if a marketing authorization, or MA, from the competent regulatory agencies has been obtained.</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Clinical Trial Approval</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April 2014, the European Union adopted the Clinical Trials Regulation (EU) No 536/2014, or the Clinical Trials Regulation, which replaced the previous Clinical Trials Directive 2001/20/EC on January 31, 2022. The Clinical Trials Regulation is directly applicable in all European Union Member States, meaning no national implementing legislation in each European Union Member State is required. The legislation aims at simplifying and streamlining the approval of clinical trials in the European Union, simplifying adverse-event reporting procedures, improving the supervision of clinical trials and increasing their transparency. For instance, the Clinical Trials Regulation provides for a streamlined application procedure for a clinical trial authorization application, or CTA, via a single entry point, rules on the protection of subjects and informed consent, transparency requirements, and strictly defined deadlines for the assessment of clinical trial applications. The transition period under the Clinical Trials Regulation ended on January 31, 2025, and all clinical trials (and related applications) are now fully subject to the provisions of the Clinical Trials Regulation.</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While the Clinical Trials Directive required a separate CTA to be submitted in each EU Member State in which the clinical trial was to take place, to both the competent national health authority and an independent ethics committee, the Clinical Trials Regulation introduces a centralized process and only requires the submission of a single application for multi-center trials. The Clinical Trials Regulation allows sponsors to make a single submission to both the competent authority and an ethics committee in each EU Member State, leading to a single decision per Member State. The CTA must include, among other things, a copy of the trial protocol and an investigational medicinal product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8" w:name="page159"/>
    <w:bookmarkEnd w:id="15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8" w:lineRule="auto"/>
        <w:rPr>
          <w:sz w:val="20"/>
          <w:szCs w:val="20"/>
          <w:color w:val="auto"/>
        </w:rPr>
      </w:pPr>
      <w:r>
        <w:rPr>
          <w:rFonts w:ascii="Times New Roman" w:cs="Times New Roman" w:eastAsia="Times New Roman" w:hAnsi="Times New Roman"/>
          <w:sz w:val="14"/>
          <w:szCs w:val="14"/>
          <w:color w:val="auto"/>
        </w:rPr>
        <w:t>dossier containing information about the manufacture and quality of the medicinal product under investigation. The assessment procedure of the CTA has been harmonized as well, including a joint assessment by all EU Member States concerned, and a separate assessment by each EU Member State with respect to specific requirements related to its own territory, including ethics rules. Each EU Member State’s decision is communicated to the sponsor via Clinical Trials Information System. Once the CTA is approved, clinical study development may proceed.</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Drug Review and Approval</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In the European Union, medicinal products can only be commercialized after obtaining an MA. There are two types of MA:</w:t>
      </w:r>
    </w:p>
    <w:p>
      <w:pPr>
        <w:spacing w:after="0" w:line="12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centralized MA, which is issued by the European Commission through the centralized procedure, based on the opinion of the Committee for Medicinal Products for Human Use of the EMA, or CHMP. A centralized MA is valid throughout the EEA, which is comprised of the Member States of the European Union plus Norway, Iceland and Liechtenstein. The centralized procedure is mandatory for certain types of products, including medicines produced by certain biotechnological processes, advanced therapy medicinal products (gene-therapy, somatic cell-therapy or tissue-engineered medicines), products designated as orphan medicinal products and products containing a new active substance indicated for the treatment of HIV, AIDS, cancer, neurodegenerative disorders, diabetes, auto-immune, and other immune dysfunctions and viral diseases. The centralized procedure is optional for products containing a new active substance not yet authorized in the European Union, or for products that constitute a significant therapeutic, scientific or technical innovation or which are in the interest of public health in the European Union.</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National MAs, which are issued by the competent authorities of the Member States of the European Union and only cover their respective territory, are available for products not falling within the mandatory scope of the centralized procedure. Where a product has already been authorized for marketing in a Member State of the European Union,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w:t>
      </w:r>
    </w:p>
    <w:p>
      <w:pPr>
        <w:spacing w:after="0" w:line="14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Under the above described procedures, before granting the MA, the EMA or the competent authorities of the Member States of the European Union make an assessment of the risk-benefit balance of the product on the basis of scientific criteria concerning its quality, safety and efficacy.</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Data and Market Exclusivity</w:t>
      </w:r>
    </w:p>
    <w:p>
      <w:pPr>
        <w:spacing w:after="0" w:line="93"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In the European Union, innovative medicinal products approved on the basis of a complete and independent data package qualify for eight years of data exclusivity upon marketing authorization and an additional two years of market exclusivity. The data exclusivity, if granted, prevents generic applicants from referencing the innovator’s preclinical and clinical trial data contained in the dossier of the reference product when applying for a generic (abbreviated) MA, for eight years from the date on which the reference product was first authorized in the European Union. During an additional two-year period of market exclusivity, a generic marketing authorization application can be submitted, and the innovator’s data may be referenced, but no generic or medicinal product can be placed on the European Union market until the expiration of the market exclusivity. The overall ten-year period may be extended to a maximum of 11 years if, during the first eight years of those ten years, the MA holder obtains an authorization for one or more new therapeutic indications which, during the scientific evaluation prior to their authorization, are determined to bring a significant clinical benefit in comparison with existing therapies. There is no guarantee that a product will be considered by the EMA to be an innovative medicinal product, and products may not qualify for data exclusivity. Even if a product is considered to be an innovative medicinal product so that the innovator gains the prescribed period of data exclusivity, another company could nevertheless also market another version of the product if such company obtained an MA based on an application with a complete and independent data package of pharmaceutical tests, preclinical tests and clinical trials.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59" w:name="page160"/>
    <w:bookmarkEnd w:id="15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PRIME scheme</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March 2016, the EMA launched an initiative to facilitate development of product candidates in indications, often rare, for which few or no therapies currently exist, by, amongst other things, offering early dialogue with, and regulatory support from, the EMA. The scheme is intended to stimulate innovation, optimize development and enable accelerated assessment of PRIority Medicines, or PRIME, by building upon the scientific advice scheme and accelerated assessment procedure offered by EMA. The scheme is voluntary and eligibility criteria must be met for a medicine to qualify for PRIME.</w:t>
      </w:r>
    </w:p>
    <w:p>
      <w:pPr>
        <w:spacing w:after="0" w:line="14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PRIME scheme is open to medicines under development and for which the applicant intends to submit an initial marketing authorization application through the centralized procedure. Eligible products must target conditions for which there is an unmet medical need (meaning there is no satisfactory method of diagnosis, prevention or treatment in the European Union or, if there is, the new medicine will bring a major therapeutic advantage) and they must demonstrate the potential to address the unmet medical need by introducing new methods of therapy or improving existing ones. Applicants will typically be at the exploratory clinical trial phase of development, and will have preliminary clinical evidence in patients to demonstrate the promising activity of the medicine and its potential to address, to a significant extent, an unmet medical need. In exceptional cases, applicants from the academic sector or SMEs (small and medium sized enterprises) may submit an eligibility request at an earlier stage of development if compelling non-clinical data in a relevant model provide early evidence of promising activity, and first-in-human studies indicate adequate exposure for the desired pharmacotherapeutic effects and tolerability.</w:t>
      </w:r>
    </w:p>
    <w:p>
      <w:pPr>
        <w:spacing w:after="0" w:line="150"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If a medicine is selected for the PRIME scheme, the EMA:</w:t>
      </w:r>
    </w:p>
    <w:p>
      <w:pPr>
        <w:spacing w:after="0" w:line="91" w:lineRule="exact"/>
        <w:rPr>
          <w:sz w:val="20"/>
          <w:szCs w:val="20"/>
          <w:color w:val="auto"/>
        </w:rPr>
      </w:pPr>
    </w:p>
    <w:p>
      <w:pPr>
        <w:ind w:left="1880" w:right="1239" w:hanging="323"/>
        <w:spacing w:after="0" w:line="283" w:lineRule="auto"/>
        <w:tabs>
          <w:tab w:leader="none" w:pos="1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appoints a rapporteur from the CHMP or from the CAT to provide continuous support and to build up knowledge of the medicine in advance of the filing of a marketing authorization application;</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issues guidance on the applicant’s overall development plan and regulatory strategy;</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organizes a kick-off meeting with the rapporteur and experts from relevant EMA committees and working groups;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a dedicated EMA contact person;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provides scientific advice at key development milestones, involving additional stakeholders, such as health technology assessment bodies and patients, as needed.</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Medicines that are selected for the PRIME scheme are also expected to benefit from the EMA’s accelerated assessment procedure at the time of application for marketing authorization. Where, during the course of development, a medicine no longer meets the eligibility criteria, support under the PRIME scheme may be withdrawn.</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Orphan Drug Designation and Exclusivity</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 product can be designated as an orphan medicinal product by the European Commission if its sponsor can establish that: (1) the product is intended for the diagnosis, prevention or treatment of a life-threatening or chronically debilitating condition; (2) either (a) such condition affects no more than five in 10,000 persons in the European Union when the application is made or (b) it is unlikely that the product, without the benefits derived from orphan status, would generate sufficient return in the European Union to justify the necessary investment in its development; and (3) there exists no satisfactory method of diagnosis, prevention or treatment of such condition authorized for marketing in the European Union or, if such method exists, the product will be of significant benefit to those affected by that condition. Orphan medicinal products are eligible for financial incentives such as reduction of fees or fee waivers. The application for orphan designation must be submitted before the application for marketing authorization. The applicant will receive a fee reduction for the MA application if the orphan designation has been granted, but not if the orphan designation is still pending at the time the MA application is submitted. Orphan designation does not convey any advantage in, or shorten the duration of, the regulatory review and approval process.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0" w:name="page161"/>
    <w:bookmarkEnd w:id="16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Products receiving orphan designation in the European Union can receive ten years of market exclusivity for the authorized orphan indication, during which time the EMA and the competent authorities of the Member States cannot accept or grant a marketing authorization for the same therapeutic indication in respect of a “similar medicinal product,” subject to certain exceptions. A “similar medicinal product” is defined as a medicinal product containing a similar active substance or substances as contained in an authorized orphan medicinal product, and which is intended for the same therapeutic indication. However, an MA may be granted to a similar medicinal product for the same indication as an authorized orphan product during the ten-year exclusivity period with the consent of the MA holder for the original orphan medicinal product or if the marketing authorization holder for the original orphan medicinal product is unable to supply sufficient quantities of such product. Marketing authorization may also be granted to a similar medicinal product for the same indication as an authorized orphan product if the second applicant can establish that its product is safer, more effective or otherwise clinically superior to the original orphan medicinal product. The period of market exclusivity may be reduced to six years if, at the end of the fifth year, it is established that the product no longer meets the criteria for orphan designation, for example, if the product is sufficiently profitable not to justify maintenance of market exclusivity. The market exclusivity period may also be extended by two additional years in connection with pediatric development under certain circumstances.</w:t>
      </w:r>
    </w:p>
    <w:p>
      <w:pPr>
        <w:spacing w:after="0" w:line="146"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aforementioned European Union rules are generally applicable in the EEA, which consists of the European Union Member States, plus Iceland, Liechtenstein and Norway. </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Reform of the Regulatory Framework in the European Union</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European Commission introduced legislative proposals in April 2023 that, if implemented, will replace the current regulatory framework in the European Union for all medicines (including those for rare diseases and for children). The European Commission has provided the legislative proposals to the European Parliament and the European Council for their review and approval. A common position on the text has been agreed upon on December 11, 2025, in the context of subsequent inter-institutional trilogue negotiations. The proposed revisions remain to be adopted, and are not expected to become applicable before 2028.</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Regulation of Combination Products in the European Union</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EU regulates medical devices and medicinal products separately, through different legislative instruments, and the applicable requirements will vary depending on the type of drug-device combination product. EU guidance has been published to help manufacturers select the right regulatory framework. In the case of drug-delivery products intended to administer a medicinal product where the device and the medicinal product do not form a single integral product (i.e. where the medicinal product and the device do not form a single product which is intended exclusively for use in the given combination and which is not reusable, such as a pre-filled syringe), the medicinal product is regulated in accordance with the aforementioned rules while the device part is regulated as a medical device and will have to comply with all the applicable requirements set forth by Regulation (EU) 2017/745, or the Medical Devices Regulation (which became applicable on May 26, 2021 and repealed the EU Council Directive 93/42/EEC, or the Medical Devices Directive).</w:t>
      </w:r>
    </w:p>
    <w:p>
      <w:pPr>
        <w:spacing w:after="0" w:line="14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characteristics of non-integral devices used for the administration of medicinal products may impact the quality, safety and efficacy profile of the medicinal products. To the extent that administration devices are co-packaged with the medicinal product or, in exceptional cases, where the use of a specific type of administration device is specifically provided for in the product information of the medicinal product, additional information may need to be provided in the MAA for the medicinal product on the characteristics of the medical device(s) that may impact on the quality, safety and/or efficacy of the medicinal product. The requirements regarding quality aspects for medical devices used in combination with medicinal products (including integral, co-packaged, or separately obtained devices referenced in the product information), are outlined in an EMA guideline which came into effect on January 1, 2022.</w:t>
      </w:r>
    </w:p>
    <w:p>
      <w:pPr>
        <w:spacing w:after="0" w:line="149"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For a manufacturer to affix a CE mark to a medical device in accordance with the Medical Devices Regulation, the device must meet the relevant general safety and performance requirements laid down in Annex I of the Medical Devices Regulation. The most fundamental requirement is that a medical device must be designed and manufactured in such a way that it will not compromise the clinical condition or safety of patients, or the safety and health of users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1" w:name="page162"/>
    <w:bookmarkEnd w:id="16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and others. In addition, the device must achieve the performances intended by the manufacturer and be designed, manufactured, and packaged in a suitable manner. To demonstrate compliance with the general safety and performance requirements laid down in Annex I to the Medical Devices Regulation, medical device manufacturers must undergo a conformity assessment procedure, which varies according to the type of medical device and its (risk) classification. Conformity assessment procedures require an assessment of available clinical evidence, literature data for the product, and post-market experience in respect of similar products already marketed. For most medical devices (except certain, low risk, class I medical devices), a conformity assessment procedure requires the intervention of a notified body. Notified bodies are independent organizations designated by EU countries to assess the conformity of devices before being placed on the market. If satisfied that the relevant product conforms to the relevant general safety and performance requirements, the notified body issues a certificate of conformity, which the manufacturer uses as a basis for its own declaration of conformity. The manufacturer may then apply the CE mark to the device, which allows the device to be placed on the market throughout the EU.</w:t>
      </w:r>
    </w:p>
    <w:p>
      <w:pPr>
        <w:spacing w:after="0" w:line="150"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As a general rule, demonstration of conformity of medical devices and their manufacturers with the general safety and performance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1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aforementioned EU rules are generally applicable in the EEA.</w:t>
      </w:r>
    </w:p>
    <w:p>
      <w:pPr>
        <w:spacing w:after="0" w:line="2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Fixed-Dose Combination Guideline</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As with the FDA, the EMA has also issued guidelines to address review and approval of fixed-dose combination products. The EMA guideline on clinical development of fixed combination medicinal products came into force on October 1, 2017. The basic scientific requirements for any fixed combination medicinal product are justification of the pharmacological and medical rationale for the combination, and establishment of the evidence base for the relevant contribution of all active substances to the desired therapeutic effect (efficacy and/or safety) and a positive benefit-risk for the combination in the targeted indication. For products that involve initial combination of two active ingredients, the EMA has indicated that the design of clinical efficacy/safety studies to support a fixed combination medicinal product application for initial treatment will depend on its rationale, specifically to achieve superior efficacy or improved safety compared to use of the single active substances. In situations when it has been established that monotherapy will not be adequate, appropriate or ethical to reach the desired therapeutic effect, initial use of combination therapy should be easily justified (e.g., HIV).</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color w:val="auto"/>
        </w:rPr>
        <w:t>Brexit and the regulatory framework in the United Kingdom</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Following the end of the Brexit transition period on January 1, 2021 and the implementation of the Windsor Framework on January 1, 2025, the UK is not generally subject to EU laws in respect of medicines. The EU laws that have been transposed into UK law through secondary legislation remain applicable in the UK, however, new legislation such as the EU Clinical Trials Regulation is not applicable in the UK.</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As of January 1, 2021, the Medicines and Healthcare products Regulatory Agency, or MHRA, is the UK’s standalone medicines and medical devices regulator. On January 1, 2025 a new arrangement called the “Windsor Framework” came into effect and reintegrated Northern Ireland under the regulatory authority of the MHRA with respect to medicinal products. The Windsor Framework removes EU licensing processes and EU labeling and serialization requirements in relation to Northern Ireland and introduces a UK-wide licensing process for medicines.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UK regulatory framework in relation to clinical trials is governed by the Medicines for Human Use (Clinical Trials) Regulations 2004, as amended, which are derived from the EU Clinical Trials Directive, as implemented into UK national law through secondary legislation. In April 2025, the UK introduced the Medicines for Human Use (Clinical Trials) (Amendment) Regulations 2025. The Medicines for Human Use (Clinical Trials) (Amendment)</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2" w:name="page163"/>
    <w:bookmarkEnd w:id="16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Regulations 2025 will take full effect from April 28, 2026, and aim to create a streamlined, risk-proportionate system that accelerates approvals while maintaining robust safety standards. In addition, in October 2023, the MHRA announced a new Notification Scheme for clinical trials which enables a more streamlined and risk-proportionate approach to initial clinical trial applications for Phase 4 and low-risk Phase 3 clinical trial applications.</w:t>
      </w:r>
    </w:p>
    <w:p>
      <w:pPr>
        <w:spacing w:after="0" w:line="14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order to obtain a UK marketing authorization to commercialize medicinal products in the UK, an applicant must follow one of the UK national authorization procedures or one of the remaining post-Brexit international cooperation procedures. The MHRA has introduced changes to national licensing procedures, including procedures to prioritize access to new medicines that will benefit patients, a 150-day assessment procedure (subject to clock-stops) and a rolling review procedure. In addition, since January 1, 2024, the MHRA introduced a new International Recognition Procedure, or IRP, which enables the MHRA when reviewing certain types of marketing authorization applications to take into account the expertise and decision-making of trusted regulatory partners (e.g. the medicines regulatory authorities in Australia, Canada, Switzerland, Singapore, Japan, the U.S.A. and the EMA in the EU). The MHRA will conduct a targeted assessment of IRP applications but retain the authority to reject applications if the evidence provided is considered insufficiently robust.</w:t>
      </w:r>
    </w:p>
    <w:p>
      <w:pPr>
        <w:spacing w:after="0" w:line="14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There is no pre-marketing authorization orphan designation in the UK. Instead, the MHRA reviews applications for orphan designation in parallel to the corresponding marketing authorization application. The criteria are essentially the same as in the EU, but have been tailored for the market, i.e., the prevalence of the condition in the UK, rather than the EU, must not be more than five in 10,000. Should an orphan designation be granted, the period or market exclusivity will be set from the date of first approval of the product in the UK.</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Other U.S. Healthcare Laws and Compliance Requirements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Healthcare providers, including physicians, and third-party payors play a significant role in determining what drug products are used by patients. Our current and future arrangements with healthcare providers, third party payors, patients and other parties within the healthcare industry as well as our business operations more generally may implicate broadly applicable fraud and abuse and other healthcare laws and regulations. Within the U.S., restrictions under applicable federal and state healthcare laws and regulations, including certain laws and regulations applicable only if we have marketed products, include the following:</w:t>
      </w:r>
    </w:p>
    <w:p>
      <w:pPr>
        <w:spacing w:after="0" w:line="59" w:lineRule="exact"/>
        <w:rPr>
          <w:sz w:val="20"/>
          <w:szCs w:val="20"/>
          <w:color w:val="auto"/>
        </w:rPr>
      </w:pPr>
    </w:p>
    <w:p>
      <w:pPr>
        <w:jc w:val="both"/>
        <w:ind w:left="1880" w:right="1239" w:hanging="323"/>
        <w:spacing w:after="0" w:line="256" w:lineRule="auto"/>
        <w:tabs>
          <w:tab w:leader="none" w:pos="18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anti-kickback statute or specific intent to violate it in order to have committed a violation;</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56" w:lineRule="auto"/>
        <w:tabs>
          <w:tab w:leader="none" w:pos="18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Claims Act, or FCA, which imposes criminal and civil penalties on individuals or entities for knowingly presenting, or causing to be presented, to the federal government, claims for payment that are false or fraudulent or making a false statement to avoid, decrease or conceal an obligation to pay money to the federal government and actions under the FCA may be brought by private whistleblowers as well as the government. In addition, the government may assert that a claim including items and services resulting from a violation of the federal anti-kickback statute constitutes a false or fraudulent claim for purposes of the FCA;</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Health Insurance Portability and Accountability Act of 1996, or HIPAA, as amended, which imposes criminal and civil liability for executing a scheme to defraud any healthcare benefit program and also establishes requirements related to the privacy, security, and transmission of individually identifiable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3" w:name="page164"/>
    <w:bookmarkEnd w:id="16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spacing w:after="0" w:line="283" w:lineRule="auto"/>
        <w:rPr>
          <w:sz w:val="20"/>
          <w:szCs w:val="20"/>
          <w:color w:val="auto"/>
        </w:rPr>
      </w:pPr>
      <w:r>
        <w:rPr>
          <w:rFonts w:ascii="Times New Roman" w:cs="Times New Roman" w:eastAsia="Times New Roman" w:hAnsi="Times New Roman"/>
          <w:sz w:val="14"/>
          <w:szCs w:val="14"/>
          <w:color w:val="auto"/>
        </w:rPr>
        <w:t>health information which apply to many healthcare providers, physicians and third-party payors with whom we interact;</w:t>
      </w:r>
    </w:p>
    <w:p>
      <w:pPr>
        <w:spacing w:after="0" w:line="41" w:lineRule="exact"/>
        <w:rPr>
          <w:sz w:val="20"/>
          <w:szCs w:val="20"/>
          <w:color w:val="auto"/>
        </w:rPr>
      </w:pPr>
    </w:p>
    <w:p>
      <w:pPr>
        <w:jc w:val="both"/>
        <w:ind w:left="1880" w:right="1239" w:hanging="323"/>
        <w:spacing w:after="0" w:line="267" w:lineRule="auto"/>
        <w:tabs>
          <w:tab w:leader="none" w:pos="18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FDCA, which, among other things, strictly regulates drug product and medical device marketing, prohibits manufacturers from marketing such products for off-label use and regulates the distribution of samples;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laws, such as the Medicaid Drug Rebate Program, that require pharmaceutical manufacturers to report certain calculated product prices to the government or provide certain discounts or rebates to government authorities or private entities, often as a condition of reimbursement under governmental healthcare programs;</w:t>
      </w:r>
    </w:p>
    <w:p>
      <w:pPr>
        <w:spacing w:after="0" w:line="56"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and state consumer protection and unfair competition laws, which broadly regulate marketplace activities and activities that potentially harm consumers;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so-called federal “sunshine law” or Open Payments which requires manufacturers of drugs, devices, biologics, and medical supplies to report to the Centers for Medicare &amp; Medicaid Services information related to payments and other transfers of value to teaching hospitals, physicians, and other healthcare practitioners, as well as ownership and investment interests held by physicians and their immediate family members; and</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54" w:lineRule="auto"/>
        <w:tabs>
          <w:tab w:leader="none" w:pos="188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analogous state laws and regulations, such as state anti-kickback and false claims laws, which may apply to sales or marketing arrangements and claims involving healthcare items or services reimbursed by non-governmental third-party payors, including private insurers, and state laws which regulate interactions between pharmaceutical companies and healthcare providers, require pharmaceutical companies to comply with the pharmaceutical industry’s voluntary compliance guidelines and the relevant compliance guidance promulgated by the federal government, require pharmaceutical companies to report information on transfers of value to other healthcare providers, marketing expenditures or pricing information and/or require licensing of sales representatives. State laws also govern the privacy and security of health information in some circumstances, many of which differ from each other in significant ways and often are not preempted by HIPAA, thus complicating compliance efforts.</w:t>
      </w:r>
    </w:p>
    <w:p>
      <w:pPr>
        <w:spacing w:after="0" w:line="14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distribution of pharmaceutical products is subject to additional requirements and regulations, including extensive record-keeping, licensing, storage and security requirements intended to prevent the unauthorized sale of pharmaceutical products.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Given the breadth of the laws and regulations and narrowness of any exceptions, limited guidance for certain laws and regulations and evolving government interpretations of the laws and regulations, it is possible that some of our business activities could be subject to challenge under one or more of such laws.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If our operations are found to be in violation of any of these laws or any other governmental regulations that may apply to us, we may be subject to significant penalties, including, without limitation, civil, criminal and administrative penalties, damages, fines, disgorgement, imprisonment, exclusion from participating in federal and state funded healthcare programs, such as Medicare and Medicaid, additional reporting requirements and oversight if we become subject to a corporate integrity agreement or similar agreement to resolve allegations of non-compliance with these laws, contractual damages, diminished profits and future earnings, reputational harm and the curtailment or restructuring of our operations, any of which could harm our business.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4" w:name="page165"/>
    <w:bookmarkEnd w:id="16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Payments made to physicians in certain European Union Member States must be publicly disclosed. Moreover, agreements with physicians often must be the subject of prior notification and approval by the physician’s employer, his or her competent professional organization, and/or the regulatory authorities of the individual European Union Member States. These requirements are provided in the national laws, industry codes or professional codes of conduct applicable in the European Union Member States. Failure to comply with these requirements could result in reputational risk, public reprimands, administrative penalties, exclusion from participation in governmental healthcare programs, disgorgement, fines or imprisonment.</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Healthcare Reform</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the United States and some foreign jurisdictions, there have been and continue to be significant legislative and regulatory changes and proposed changes regarding the healthcare system that could prevent or delay marketing approval of product candidates that we may develop, restrict or regulate post-approval activities, and affect the ability to profitably sell product candidates for which marketing approval is obtained. 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w:t>
      </w:r>
    </w:p>
    <w:p>
      <w:pPr>
        <w:spacing w:after="0" w:line="14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For example, the Patient Protection and Affordable Care Act, as amended by the Health Care and Education Reconciliation Act of 2020, or ACA, substantially changed healthcare financing and delivery by both governmental and private insurers.</w:t>
      </w:r>
    </w:p>
    <w:p>
      <w:pPr>
        <w:spacing w:after="0" w:line="136"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Among the ACA provisions of importance to the pharmaceutical and biotechnology industries, in addition to those otherwise described above, are the following:</w:t>
      </w:r>
    </w:p>
    <w:p>
      <w:pPr>
        <w:spacing w:after="0" w:line="41" w:lineRule="exact"/>
        <w:rPr>
          <w:sz w:val="20"/>
          <w:szCs w:val="20"/>
          <w:color w:val="auto"/>
        </w:rPr>
      </w:pPr>
    </w:p>
    <w:p>
      <w:pPr>
        <w:ind w:left="1880" w:right="1239" w:hanging="323"/>
        <w:spacing w:after="0" w:line="283" w:lineRule="auto"/>
        <w:tabs>
          <w:tab w:leader="none" w:pos="18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the minimum level of Medicaid rebates payable by manufacturers of brand name drugs from 15.1% to 23.1% of the average manufacturer price;</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collection of rebates for drugs paid by Medicaid managed care organizations;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Required manufacturers to participate in a coverage gap discount program, under which they must agree to offer 70 percent point-of-sale discounts off negotiated prices of applicable brand drugs to eligible beneficiaries during their coverage gap period, as a condition for the manufacturer’s outpatient drugs to be covered under Medicare Part D (a requirement later replaced under the Inflation Reduction Act of 2022, or IRA, by the Medicare Part D manufacturer discount program); and</w:t>
      </w:r>
    </w:p>
    <w:p>
      <w:pPr>
        <w:spacing w:after="0" w:line="59"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Imposed a non-deductible annual fee on pharmaceutical manufacturers or importers who sell “branded prescription drugs” to specified federal government programs.</w:t>
      </w:r>
    </w:p>
    <w:p>
      <w:pPr>
        <w:spacing w:after="0" w:line="12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There has been increasing legislative and enforcement interest in the United States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Both the Trump administration and Congress have indicated that they will continue to seek new legislative and executive measures to control drug costs.</w:t>
      </w:r>
    </w:p>
    <w:p>
      <w:pPr>
        <w:spacing w:after="0" w:line="14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In addition, other legislative and regulatory changes have been proposed and adopted in the United States since the ACA was enacted:</w:t>
      </w:r>
    </w:p>
    <w:p>
      <w:pPr>
        <w:spacing w:after="0" w:line="41" w:lineRule="exact"/>
        <w:rPr>
          <w:sz w:val="20"/>
          <w:szCs w:val="20"/>
          <w:color w:val="auto"/>
        </w:rPr>
      </w:pPr>
    </w:p>
    <w:p>
      <w:pPr>
        <w:ind w:left="1880" w:right="1239" w:hanging="323"/>
        <w:spacing w:after="0" w:line="283" w:lineRule="auto"/>
        <w:tabs>
          <w:tab w:leader="none" w:pos="18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Budget Control Act of 2011, among other things, included aggregate reductions of Medicare payments to providers of 2% per fiscal year that remain in effect through 2031.</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American Taxpayer Relief Act of 2012, among other things, further reduced Medicare payments to several types of providers and increased the statute of limitations period for the government to recover overpayments to providers from three to five years.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5" w:name="page166"/>
    <w:bookmarkEnd w:id="16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hanging="323"/>
        <w:spacing w:after="0" w:line="267" w:lineRule="auto"/>
        <w:tabs>
          <w:tab w:leader="none" w:pos="1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American Rescue Plan Act of 2021 eliminated the statutory Medicaid drug rebate cap, previously set at 100% of a drug’s average manufacturer price, for single source and innovator multiple source drugs, beginning January 1, 2024.</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Due to the Statutory Pay-As-You-Go Act of 2010, estimated budget deficit increases resulting from the American Rescue Plan Act of 2021, and subsequent legislation, Medicare payments to providers were further reduced starting in 2025 absent further legislation.</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54" w:lineRule="auto"/>
        <w:tabs>
          <w:tab w:leader="none" w:pos="1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IRA also includes several provisions that will impact our business to varying degrees, including provisions that create a $2,000 out-of-pocket cap for Medicare Part D beneficiaries, impose new manufacturer financial liability on all drugs in Medicare Part D, allow the U.S. government to negotiate Medicare Part B and Part D pricing for certain high-cost drugs and biologics without generic or biosimilar competition, require companies to pay rebates to Medicare for drug prices that increase faster than inflation, and delay the rebate rule that would require pass through of pharmacy benefit manager rebates to beneficiaries. Further, under the IRA, orphan drugs are exempted from the Medicare drug price negotiation program (regardless of the number of orphan designations) provided that the drug is only approved for rare disease indications. The implementation of the IRA is currently subject to ongoing litigation challenging the constitutionality of the IRA’s Medicare drug price negotiation program. The effect of IRA on our business and the healthcare industry in general is not yet known.</w:t>
      </w:r>
    </w:p>
    <w:p>
      <w:pPr>
        <w:spacing w:after="0" w:line="60"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One Big Beautiful Bill Act, which was enacted in July 2025, imposes significant reductions in the funding of the Medicaid program. Such reductions are expected to apply significant funding pressure on state Medicaid budgets, decrease the number of persons enrolled in Medicaid, and reduce the services covered by Medicaid.</w:t>
      </w:r>
    </w:p>
    <w:p>
      <w:pPr>
        <w:spacing w:after="0" w:line="141"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Further, the Trump Administration has issued several Executive Orders in 2025 that could have an impact on the prices that we, or any collaborators, may receive for any approved products. On April 15, 2025, President Trump signed an executive order that included directives to the federal government to lower drug prices, including directing HHS to issue updated IRA drug price negotiation guidance, eliminating the so-called “pill penalty” under the IRA that creates a distinction between small molecule and large molecule products for purposes of determining when a drug may be eligible for drug price negotiation, and evaluating the role of pharmacy benefit managers. The Trump Administration may pursue new or different drug pricing, trade, social, and other policy objectives from prior administrations, which introduces further uncertainty as to how future legislative or regulatory changes may impact our business. On May 12, 2025, President Trump signed an executive order directing the Secretary of HHS to set and communicate most-favored-nation, or MFN, price targets to manufacturers and propose a rulemaking plan to impose MFN pricing if “significant progress” is not made, and also directs the federal government to support regulatory paths to allow direct-to-patient sales for companies that meet these targets. The executive order states that the Administration will take additional action (for example, examining whether marketing approvals should be modified or rescinded or opening the door for individual drug importation waivers) should manufacturers fail to offer American consumers the MFN lowest price. In July 2025, President Trump sent letters to 17 pharmaceutical companies demanding that these companies extend MFN pricing to Medicaid and newly launched drugs as well as move to direct-to-consumer models priced at MFN pricing, and soliciting binding commitments by September 29, 2025. Since this time, multiple drug manufacturers have announced plans to, for certain of their drugs, lower prices to reflect similar pricing around the world, and to sell these reduced-price drugs on a direct-to-consumer purchasing platform that is yet to be developed by the federal government, though it is not known what results will occur to the extent the recipients of these letters do not reduce their U.S. prices.</w:t>
      </w:r>
    </w:p>
    <w:p>
      <w:pPr>
        <w:spacing w:after="0" w:line="151"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Consistent with these policy initiatives, in December 2025, CMS released proposed rules that would operationalize MFN-based pricing concepts through new federal reimbursement models, including the Global Benchmark for Efficient Drug Pricing, or GLOBE, Model for Medicare Part B and the Guarding U.S. Medicare Against Rising Drug Costs, GUARD, Model for Medicare Part D. As proposed, these models would apply to certain qualifying single-source drugs or biologics and would require manufacturers to make additional payments or rebates based on international reference pricing benchmarks, subject to specified eligibility and spending thresholds. CMS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6" w:name="page167"/>
    <w:bookmarkEnd w:id="16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7" w:lineRule="auto"/>
        <w:rPr>
          <w:sz w:val="20"/>
          <w:szCs w:val="20"/>
          <w:color w:val="auto"/>
        </w:rPr>
      </w:pPr>
      <w:r>
        <w:rPr>
          <w:rFonts w:ascii="Times New Roman" w:cs="Times New Roman" w:eastAsia="Times New Roman" w:hAnsi="Times New Roman"/>
          <w:sz w:val="14"/>
          <w:szCs w:val="14"/>
          <w:color w:val="auto"/>
        </w:rPr>
        <w:t>has indicated that GLOBE would begin a multi-year performance period starting in October 2026 and GUARD would begin in 2027, although these models remain subject to further rulemaking and potential legal or policy challenges.</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In addition, CMS announced in 2025 the GENEROUS Model, launching in 2026, which will allow participating state Medicaid programs to purchase certain drugs at internationally-aligned prices through CMS-negotiated agreements with manufacturers, potentially impacting Medicaid reimbursement and pricing.</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Trump Administration may pursue new or different drug pricing, trade, social, and other policy objectives from prior administrations, which introduces further uncertainty as to how future legislative or regulatory changes may impact our business.</w:t>
      </w:r>
    </w:p>
    <w:p>
      <w:pPr>
        <w:spacing w:after="0" w:line="13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the European Union, similar political, economic and regulatory developments may affect our ability to profitably commercialize our potential product candidates. Recently, many countries in the European Union have increased the amount of discounts required on pharmaceuticals and these efforts could continue as countries attempt to manage healthcare expenditures, especially in light of the severe fiscal and debt crises experienced by many countries in the European Union. The downward pressure on healthcare costs in general, particularly prescription products, has become intense. Political, economic and regulatory developments may further complicate pricing negotiations, and pricing negotiations may continue after reimbursement has been obtained. Reference pricing used by various Member States, and parallel trade, i.e., arbitrage between low-priced and high-priced Member States, can further reduce prices. There can be no assurance that any country that has price controls or reimbursement limitations for pharmaceutical products will allow favorable reimbursement and pricing arrangements for any of our products, if approved in those countries.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Coverage and Reimbursement</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other third-party payors, such as private health insurers and health maintenance organizations, decide which medications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7" w:name="page168"/>
    <w:bookmarkEnd w:id="16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spacing w:after="0" w:line="283" w:lineRule="auto"/>
        <w:rPr>
          <w:sz w:val="20"/>
          <w:szCs w:val="20"/>
          <w:color w:val="auto"/>
        </w:rPr>
      </w:pPr>
      <w:r>
        <w:rPr>
          <w:rFonts w:ascii="Times New Roman" w:cs="Times New Roman" w:eastAsia="Times New Roman" w:hAnsi="Times New Roman"/>
          <w:sz w:val="14"/>
          <w:szCs w:val="14"/>
          <w:color w:val="auto"/>
        </w:rPr>
        <w:t>they will pay for and establish reimbursement levels. Coverage and reimbursement by a third-party payor may depend upon a number of factors, including the third-party payor’s determination that use of a product is:</w:t>
      </w:r>
    </w:p>
    <w:p>
      <w:pPr>
        <w:spacing w:after="0" w:line="41" w:lineRule="exact"/>
        <w:rPr>
          <w:sz w:val="20"/>
          <w:szCs w:val="20"/>
          <w:color w:val="auto"/>
        </w:rPr>
      </w:pPr>
    </w:p>
    <w:p>
      <w:pPr>
        <w:ind w:left="1880" w:hanging="323"/>
        <w:spacing w:after="0"/>
        <w:tabs>
          <w:tab w:leader="none" w:pos="18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covered benefit under its health plan;</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safe, effective and medically necessary;</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appropriate for the specific patient;</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cost-effective;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neither experimental nor investigational.</w:t>
      </w:r>
    </w:p>
    <w:p>
      <w:pPr>
        <w:spacing w:after="0" w:line="17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the U.S., there is no uniform policy of coverage and reimbursement for products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The availability and adequacy of coverage and reimbursement by governmental healthcare programs such as Medicare and Medicaid, private health insurers and other third-party payors are essential for most patients to be able to afford our product candidates, if approved, and so will significantly affect our ability to successfully commercialize any such product candidates.</w:t>
      </w:r>
    </w:p>
    <w:p>
      <w:pPr>
        <w:spacing w:after="0" w:line="145"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 primary trend in the U.S. healthcare industry and elsewhere is cost containment. Government authorities and third-party payors have attempted to control costs by limiting coverage and the amount of reimbursement for particular medications. Coverage may not be available for any product that we commercialize or may be subject to controls imposed by third party payors to manage utilization (e.g., requiring specific approval for use of a product in a particular patient for coverage). Even if coverage is available, the resulting reimbursement payment rates may not be adequate or may require patient out-of-pocket costs that patients find unacceptably high.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Additionally, we, or our collaborators, will be required to obtain coverage and reimbursement for any companion diagnostic tests developed separate and apart from the coverage and reimbursement we may seek for our product candidates, once approved.</w:t>
      </w:r>
    </w:p>
    <w:p>
      <w:pPr>
        <w:spacing w:after="0" w:line="14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There may be significant delays in obtaining coverage and reimbursement for newly approved drugs, and coverage may be more limited than the purposes for which the drug is approved by the FDA or similar regulatory authorities outside of the U.S.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requested by private payors and by any future relaxation of laws that presently restrict imports of drugs from countries where they may be sold at lower prices than in the U.S.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w:t>
      </w:r>
    </w:p>
    <w:p>
      <w:pPr>
        <w:spacing w:after="0" w:line="149"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To obtain reimbursement or pricing approval, some of these countries may require the completion of clinical trials that compare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8" w:name="page169"/>
    <w:bookmarkEnd w:id="16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Historically, products launched in the European Union do not follow price structures of the U.S. and generally prices tend to be significantly lower.</w:t>
      </w:r>
    </w:p>
    <w:p>
      <w:pPr>
        <w:spacing w:after="0" w:line="14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There can be no assurance that our product candidates, even if they are approved for sale in the U.S.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Data Privacy and Security Laws</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In the ordinary course of business, we collect, transmit, store, use, disclose, transfer, maintain and otherwise process sensitive information, including personal data. Accordingly, we are, or may be become, subject to numerous data protection, privacy, and security obligations, including global, federal, state, and local laws, rules, regulations, guidance, industry standards, external and internal privacy and security policies, contractual requirements and other obligations related to data protection, privacy, and security. Similarly, these legal requirements may apply to the operations of our partners with which we exchange personal data or otherwise do business. More specifically, in the U.S., numerous federal and state laws and regulations, including data breach notification laws, health information privacy and security laws and consumer protection laws and regulations govern the collection, use, disclosure, protection, and other processing of health-related and other personal information. In addition, certain foreign laws and regulations govern the privacy and security of personal data, including health-related data. Data protection, privacy and security laws, regulations and other obligations are constantly evolving, and may conflict with each other to complicate compliance. These data protection, privacy, and security laws and regulations impose significant and complex compliance obligations on entities that are subject to those laws, as more fully discussed in the section titled “Risk Factors” included elsewhere in this prospectus.</w:t>
      </w:r>
    </w:p>
    <w:p>
      <w:pPr>
        <w:spacing w:after="0" w:line="2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Facilities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Our corporate headquarters are located in Boston, Massachusetts, where we sublease and occupy approximately 8,774 square feet of office space. Our Boston sublease expires in January 2029, with the option to extend for an additional three years.</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believe our existing facilities in Boston are sufficient for our needs for the foreseeable future. To meet the future needs of our business, we may lease additional or alternate space, and we believe suitable additional or alternative space will be available in the future on commercially reasonable terms.</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As of April 1, 2026, we had 51 full-time employees. Within our workforce, 32 employees are engaged in research and development and 19 are engaged in business development, finance, legal, and general management and administration. Our human capital resources objectives include identifying, recruiting, retaining, incentivizing and integrating our existing and new employees, advisors and consultants. The principal purposes of our equity incentive plans are to attract, retain and reward personnel through the granting of equity-based compensation awards in order to increase shareholder value and the success of our company by motivating such individuals to perform to the best of their abilities and achieve our objectives. None of our employees is represented by a labor union or covered by a collective bargaining agreement. We consider our relationship with our employees to be good.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69" w:name="page170"/>
    <w:bookmarkEnd w:id="16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Legal Proceedings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From time to time, we may become involved in litigation or other legal proceedings. We are not currently a party to any litigation or legal proceedings that, in the opinion of our management, are probable to have a material adverse effect on our business. Regardless of outcome, litigation can have an adverse impact on our business, financial condition, results of operations and prospects because of defense and settlement costs, diversion of management resources and other factors.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0" w:name="page171"/>
    <w:bookmarkEnd w:id="17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MANAGEMENT</w:t>
      </w:r>
    </w:p>
    <w:p>
      <w:pPr>
        <w:spacing w:after="0" w:line="1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Executive Officers and Directors</w:t>
      </w:r>
    </w:p>
    <w:p>
      <w:pPr>
        <w:spacing w:after="0" w:line="93"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following table sets forth information regarding our executive officers and directors as of the date of this prospectus:</w:t>
      </w:r>
    </w:p>
    <w:p>
      <w:pPr>
        <w:spacing w:after="0" w:line="310"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2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00" w:type="dxa"/>
            <w:vAlign w:val="bottom"/>
          </w:tcPr>
          <w:p>
            <w:pPr>
              <w:spacing w:after="0"/>
              <w:rPr>
                <w:sz w:val="11"/>
                <w:szCs w:val="11"/>
                <w:color w:val="auto"/>
              </w:rPr>
            </w:pPr>
          </w:p>
        </w:tc>
        <w:tc>
          <w:tcPr>
            <w:tcW w:w="3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1"/>
                <w:szCs w:val="11"/>
                <w:b w:val="1"/>
                <w:bCs w:val="1"/>
                <w:color w:val="auto"/>
              </w:rPr>
              <w:t>Age</w:t>
            </w:r>
          </w:p>
        </w:tc>
        <w:tc>
          <w:tcPr>
            <w:tcW w:w="140" w:type="dxa"/>
            <w:vAlign w:val="bottom"/>
          </w:tcPr>
          <w:p>
            <w:pPr>
              <w:spacing w:after="0"/>
              <w:rPr>
                <w:sz w:val="11"/>
                <w:szCs w:val="11"/>
                <w:color w:val="auto"/>
              </w:rPr>
            </w:pPr>
          </w:p>
        </w:tc>
        <w:tc>
          <w:tcPr>
            <w:tcW w:w="360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1"/>
                <w:szCs w:val="11"/>
                <w:b w:val="1"/>
                <w:bCs w:val="1"/>
                <w:color w:val="auto"/>
              </w:rPr>
              <w:t>Position</w:t>
            </w:r>
          </w:p>
        </w:tc>
      </w:tr>
      <w:tr>
        <w:trPr>
          <w:trHeight w:val="144"/>
        </w:trPr>
        <w:tc>
          <w:tcPr>
            <w:tcW w:w="2400" w:type="dxa"/>
            <w:vAlign w:val="bottom"/>
          </w:tcPr>
          <w:p>
            <w:pPr>
              <w:spacing w:after="0" w:line="144" w:lineRule="exact"/>
              <w:rPr>
                <w:sz w:val="20"/>
                <w:szCs w:val="20"/>
                <w:color w:val="auto"/>
              </w:rPr>
            </w:pPr>
            <w:r>
              <w:rPr>
                <w:rFonts w:ascii="Times New Roman" w:cs="Times New Roman" w:eastAsia="Times New Roman" w:hAnsi="Times New Roman"/>
                <w:sz w:val="14"/>
                <w:szCs w:val="14"/>
                <w:i w:val="1"/>
                <w:iCs w:val="1"/>
                <w:color w:val="auto"/>
              </w:rPr>
              <w:t>Executive Officers: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Lyn Baranowski</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50</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Douglas Carlson</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47</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Financial Officer and Chief Business Officer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Melissa Rhodes, Ph.D., D.A.B.T</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48</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Operating Officer</w:t>
            </w:r>
          </w:p>
        </w:tc>
      </w:tr>
      <w:tr>
        <w:trPr>
          <w:trHeight w:val="166"/>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Howard M. Lazarus, M.D., FCCP</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60</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Chief Medical Officer</w:t>
            </w:r>
          </w:p>
        </w:tc>
      </w:tr>
      <w:tr>
        <w:trPr>
          <w:trHeight w:val="170"/>
        </w:trPr>
        <w:tc>
          <w:tcPr>
            <w:tcW w:w="24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Non-Employee Directors:</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0" w:type="dxa"/>
            <w:vAlign w:val="bottom"/>
          </w:tcPr>
          <w:p>
            <w:pPr>
              <w:spacing w:after="0"/>
              <w:rPr>
                <w:sz w:val="14"/>
                <w:szCs w:val="14"/>
                <w:color w:val="auto"/>
              </w:rPr>
            </w:pP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Heather Turner</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53</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 and Board Chair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Tiba Aynechi, Ph.D.</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50</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Jill Carroll (1)(2)</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50</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Jon Congleton (2)(3)</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62</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David Friedman, M.D. (1)</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51</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Kate Haviland(2)(3)</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50</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Gianna Hoffman-Luca, Ph.D.</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41</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68"/>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Erin Lavelle (1)(3)</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48</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r>
        <w:trPr>
          <w:trHeight w:val="183"/>
        </w:trPr>
        <w:tc>
          <w:tcPr>
            <w:tcW w:w="2400" w:type="dxa"/>
            <w:vAlign w:val="bottom"/>
          </w:tcPr>
          <w:p>
            <w:pPr>
              <w:spacing w:after="0"/>
              <w:rPr>
                <w:sz w:val="20"/>
                <w:szCs w:val="20"/>
                <w:color w:val="auto"/>
              </w:rPr>
            </w:pPr>
            <w:r>
              <w:rPr>
                <w:rFonts w:ascii="Times New Roman" w:cs="Times New Roman" w:eastAsia="Times New Roman" w:hAnsi="Times New Roman"/>
                <w:sz w:val="14"/>
                <w:szCs w:val="14"/>
                <w:color w:val="auto"/>
              </w:rPr>
              <w:t>Ketan Patel, M.D.</w:t>
            </w:r>
          </w:p>
        </w:tc>
        <w:tc>
          <w:tcPr>
            <w:tcW w:w="420" w:type="dxa"/>
            <w:vAlign w:val="bottom"/>
            <w:gridSpan w:val="2"/>
          </w:tcPr>
          <w:p>
            <w:pPr>
              <w:jc w:val="right"/>
              <w:ind w:right="4"/>
              <w:spacing w:after="0"/>
              <w:rPr>
                <w:sz w:val="20"/>
                <w:szCs w:val="20"/>
                <w:color w:val="auto"/>
              </w:rPr>
            </w:pPr>
            <w:r>
              <w:rPr>
                <w:rFonts w:ascii="Times New Roman" w:cs="Times New Roman" w:eastAsia="Times New Roman" w:hAnsi="Times New Roman"/>
                <w:sz w:val="14"/>
                <w:szCs w:val="14"/>
                <w:color w:val="auto"/>
              </w:rPr>
              <w:t>50</w:t>
            </w:r>
          </w:p>
        </w:tc>
        <w:tc>
          <w:tcPr>
            <w:tcW w:w="37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60325</wp:posOffset>
            </wp:positionV>
            <wp:extent cx="640715"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02" w:lineRule="exact"/>
        <w:rPr>
          <w:sz w:val="20"/>
          <w:szCs w:val="20"/>
          <w:color w:val="auto"/>
        </w:rPr>
      </w:pPr>
    </w:p>
    <w:p>
      <w:pPr>
        <w:ind w:left="1560" w:hanging="336"/>
        <w:spacing w:after="0"/>
        <w:tabs>
          <w:tab w:leader="none" w:pos="15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compensation committee.</w:t>
      </w:r>
    </w:p>
    <w:p>
      <w:pPr>
        <w:spacing w:after="0" w:line="21" w:lineRule="exact"/>
        <w:rPr>
          <w:rFonts w:ascii="Times New Roman" w:cs="Times New Roman" w:eastAsia="Times New Roman" w:hAnsi="Times New Roman"/>
          <w:sz w:val="14"/>
          <w:szCs w:val="14"/>
          <w:color w:val="auto"/>
        </w:rPr>
      </w:pPr>
    </w:p>
    <w:p>
      <w:pPr>
        <w:ind w:left="1560" w:hanging="336"/>
        <w:spacing w:after="0"/>
        <w:tabs>
          <w:tab w:leader="none" w:pos="15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nominating and corporate governance committee.</w:t>
      </w:r>
    </w:p>
    <w:p>
      <w:pPr>
        <w:spacing w:after="0" w:line="7" w:lineRule="exact"/>
        <w:rPr>
          <w:rFonts w:ascii="Times New Roman" w:cs="Times New Roman" w:eastAsia="Times New Roman" w:hAnsi="Times New Roman"/>
          <w:sz w:val="14"/>
          <w:szCs w:val="14"/>
          <w:color w:val="auto"/>
        </w:rPr>
      </w:pPr>
    </w:p>
    <w:p>
      <w:pPr>
        <w:ind w:left="1560" w:hanging="336"/>
        <w:spacing w:after="0"/>
        <w:tabs>
          <w:tab w:leader="none" w:pos="156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Member of the audit committee.</w:t>
      </w:r>
    </w:p>
    <w:p>
      <w:pPr>
        <w:spacing w:after="0" w:line="242" w:lineRule="exact"/>
        <w:rPr>
          <w:rFonts w:ascii="Times New Roman" w:cs="Times New Roman" w:eastAsia="Times New Roman" w:hAnsi="Times New Roman"/>
          <w:sz w:val="14"/>
          <w:szCs w:val="14"/>
          <w:color w:val="auto"/>
        </w:rPr>
      </w:pPr>
    </w:p>
    <w:p>
      <w:pPr>
        <w:ind w:left="15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i w:val="1"/>
          <w:iCs w:val="1"/>
          <w:color w:val="auto"/>
        </w:rPr>
        <w:t>Executive Officers</w:t>
      </w:r>
    </w:p>
    <w:p>
      <w:pPr>
        <w:spacing w:after="0" w:line="91" w:lineRule="exact"/>
        <w:rPr>
          <w:sz w:val="20"/>
          <w:szCs w:val="20"/>
          <w:color w:val="auto"/>
        </w:rPr>
      </w:pPr>
    </w:p>
    <w:p>
      <w:pPr>
        <w:jc w:val="both"/>
        <w:ind w:left="1220" w:right="1239" w:firstLine="333"/>
        <w:spacing w:after="0" w:line="246" w:lineRule="auto"/>
        <w:rPr>
          <w:sz w:val="20"/>
          <w:szCs w:val="20"/>
          <w:color w:val="auto"/>
        </w:rPr>
      </w:pPr>
      <w:r>
        <w:rPr>
          <w:rFonts w:ascii="Times New Roman" w:cs="Times New Roman" w:eastAsia="Times New Roman" w:hAnsi="Times New Roman"/>
          <w:sz w:val="14"/>
          <w:szCs w:val="14"/>
          <w:b w:val="1"/>
          <w:bCs w:val="1"/>
          <w:color w:val="auto"/>
        </w:rPr>
        <w:t xml:space="preserve">Lyn Baranowski. </w:t>
      </w:r>
      <w:r>
        <w:rPr>
          <w:rFonts w:ascii="Times New Roman" w:cs="Times New Roman" w:eastAsia="Times New Roman" w:hAnsi="Times New Roman"/>
          <w:sz w:val="14"/>
          <w:szCs w:val="14"/>
          <w:color w:val="auto"/>
        </w:rPr>
        <w:t>Ms. Baranowski has served as our President and Chief Executive Officer and as a member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 our board of directors since October 2022. Prior to joining us, Ms. Baranowski served as Chief Operating Officer of Altavant, from its formation in October 2018 until October 2022. At Altavant, Ms. Baranowski oversaw the development of therapies for rare respiratory diseases and contributed to the company’s $3 billion acquisition by Sumitomo Dainippon in 2019. Prior to Altavant, Ms. Baranowski served as Senior Vice President, Corporate Development &amp; Strategy at Melinta Therapeutics, LLC (formerly, Nasdaq: MLNT) from August 2013 to July 2018. From May 2011 to August 2013, Ms. Baranowski served as Vice President of Commercial Development at Pearl Therapeutics, Inc., which successfully developed a portfolio of inhaled respiratory medicines that led to its $1.15 billion acquisition by AstraZeneca. Ms. Baranowski also served as Vice President at a healthcare-focused venture capital firm based in New York, and served in senior roles in business development, marketing, and public affairs at Novartis Pharmaceuticals in both the U.S. and Switzerland. Throughout her career, Ms. Baranowski has played pivotal roles in the development and commercialization of market-shaping therapies, including BREZTRI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BEVESPI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XOLAIR</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TOBI</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RECLAST</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BAXDELA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and has helped companies she worked for raise over $750 million in private and public financings. Ms. Baranowski served as a member of the Board of Directors of Rani Therapeutics Holdings, Inc. (Nasdaq: RANI) from November 2021 to May 2023 and serves on the Board of Advisors for Life Science Cares and is a key member of the planning committee for the American Thoracic Society’s Respiratory Innovation Summit. Ms. Baranowski holds an M.B.A. from Harvard Business School and a B.A. from American University. Our board of directors believes that Ms. Baranowski is qualified to serve as a member of our board of directors because of her extensive experience and leadership in the biopharmaceutical industry and her role as our company’s chief executive officer.</w:t>
      </w:r>
    </w:p>
    <w:p>
      <w:pPr>
        <w:spacing w:after="0" w:line="159" w:lineRule="exact"/>
        <w:rPr>
          <w:sz w:val="20"/>
          <w:szCs w:val="20"/>
          <w:color w:val="auto"/>
        </w:rPr>
      </w:pPr>
    </w:p>
    <w:p>
      <w:pPr>
        <w:jc w:val="both"/>
        <w:ind w:left="1220" w:right="1239" w:firstLine="333"/>
        <w:spacing w:after="0" w:line="268" w:lineRule="auto"/>
        <w:rPr>
          <w:sz w:val="20"/>
          <w:szCs w:val="20"/>
          <w:color w:val="auto"/>
        </w:rPr>
      </w:pPr>
      <w:r>
        <w:rPr>
          <w:rFonts w:ascii="Times New Roman" w:cs="Times New Roman" w:eastAsia="Times New Roman" w:hAnsi="Times New Roman"/>
          <w:sz w:val="14"/>
          <w:szCs w:val="14"/>
          <w:b w:val="1"/>
          <w:bCs w:val="1"/>
          <w:color w:val="auto"/>
        </w:rPr>
        <w:t xml:space="preserve">Douglas Carlson. </w:t>
      </w:r>
      <w:r>
        <w:rPr>
          <w:rFonts w:ascii="Times New Roman" w:cs="Times New Roman" w:eastAsia="Times New Roman" w:hAnsi="Times New Roman"/>
          <w:sz w:val="14"/>
          <w:szCs w:val="14"/>
          <w:color w:val="auto"/>
        </w:rPr>
        <w:t>Mr. Carlson has served as our Chief Financial Officer and Chief Business Officer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May 2024. Prior to joining us, Mr. Carlson served as the Chief Operating and Financial Officer of Avenge Bio, Inc. from</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1" w:name="page172"/>
    <w:bookmarkEnd w:id="17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February 2022 to May 2024. Prior to that, he served as Chief Operating and Financial Officer of Ikena Oncology, Inc., or Ikena, (Nasdaq: IKNA) from February 2021 to February 2022 and Chief Financial Officer from January 2019 to February 2021. Prior to Ikena, Mr. Carlson held roles of increasing responsibility at Collegium Pharmaceutical (Nasdaq: COLL), including as Vice President, Commercial Operations, Corporate Strategy &amp; Business Development from March 2013 to January 2019. Prior to joining Collegium, Mr. Carlson was Senior Director of Business Development at BTG International, Inc. (LSE: BTG), or BTG, a publicly-traded, international specialist healthcare company, where he was responsible for global specialty pharmaceutical M&amp;A and licensing, from August 2011 to March 2013. Prior to BTG, Mr. Carlson was Senior Director and Head of Business Development for Lundbeck Inc., or Lundbeck, the U.S. Headquarters of H. Lundbeck A/S, from December 2009 to August 2011. Prior to Lundbeck, Mr. Carlson was Director of Corporate Development and M&amp;A at Ovation Pharmaceuticals, Inc., or Ovation, where he played an integral role in the sale of Ovation to H. Lundbeck A/S in March 2009. Prior to Ovation, Mr. Carlson was an Associate in the healthcare group at Pequot Ventures, the venture capital arm of Pequot Capital Management, Inc. Mr. Carlson began his career in the healthcare investment banking group of Cowen. Mr. Carlson holds a B.A. from Trinity College in Hartford, Connecticut.</w:t>
      </w:r>
    </w:p>
    <w:p>
      <w:pPr>
        <w:spacing w:after="0" w:line="14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Melissa Rhodes, Ph.D., D.A.B.T. </w:t>
      </w:r>
      <w:r>
        <w:rPr>
          <w:rFonts w:ascii="Times New Roman" w:cs="Times New Roman" w:eastAsia="Times New Roman" w:hAnsi="Times New Roman"/>
          <w:sz w:val="14"/>
          <w:szCs w:val="14"/>
          <w:color w:val="auto"/>
        </w:rPr>
        <w:t>Dr. Rhodes has served as our Chief Operating Officer since September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2023. Prior to joining us, Dr. Rhodes served in various roles at Kriya Therapeutics, Inc. from February 2020 to July 2023, most recently as President &amp; Chief Development Officer, Metabolic Diseases &amp; Neurology. From February 2019 to February 2020, Dr. Rhodes served as Chief Development Officer at Aerami Therapeutics, Inc., which focused on the delivery of inhaled medicines. Dr. Rhodes completed her Ph.D. at Duke University, focusing on pharmacology and toxicology, and is a Diplomate of the American Board of Toxicology and received a B.S. from North Carolina State University.</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Howard M. Lazarus, M.D., FCCP. </w:t>
      </w:r>
      <w:r>
        <w:rPr>
          <w:rFonts w:ascii="Times New Roman" w:cs="Times New Roman" w:eastAsia="Times New Roman" w:hAnsi="Times New Roman"/>
          <w:sz w:val="14"/>
          <w:szCs w:val="14"/>
          <w:color w:val="auto"/>
        </w:rPr>
        <w:t>Dr. Lazarus has served as our Chief Medical Officer since August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Dr. Lazarus formerly served as the Chief Medical Officer of Enzyvant Therapeutics, Inc. from December 2022 to July 2023, and Chief Medical Officer of Altavant from February 2020 to November 2022, after its acquisition by Sumitomo Dainippon in 2019. In this role, he was responsible for developing and implementing the clinical development plans for candidates addressing pulmonary arterial hypertension and chronic lung allograft dysfunction. Prior to Altavant, Dr. Lazarus has held senior roles in clinical development and medical affairs teams at Boehringer Ingelheim and Gilead Sciences. Dr. Lazarus holds a B.Sc. and an M.D. from McGill University and he completed his internal medicine training at Boston University. His fellowship training in pulmonary and critical care medicine was obtained at the University of California, San Diego. He is a fellow of the American College of Chest Physicians and a member of the American Thoracic and European Respiratory Societies.</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Non-Executive Directors</w:t>
      </w:r>
    </w:p>
    <w:p>
      <w:pPr>
        <w:spacing w:after="0" w:line="91"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Heather Turner. </w:t>
      </w:r>
      <w:r>
        <w:rPr>
          <w:rFonts w:ascii="Times New Roman" w:cs="Times New Roman" w:eastAsia="Times New Roman" w:hAnsi="Times New Roman"/>
          <w:sz w:val="14"/>
          <w:szCs w:val="14"/>
          <w:color w:val="auto"/>
        </w:rPr>
        <w:t>Ms. Turner has been the chair of our board of directors since October 2024. Ms. Turner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served as Chief Executive Officer of LB Pharmaceuticals Inc. (Nasdaq: LBRX), a clinical-stage biopharmaceutical company since November 2024. Prior to joining LB Pharmaceuticals, Ms. Turner was President and Chief Executive Officer of Carmot Therapeutics Inc., or Carmot (acquired by Roche) from January 2023 to June 2024 and Chief Operating Officer from September 2022 to December 2022. Prior to Carmot, Ms. Turner served as Chief Legal Officer at Lyell Immunopharma, Inc. from April 2019 to May 2022. Prior to Lyell, Ms. Turner served as Executive Vice President, General Counsel and Secretary of Sangamo Therapeutics, Inc. (Nasdaq: SGMO), a publicly-traded gene therapy and gene editing company, from February 2018 to March 2019, and served as Executive Vice President, General Counsel, Secretary, and Head of Portfolio Strategy at Atara Biotherapeutics, Inc. (Nasdaq: ATRA), or Atara, a publicly-traded allogeneic cell therapy company, from September 2016 to February 2018 and as Vice President and General Counsel of Atara from June 2015 to September 2016. Prior to that, Ms. Turner served as General Counsel and Secretary at Orexigen Therapeutics, Inc. a company focused on metabolic diseases, from June 2007 to June 2015. Ms. Turner has served as a member of the board of directors of Terns Pharmaceuticals, Inc. (Nasdaq: TERN), a clinical-stage biopharmaceutical company, since November 2024. Ms. Turner started her career at Cooley LLP as a corporate securities associate. Ms. Turner received her J.D. from UCLA School of Law and her B.A. in Environmental Studies from the University of California, Santa Barbara. Our board of directors believes that Ms. Turner’s extensive experience as an executive and director of companies in the biopharmaceutical industry provides her with the qualifications to serve on our board of directors.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2" w:name="page173"/>
    <w:bookmarkEnd w:id="17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Tiba Aynechi, Ph.D. </w:t>
      </w:r>
      <w:r>
        <w:rPr>
          <w:rFonts w:ascii="Times New Roman" w:cs="Times New Roman" w:eastAsia="Times New Roman" w:hAnsi="Times New Roman"/>
          <w:sz w:val="14"/>
          <w:szCs w:val="14"/>
          <w:color w:val="auto"/>
        </w:rPr>
        <w:t>Dr. Aynechi has been a member of our board of directors since March 2017.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2021, Dr. Aynechi has been a General Partner at Norwest Venture Partners, a venture and growth equity investment firm. Prior to Norwest, from March 2010 through joining Norwest, Dr. Aynechi was a senior partner at Novo Ventures (US) Inc., or Novo Ventures. Prior to joining Novo Ventures, Dr. Aynechi was employed by Burrill</w:t>
      </w:r>
    </w:p>
    <w:p>
      <w:pPr>
        <w:spacing w:after="0" w:line="3" w:lineRule="exact"/>
        <w:rPr>
          <w:sz w:val="20"/>
          <w:szCs w:val="20"/>
          <w:color w:val="auto"/>
        </w:rPr>
      </w:pPr>
    </w:p>
    <w:p>
      <w:pPr>
        <w:jc w:val="both"/>
        <w:ind w:left="1220" w:right="1239" w:firstLine="4"/>
        <w:spacing w:after="0" w:line="251" w:lineRule="auto"/>
        <w:tabs>
          <w:tab w:leader="none" w:pos="1395"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Company, a financial firm specializing in biotechnology and life sciences investment, in various positions, including as a director in merchant banking where she was responsible for regional and cross-border mergers and acquisitions, licensing, and financing transactions. Dr. Aynechi currently serves on the boards of directors of MBX Biosciences (Nasdaq: MBX), Avalyn Pharma, Engrail Therapeutics, Mosanna Therapeutics, Nuvig Therapeutics, Ray Therapeutics and Rezo Therapeutics. She has previously served on various public and private boards of directors including Spruce BioSciences (Nasdaq: SPRB) from May 2016 to December 2025, iRhythm Technologies, Inc. (Nasdaq: IRTC) from May 2014 to April 2017, Mirum Pharmaceuticals, Inc. (Nasdaq: MIRM) from October 2018 to August 2021, Nkarta, Inc. (Nasdaq: NKTX) from August 2015 to June 2022, Aristea Therapeutics, Inc. from August 2018 to December 2021 and MDLive Inc. from July 2018 to May 2021. Dr. Aynechi has extensive expertise in the biotechnology and pharmaceutical industries and an illustrious track record of contributing to innovative healthcare solutions. Dr. Aynechi also has experience fostering partnerships that accelerate the development and commercialization of medical therapies. Dr. Aynechi received her Ph.D. in biophysics from the University of California, San Francisco, where her research involved developing computational methods for drug discovery. She received her B.S. in physics from the University of California, Irvine. Our board of directors believes that Dr. Aynechi is qualified to serve on our board of directors due to her significant leadership experience in the biopharmaceutical industry and her deep familiarity with our company.</w:t>
      </w:r>
    </w:p>
    <w:p>
      <w:pPr>
        <w:spacing w:after="0" w:line="14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Jill Carroll. </w:t>
      </w:r>
      <w:r>
        <w:rPr>
          <w:rFonts w:ascii="Times New Roman" w:cs="Times New Roman" w:eastAsia="Times New Roman" w:hAnsi="Times New Roman"/>
          <w:sz w:val="14"/>
          <w:szCs w:val="14"/>
          <w:color w:val="auto"/>
        </w:rPr>
        <w:t>Ms. Carroll has been a member of our board of directors since September 2023. Ms. Carroll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joined S.R. One Ltd in 2011 and SR One Capital Management, LP in 2020 with a background in biotech partnering and corporate development. Previously, Ms. Carroll completed multiple pharma partnerships and substantial private and public financings for Dynavax Technologies (Nasdaq: DVAX) as the Senior Director, Strategic Planning &amp; Corporate Development. Ms. Carroll was formerly a biopharmaceutical industry consultant with Clearview Projects and Mercer Management Consulting. Currently, Ms. Carroll is on the boards of directors of Arcellx, Inc. (Nasdaq: ACLX), HotSpot Therapeutics, Inc., TBIO, LLC, Odyssey Therapeutics, Inc., Poplar Therapeutics, Inc., and AirNexis Therapeutics, Inc., and previously served on the board of Nkarta, Inc. (Nasdaq: NKTX) from 2017 to 2020. Ms. Carroll received her B.S. in Chemistry from Duke University and her M.S. in Biochemistry, Cellular and Molecular Biology from Johns Hopkins University. Our board of directors believes that Ms. Carroll is qualified to serve on our board of directors due to her extensive experience and leadership roles in the biopharmaceutical industry and expertise in biotech investing.</w:t>
      </w:r>
    </w:p>
    <w:p>
      <w:pPr>
        <w:spacing w:after="0" w:line="150"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b w:val="1"/>
          <w:bCs w:val="1"/>
          <w:color w:val="auto"/>
        </w:rPr>
        <w:t xml:space="preserve">Jon Congleton. </w:t>
      </w:r>
      <w:r>
        <w:rPr>
          <w:rFonts w:ascii="Times New Roman" w:cs="Times New Roman" w:eastAsia="Times New Roman" w:hAnsi="Times New Roman"/>
          <w:sz w:val="14"/>
          <w:szCs w:val="14"/>
          <w:color w:val="auto"/>
        </w:rPr>
        <w:t>Mr. Congleton has been a member of our board of directors since April 2026. Mr. Congleton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has nearly 40 years of pharmaceutical experience in cardiovascular, gastrointestinal, and central nervous system companies with a focus on providing solutions for patients and their caregivers. Mr. Congleton has served as the Chief Executive Officer and a member of the board of directors of Mineralys Therapeutics, Inc. (Nasdaq: MLYS), or Mineralys, a clinical-stage biopharmaceutical company, since November 2020. Prior to joining Mineralys, Mr. Congleton served as the Chief Executive Officer and a member of the board of directors of Impel Pharmaceuticals, or Impel, a commercial-stage drug developer, from September 2017 to May 2020. Prior to Impel, Mr. Congleton served as the Chief Executive Officer and a member of the board of directors of Nivalis Therapeutics, Inc., or Nivalis, a clinical-stage biopharmaceutical company, from January 2015 to February 2017, prior to its merger with Alpine Immune Sciences, Inc. (Nasdaq: ALPN). Prior to Nivalis, Mr. Congleton held positions of increasing responsibility in general management and global strategic marketing at Teva Pharmaceutical Industries, Ltd. (Nasdaq: TEVA), or Teva, from November 1996 to December 2014, including Senior Vice President of Teva’s Global Central Nervous System Disorders from April 2013 to December 2014, Senior Vice President of the Global Medicine Group from November 2011 to April 2013, and General Manager of Teva Neuroscience, Inc. in the United States. Prior to Teva, Mr. Congleton spent ten years in a variety of commercial roles with predecessor companies of SANOFI (Nasdaq: SNY), a global healthcare company. Mr. Congleton has served on the board of Immunic, Inc. (Nasdaq: IMUX) since March 2026. Mr. Congleton received his B.S. from Kansas State University in marketing with a minor in microbiology. Our board of directors believes that Mr. Congleton’s extensive experience as an executive and director of companies in the biopharmaceutical industry provides him with the qualifications to serve on our board of directors.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3" w:name="page174"/>
    <w:bookmarkEnd w:id="17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b w:val="1"/>
          <w:bCs w:val="1"/>
          <w:color w:val="auto"/>
        </w:rPr>
        <w:t xml:space="preserve">David Friedman, M.D. </w:t>
      </w:r>
      <w:r>
        <w:rPr>
          <w:rFonts w:ascii="Times New Roman" w:cs="Times New Roman" w:eastAsia="Times New Roman" w:hAnsi="Times New Roman"/>
          <w:sz w:val="14"/>
          <w:szCs w:val="14"/>
          <w:color w:val="auto"/>
        </w:rPr>
        <w:t>Dr. Friedman has been a member of our board of directors since April 2025.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January 2020, Dr. Friedman has served as a Managing Director and Senior Analyst at Suvretta Capital Management, LLC, or Suvretta, for its healthcare and biotech-focused Averill investment strategies. Prior to Suvretta, Dr. Friedman was a Healthcare Analyst at Scopia Capital Management from the beginning of 2014 to December 2019 and worked in biotechnology equity research at Morgan Stanley from 2006 to 2009 and 2010 to 2014. Dr. Friedman currently serves on the board of directors of Veradermics, Inc. (Nasdaq: MANE), Click Therapeutics, Inc.,</w:t>
      </w:r>
    </w:p>
    <w:p>
      <w:pPr>
        <w:spacing w:after="0" w:line="4"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4"/>
          <w:szCs w:val="14"/>
          <w:color w:val="auto"/>
        </w:rPr>
        <w:t>and Sapphiros. Dr. Friedman received an M.B.A. from Harvard Business School, an M.D. from University of Pittsburgh School of Medicine and a B.S. from Duke University in Biology. Our board of directors believes that Dr. Friedman is qualified to serve on the Board due to his significant venture capital experience as a director and investor in the healthcare and biotechnology industry.</w:t>
      </w:r>
    </w:p>
    <w:p>
      <w:pPr>
        <w:spacing w:after="0" w:line="1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 xml:space="preserve">Kate Haviland. </w:t>
      </w:r>
      <w:r>
        <w:rPr>
          <w:rFonts w:ascii="Times New Roman" w:cs="Times New Roman" w:eastAsia="Times New Roman" w:hAnsi="Times New Roman"/>
          <w:sz w:val="14"/>
          <w:szCs w:val="14"/>
          <w:color w:val="auto"/>
        </w:rPr>
        <w:t>Ms. Haviland has been a member of our board of directors since March 2026. Ms.</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Haviland has most recently served as President and Chief Executive Officer of Blueprint Medicines</w:t>
      </w:r>
    </w:p>
    <w:p>
      <w:pPr>
        <w:spacing w:after="0" w:line="7" w:lineRule="exact"/>
        <w:rPr>
          <w:sz w:val="20"/>
          <w:szCs w:val="20"/>
          <w:color w:val="auto"/>
        </w:rPr>
      </w:pPr>
    </w:p>
    <w:p>
      <w:pPr>
        <w:jc w:val="both"/>
        <w:ind w:left="1220" w:right="1239"/>
        <w:spacing w:after="0" w:line="251" w:lineRule="auto"/>
        <w:rPr>
          <w:sz w:val="20"/>
          <w:szCs w:val="20"/>
          <w:color w:val="auto"/>
        </w:rPr>
      </w:pPr>
      <w:r>
        <w:rPr>
          <w:rFonts w:ascii="Times New Roman" w:cs="Times New Roman" w:eastAsia="Times New Roman" w:hAnsi="Times New Roman"/>
          <w:sz w:val="14"/>
          <w:szCs w:val="14"/>
          <w:color w:val="auto"/>
        </w:rPr>
        <w:t>Corporation (formerly Nasdaq: BPMC), or Blueprint, a clinical-stage biopharmaceutical company, from April 2022 through SANOFI’s acquisition of Blueprint in July 2025. Prior to serving as President and Chief Executive Officer, Ms. Haviland served as Chief Operating Officer of Blueprint from January 2019 to April 2022 and as Chief Business Officer from January 2016 to January 2019. Prior to joining Blueprint, Ms. Haviland served as vice president, rare diseases and oncology program leadership at Idera Pharmaceuticals, Inc. (acquired by Aceragen, Inc.), a biopharmaceutical company, from April 2014 to December 2015, as head of commercial development at Sarepta Therapeutics, Inc. (Nasdaq: SRPT), a public biopharmaceutical and drug development company, from June 2012 to April 2014, as executive director of commercial development at PTC Therapeutics, Inc. (Nasdaq: PTCT), a public biopharmaceutical company, from March 2007 to June 2012, and roles in corporate development and project management at Genzyme, Inc. (acquired by SANOFI, a global healthcare company) from July 2005 to March 2007. Ms. Haviland has served on the board of directors of Fulcrum Therapeutics, Inc. (Nasdaq: FULC), a public biopharmaceutical company, since June 2018 and as chair of the board of directors since January 2022. Ms. Haviland has also served on the board of directors of Bicara Therapeutics Inc. (Nasdaq: BCAX), a public biotechnology company, since September 2023 and has served as chair of the board of directors of GC Therapeutics, Inc., a private biopharmaceutical company, since December 2025. Ms. Haviland received her M.B.A. from Harvard Business School and her B.A. in Biochemistry/Molecular Biology and Economics from Wesleyan University. Our board of directors believes that Ms. Haviland’s extensive experience as an executive and director of companies in the biopharmaceutical industry provides her with the qualifications to serve on our board of directors.</w:t>
      </w:r>
    </w:p>
    <w:p>
      <w:pPr>
        <w:spacing w:after="0" w:line="14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Gianna Hoffman-Luca, Ph.D. </w:t>
      </w:r>
      <w:r>
        <w:rPr>
          <w:rFonts w:ascii="Times New Roman" w:cs="Times New Roman" w:eastAsia="Times New Roman" w:hAnsi="Times New Roman"/>
          <w:sz w:val="14"/>
          <w:szCs w:val="14"/>
          <w:color w:val="auto"/>
        </w:rPr>
        <w:t>Dr. Hoffman-Luca has served as a member of our board of directors since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September 2023. Dr. Hoffman-Luca joined Perceptive Advisors to support the firm’s venture fund strategy, including continued investment in companies seeded and incubated at Xontogeny. Since September 2019, she has served as a Partner at Xontogeny, LLC and as Senior Principal, Venture at Perceptive Advisors, LLC, where she assists in managing investments of the Perceptive Xontogeny Venture Funds across the life sciences sector. Prior to joining Perceptive and Xontogeny, Dr. Hoffman-Luca built competitive intelligence capabilities at gene therapy company Solid Biosciences and began her industry career as a patent agent at Choate, Hall &amp; Stewart LLP, where she advised pharmaceutical and academic clients. Dr. Hoffman-Luca currently serves on the board of directors of Adaptilens, Inc., a position she has held since April 2024 and also serves on the boards of directors of CereVasc, Inc. since 2025 and Lonestar Medicines since January 2026. Previously, she served on the board of directors of CARGO Therapeutics, Inc. (formerly Nasdaq: CRGX) from February 2023 to October 2023, prior to its public listing. Dr. Hoffman-Luca earned her Ph.D. in Pharmacology from the University of Michigan Medical School and holds M.S. and B.S. degrees in Chemistry from the University of California, Santa Cruz. Our board of directors believes that Dr. Hoffman-Luca is well-qualified to serve as a director based on her extensive experience in life sciences strategy and business development, as well as her significant venture capital expertise.</w:t>
      </w:r>
    </w:p>
    <w:p>
      <w:pPr>
        <w:spacing w:after="0" w:line="146"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b w:val="1"/>
          <w:bCs w:val="1"/>
          <w:color w:val="auto"/>
        </w:rPr>
        <w:t xml:space="preserve">Erin Lavelle. </w:t>
      </w:r>
      <w:r>
        <w:rPr>
          <w:rFonts w:ascii="Times New Roman" w:cs="Times New Roman" w:eastAsia="Times New Roman" w:hAnsi="Times New Roman"/>
          <w:sz w:val="14"/>
          <w:szCs w:val="14"/>
          <w:color w:val="auto"/>
        </w:rPr>
        <w:t>Ms. Lavelle has been a member of our board of directors since July 2024. From October 2023</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until July 2024, Ms. Lavelle served as the Chief Operating Officer and Chief Financial Officer at ProfoundBio, Inc., a private biotechnology company that was acquired by Genmab A/S in May 2024. Prior to ProfoundBio, Ms. Lavelle served as Chief Operating Officer and Chief Financial Officer at Climb Bio, Inc. (formerly Eliem Therapeutics, Inc.) (Nasdaq: CLYM), a biotechnology company, from October 2020 to March 2023, where she assisted with the company’s IPO. From April 2018 to February 2020, Ms. Lavelle served as the Chief Operating Officer at Alder</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4" w:name="page175"/>
    <w:bookmarkEnd w:id="17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BioPharmaceuticals, Inc., or AlderBio, a Nasdaq-listed biotechnology company that was acquired by H. Lundbeck A/S in October 2019. In addition to that role, she served as Alder’s appointed director for Vitaeris Inc., a privately held biotechnology company based in Vancouver, British Columbia, Canada. Prior to that, Ms. Lavelle served in various roles at Amgen Inc. (Nasdaq: AMGN) from 2003 to 2018, most recently serving as General Manager Taiwan from September 2017 to April 2018, as Executive Director, Japan Asia Pacific (Hong Kong) from May 2016 to September 2017, and Executive Director, Global Marketing Business Analytics and Insights from June 2014 to May 2016. Ms. Lavelle has a decade of M&amp;A and licensing experience at Amgen and also led negotiations for the successful sales of two companies (AlderBio and ProfoundBio). She started her career as an investment banker in the healthcare group at Merrill Lynch &amp; Co. Ms. Lavelle currently serves as a member of several private company boards of directors. She has served as a member of the board of directors of Jade Biosciences, Inc. (Nasdaq: JADE) since September 2024 and served as a member of the board of directors of Neoleukin Therapeutics, Inc., a Nasdaq-listed biopharmaceutical company, which later became Neurogene Inc. (Nasdaq: NGNE), from May 2020 to December 2023. Ms. Lavelle holds a B.A. in economics from Yale University. Our board of directors believes that Ms. Lavelle is qualified to serve on our board of directors due to her extensive expertise and leadership roles at various biotechnology companies.</w:t>
      </w:r>
    </w:p>
    <w:p>
      <w:pPr>
        <w:spacing w:after="0" w:line="144"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b w:val="1"/>
          <w:bCs w:val="1"/>
          <w:color w:val="auto"/>
        </w:rPr>
        <w:t xml:space="preserve">Ketan Patel, M.D. </w:t>
      </w:r>
      <w:r>
        <w:rPr>
          <w:rFonts w:ascii="Times New Roman" w:cs="Times New Roman" w:eastAsia="Times New Roman" w:hAnsi="Times New Roman"/>
          <w:sz w:val="14"/>
          <w:szCs w:val="14"/>
          <w:color w:val="auto"/>
        </w:rPr>
        <w:t>Dr. Patel has been a member of our board of directors since March 2017. Dr. Patel serves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as a Managing Partner with F-Prime Capital, or F-Prime, where he has worked since 2007. He has worked in the healthcare sector as an investor, consultant, and physician. Prior to joining F-Prime in 2007, Dr. Patel advised biopharmaceutical and medical device companies on brand strategy, clinical development plans, and business development activities in the corporate consulting division of Leerink Swann &amp; Company. Dr. Patel has in the past served as a member of the board of directors of the following entities, each as director of the private company: ABK Biomedical, Aclaris Therapeutics, Inc. (Nasdaq: ACRS), Avivomed, Bicara Therapeutics, Inc. (Nasdaq: BCAX), Caplin Steriles, Comanche Biopharma, Eywa Pharma, Ivenix (acquired by Fresenius Kabi), Laurus Labs (NYSE: LAURUSLABS), Medwell Ventures, Menlo Therapeutics, Inc. (Nasdaq: MNLO), NextWave Pharmaceuticals (acquired by Pfizer), NFlection Therapeutics, Pediatrix Therapeutics, Rallybio Corporation (Nasdaq: RLYB), and Vicept Therapeutics (acquired by Allergan). Dr. Patel holds a B.A. from Rutgers University and an M.D. and M.B.A. from Tufts University School of Medicine. He served as a physician at the VA Boston Healthcare System and at Weill Cornell Medical Center-New York Presbyterian Hospital and Memorial-Sloan Kettering Cancer Center where he completed his internal medicine training. Our board of directors believes that Dr. Patel is qualified to serve as a member of the Board due to his leadership roles in the pharmaceutical industry and his extensive experience in regulatory affairs.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Family Relationships</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There are no family relationships among any of our executive officers or directors.</w:t>
      </w:r>
    </w:p>
    <w:p>
      <w:pPr>
        <w:spacing w:after="0" w:line="2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Composition of Our Board of Directors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Our business and affairs are managed under the direction of our board of directors, which currently consists of ten members. The primary responsibilities of our board of directors are to provide oversight, strategic guidance, counseling and direction to our management. Our board of directors meets on a regular basis and additionally as required.</w:t>
      </w:r>
    </w:p>
    <w:p>
      <w:pPr>
        <w:spacing w:after="0" w:line="14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Certain members of our board of directors were elected under the provisions of our amended and restated certificate of incorporation and agreements with our stockholders. These board composition provisions will terminate upon the completion of this offering. Upon the termination of these provisions, there will be no further contractual obligations regarding the election of our directors. Our nominating and corporate governance committee and our board of directors may therefore consider a broad range of factors relating to the qualifications and background of nominees. Our nominating and corporate governance committee’s and our board of directors’ priority in selecting board members is the identification of persons who will further the interests of our stockholders through their established record of professional accomplishment, the ability to contribute positively to the collaborative culture among board members, knowledge of our business, understanding of the competitive landscape, professional and personal experiences, and expertise relevant to our growth strategy. Our directors hold office until their successors have been elected and</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5" w:name="page176"/>
    <w:bookmarkEnd w:id="17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qualified or until the earlier of their resignation or removal. Our amended and restated certificate of incorporation, which will become effective immediately prior to the completion of this offering, and our amended and restated bylaws, which will become effective upon the effectiveness of the registration statement of which this prospectus forms a part, will also provide that our directors may be removed only for cause by the affirmative vote of the holders of at least two-thirds of the votes that all our stockholders would be entitled to cast in an annual election of directors, and that any vacancy on our board of directors, including a vacancy resulting from an enlargement of our board of directors, may be filled only by vote of a majority of our directors then in office.</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Staggered Board</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amended and restated certificate of incorporation, which will become effective immediately prior to the completion of this offering, and our amended and restated bylaws, which will be effective upon the effectiveness of the registration statement of which this prospectus forms a part, will permit our board of directors to establish the authorized number of directors from time to time by resolution. Each director serves until the expiration of the term for which such director was elected or appointed, or until such director’s earlier death, resignation or removal. In accordance with our amended and restated certificate of incorporation,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w:t>
      </w:r>
    </w:p>
    <w:p>
      <w:pPr>
        <w:spacing w:after="0" w:line="64" w:lineRule="exact"/>
        <w:rPr>
          <w:sz w:val="20"/>
          <w:szCs w:val="20"/>
          <w:color w:val="auto"/>
        </w:rPr>
      </w:pPr>
    </w:p>
    <w:p>
      <w:pPr>
        <w:ind w:left="1880" w:right="1239" w:hanging="323"/>
        <w:spacing w:after="0" w:line="283" w:lineRule="auto"/>
        <w:tabs>
          <w:tab w:leader="none" w:pos="18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 directors will be Lyn Baranowski and Jill Carroll, and their terms will expire at our first annual meeting of stockholders following this offering, to be held in 2027;</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 directors will be Erin Lavelle and Heather Turner, and their terms will expire at our second annual meeting of stockholders following this offering, to be held in 2028; and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Class III directors will be David Friedman, Kate Haviland, and Jon Congleton, and their terms will expire at our third annual meeting of stockholders following this offering, to be held in 2029.</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Director Independence</w:t>
      </w:r>
    </w:p>
    <w:p>
      <w:pPr>
        <w:spacing w:after="0" w:line="93"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Under the listing standards, requirements and rules of The Nasdaq Stock Market LLC, or the Nasdaq Listing Rules, independent directors must comprise a majority of our board of directors as a listed company within one year of the listing date. In addition, the Nasdaq Listing Rules require that, subject to specified exceptions, each member of a listed company’s audit, compensation and nominating and governance committees be independent within twelve months from the date of listing. Audit committee members must also satisfy additional independence criteria, including those set forth in Rule 10A-3 under the Exchange Act, and compensation committee members must also satisfy the independence criteria set forth in Rule 10C-1 under the Exchange Act. Under the Nasdaq Listing Rules, a director will only qualify as an “independent director” if, in the opinion of that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other than compensation for board service; or (ii) be an affiliated person of the listed company or any of its subsidiaries. In order to be considered independent for purposes of Rule 10C-1 under of the Exchange Act, the board of directors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 consulting advisory or other compensatory</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6" w:name="page177"/>
    <w:bookmarkEnd w:id="17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fee paid by such company to the director, and whether the director is affiliated with the company or any of its subsidiaries or affiliates.</w:t>
      </w:r>
    </w:p>
    <w:p>
      <w:pPr>
        <w:spacing w:after="0" w:line="12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board of directors has undertaken a review of the independence of each director. Based on information provided by each director concerning her or his background, employment, and affiliations, including family relationships, our board of directors has determined that each of Heather Turner, Jill Carroll, Jon Congleton, David Friedman, Kate Haviland, and Erin Lavelle do not have relationships that would interfere with the exercise of independent judgment in carrying out the responsibilities of a director and that each of these directors is “independent” as that term is defined under the Nasdaq Listing Rules. Our board of directors has determined that Lyn Baranowski is not independent under applicable rules and regulations of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Board Policies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connection with this offering, we have adopted policies and procedures for director candidates for our nominating and corporate governance committee, which will provide that factors, such as a candidate’s character, judgment, skills, education, expertise, and absence of conflicts of interest should be considered in determining director candidates. Our priority in selection of board members will be identification of members who will further the interests of our stockholders through their established records of professional accomplishment, their ability to contribute positively to the collaborative culture among board members, and their knowledge of our business and understanding of the competitive landscape in which we operate and adherence to high ethical standards.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Board Leadership Structure and Board’s Role in Risk Oversight</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Currently, the role of chair of our board of directors is separated from the role of chief executive officer. We believe that separating these positions allows our chief executive officer to focus on our day-to-day business, while allowing the chairman of our board to lead the board of directors in its fundamental role of providing advice to and independent oversight of management. Our board of directors recognizes the time, effort and energy that the chief executive officer is required to devote to her position in the current business environment, as well as the commitment required to serve as our chair of our board of directors, particularly as the board of directors’ oversight responsibilities continue to grow. While our amended and restated bylaws and corporate governance guidelines will not require that our board chair and chief executive officer positions be separate, our board of directors believes that having separate positions is the appropriate leadership structure for us at this time and demonstrates our commitment to good corporate governance. Our board of directors has adopted corporate governance guidelines that will provide that the board of directors may appoint a lead independent director. The lead independent director will be responsible for calling and presiding over separate meetings of the independent directors. The lead independent director will preside over periodic meetings of independent directors, serve as a liaison between the chair and the independent directors and perform such additional duties as the board of directors may otherwise determine and delegate.</w:t>
      </w:r>
    </w:p>
    <w:p>
      <w:pPr>
        <w:spacing w:after="0" w:line="146"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Risk is inherent with every business, and how well a business manages risk can ultimately determine its success. We face a number of risks, including risks relating to our financial condition, development and commercialization activities, operations, strategic direction, and intellectual property as more fully discussed in the section titled “Risk Factors.” Management is responsible for the day-to-day management of risks we face, while our board of directors, as a whole and through its committees, has responsibility for the oversight of risk management. In its risk oversight role, our board of directors has the responsibility to satisfy itself that the risk management processes designed and implemented by management are adequate and functioning as designed.</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role of the board of directors in overseeing the management of our risks is conducted primarily through committees of the board of directors, as disclosed in the descriptions of each of the committees below and in the charters of each of the committees. The full board of directors (or the appropriate board committee in the case of risks that are under the purview of a particular committee) discusses with management our major risk exposures, their</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7" w:name="page178"/>
    <w:bookmarkEnd w:id="17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8" w:lineRule="auto"/>
        <w:rPr>
          <w:sz w:val="20"/>
          <w:szCs w:val="20"/>
          <w:color w:val="auto"/>
        </w:rPr>
      </w:pPr>
      <w:r>
        <w:rPr>
          <w:rFonts w:ascii="Times New Roman" w:cs="Times New Roman" w:eastAsia="Times New Roman" w:hAnsi="Times New Roman"/>
          <w:sz w:val="14"/>
          <w:szCs w:val="14"/>
          <w:color w:val="auto"/>
        </w:rPr>
        <w:t>potential impact on us, and the steps we take to manage them. When a board committee is responsible for evaluating and overseeing the management of a particular risk or risks, the chairperson of the relevant committee reports on the discussion to the full board of directors during the committee reports portion of the next board meeting. This enables the board of directors and its committees to coordinate the risk oversight role, particularly with respect to risk interrelationships.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Committees of Our Board of Directors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Our board of directors will establish upon the completion of this offering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will operate under a written charter that satisfies the application rules and regulation of the SEC and the Nasdaq Listing Rules, which we will post to our website at www.avalynpharma.com upon the completion of this offering. Information contained on, or accessible through, our website is not a part of this prospectus, and the inclusion of our website address in this prospectus is only an inactive textual reference. Our board of directors may establish other committees as it deems necessary or appropriate from time to time.</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Audit Committee</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Upon the completion of this offering, our audit committee will consist of Jon Congleton, Kate Haviland, and Erin Lavelle, and the chair of our audit committee will be Erin Lavelle. Our board of directors has determined that each member of the audit committee is independent under Nasdaq Listing Rules and Rule 10A-3(b)(1) of the Exchange Act and can read and understand fundamental financial statements in accordance with applicable requirements. Our board of directors has also determined that Erin Lavelle is an “audit committee financial expert” within the meaning of SEC regulations. In arriving at these determinations, our board of directors has examined each audit committee member’s scope of experience and the nature of their employment in the corporate finance sector.</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primary purpose of the audit committee will be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will include:</w:t>
      </w:r>
    </w:p>
    <w:p>
      <w:pPr>
        <w:spacing w:after="0" w:line="57" w:lineRule="exact"/>
        <w:rPr>
          <w:sz w:val="20"/>
          <w:szCs w:val="20"/>
          <w:color w:val="auto"/>
        </w:rPr>
      </w:pPr>
    </w:p>
    <w:p>
      <w:pPr>
        <w:ind w:left="1880" w:hanging="323"/>
        <w:spacing w:after="0"/>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our board of directors oversee our corporate accounting and financial reporting processes;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coordinating the oversight and reviewing the adequacy of our internal control over financial reporting;</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managing the selection, engagement, qualifications, independence and performance of a qualified firm to serve as the independent registered public accounting firm to audit our financial statements;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the scope and results of the audit with the independent registered public accounting firm, and reviewing, with management and the independent accountants, our interim and year-end operating results;</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procedures for employees to submit concerns anonymously about questionable accounting or audit matters;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person transactions;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insurance coverage for our officers and directors;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the preparation of our annual proxy statement, reviewing with management our financial statements to be included in our quarterly reports to be filed with the SEC, and reviewing with management the “Risk Factors” and “Management’s Discussion and Analysis of Financial Condition and Results of Operations” disclosures in our periodic reports filed with the SEC;</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8" w:name="page179"/>
    <w:bookmarkEnd w:id="17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permitted, pre-approving, audit and permissible non-audit services to be performed by the independent registered public accounting firm; and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major risk exposures, including financial, operational, cybersecurity, competition, legal and regulatory exposures.</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Our audit committee will operate under a written charter, which will be effective upon the completion of this offering, that satisfies the applicable Nasdaq Listing Rules.</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Compensation Committee</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Upon the completion of this offering, our compensation committee will consist of Jill Carroll, David Friedman, and Erin Lavelle, and the chair of our compensation committee will be Jill Carroll. Our board of directors has determined that each member of the compensation committee is independent under the Nasdaq Listing Rules and is a “non-employee director” as defined in Rule 16b-3 promulgated under the Exchange Act.</w:t>
      </w:r>
    </w:p>
    <w:p>
      <w:pPr>
        <w:spacing w:after="0" w:line="5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primary purpose of our compensation committee will be to discharge the responsibilities of our board of directors in overseeing our compensation policies, plans, and programs and to review and determine the compensation to be paid to our executive officers, directors, and other senior management, as appropriate. Specific responsibilities of our compensation committee will include:</w:t>
      </w:r>
    </w:p>
    <w:p>
      <w:pPr>
        <w:spacing w:after="0" w:line="57" w:lineRule="exact"/>
        <w:rPr>
          <w:sz w:val="20"/>
          <w:szCs w:val="20"/>
          <w:color w:val="auto"/>
        </w:rPr>
      </w:pPr>
    </w:p>
    <w:p>
      <w:pPr>
        <w:ind w:left="1880" w:right="1239" w:hanging="323"/>
        <w:spacing w:after="0" w:line="283" w:lineRule="auto"/>
        <w:tabs>
          <w:tab w:leader="none" w:pos="18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of our chief executive officer, other executive officers, and senior management;</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recommending to our board of directors the compensation paid to our directors;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compensation arrangements with our executive officers and other senior management;</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 incentive plans and other benefit programs;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evaluating and recommending to our board of directors succession plans for our executive officers; and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establishing general policies relating to compensation and benefits of our employees, including our overall compensation philosophy.</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Our compensation committee will operate under a written charter, which will be effective upon the completion of this offering, that satisfies the applicable Nasdaq Listing Rules.</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Nominating and Corporate Governance Committee</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Upon the completion of this offering, our nominating and corporate governance committee will consist of Jill Carroll, Jon Congleton, and Kate Haviland, and the chair of our nominating and corporate governance committee will be Kate Haviland. Our board of directors has determined that each member of the nominating and corporate governance committee is independent under the Nasdaq Listing Rules, a non-employee director, and free from any relationship that would interfere with the exercise of his or her independent judgment.</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primary purpose of the nominating and corporate governance committee will be to discharge the responsibilities of our board of directors with respect to our corporate governance functions and to identify, communicate with, evaluate and recommend candidates for our board of directors. Specific responsibilities of our nominating and corporate governance committee will include:</w:t>
      </w:r>
    </w:p>
    <w:p>
      <w:pPr>
        <w:spacing w:after="0" w:line="57" w:lineRule="exact"/>
        <w:rPr>
          <w:sz w:val="20"/>
          <w:szCs w:val="20"/>
          <w:color w:val="auto"/>
        </w:rPr>
      </w:pPr>
    </w:p>
    <w:p>
      <w:pPr>
        <w:ind w:left="1880" w:right="1239" w:hanging="323"/>
        <w:spacing w:after="0" w:line="283" w:lineRule="auto"/>
        <w:tabs>
          <w:tab w:leader="none" w:pos="188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and evaluating candidates, including the nomination of incumbent directors for reelection and nominees recommended by stockholders, to serve on our board of directors;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79" w:name="page180"/>
    <w:bookmarkEnd w:id="17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our board of directors regarding the composition and chairmanship of the committees of our board of directors;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instituting plans or programs for the continuing education of our board of directors and orientation of new directors;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our board of directors regarding corporate governance guidelines and matters; and</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overseeing periodic evaluations of the board of directors’ performance, including committees of the board of directors and management.</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Our nominating and corporate governance committee will operate under a written charter, which will be effective upon the completion of this offering, that satisfies the applicable Nasdaq Listing Rules.</w:t>
      </w:r>
    </w:p>
    <w:p>
      <w:pPr>
        <w:spacing w:after="0" w:line="1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Code of Business Conduct and Ethics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 xml:space="preserve">In connection with this offering, we have adopted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t>
      </w:r>
      <w:r>
        <w:rPr>
          <w:rFonts w:ascii="Times New Roman" w:cs="Times New Roman" w:eastAsia="Times New Roman" w:hAnsi="Times New Roman"/>
          <w:sz w:val="14"/>
          <w:szCs w:val="14"/>
          <w:i w:val="1"/>
          <w:iCs w:val="1"/>
          <w:color w:val="auto"/>
        </w:rPr>
        <w:t>www.avalynpharma.com</w:t>
      </w:r>
      <w:r>
        <w:rPr>
          <w:rFonts w:ascii="Times New Roman" w:cs="Times New Roman" w:eastAsia="Times New Roman" w:hAnsi="Times New Roman"/>
          <w:sz w:val="14"/>
          <w:szCs w:val="14"/>
          <w:color w:val="auto"/>
        </w:rPr>
        <w:t>.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w:t>
      </w:r>
    </w:p>
    <w:p>
      <w:pPr>
        <w:spacing w:after="0" w:line="2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Compensation Committee Interlocks and Insider Participation</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None of the members of the compensation committee is currently, or has been at any time, one of our officers or employees. None of our officers currently serves, or has served during the last calendar year, as a member of the board of directors or compensation committee of any entity that has one or more executive officers serving as a member of our board of directors or compensation committee.</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Compensation Recovery</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In connection with this offering, we have adopted a compensation recovery policy that is compliant with the Nasdaq Listing Rules, as required by the Dodd-Frank Act, to be effective in connection with the effectiveness of the registration statement of which this prospectus forms a part.</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 Agreements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As permitted by Delaware law, provisions in our amended and restated certificate of incorporation and amended and restated bylaws, which will become effective immediately prior to the completion of this offering and upon the effectiveness of the registration statement of which this prospectus forms a part, respectively, limit or eliminate the personal liability of directors and officers for a breach of their fiduciary duty of care as a director or officer. The duty of care generally requires that, when acting on behalf of the corporation, a director and / or officer exercise an informed business judgment based on all material information reasonably available to him or her. Consequently, a director or officer will not be personally liable to us or our stockholders for monetary damages or breach of fiduciary duty as a director or officer, except for liability for:</w:t>
      </w:r>
    </w:p>
    <w:p>
      <w:pPr>
        <w:spacing w:after="0" w:line="61" w:lineRule="exact"/>
        <w:rPr>
          <w:sz w:val="20"/>
          <w:szCs w:val="20"/>
          <w:color w:val="auto"/>
        </w:rPr>
      </w:pPr>
    </w:p>
    <w:p>
      <w:pPr>
        <w:ind w:left="1880" w:hanging="323"/>
        <w:spacing w:after="0"/>
        <w:tabs>
          <w:tab w:leader="none" w:pos="18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 director or officer’s duty of loyalty to us or our stockholders;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0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unlawful payments of dividends or unlawful stock repurchases, or redemptions as provided in Section 174 of the Delaware General Corporation Law, or DGCL;</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0" w:name="page181"/>
    <w:bookmarkEnd w:id="18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hanging="323"/>
        <w:spacing w:after="0"/>
        <w:tabs>
          <w:tab w:leader="none" w:pos="18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 or</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0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 director or officer derived an improper personal benefit.</w:t>
      </w:r>
    </w:p>
    <w:p>
      <w:pPr>
        <w:spacing w:after="0" w:line="17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These limitations of liability do not limit or eliminate our rights or any stockholder’s rights to seek non-monetary relief, such as injunctive relief or rescission. These provisions will not alter a director or officer’s liability under other laws, such as the federal securities laws or other state or federal laws. Our amended and restated certificate of incorporation that will become effective upon the closing of this offering also will authorize us to indemnify our officers, directors and other agents to the fullest extent permitted under Delaware law.</w:t>
      </w:r>
    </w:p>
    <w:p>
      <w:pPr>
        <w:spacing w:after="0" w:line="144"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As permitted by Delaware law, our amended and restated bylaws to be effective immediately upon effectiveness of the registration statement will provide that:</w:t>
      </w:r>
    </w:p>
    <w:p>
      <w:pPr>
        <w:spacing w:after="0" w:line="41" w:lineRule="exact"/>
        <w:rPr>
          <w:sz w:val="20"/>
          <w:szCs w:val="20"/>
          <w:color w:val="auto"/>
        </w:rPr>
      </w:pPr>
    </w:p>
    <w:p>
      <w:pPr>
        <w:ind w:left="1880" w:right="1239" w:hanging="323"/>
        <w:spacing w:after="0" w:line="283" w:lineRule="auto"/>
        <w:tabs>
          <w:tab w:leader="none" w:pos="18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employees and other agents to the fullest extent permitted by law;</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must advance expenses to our directors and officers, and may advance expenses to our employees and other agents, in connection with a legal proceeding to the fullest extent permitted by law; and</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0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provided in our amended and restated bylaws are not exclusive.</w:t>
      </w:r>
    </w:p>
    <w:p>
      <w:pPr>
        <w:spacing w:after="0" w:line="17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If Delaware law is amended to authorize corporate action further eliminating or limiting the personal liability of a director or officer, then the liability of our directors or officers will be so eliminated or limited to the fullest extent permitted by Delaware law, as so amended. Our amended and restated bylaws will also permit us to secure insurance on behalf of any officer, director, employee or other agent for any liability arising out of his or her actions in connection with their services to us, regardless of whether our amended and restated bylaws permit such indemnification. We intend to obtain such insurance.</w:t>
      </w:r>
    </w:p>
    <w:p>
      <w:pPr>
        <w:spacing w:after="0" w:line="14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to the indemnification that will be provided for in our amended and restated certificate of incorporation and amended and restated bylaws, we plan to enter into separate indemnification agreements with each of our directors and executive officers, which may be broader than the specific indemnification provisions contained in the DGCL. These indemnification agreements may require us, among other things, to indemnify our directors and executive officers for some expenses, including attorneys’ fees, expenses, judgments, fines and settlement amounts incurred by a director or executive officer in any action or proceeding arising out of his service as one of our directors or executive officers or any other company or enterprise to which the person provides services at our request. We believe that these provisions and agreements are necessary to attract and retain qualified individuals to serve as directors and executive officers.</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This description of the indemnification provisions of our amended and restated certificate of incorporation, our amended and restated bylaws and our indemnification agreements is qualified in its entirety by reference to these documents, each of which is attached as an exhibit to the registration statement of which this prospectus forms a part.</w:t>
      </w:r>
    </w:p>
    <w:p>
      <w:pPr>
        <w:spacing w:after="0" w:line="14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w:t>
      </w:r>
    </w:p>
    <w:p>
      <w:pPr>
        <w:spacing w:after="0" w:line="141"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1" w:name="page182"/>
    <w:bookmarkEnd w:id="181"/>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231F20"/>
        </w:rPr>
        <w:t>EXECUTIVE COMPENSATION</w:t>
      </w:r>
    </w:p>
    <w:p>
      <w:pPr>
        <w:spacing w:after="0" w:line="177"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auto"/>
        </w:rPr>
        <w:t>The following discussion contains forward-looking statements that are based on our current plans, considerations, expectations and determinations regarding future compensation programs. The actual amount and form of compensation and the compensation policies and practices that we adopt in the future may differ materially from currently planned programs as summarized in this discussion.</w:t>
      </w:r>
    </w:p>
    <w:p>
      <w:pPr>
        <w:spacing w:after="0" w:line="141"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As an emerging growth company, we have opted to comply with the executive compensation disclosure rules applicable to “smaller reporting companies” as such term is defined in the rules promulgated under the Securities Act. Our named executive officers, or NEOs, for the year ended December 31, 2025, which consist of our principal executive officer and our three most highly compensated executive officers (other than our Chief Executive Officer), are:</w:t>
      </w:r>
    </w:p>
    <w:p>
      <w:pPr>
        <w:spacing w:after="0" w:line="60" w:lineRule="exact"/>
        <w:rPr>
          <w:sz w:val="20"/>
          <w:szCs w:val="20"/>
          <w:color w:val="auto"/>
        </w:rPr>
      </w:pPr>
    </w:p>
    <w:p>
      <w:pPr>
        <w:ind w:left="2220" w:hanging="330"/>
        <w:spacing w:after="0"/>
        <w:tabs>
          <w:tab w:leader="none" w:pos="22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Lyn Baranowski, our Chief Executive Officer;</w:t>
      </w:r>
    </w:p>
    <w:p>
      <w:pPr>
        <w:spacing w:after="0" w:line="91" w:lineRule="exact"/>
        <w:rPr>
          <w:rFonts w:ascii="Times New Roman" w:cs="Times New Roman" w:eastAsia="Times New Roman" w:hAnsi="Times New Roman"/>
          <w:sz w:val="14"/>
          <w:szCs w:val="14"/>
          <w:color w:val="auto"/>
        </w:rPr>
      </w:pPr>
    </w:p>
    <w:p>
      <w:pPr>
        <w:ind w:left="2220" w:hanging="330"/>
        <w:spacing w:after="0"/>
        <w:tabs>
          <w:tab w:leader="none" w:pos="22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Melissa Rhodes, Ph.D., D.A.B.T., our Chief Operating Officer;</w:t>
      </w:r>
    </w:p>
    <w:p>
      <w:pPr>
        <w:spacing w:after="0" w:line="91" w:lineRule="exact"/>
        <w:rPr>
          <w:rFonts w:ascii="Times New Roman" w:cs="Times New Roman" w:eastAsia="Times New Roman" w:hAnsi="Times New Roman"/>
          <w:sz w:val="14"/>
          <w:szCs w:val="14"/>
          <w:color w:val="auto"/>
        </w:rPr>
      </w:pPr>
    </w:p>
    <w:p>
      <w:pPr>
        <w:ind w:left="2220" w:hanging="330"/>
        <w:spacing w:after="0"/>
        <w:tabs>
          <w:tab w:leader="none" w:pos="22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Douglas Carlson, our Chief Financial Officer and Chief Business Officer; and</w:t>
      </w:r>
    </w:p>
    <w:p>
      <w:pPr>
        <w:spacing w:after="0" w:line="91" w:lineRule="exact"/>
        <w:rPr>
          <w:rFonts w:ascii="Times New Roman" w:cs="Times New Roman" w:eastAsia="Times New Roman" w:hAnsi="Times New Roman"/>
          <w:sz w:val="14"/>
          <w:szCs w:val="14"/>
          <w:color w:val="auto"/>
        </w:rPr>
      </w:pPr>
    </w:p>
    <w:p>
      <w:pPr>
        <w:ind w:left="2220" w:hanging="330"/>
        <w:spacing w:after="0"/>
        <w:tabs>
          <w:tab w:leader="none" w:pos="2220" w:val="left"/>
        </w:tabs>
        <w:numPr>
          <w:ilvl w:val="0"/>
          <w:numId w:val="10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Howard Lazarus, M.D., our Chief Medical Officer.</w:t>
      </w:r>
    </w:p>
    <w:p>
      <w:pPr>
        <w:spacing w:after="0" w:line="2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231F20"/>
        </w:rPr>
        <w:t>2025 Summary Compensation Table</w:t>
      </w:r>
    </w:p>
    <w:p>
      <w:pPr>
        <w:spacing w:after="0" w:line="93" w:lineRule="exact"/>
        <w:rPr>
          <w:sz w:val="20"/>
          <w:szCs w:val="20"/>
          <w:color w:val="auto"/>
        </w:rPr>
      </w:pPr>
    </w:p>
    <w:p>
      <w:pPr>
        <w:ind w:left="1560" w:right="1239" w:firstLine="333"/>
        <w:spacing w:after="0" w:line="283" w:lineRule="auto"/>
        <w:rPr>
          <w:sz w:val="20"/>
          <w:szCs w:val="20"/>
          <w:color w:val="auto"/>
        </w:rPr>
      </w:pPr>
      <w:r>
        <w:rPr>
          <w:rFonts w:ascii="Times New Roman" w:cs="Times New Roman" w:eastAsia="Times New Roman" w:hAnsi="Times New Roman"/>
          <w:sz w:val="14"/>
          <w:szCs w:val="14"/>
          <w:color w:val="231F20"/>
        </w:rPr>
        <w:t>The following table sets forth information regarding compensation awarded to, earned by, or paid to our NEOs for services rendered to us in all capacities during the fiscal year ended December 31, 2025.</w:t>
      </w:r>
    </w:p>
    <w:p>
      <w:pPr>
        <w:spacing w:after="0" w:line="131"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2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60" w:type="dxa"/>
            <w:vAlign w:val="bottom"/>
          </w:tcPr>
          <w:p>
            <w:pPr>
              <w:spacing w:after="0"/>
              <w:rPr>
                <w:sz w:val="11"/>
                <w:szCs w:val="1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Non-equity</w:t>
            </w:r>
          </w:p>
        </w:tc>
        <w:tc>
          <w:tcPr>
            <w:tcW w:w="40" w:type="dxa"/>
            <w:vAlign w:val="bottom"/>
          </w:tcPr>
          <w:p>
            <w:pPr>
              <w:spacing w:after="0"/>
              <w:rPr>
                <w:sz w:val="11"/>
                <w:szCs w:val="11"/>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All other</w:t>
            </w: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Salary</w:t>
            </w:r>
          </w:p>
        </w:tc>
        <w:tc>
          <w:tcPr>
            <w:tcW w:w="6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incentive plan</w:t>
            </w:r>
          </w:p>
        </w:tc>
        <w:tc>
          <w:tcPr>
            <w:tcW w:w="4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6"/>
        </w:trPr>
        <w:tc>
          <w:tcPr>
            <w:tcW w:w="240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60" w:type="dxa"/>
            <w:vAlign w:val="bottom"/>
          </w:tcPr>
          <w:p>
            <w:pPr>
              <w:spacing w:after="0"/>
              <w:rPr>
                <w:sz w:val="10"/>
                <w:szCs w:val="10"/>
                <w:color w:val="auto"/>
              </w:rPr>
            </w:pP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Year</w:t>
            </w:r>
          </w:p>
        </w:tc>
        <w:tc>
          <w:tcPr>
            <w:tcW w:w="8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60" w:type="dxa"/>
            <w:vAlign w:val="bottom"/>
          </w:tcPr>
          <w:p>
            <w:pPr>
              <w:spacing w:after="0"/>
              <w:rPr>
                <w:sz w:val="10"/>
                <w:szCs w:val="10"/>
                <w:color w:val="auto"/>
              </w:rPr>
            </w:pPr>
          </w:p>
        </w:tc>
        <w:tc>
          <w:tcPr>
            <w:tcW w:w="7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40" w:type="dxa"/>
            <w:vAlign w:val="bottom"/>
          </w:tcPr>
          <w:p>
            <w:pPr>
              <w:spacing w:after="0"/>
              <w:rPr>
                <w:sz w:val="10"/>
                <w:szCs w:val="10"/>
                <w:color w:val="auto"/>
              </w:rPr>
            </w:pPr>
          </w:p>
        </w:tc>
        <w:tc>
          <w:tcPr>
            <w:tcW w:w="72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compensation</w:t>
            </w:r>
          </w:p>
        </w:tc>
        <w:tc>
          <w:tcPr>
            <w:tcW w:w="4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0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6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w:t>
            </w:r>
          </w:p>
        </w:tc>
        <w:tc>
          <w:tcPr>
            <w:tcW w:w="60" w:type="dxa"/>
            <w:vAlign w:val="bottom"/>
          </w:tcPr>
          <w:p>
            <w:pPr>
              <w:spacing w:after="0"/>
              <w:rPr>
                <w:sz w:val="11"/>
                <w:szCs w:val="11"/>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4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($)(3)</w:t>
            </w:r>
          </w:p>
        </w:tc>
        <w:tc>
          <w:tcPr>
            <w:tcW w:w="40" w:type="dxa"/>
            <w:vAlign w:val="bottom"/>
          </w:tcPr>
          <w:p>
            <w:pPr>
              <w:spacing w:after="0"/>
              <w:rPr>
                <w:sz w:val="11"/>
                <w:szCs w:val="11"/>
                <w:color w:val="auto"/>
              </w:rPr>
            </w:pPr>
          </w:p>
        </w:tc>
        <w:tc>
          <w:tcPr>
            <w:tcW w:w="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9"/>
        </w:trPr>
        <w:tc>
          <w:tcPr>
            <w:tcW w:w="2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1"/>
                <w:szCs w:val="11"/>
                <w:color w:val="auto"/>
              </w:rPr>
              <w:t xml:space="preserve">Lyn Baranowski </w:t>
            </w:r>
            <w:r>
              <w:rPr>
                <w:rFonts w:ascii="Times New Roman" w:cs="Times New Roman" w:eastAsia="Times New Roman" w:hAnsi="Times New Roman"/>
                <w:sz w:val="11"/>
                <w:szCs w:val="11"/>
                <w:i w:val="1"/>
                <w:iCs w:val="1"/>
                <w:color w:val="auto"/>
              </w:rPr>
              <w:t>Chief Executive Officer</w:t>
            </w:r>
          </w:p>
        </w:tc>
        <w:tc>
          <w:tcPr>
            <w:tcW w:w="540" w:type="dxa"/>
            <w:vAlign w:val="bottom"/>
            <w:tcBorders>
              <w:bottom w:val="single" w:sz="8" w:color="CFF0FC"/>
            </w:tcBorders>
            <w:gridSpan w:val="2"/>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2025</w:t>
            </w:r>
          </w:p>
        </w:tc>
        <w:tc>
          <w:tcPr>
            <w:tcW w:w="640" w:type="dxa"/>
            <w:vAlign w:val="bottom"/>
            <w:tcBorders>
              <w:bottom w:val="single" w:sz="8" w:color="CFF0FC"/>
            </w:tcBorders>
            <w:gridSpan w:val="2"/>
            <w:shd w:val="clear" w:color="auto" w:fill="CFF0FC"/>
          </w:tcPr>
          <w:p>
            <w:pPr>
              <w:jc w:val="center"/>
              <w:ind w:left="24"/>
              <w:spacing w:after="0"/>
              <w:rPr>
                <w:sz w:val="20"/>
                <w:szCs w:val="20"/>
                <w:color w:val="auto"/>
              </w:rPr>
            </w:pPr>
            <w:r>
              <w:rPr>
                <w:rFonts w:ascii="Times New Roman" w:cs="Times New Roman" w:eastAsia="Times New Roman" w:hAnsi="Times New Roman"/>
                <w:sz w:val="11"/>
                <w:szCs w:val="11"/>
                <w:color w:val="auto"/>
              </w:rPr>
              <w:t>510,000</w:t>
            </w:r>
          </w:p>
        </w:tc>
        <w:tc>
          <w:tcPr>
            <w:tcW w:w="5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1,252,225</w:t>
            </w:r>
          </w:p>
        </w:tc>
        <w:tc>
          <w:tcPr>
            <w:tcW w:w="820" w:type="dxa"/>
            <w:vAlign w:val="bottom"/>
            <w:tcBorders>
              <w:bottom w:val="single" w:sz="8" w:color="CFF0FC"/>
            </w:tcBorders>
            <w:gridSpan w:val="2"/>
            <w:shd w:val="clear" w:color="auto" w:fill="CFF0FC"/>
          </w:tcPr>
          <w:p>
            <w:pPr>
              <w:jc w:val="center"/>
              <w:ind w:left="4"/>
              <w:spacing w:after="0"/>
              <w:rPr>
                <w:sz w:val="20"/>
                <w:szCs w:val="20"/>
                <w:color w:val="auto"/>
              </w:rPr>
            </w:pPr>
            <w:r>
              <w:rPr>
                <w:rFonts w:ascii="Times New Roman" w:cs="Times New Roman" w:eastAsia="Times New Roman" w:hAnsi="Times New Roman"/>
                <w:sz w:val="11"/>
                <w:szCs w:val="11"/>
                <w:color w:val="auto"/>
              </w:rPr>
              <w:t>280,500</w:t>
            </w:r>
          </w:p>
        </w:tc>
        <w:tc>
          <w:tcPr>
            <w:tcW w:w="760" w:type="dxa"/>
            <w:vAlign w:val="bottom"/>
            <w:tcBorders>
              <w:bottom w:val="single" w:sz="8" w:color="CFF0FC"/>
            </w:tcBorders>
            <w:gridSpan w:val="2"/>
            <w:shd w:val="clear" w:color="auto" w:fill="CFF0FC"/>
          </w:tcPr>
          <w:p>
            <w:pPr>
              <w:jc w:val="center"/>
              <w:ind w:left="4"/>
              <w:spacing w:after="0"/>
              <w:rPr>
                <w:sz w:val="20"/>
                <w:szCs w:val="20"/>
                <w:color w:val="auto"/>
              </w:rPr>
            </w:pPr>
            <w:r>
              <w:rPr>
                <w:rFonts w:ascii="Times New Roman" w:cs="Times New Roman" w:eastAsia="Times New Roman" w:hAnsi="Times New Roman"/>
                <w:sz w:val="11"/>
                <w:szCs w:val="11"/>
                <w:color w:val="auto"/>
                <w:w w:val="99"/>
              </w:rPr>
              <w:t>14,000</w:t>
            </w:r>
          </w:p>
        </w:tc>
        <w:tc>
          <w:tcPr>
            <w:tcW w:w="52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w w:val="99"/>
              </w:rPr>
              <w:t>2,056,725</w:t>
            </w:r>
          </w:p>
        </w:tc>
        <w:tc>
          <w:tcPr>
            <w:tcW w:w="0" w:type="dxa"/>
            <w:vAlign w:val="bottom"/>
          </w:tcPr>
          <w:p>
            <w:pPr>
              <w:spacing w:after="0"/>
              <w:rPr>
                <w:sz w:val="1"/>
                <w:szCs w:val="1"/>
                <w:color w:val="auto"/>
              </w:rPr>
            </w:pPr>
          </w:p>
        </w:tc>
      </w:tr>
      <w:tr>
        <w:trPr>
          <w:trHeight w:val="96"/>
        </w:trPr>
        <w:tc>
          <w:tcPr>
            <w:tcW w:w="240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 xml:space="preserve">Melissa Rhodes, Ph.D., D.A.B.T. </w:t>
            </w:r>
            <w:r>
              <w:rPr>
                <w:rFonts w:ascii="Times New Roman" w:cs="Times New Roman" w:eastAsia="Times New Roman" w:hAnsi="Times New Roman"/>
                <w:sz w:val="11"/>
                <w:szCs w:val="11"/>
                <w:i w:val="1"/>
                <w:iCs w:val="1"/>
                <w:color w:val="auto"/>
              </w:rPr>
              <w:t>Chief Operating</w:t>
            </w:r>
          </w:p>
        </w:tc>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2025</w:t>
            </w:r>
          </w:p>
        </w:tc>
        <w:tc>
          <w:tcPr>
            <w:tcW w:w="64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rPr>
              <w:t>421,200</w:t>
            </w:r>
          </w:p>
        </w:tc>
        <w:tc>
          <w:tcPr>
            <w:tcW w:w="540" w:type="dxa"/>
            <w:vAlign w:val="bottom"/>
            <w:gridSpan w:val="2"/>
            <w:vMerge w:val="restart"/>
          </w:tcPr>
          <w:p>
            <w:pPr>
              <w:jc w:val="right"/>
              <w:ind w:right="4"/>
              <w:spacing w:after="0"/>
              <w:rPr>
                <w:sz w:val="20"/>
                <w:szCs w:val="20"/>
                <w:color w:val="auto"/>
              </w:rPr>
            </w:pPr>
            <w:r>
              <w:rPr>
                <w:rFonts w:ascii="Times New Roman" w:cs="Times New Roman" w:eastAsia="Times New Roman" w:hAnsi="Times New Roman"/>
                <w:sz w:val="11"/>
                <w:szCs w:val="11"/>
                <w:color w:val="auto"/>
              </w:rPr>
              <w:t>332,268</w:t>
            </w:r>
          </w:p>
        </w:tc>
        <w:tc>
          <w:tcPr>
            <w:tcW w:w="82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1"/>
                <w:szCs w:val="11"/>
                <w:color w:val="auto"/>
              </w:rPr>
              <w:t>200,000</w:t>
            </w:r>
          </w:p>
        </w:tc>
        <w:tc>
          <w:tcPr>
            <w:tcW w:w="76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1"/>
                <w:szCs w:val="11"/>
                <w:color w:val="auto"/>
                <w:w w:val="99"/>
              </w:rPr>
              <w:t>14,000</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967,468</w:t>
            </w:r>
          </w:p>
        </w:tc>
        <w:tc>
          <w:tcPr>
            <w:tcW w:w="0" w:type="dxa"/>
            <w:vAlign w:val="bottom"/>
          </w:tcPr>
          <w:p>
            <w:pPr>
              <w:spacing w:after="0"/>
              <w:rPr>
                <w:sz w:val="1"/>
                <w:szCs w:val="1"/>
                <w:color w:val="auto"/>
              </w:rPr>
            </w:pPr>
          </w:p>
        </w:tc>
      </w:tr>
      <w:tr>
        <w:trPr>
          <w:trHeight w:val="135"/>
        </w:trPr>
        <w:tc>
          <w:tcPr>
            <w:tcW w:w="240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Officer</w:t>
            </w:r>
          </w:p>
        </w:tc>
        <w:tc>
          <w:tcPr>
            <w:tcW w:w="54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6"/>
        </w:trPr>
        <w:tc>
          <w:tcPr>
            <w:tcW w:w="240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1"/>
                <w:szCs w:val="11"/>
                <w:color w:val="auto"/>
              </w:rPr>
              <w:t xml:space="preserve">Douglas Carlson </w:t>
            </w:r>
            <w:r>
              <w:rPr>
                <w:rFonts w:ascii="Times New Roman" w:cs="Times New Roman" w:eastAsia="Times New Roman" w:hAnsi="Times New Roman"/>
                <w:sz w:val="11"/>
                <w:szCs w:val="11"/>
                <w:i w:val="1"/>
                <w:iCs w:val="1"/>
                <w:color w:val="auto"/>
              </w:rPr>
              <w:t>Chief Financial Officer and Chief</w:t>
            </w:r>
          </w:p>
        </w:tc>
        <w:tc>
          <w:tcPr>
            <w:tcW w:w="540" w:type="dxa"/>
            <w:vAlign w:val="bottom"/>
            <w:gridSpan w:val="2"/>
            <w:vMerge w:val="restart"/>
            <w:shd w:val="clear" w:color="auto" w:fill="CFF0FC"/>
          </w:tcPr>
          <w:p>
            <w:pPr>
              <w:ind w:left="200"/>
              <w:spacing w:after="0"/>
              <w:rPr>
                <w:sz w:val="20"/>
                <w:szCs w:val="20"/>
                <w:color w:val="auto"/>
              </w:rPr>
            </w:pPr>
            <w:r>
              <w:rPr>
                <w:rFonts w:ascii="Times New Roman" w:cs="Times New Roman" w:eastAsia="Times New Roman" w:hAnsi="Times New Roman"/>
                <w:sz w:val="11"/>
                <w:szCs w:val="11"/>
                <w:color w:val="auto"/>
              </w:rPr>
              <w:t>2025</w:t>
            </w:r>
          </w:p>
        </w:tc>
        <w:tc>
          <w:tcPr>
            <w:tcW w:w="640" w:type="dxa"/>
            <w:vAlign w:val="bottom"/>
            <w:gridSpan w:val="2"/>
            <w:vMerge w:val="restart"/>
            <w:shd w:val="clear" w:color="auto" w:fill="CFF0FC"/>
          </w:tcPr>
          <w:p>
            <w:pPr>
              <w:jc w:val="center"/>
              <w:ind w:left="24"/>
              <w:spacing w:after="0"/>
              <w:rPr>
                <w:sz w:val="20"/>
                <w:szCs w:val="20"/>
                <w:color w:val="auto"/>
              </w:rPr>
            </w:pPr>
            <w:r>
              <w:rPr>
                <w:rFonts w:ascii="Times New Roman" w:cs="Times New Roman" w:eastAsia="Times New Roman" w:hAnsi="Times New Roman"/>
                <w:sz w:val="11"/>
                <w:szCs w:val="11"/>
                <w:color w:val="auto"/>
              </w:rPr>
              <w:t>442,000</w:t>
            </w:r>
          </w:p>
        </w:tc>
        <w:tc>
          <w:tcPr>
            <w:tcW w:w="540" w:type="dxa"/>
            <w:vAlign w:val="bottom"/>
            <w:gridSpan w:val="2"/>
            <w:vMerge w:val="restart"/>
            <w:shd w:val="clear" w:color="auto" w:fill="CFF0FC"/>
          </w:tcPr>
          <w:p>
            <w:pPr>
              <w:jc w:val="center"/>
              <w:ind w:left="4"/>
              <w:spacing w:after="0"/>
              <w:rPr>
                <w:sz w:val="20"/>
                <w:szCs w:val="20"/>
                <w:color w:val="auto"/>
              </w:rPr>
            </w:pPr>
            <w:r>
              <w:rPr>
                <w:rFonts w:ascii="Times New Roman" w:cs="Times New Roman" w:eastAsia="Times New Roman" w:hAnsi="Times New Roman"/>
                <w:sz w:val="11"/>
                <w:szCs w:val="11"/>
                <w:color w:val="auto"/>
              </w:rPr>
              <w:t>249,900</w:t>
            </w:r>
          </w:p>
        </w:tc>
        <w:tc>
          <w:tcPr>
            <w:tcW w:w="820" w:type="dxa"/>
            <w:vAlign w:val="bottom"/>
            <w:gridSpan w:val="2"/>
            <w:vMerge w:val="restart"/>
            <w:shd w:val="clear" w:color="auto" w:fill="CFF0FC"/>
          </w:tcPr>
          <w:p>
            <w:pPr>
              <w:jc w:val="center"/>
              <w:ind w:left="4"/>
              <w:spacing w:after="0"/>
              <w:rPr>
                <w:sz w:val="20"/>
                <w:szCs w:val="20"/>
                <w:color w:val="auto"/>
              </w:rPr>
            </w:pPr>
            <w:r>
              <w:rPr>
                <w:rFonts w:ascii="Times New Roman" w:cs="Times New Roman" w:eastAsia="Times New Roman" w:hAnsi="Times New Roman"/>
                <w:sz w:val="11"/>
                <w:szCs w:val="11"/>
                <w:color w:val="auto"/>
              </w:rPr>
              <w:t>200,000</w:t>
            </w:r>
          </w:p>
        </w:tc>
        <w:tc>
          <w:tcPr>
            <w:tcW w:w="760" w:type="dxa"/>
            <w:vAlign w:val="bottom"/>
            <w:gridSpan w:val="2"/>
            <w:vMerge w:val="restart"/>
            <w:shd w:val="clear" w:color="auto" w:fill="CFF0FC"/>
          </w:tcPr>
          <w:p>
            <w:pPr>
              <w:jc w:val="center"/>
              <w:ind w:left="4"/>
              <w:spacing w:after="0"/>
              <w:rPr>
                <w:sz w:val="20"/>
                <w:szCs w:val="20"/>
                <w:color w:val="auto"/>
              </w:rPr>
            </w:pPr>
            <w:r>
              <w:rPr>
                <w:rFonts w:ascii="Times New Roman" w:cs="Times New Roman" w:eastAsia="Times New Roman" w:hAnsi="Times New Roman"/>
                <w:sz w:val="11"/>
                <w:szCs w:val="11"/>
                <w:color w:val="auto"/>
                <w:w w:val="99"/>
              </w:rPr>
              <w:t>14,000</w:t>
            </w:r>
          </w:p>
        </w:tc>
        <w:tc>
          <w:tcPr>
            <w:tcW w:w="52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905,900</w:t>
            </w:r>
          </w:p>
        </w:tc>
        <w:tc>
          <w:tcPr>
            <w:tcW w:w="0" w:type="dxa"/>
            <w:vAlign w:val="bottom"/>
          </w:tcPr>
          <w:p>
            <w:pPr>
              <w:spacing w:after="0"/>
              <w:rPr>
                <w:sz w:val="1"/>
                <w:szCs w:val="1"/>
                <w:color w:val="auto"/>
              </w:rPr>
            </w:pPr>
          </w:p>
        </w:tc>
      </w:tr>
      <w:tr>
        <w:trPr>
          <w:trHeight w:val="135"/>
        </w:trPr>
        <w:tc>
          <w:tcPr>
            <w:tcW w:w="24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1"/>
                <w:szCs w:val="11"/>
                <w:i w:val="1"/>
                <w:iCs w:val="1"/>
                <w:color w:val="auto"/>
              </w:rPr>
              <w:t>Business Officer</w:t>
            </w:r>
          </w:p>
        </w:tc>
        <w:tc>
          <w:tcPr>
            <w:tcW w:w="540" w:type="dxa"/>
            <w:vAlign w:val="bottom"/>
            <w:gridSpan w:val="2"/>
            <w:vMerge w:val="continue"/>
            <w:shd w:val="clear" w:color="auto" w:fill="CFF0FC"/>
          </w:tcPr>
          <w:p>
            <w:pPr>
              <w:spacing w:after="0"/>
              <w:rPr>
                <w:sz w:val="11"/>
                <w:szCs w:val="11"/>
                <w:color w:val="auto"/>
              </w:rPr>
            </w:pPr>
          </w:p>
        </w:tc>
        <w:tc>
          <w:tcPr>
            <w:tcW w:w="640" w:type="dxa"/>
            <w:vAlign w:val="bottom"/>
            <w:gridSpan w:val="2"/>
            <w:vMerge w:val="continue"/>
            <w:shd w:val="clear" w:color="auto" w:fill="CFF0FC"/>
          </w:tcPr>
          <w:p>
            <w:pPr>
              <w:spacing w:after="0"/>
              <w:rPr>
                <w:sz w:val="11"/>
                <w:szCs w:val="11"/>
                <w:color w:val="auto"/>
              </w:rPr>
            </w:pPr>
          </w:p>
        </w:tc>
        <w:tc>
          <w:tcPr>
            <w:tcW w:w="540" w:type="dxa"/>
            <w:vAlign w:val="bottom"/>
            <w:gridSpan w:val="2"/>
            <w:vMerge w:val="continue"/>
            <w:shd w:val="clear" w:color="auto" w:fill="CFF0FC"/>
          </w:tcPr>
          <w:p>
            <w:pPr>
              <w:spacing w:after="0"/>
              <w:rPr>
                <w:sz w:val="11"/>
                <w:szCs w:val="11"/>
                <w:color w:val="auto"/>
              </w:rPr>
            </w:pPr>
          </w:p>
        </w:tc>
        <w:tc>
          <w:tcPr>
            <w:tcW w:w="820" w:type="dxa"/>
            <w:vAlign w:val="bottom"/>
            <w:gridSpan w:val="2"/>
            <w:vMerge w:val="continue"/>
            <w:shd w:val="clear" w:color="auto" w:fill="CFF0FC"/>
          </w:tcPr>
          <w:p>
            <w:pPr>
              <w:spacing w:after="0"/>
              <w:rPr>
                <w:sz w:val="11"/>
                <w:szCs w:val="11"/>
                <w:color w:val="auto"/>
              </w:rPr>
            </w:pPr>
          </w:p>
        </w:tc>
        <w:tc>
          <w:tcPr>
            <w:tcW w:w="760" w:type="dxa"/>
            <w:vAlign w:val="bottom"/>
            <w:gridSpan w:val="2"/>
            <w:vMerge w:val="continue"/>
            <w:shd w:val="clear" w:color="auto" w:fill="CFF0FC"/>
          </w:tcPr>
          <w:p>
            <w:pPr>
              <w:spacing w:after="0"/>
              <w:rPr>
                <w:sz w:val="11"/>
                <w:szCs w:val="11"/>
                <w:color w:val="auto"/>
              </w:rPr>
            </w:pPr>
          </w:p>
        </w:tc>
        <w:tc>
          <w:tcPr>
            <w:tcW w:w="520" w:type="dxa"/>
            <w:vAlign w:val="bottom"/>
            <w:gridSpan w:val="2"/>
            <w:vMerge w:val="continue"/>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400" w:type="dxa"/>
            <w:vAlign w:val="bottom"/>
          </w:tcPr>
          <w:p>
            <w:pPr>
              <w:spacing w:after="0"/>
              <w:rPr>
                <w:sz w:val="20"/>
                <w:szCs w:val="20"/>
                <w:color w:val="auto"/>
              </w:rPr>
            </w:pPr>
            <w:r>
              <w:rPr>
                <w:rFonts w:ascii="Times New Roman" w:cs="Times New Roman" w:eastAsia="Times New Roman" w:hAnsi="Times New Roman"/>
                <w:sz w:val="11"/>
                <w:szCs w:val="11"/>
                <w:color w:val="auto"/>
              </w:rPr>
              <w:t xml:space="preserve">Howard Lazarus, M.D. </w:t>
            </w:r>
            <w:r>
              <w:rPr>
                <w:rFonts w:ascii="Times New Roman" w:cs="Times New Roman" w:eastAsia="Times New Roman" w:hAnsi="Times New Roman"/>
                <w:sz w:val="11"/>
                <w:szCs w:val="11"/>
                <w:i w:val="1"/>
                <w:iCs w:val="1"/>
                <w:color w:val="auto"/>
              </w:rPr>
              <w:t>Chief Medical Officer</w:t>
            </w:r>
          </w:p>
        </w:tc>
        <w:tc>
          <w:tcPr>
            <w:tcW w:w="5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1"/>
                <w:szCs w:val="11"/>
                <w:color w:val="auto"/>
              </w:rPr>
              <w:t>2025</w:t>
            </w:r>
          </w:p>
        </w:tc>
        <w:tc>
          <w:tcPr>
            <w:tcW w:w="640" w:type="dxa"/>
            <w:vAlign w:val="bottom"/>
            <w:gridSpan w:val="2"/>
            <w:vMerge w:val="restart"/>
          </w:tcPr>
          <w:p>
            <w:pPr>
              <w:jc w:val="center"/>
              <w:ind w:left="24"/>
              <w:spacing w:after="0"/>
              <w:rPr>
                <w:sz w:val="20"/>
                <w:szCs w:val="20"/>
                <w:color w:val="auto"/>
              </w:rPr>
            </w:pPr>
            <w:r>
              <w:rPr>
                <w:rFonts w:ascii="Times New Roman" w:cs="Times New Roman" w:eastAsia="Times New Roman" w:hAnsi="Times New Roman"/>
                <w:sz w:val="11"/>
                <w:szCs w:val="11"/>
                <w:color w:val="auto"/>
              </w:rPr>
              <w:t>457,600</w:t>
            </w:r>
          </w:p>
        </w:tc>
        <w:tc>
          <w:tcPr>
            <w:tcW w:w="54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1"/>
                <w:szCs w:val="11"/>
                <w:color w:val="auto"/>
              </w:rPr>
              <w:t>73,449</w:t>
            </w:r>
          </w:p>
        </w:tc>
        <w:tc>
          <w:tcPr>
            <w:tcW w:w="82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1"/>
                <w:szCs w:val="11"/>
                <w:color w:val="auto"/>
              </w:rPr>
              <w:t>195,853</w:t>
            </w:r>
          </w:p>
        </w:tc>
        <w:tc>
          <w:tcPr>
            <w:tcW w:w="76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1"/>
                <w:szCs w:val="11"/>
                <w:color w:val="auto"/>
                <w:w w:val="99"/>
              </w:rPr>
              <w:t>14,000</w:t>
            </w:r>
          </w:p>
        </w:tc>
        <w:tc>
          <w:tcPr>
            <w:tcW w:w="5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740,902</w:t>
            </w:r>
          </w:p>
        </w:tc>
        <w:tc>
          <w:tcPr>
            <w:tcW w:w="0" w:type="dxa"/>
            <w:vAlign w:val="bottom"/>
          </w:tcPr>
          <w:p>
            <w:pPr>
              <w:spacing w:after="0"/>
              <w:rPr>
                <w:sz w:val="1"/>
                <w:szCs w:val="1"/>
                <w:color w:val="auto"/>
              </w:rPr>
            </w:pPr>
          </w:p>
        </w:tc>
      </w:tr>
      <w:tr>
        <w:trPr>
          <w:trHeight w:val="34"/>
        </w:trPr>
        <w:tc>
          <w:tcPr>
            <w:tcW w:w="2400" w:type="dxa"/>
            <w:vAlign w:val="bottom"/>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540" w:type="dxa"/>
            <w:vAlign w:val="bottom"/>
            <w:gridSpan w:val="2"/>
            <w:vMerge w:val="continue"/>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760" w:type="dxa"/>
            <w:vAlign w:val="bottom"/>
            <w:gridSpan w:val="2"/>
            <w:vMerge w:val="continue"/>
          </w:tcPr>
          <w:p>
            <w:pPr>
              <w:spacing w:after="0"/>
              <w:rPr>
                <w:sz w:val="2"/>
                <w:szCs w:val="2"/>
                <w:color w:val="auto"/>
              </w:rPr>
            </w:pPr>
          </w:p>
        </w:tc>
        <w:tc>
          <w:tcPr>
            <w:tcW w:w="52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both"/>
        <w:ind w:left="1880" w:right="1239" w:hanging="323"/>
        <w:spacing w:after="0" w:line="253" w:lineRule="auto"/>
        <w:tabs>
          <w:tab w:leader="none" w:pos="1880" w:val="left"/>
        </w:tabs>
        <w:numPr>
          <w:ilvl w:val="0"/>
          <w:numId w:val="10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amounts reported in this column represent the aggregate grant date fair value of stock options awarded to our NEOs in fiscal year 2025, calculated in accordance with Financial Accounting Standards Board, or FASB Accounting Standards Codification, or ASC Topic 718, disregarding estimated forfeitures related to service-based vesting. For a discussion of the assumptions and methodologies used to calculate the amounts referred to above, please see the discussion of option awards contained in Note 11, Stock Based Compensation, to our audited consolidated financial statements included elsewhere in this prospectus. The amounts reported in this column reflect the accounting value of the options and do not correspond to the actual economic value that may be received by our NEOs upon the exercise of the options or any sale of the underlying shares.</w:t>
      </w:r>
    </w:p>
    <w:p>
      <w:pPr>
        <w:spacing w:after="0" w:line="1" w:lineRule="exact"/>
        <w:rPr>
          <w:rFonts w:ascii="Times New Roman" w:cs="Times New Roman" w:eastAsia="Times New Roman" w:hAnsi="Times New Roman"/>
          <w:sz w:val="14"/>
          <w:szCs w:val="14"/>
          <w:color w:val="231F20"/>
        </w:rPr>
      </w:pPr>
    </w:p>
    <w:p>
      <w:pPr>
        <w:jc w:val="both"/>
        <w:ind w:left="1880" w:right="1239" w:hanging="323"/>
        <w:spacing w:after="0" w:line="250" w:lineRule="auto"/>
        <w:tabs>
          <w:tab w:leader="none" w:pos="1880" w:val="left"/>
        </w:tabs>
        <w:numPr>
          <w:ilvl w:val="0"/>
          <w:numId w:val="104"/>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amounts reported represent the annual bonuses each NEO earned during the applicable fiscal year based on achievement of company performance and individual performance, which were paid in the first quarter of the following fiscal year. For fiscal year 2025, the amounts reported in this column represent the estimated amount of annual bonuses such NEOs are anticipated to earn for such fiscal year. The 2025 bonus amounts will be paid in March 2026. For more information on these bonuses, see a description of the annual performance bonuses under the section titled “Narrative Disclosure to Summary Compensation Table –Annual Cash Bonus Opportunities” below.</w:t>
      </w:r>
    </w:p>
    <w:p>
      <w:pPr>
        <w:spacing w:after="0" w:line="3" w:lineRule="exact"/>
        <w:rPr>
          <w:rFonts w:ascii="Times New Roman" w:cs="Times New Roman" w:eastAsia="Times New Roman" w:hAnsi="Times New Roman"/>
          <w:sz w:val="14"/>
          <w:szCs w:val="14"/>
          <w:color w:val="231F20"/>
        </w:rPr>
      </w:pPr>
    </w:p>
    <w:p>
      <w:pPr>
        <w:ind w:left="1880" w:hanging="323"/>
        <w:spacing w:after="0"/>
        <w:tabs>
          <w:tab w:leader="none" w:pos="1880" w:val="left"/>
        </w:tabs>
        <w:numPr>
          <w:ilvl w:val="0"/>
          <w:numId w:val="10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reflect matching 401(k) contributions.</w:t>
      </w:r>
    </w:p>
    <w:p>
      <w:pPr>
        <w:spacing w:after="0" w:line="200" w:lineRule="exact"/>
        <w:rPr>
          <w:sz w:val="20"/>
          <w:szCs w:val="20"/>
          <w:color w:val="auto"/>
        </w:rPr>
      </w:pPr>
    </w:p>
    <w:p>
      <w:pPr>
        <w:spacing w:after="0" w:line="32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2" w:name="page183"/>
    <w:bookmarkEnd w:id="182"/>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231F20"/>
        </w:rPr>
        <w:t>Narrative Disclosure to the Summary Compensation Table</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Elements of Compensation</w:t>
      </w:r>
    </w:p>
    <w:p>
      <w:pPr>
        <w:spacing w:after="0" w:line="93" w:lineRule="exact"/>
        <w:rPr>
          <w:sz w:val="20"/>
          <w:szCs w:val="20"/>
          <w:color w:val="auto"/>
        </w:rPr>
      </w:pPr>
    </w:p>
    <w:p>
      <w:pPr>
        <w:jc w:val="both"/>
        <w:ind w:left="1560" w:right="1239" w:firstLine="333"/>
        <w:spacing w:after="0" w:line="283" w:lineRule="auto"/>
        <w:rPr>
          <w:sz w:val="20"/>
          <w:szCs w:val="20"/>
          <w:color w:val="auto"/>
        </w:rPr>
      </w:pPr>
      <w:r>
        <w:rPr>
          <w:rFonts w:ascii="Times New Roman" w:cs="Times New Roman" w:eastAsia="Times New Roman" w:hAnsi="Times New Roman"/>
          <w:sz w:val="14"/>
          <w:szCs w:val="14"/>
          <w:color w:val="231F20"/>
        </w:rPr>
        <w:t>The compensation of our NEOs generally consists of three key elements: (i) base salary; (ii) annual cash bonus opportunities; and (iii) long-term incentive compensation in the form of equity awards.</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Base Salaries</w:t>
      </w:r>
    </w:p>
    <w:p>
      <w:pPr>
        <w:spacing w:after="0" w:line="93"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231F20"/>
        </w:rPr>
        <w:t>The base salary payable to each NEO is intended to provide a fixed component of compensation reflecting the executive’s skill set, experience, role, responsibilities, and contributions. Each NEO’s initial base salary was specified in his or her offer letter or employment agreement, as described below, and is reviewed (and, if applicable, adjusted) from time to time by our board of directors or compensation committee.</w:t>
      </w:r>
    </w:p>
    <w:p>
      <w:pPr>
        <w:spacing w:after="0" w:line="141"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auto"/>
        </w:rPr>
        <w:t>For the fiscal year ended December 31, 2025, the annual base salaries for Ms. Baranowski, Dr. Rhodes, Mr. Carlson, and Dr. Lazarus were $510,000, $421,200, $442,000, and $457,600, respectively. Effective January 1, 2026, the annual base salaries for Ms. Baranowski, Dr. Rhodes, Mr. Carlson, and Dr. Lazarus were increased to $531,300, $438,048, $459,680, and $471,328, respectively.</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Annual Cash Bonus Opportunities</w:t>
      </w:r>
    </w:p>
    <w:p>
      <w:pPr>
        <w:spacing w:after="0" w:line="93"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231F20"/>
        </w:rPr>
        <w:t>For the fiscal year ended December 31, 2025, each of our NEOs was eligible to earn an annual bonus based on the Company’s achievement of certain performance objectives. The target annual bonus for Ms. Baranowski, Dr. Rhodes, Mr. Carlson, and Dr. Lazarus were 50%, 40%, 40%, and 40% of their respective base salaries.</w:t>
      </w:r>
    </w:p>
    <w:p>
      <w:pPr>
        <w:spacing w:after="0" w:line="141"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The goals applicable to our NEOs’ 2025 annual cash bonuses related to the achievement of certain company and individual performance milestones. Following a review of 2025 performance, our compensation committee determined that we had achieved our 2025 corporate goals at 110% and approved 2025 cash incentive payments to Ms. Baranowski, Dr. Rhodes, Mr. Carlson, and Dr. Lazarus equal to 55%, 47%, 45%, and 43% of their respective base salaries, respectively.</w:t>
      </w:r>
    </w:p>
    <w:p>
      <w:pPr>
        <w:spacing w:after="0" w:line="2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Equity-based Compensation</w:t>
      </w:r>
    </w:p>
    <w:p>
      <w:pPr>
        <w:spacing w:after="0" w:line="93"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231F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our executive officers to remain in our employment during the vesting period.</w:t>
      </w:r>
    </w:p>
    <w:p>
      <w:pPr>
        <w:spacing w:after="0" w:line="144"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auto"/>
        </w:rPr>
        <w:t>Accordingly, our board of directors or our compensation committee periodically reviews the equity incentive compensation of our NEOs and may grant equity incentive awards to them from time to time. See “—Outstanding Equity Awards at Fiscal Year-End” for more information regarding equity awards made to our NEOs.</w:t>
      </w:r>
    </w:p>
    <w:p>
      <w:pPr>
        <w:spacing w:after="0" w:line="22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Perquisites/Personal Benefits</w:t>
      </w:r>
    </w:p>
    <w:p>
      <w:pPr>
        <w:spacing w:after="0" w:line="93" w:lineRule="exact"/>
        <w:rPr>
          <w:sz w:val="20"/>
          <w:szCs w:val="20"/>
          <w:color w:val="auto"/>
        </w:rPr>
      </w:pPr>
    </w:p>
    <w:p>
      <w:pPr>
        <w:jc w:val="both"/>
        <w:ind w:left="1560" w:right="1239" w:firstLine="333"/>
        <w:spacing w:after="0" w:line="267" w:lineRule="auto"/>
        <w:rPr>
          <w:sz w:val="20"/>
          <w:szCs w:val="20"/>
          <w:color w:val="auto"/>
        </w:rPr>
      </w:pPr>
      <w:r>
        <w:rPr>
          <w:rFonts w:ascii="Times New Roman" w:cs="Times New Roman" w:eastAsia="Times New Roman" w:hAnsi="Times New Roman"/>
          <w:sz w:val="14"/>
          <w:szCs w:val="14"/>
          <w:color w:val="231F20"/>
        </w:rPr>
        <w:t>Perquisites or other personal benefits are not a significant component of our executive compensation program. Accordingly, we generally do not provide significant perquisites or other personal benefits to our executive officers, including our named executive officers.</w:t>
      </w:r>
    </w:p>
    <w:p>
      <w:pPr>
        <w:spacing w:after="0" w:line="200" w:lineRule="exact"/>
        <w:rPr>
          <w:sz w:val="20"/>
          <w:szCs w:val="20"/>
          <w:color w:val="auto"/>
        </w:rPr>
      </w:pPr>
    </w:p>
    <w:p>
      <w:pPr>
        <w:spacing w:after="0" w:line="3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3" w:name="page184"/>
    <w:bookmarkEnd w:id="183"/>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401(k) Plan</w:t>
      </w:r>
    </w:p>
    <w:p>
      <w:pPr>
        <w:spacing w:after="0" w:line="93" w:lineRule="exact"/>
        <w:rPr>
          <w:sz w:val="20"/>
          <w:szCs w:val="20"/>
          <w:color w:val="auto"/>
        </w:rPr>
      </w:pPr>
    </w:p>
    <w:p>
      <w:pPr>
        <w:jc w:val="both"/>
        <w:ind w:left="1560" w:right="1239" w:firstLine="333"/>
        <w:spacing w:after="0" w:line="257" w:lineRule="auto"/>
        <w:rPr>
          <w:sz w:val="20"/>
          <w:szCs w:val="20"/>
          <w:color w:val="auto"/>
        </w:rPr>
      </w:pPr>
      <w:r>
        <w:rPr>
          <w:rFonts w:ascii="Times New Roman" w:cs="Times New Roman" w:eastAsia="Times New Roman" w:hAnsi="Times New Roman"/>
          <w:sz w:val="14"/>
          <w:szCs w:val="14"/>
          <w:color w:val="231F20"/>
        </w:rPr>
        <w:t>We currently maintain a tax-qualified, safe harbor 401(k) plan for our employees, including our NEOs, who satisfy certain eligibility requirements. Our NEOs are eligible to participate in the 401(k) plan on the same terms as other full-time employees. Our 401(k) plan is intended to qualify for favorable tax treatment under Section 401(a) of the Code, and contains a cash or deferred feature that is intended to meet the requirements of Section 401(k) of the Code. We make safe harbor matching contributions equal to 100% of employees’ salary deferrals that do not exceed 4% of their annual salary up to the annual limit set by the IRS.</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231F20"/>
        </w:rPr>
        <w:t>Compensation Recovery Policy</w:t>
      </w:r>
    </w:p>
    <w:p>
      <w:pPr>
        <w:spacing w:after="0" w:line="93"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color w:val="231F20"/>
        </w:rPr>
        <w:t>In accordance with the requirements of the SEC and Nasdaq Listing Rules, our board of directors plans to adopt a compensation recovery policy, which will become effective upon the date on which the registration statement of which this prospectus is part is declared effective by the SEC. The compensation recovery policy will provide that in the event we are required to prepare a restatement of financial statements due to material noncompliance with any financial reporting requirement under securities laws, we will seek to recover any incentive-based compensation that was based upon the attainment of a financial reporting measure and that was received by any current or former executive officer during the three-year period preceding the date that the restatement was required if such compensation exceeds the amount that the executive officers would have received based on the restated financial statements.</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231F20"/>
        </w:rPr>
        <w:t>Outstanding Equity Awards at Fiscal Year-End</w:t>
      </w:r>
    </w:p>
    <w:p>
      <w:pPr>
        <w:spacing w:after="0" w:line="93" w:lineRule="exact"/>
        <w:rPr>
          <w:sz w:val="20"/>
          <w:szCs w:val="20"/>
          <w:color w:val="auto"/>
        </w:rPr>
      </w:pPr>
    </w:p>
    <w:p>
      <w:pPr>
        <w:jc w:val="both"/>
        <w:ind w:left="1560" w:right="1239" w:firstLine="333"/>
        <w:spacing w:after="0" w:line="267" w:lineRule="auto"/>
        <w:rPr>
          <w:sz w:val="20"/>
          <w:szCs w:val="20"/>
          <w:color w:val="auto"/>
        </w:rPr>
      </w:pPr>
      <w:r>
        <w:rPr>
          <w:rFonts w:ascii="Times New Roman" w:cs="Times New Roman" w:eastAsia="Times New Roman" w:hAnsi="Times New Roman"/>
          <w:sz w:val="14"/>
          <w:szCs w:val="14"/>
          <w:color w:val="231F20"/>
        </w:rPr>
        <w:t>The following table provides information regarding the outstanding equity awards held by our NEOs as of December 31, 2025. All awards were granted pursuant to the 2022 Plan. See “—Equity Incentive Plans— 2022 Plan” below for additional information.</w:t>
      </w:r>
    </w:p>
    <w:p>
      <w:pPr>
        <w:spacing w:after="0" w:line="141"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1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60" w:type="dxa"/>
            <w:vAlign w:val="bottom"/>
          </w:tcPr>
          <w:p>
            <w:pPr>
              <w:spacing w:after="0"/>
              <w:rPr>
                <w:sz w:val="11"/>
                <w:szCs w:val="11"/>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Securities</w:t>
            </w: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0" w:type="dxa"/>
            <w:vAlign w:val="bottom"/>
          </w:tcPr>
          <w:p>
            <w:pPr>
              <w:spacing w:after="0"/>
              <w:rPr>
                <w:sz w:val="1"/>
                <w:szCs w:val="1"/>
                <w:color w:val="auto"/>
              </w:rPr>
            </w:pPr>
          </w:p>
        </w:tc>
      </w:tr>
      <w:tr>
        <w:trPr>
          <w:trHeight w:val="11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60" w:type="dxa"/>
            <w:vAlign w:val="bottom"/>
          </w:tcPr>
          <w:p>
            <w:pPr>
              <w:spacing w:after="0"/>
              <w:rPr>
                <w:sz w:val="10"/>
                <w:szCs w:val="10"/>
                <w:color w:val="auto"/>
              </w:rPr>
            </w:pPr>
          </w:p>
        </w:tc>
        <w:tc>
          <w:tcPr>
            <w:tcW w:w="10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60" w:type="dxa"/>
            <w:vAlign w:val="bottom"/>
          </w:tcPr>
          <w:p>
            <w:pPr>
              <w:spacing w:after="0"/>
              <w:rPr>
                <w:sz w:val="10"/>
                <w:szCs w:val="10"/>
                <w:color w:val="auto"/>
              </w:rPr>
            </w:pP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Option</w:t>
            </w:r>
          </w:p>
        </w:tc>
        <w:tc>
          <w:tcPr>
            <w:tcW w:w="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Vesting</w:t>
            </w:r>
          </w:p>
        </w:tc>
        <w:tc>
          <w:tcPr>
            <w:tcW w:w="60" w:type="dxa"/>
            <w:vAlign w:val="bottom"/>
          </w:tcPr>
          <w:p>
            <w:pPr>
              <w:spacing w:after="0"/>
              <w:rPr>
                <w:sz w:val="10"/>
                <w:szCs w:val="10"/>
                <w:color w:val="auto"/>
              </w:rPr>
            </w:pPr>
          </w:p>
        </w:tc>
        <w:tc>
          <w:tcPr>
            <w:tcW w:w="10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Unexercised Options</w:t>
            </w:r>
          </w:p>
        </w:tc>
        <w:tc>
          <w:tcPr>
            <w:tcW w:w="60" w:type="dxa"/>
            <w:vAlign w:val="bottom"/>
          </w:tcPr>
          <w:p>
            <w:pPr>
              <w:spacing w:after="0"/>
              <w:rPr>
                <w:sz w:val="10"/>
                <w:szCs w:val="10"/>
                <w:color w:val="auto"/>
              </w:rPr>
            </w:pPr>
          </w:p>
        </w:tc>
        <w:tc>
          <w:tcPr>
            <w:tcW w:w="10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Unexercised Options</w:t>
            </w:r>
          </w:p>
        </w:tc>
        <w:tc>
          <w:tcPr>
            <w:tcW w:w="60" w:type="dxa"/>
            <w:vAlign w:val="bottom"/>
          </w:tcPr>
          <w:p>
            <w:pPr>
              <w:spacing w:after="0"/>
              <w:rPr>
                <w:sz w:val="10"/>
                <w:szCs w:val="10"/>
                <w:color w:val="auto"/>
              </w:rPr>
            </w:pPr>
          </w:p>
        </w:tc>
        <w:tc>
          <w:tcPr>
            <w:tcW w:w="4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Expiratio</w:t>
            </w:r>
          </w:p>
        </w:tc>
        <w:tc>
          <w:tcPr>
            <w:tcW w:w="0" w:type="dxa"/>
            <w:vAlign w:val="bottom"/>
          </w:tcPr>
          <w:p>
            <w:pPr>
              <w:spacing w:after="0"/>
              <w:rPr>
                <w:sz w:val="1"/>
                <w:szCs w:val="1"/>
                <w:color w:val="auto"/>
              </w:rPr>
            </w:pPr>
          </w:p>
        </w:tc>
      </w:tr>
      <w:tr>
        <w:trPr>
          <w:trHeight w:val="116"/>
        </w:trPr>
        <w:tc>
          <w:tcPr>
            <w:tcW w:w="17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 and Principal Position</w:t>
            </w:r>
          </w:p>
        </w:tc>
        <w:tc>
          <w:tcPr>
            <w:tcW w:w="60" w:type="dxa"/>
            <w:vAlign w:val="bottom"/>
          </w:tcPr>
          <w:p>
            <w:pPr>
              <w:spacing w:after="0"/>
              <w:rPr>
                <w:sz w:val="10"/>
                <w:szCs w:val="10"/>
                <w:color w:val="auto"/>
              </w:rPr>
            </w:pPr>
          </w:p>
        </w:tc>
        <w:tc>
          <w:tcPr>
            <w:tcW w:w="5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ind w:left="240"/>
              <w:spacing w:after="0" w:line="116" w:lineRule="exact"/>
              <w:rPr>
                <w:sz w:val="20"/>
                <w:szCs w:val="20"/>
                <w:color w:val="auto"/>
              </w:rPr>
            </w:pPr>
            <w:r>
              <w:rPr>
                <w:rFonts w:ascii="Times New Roman" w:cs="Times New Roman" w:eastAsia="Times New Roman" w:hAnsi="Times New Roman"/>
                <w:sz w:val="11"/>
                <w:szCs w:val="11"/>
                <w:b w:val="1"/>
                <w:bCs w:val="1"/>
                <w:color w:val="auto"/>
              </w:rPr>
              <w:t>Exercisable</w:t>
            </w:r>
          </w:p>
        </w:tc>
        <w:tc>
          <w:tcPr>
            <w:tcW w:w="60" w:type="dxa"/>
            <w:vAlign w:val="bottom"/>
          </w:tcPr>
          <w:p>
            <w:pPr>
              <w:spacing w:after="0"/>
              <w:rPr>
                <w:sz w:val="10"/>
                <w:szCs w:val="10"/>
                <w:color w:val="auto"/>
              </w:rPr>
            </w:pPr>
          </w:p>
        </w:tc>
        <w:tc>
          <w:tcPr>
            <w:tcW w:w="1060" w:type="dxa"/>
            <w:vAlign w:val="bottom"/>
          </w:tcPr>
          <w:p>
            <w:pPr>
              <w:ind w:left="200"/>
              <w:spacing w:after="0" w:line="116" w:lineRule="exact"/>
              <w:rPr>
                <w:sz w:val="20"/>
                <w:szCs w:val="20"/>
                <w:color w:val="auto"/>
              </w:rPr>
            </w:pPr>
            <w:r>
              <w:rPr>
                <w:rFonts w:ascii="Times New Roman" w:cs="Times New Roman" w:eastAsia="Times New Roman" w:hAnsi="Times New Roman"/>
                <w:sz w:val="11"/>
                <w:szCs w:val="11"/>
                <w:b w:val="1"/>
                <w:bCs w:val="1"/>
                <w:color w:val="auto"/>
              </w:rPr>
              <w:t>Unexercisable</w:t>
            </w:r>
          </w:p>
        </w:tc>
        <w:tc>
          <w:tcPr>
            <w:tcW w:w="60" w:type="dxa"/>
            <w:vAlign w:val="bottom"/>
          </w:tcPr>
          <w:p>
            <w:pPr>
              <w:spacing w:after="0"/>
              <w:rPr>
                <w:sz w:val="10"/>
                <w:szCs w:val="10"/>
                <w:color w:val="auto"/>
              </w:rPr>
            </w:pPr>
          </w:p>
        </w:tc>
        <w:tc>
          <w:tcPr>
            <w:tcW w:w="4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0" w:type="dxa"/>
            <w:vAlign w:val="bottom"/>
          </w:tcPr>
          <w:p>
            <w:pPr>
              <w:spacing w:after="0"/>
              <w:rPr>
                <w:sz w:val="10"/>
                <w:szCs w:val="10"/>
                <w:color w:val="auto"/>
              </w:rPr>
            </w:pPr>
          </w:p>
        </w:tc>
        <w:tc>
          <w:tcPr>
            <w:tcW w:w="5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7"/>
              </w:rPr>
              <w:t>n</w:t>
            </w:r>
          </w:p>
        </w:tc>
        <w:tc>
          <w:tcPr>
            <w:tcW w:w="0" w:type="dxa"/>
            <w:vAlign w:val="bottom"/>
          </w:tcPr>
          <w:p>
            <w:pPr>
              <w:spacing w:after="0"/>
              <w:rPr>
                <w:sz w:val="1"/>
                <w:szCs w:val="1"/>
                <w:color w:val="auto"/>
              </w:rPr>
            </w:pPr>
          </w:p>
        </w:tc>
      </w:tr>
      <w:tr>
        <w:trPr>
          <w:trHeight w:val="135"/>
        </w:trPr>
        <w:tc>
          <w:tcPr>
            <w:tcW w:w="174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Start Date</w:t>
            </w:r>
          </w:p>
        </w:tc>
        <w:tc>
          <w:tcPr>
            <w:tcW w:w="6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(#)(1)(2)</w:t>
            </w:r>
          </w:p>
        </w:tc>
        <w:tc>
          <w:tcPr>
            <w:tcW w:w="6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(#)(1)(2)</w:t>
            </w:r>
          </w:p>
        </w:tc>
        <w:tc>
          <w:tcPr>
            <w:tcW w:w="60" w:type="dxa"/>
            <w:vAlign w:val="bottom"/>
          </w:tcPr>
          <w:p>
            <w:pPr>
              <w:spacing w:after="0"/>
              <w:rPr>
                <w:sz w:val="11"/>
                <w:szCs w:val="11"/>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 xml:space="preserve">Price </w:t>
            </w:r>
            <w:r>
              <w:rPr>
                <w:rFonts w:ascii="Times New Roman" w:cs="Times New Roman" w:eastAsia="Times New Roman" w:hAnsi="Times New Roman"/>
                <w:sz w:val="11"/>
                <w:szCs w:val="11"/>
                <w:b w:val="1"/>
                <w:bCs w:val="1"/>
                <w:u w:val="single" w:color="auto"/>
                <w:color w:val="auto"/>
                <w:w w:val="99"/>
              </w:rPr>
              <w:t>($</w:t>
            </w:r>
            <w:r>
              <w:rPr>
                <w:rFonts w:ascii="Times New Roman" w:cs="Times New Roman" w:eastAsia="Times New Roman" w:hAnsi="Times New Roman"/>
                <w:sz w:val="11"/>
                <w:szCs w:val="11"/>
                <w:b w:val="1"/>
                <w:bCs w:val="1"/>
                <w:color w:val="auto"/>
                <w:w w:val="99"/>
              </w:rPr>
              <w:t>)</w:t>
            </w:r>
          </w:p>
        </w:tc>
        <w:tc>
          <w:tcPr>
            <w:tcW w:w="40" w:type="dxa"/>
            <w:vAlign w:val="bottom"/>
          </w:tcPr>
          <w:p>
            <w:pPr>
              <w:spacing w:after="0"/>
              <w:rPr>
                <w:sz w:val="11"/>
                <w:szCs w:val="1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0" w:type="dxa"/>
            <w:vAlign w:val="bottom"/>
          </w:tcPr>
          <w:p>
            <w:pPr>
              <w:spacing w:after="0"/>
              <w:rPr>
                <w:sz w:val="1"/>
                <w:szCs w:val="1"/>
                <w:color w:val="auto"/>
              </w:rPr>
            </w:pPr>
          </w:p>
        </w:tc>
      </w:tr>
      <w:tr>
        <w:trPr>
          <w:trHeight w:val="87"/>
        </w:trPr>
        <w:tc>
          <w:tcPr>
            <w:tcW w:w="1740" w:type="dxa"/>
            <w:vAlign w:val="bottom"/>
            <w:shd w:val="clear" w:color="auto" w:fill="CFF0FC"/>
          </w:tcPr>
          <w:p>
            <w:pPr>
              <w:spacing w:after="0" w:line="87" w:lineRule="exact"/>
              <w:rPr>
                <w:sz w:val="20"/>
                <w:szCs w:val="20"/>
                <w:color w:val="auto"/>
              </w:rPr>
            </w:pPr>
            <w:r>
              <w:rPr>
                <w:rFonts w:ascii="Times New Roman" w:cs="Times New Roman" w:eastAsia="Times New Roman" w:hAnsi="Times New Roman"/>
                <w:sz w:val="10"/>
                <w:szCs w:val="10"/>
                <w:color w:val="auto"/>
              </w:rPr>
              <w:t xml:space="preserve">Lyn Baranowski </w:t>
            </w:r>
            <w:r>
              <w:rPr>
                <w:rFonts w:ascii="Times New Roman" w:cs="Times New Roman" w:eastAsia="Times New Roman" w:hAnsi="Times New Roman"/>
                <w:sz w:val="10"/>
                <w:szCs w:val="10"/>
                <w:i w:val="1"/>
                <w:iCs w:val="1"/>
                <w:color w:val="auto"/>
              </w:rPr>
              <w:t>Chief Executive</w:t>
            </w:r>
          </w:p>
        </w:tc>
        <w:tc>
          <w:tcPr>
            <w:tcW w:w="60" w:type="dxa"/>
            <w:vAlign w:val="bottom"/>
            <w:shd w:val="clear" w:color="auto" w:fill="CFF0FC"/>
          </w:tcPr>
          <w:p>
            <w:pPr>
              <w:spacing w:after="0"/>
              <w:rPr>
                <w:sz w:val="7"/>
                <w:szCs w:val="7"/>
                <w:color w:val="auto"/>
              </w:rPr>
            </w:pPr>
          </w:p>
        </w:tc>
        <w:tc>
          <w:tcPr>
            <w:tcW w:w="580" w:type="dxa"/>
            <w:vAlign w:val="bottom"/>
            <w:shd w:val="clear" w:color="auto" w:fill="CFF0FC"/>
          </w:tcPr>
          <w:p>
            <w:pPr>
              <w:jc w:val="center"/>
              <w:spacing w:after="0" w:line="87" w:lineRule="exact"/>
              <w:rPr>
                <w:sz w:val="20"/>
                <w:szCs w:val="20"/>
                <w:color w:val="auto"/>
              </w:rPr>
            </w:pPr>
            <w:r>
              <w:rPr>
                <w:rFonts w:ascii="Times New Roman" w:cs="Times New Roman" w:eastAsia="Times New Roman" w:hAnsi="Times New Roman"/>
                <w:sz w:val="10"/>
                <w:szCs w:val="10"/>
                <w:color w:val="auto"/>
              </w:rPr>
              <w:t>11/18/2022</w:t>
            </w:r>
          </w:p>
        </w:tc>
        <w:tc>
          <w:tcPr>
            <w:tcW w:w="560" w:type="dxa"/>
            <w:vAlign w:val="bottom"/>
            <w:gridSpan w:val="2"/>
            <w:shd w:val="clear" w:color="auto" w:fill="CFF0FC"/>
          </w:tcPr>
          <w:p>
            <w:pPr>
              <w:jc w:val="center"/>
              <w:ind w:left="5"/>
              <w:spacing w:after="0" w:line="87" w:lineRule="exact"/>
              <w:rPr>
                <w:sz w:val="20"/>
                <w:szCs w:val="20"/>
                <w:color w:val="auto"/>
              </w:rPr>
            </w:pPr>
            <w:r>
              <w:rPr>
                <w:rFonts w:ascii="Times New Roman" w:cs="Times New Roman" w:eastAsia="Times New Roman" w:hAnsi="Times New Roman"/>
                <w:sz w:val="10"/>
                <w:szCs w:val="10"/>
                <w:color w:val="auto"/>
              </w:rPr>
              <w:t>10/1/2022</w:t>
            </w:r>
          </w:p>
        </w:tc>
        <w:tc>
          <w:tcPr>
            <w:tcW w:w="1120" w:type="dxa"/>
            <w:vAlign w:val="bottom"/>
            <w:gridSpan w:val="2"/>
            <w:shd w:val="clear" w:color="auto" w:fill="CFF0FC"/>
          </w:tcPr>
          <w:p>
            <w:pPr>
              <w:jc w:val="center"/>
              <w:ind w:left="25"/>
              <w:spacing w:after="0" w:line="87" w:lineRule="exact"/>
              <w:rPr>
                <w:sz w:val="20"/>
                <w:szCs w:val="20"/>
                <w:color w:val="auto"/>
              </w:rPr>
            </w:pPr>
            <w:r>
              <w:rPr>
                <w:rFonts w:ascii="Times New Roman" w:cs="Times New Roman" w:eastAsia="Times New Roman" w:hAnsi="Times New Roman"/>
                <w:sz w:val="10"/>
                <w:szCs w:val="10"/>
                <w:color w:val="auto"/>
              </w:rPr>
              <w:t>3,905,146</w:t>
            </w:r>
          </w:p>
        </w:tc>
        <w:tc>
          <w:tcPr>
            <w:tcW w:w="1120" w:type="dxa"/>
            <w:vAlign w:val="bottom"/>
            <w:gridSpan w:val="2"/>
            <w:shd w:val="clear" w:color="auto" w:fill="CFF0FC"/>
          </w:tcPr>
          <w:p>
            <w:pPr>
              <w:jc w:val="center"/>
              <w:ind w:left="25"/>
              <w:spacing w:after="0" w:line="87" w:lineRule="exact"/>
              <w:rPr>
                <w:sz w:val="20"/>
                <w:szCs w:val="20"/>
                <w:color w:val="auto"/>
              </w:rPr>
            </w:pPr>
            <w:r>
              <w:rPr>
                <w:rFonts w:ascii="Times New Roman" w:cs="Times New Roman" w:eastAsia="Times New Roman" w:hAnsi="Times New Roman"/>
                <w:sz w:val="10"/>
                <w:szCs w:val="10"/>
                <w:color w:val="auto"/>
              </w:rPr>
              <w:t>1,027,670</w:t>
            </w:r>
          </w:p>
        </w:tc>
        <w:tc>
          <w:tcPr>
            <w:tcW w:w="500" w:type="dxa"/>
            <w:vAlign w:val="bottom"/>
            <w:gridSpan w:val="2"/>
            <w:shd w:val="clear" w:color="auto" w:fill="CFF0FC"/>
          </w:tcPr>
          <w:p>
            <w:pPr>
              <w:jc w:val="center"/>
              <w:ind w:left="5"/>
              <w:spacing w:after="0" w:line="87" w:lineRule="exact"/>
              <w:rPr>
                <w:sz w:val="20"/>
                <w:szCs w:val="20"/>
                <w:color w:val="auto"/>
              </w:rPr>
            </w:pPr>
            <w:r>
              <w:rPr>
                <w:rFonts w:ascii="Times New Roman" w:cs="Times New Roman" w:eastAsia="Times New Roman" w:hAnsi="Times New Roman"/>
                <w:sz w:val="10"/>
                <w:szCs w:val="10"/>
                <w:color w:val="auto"/>
              </w:rPr>
              <w:t>0.37</w:t>
            </w:r>
          </w:p>
        </w:tc>
        <w:tc>
          <w:tcPr>
            <w:tcW w:w="540" w:type="dxa"/>
            <w:vAlign w:val="bottom"/>
            <w:gridSpan w:val="2"/>
            <w:shd w:val="clear" w:color="auto" w:fill="CFF0FC"/>
          </w:tcPr>
          <w:p>
            <w:pPr>
              <w:jc w:val="center"/>
              <w:spacing w:after="0" w:line="87" w:lineRule="exact"/>
              <w:rPr>
                <w:sz w:val="20"/>
                <w:szCs w:val="20"/>
                <w:color w:val="auto"/>
              </w:rPr>
            </w:pPr>
            <w:r>
              <w:rPr>
                <w:rFonts w:ascii="Times New Roman" w:cs="Times New Roman" w:eastAsia="Times New Roman" w:hAnsi="Times New Roman"/>
                <w:sz w:val="10"/>
                <w:szCs w:val="10"/>
                <w:color w:val="auto"/>
              </w:rPr>
              <w:t>11/17/203</w:t>
            </w:r>
          </w:p>
        </w:tc>
        <w:tc>
          <w:tcPr>
            <w:tcW w:w="0" w:type="dxa"/>
            <w:vAlign w:val="bottom"/>
          </w:tcPr>
          <w:p>
            <w:pPr>
              <w:spacing w:after="0"/>
              <w:rPr>
                <w:sz w:val="1"/>
                <w:szCs w:val="1"/>
                <w:color w:val="auto"/>
              </w:rPr>
            </w:pPr>
          </w:p>
        </w:tc>
      </w:tr>
      <w:tr>
        <w:trPr>
          <w:trHeight w:val="118"/>
        </w:trPr>
        <w:tc>
          <w:tcPr>
            <w:tcW w:w="1740" w:type="dxa"/>
            <w:vAlign w:val="bottom"/>
            <w:shd w:val="clear" w:color="auto" w:fill="CFF0FC"/>
          </w:tcPr>
          <w:p>
            <w:pPr>
              <w:spacing w:after="0" w:line="118" w:lineRule="exact"/>
              <w:rPr>
                <w:sz w:val="20"/>
                <w:szCs w:val="20"/>
                <w:color w:val="auto"/>
              </w:rPr>
            </w:pPr>
            <w:r>
              <w:rPr>
                <w:rFonts w:ascii="Times New Roman" w:cs="Times New Roman" w:eastAsia="Times New Roman" w:hAnsi="Times New Roman"/>
                <w:sz w:val="11"/>
                <w:szCs w:val="11"/>
                <w:i w:val="1"/>
                <w:iCs w:val="1"/>
                <w:color w:val="auto"/>
              </w:rPr>
              <w:t>Officer</w:t>
            </w:r>
          </w:p>
        </w:tc>
        <w:tc>
          <w:tcPr>
            <w:tcW w:w="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440" w:type="dxa"/>
            <w:vAlign w:val="bottom"/>
            <w:shd w:val="clear" w:color="auto" w:fill="CFF0FC"/>
          </w:tcPr>
          <w:p>
            <w:pPr>
              <w:spacing w:after="0"/>
              <w:rPr>
                <w:sz w:val="10"/>
                <w:szCs w:val="10"/>
                <w:color w:val="auto"/>
              </w:rPr>
            </w:pPr>
          </w:p>
        </w:tc>
        <w:tc>
          <w:tcPr>
            <w:tcW w:w="540" w:type="dxa"/>
            <w:vAlign w:val="bottom"/>
            <w:gridSpan w:val="2"/>
            <w:shd w:val="clear" w:color="auto" w:fill="CFF0FC"/>
          </w:tcPr>
          <w:p>
            <w:pPr>
              <w:jc w:val="center"/>
              <w:spacing w:after="0" w:line="118" w:lineRule="exact"/>
              <w:rPr>
                <w:sz w:val="20"/>
                <w:szCs w:val="20"/>
                <w:color w:val="auto"/>
              </w:rPr>
            </w:pPr>
            <w:r>
              <w:rPr>
                <w:rFonts w:ascii="Times New Roman" w:cs="Times New Roman" w:eastAsia="Times New Roman" w:hAnsi="Times New Roman"/>
                <w:sz w:val="11"/>
                <w:szCs w:val="11"/>
                <w:color w:val="auto"/>
              </w:rPr>
              <w:t>2</w:t>
            </w:r>
          </w:p>
        </w:tc>
        <w:tc>
          <w:tcPr>
            <w:tcW w:w="0" w:type="dxa"/>
            <w:vAlign w:val="bottom"/>
          </w:tcPr>
          <w:p>
            <w:pPr>
              <w:spacing w:after="0"/>
              <w:rPr>
                <w:sz w:val="1"/>
                <w:szCs w:val="1"/>
                <w:color w:val="auto"/>
              </w:rPr>
            </w:pPr>
          </w:p>
        </w:tc>
      </w:tr>
      <w:tr>
        <w:trPr>
          <w:trHeight w:val="146"/>
        </w:trPr>
        <w:tc>
          <w:tcPr>
            <w:tcW w:w="174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1/25/2024</w:t>
            </w:r>
          </w:p>
        </w:tc>
        <w:tc>
          <w:tcPr>
            <w:tcW w:w="560" w:type="dxa"/>
            <w:vAlign w:val="bottom"/>
            <w:gridSpan w:val="2"/>
            <w:shd w:val="clear" w:color="auto" w:fill="CFF0FC"/>
          </w:tcPr>
          <w:p>
            <w:pPr>
              <w:jc w:val="center"/>
              <w:ind w:left="5"/>
              <w:spacing w:after="0"/>
              <w:rPr>
                <w:sz w:val="20"/>
                <w:szCs w:val="20"/>
                <w:color w:val="auto"/>
              </w:rPr>
            </w:pPr>
            <w:r>
              <w:rPr>
                <w:rFonts w:ascii="Times New Roman" w:cs="Times New Roman" w:eastAsia="Times New Roman" w:hAnsi="Times New Roman"/>
                <w:sz w:val="11"/>
                <w:szCs w:val="11"/>
                <w:color w:val="auto"/>
              </w:rPr>
              <w:t>10/1/2022</w:t>
            </w:r>
          </w:p>
        </w:tc>
        <w:tc>
          <w:tcPr>
            <w:tcW w:w="1120" w:type="dxa"/>
            <w:vAlign w:val="bottom"/>
            <w:gridSpan w:val="2"/>
            <w:shd w:val="clear" w:color="auto" w:fill="CFF0FC"/>
          </w:tcPr>
          <w:p>
            <w:pPr>
              <w:jc w:val="center"/>
              <w:ind w:left="5"/>
              <w:spacing w:after="0"/>
              <w:rPr>
                <w:sz w:val="20"/>
                <w:szCs w:val="20"/>
                <w:color w:val="auto"/>
              </w:rPr>
            </w:pPr>
            <w:r>
              <w:rPr>
                <w:rFonts w:ascii="Times New Roman" w:cs="Times New Roman" w:eastAsia="Times New Roman" w:hAnsi="Times New Roman"/>
                <w:sz w:val="11"/>
                <w:szCs w:val="11"/>
                <w:color w:val="auto"/>
              </w:rPr>
              <w:t>10,104,564</w:t>
            </w:r>
          </w:p>
        </w:tc>
        <w:tc>
          <w:tcPr>
            <w:tcW w:w="1120" w:type="dxa"/>
            <w:vAlign w:val="bottom"/>
            <w:gridSpan w:val="2"/>
            <w:shd w:val="clear" w:color="auto" w:fill="CFF0FC"/>
          </w:tcPr>
          <w:p>
            <w:pPr>
              <w:jc w:val="center"/>
              <w:ind w:left="25"/>
              <w:spacing w:after="0"/>
              <w:rPr>
                <w:sz w:val="20"/>
                <w:szCs w:val="20"/>
                <w:color w:val="auto"/>
              </w:rPr>
            </w:pPr>
            <w:r>
              <w:rPr>
                <w:rFonts w:ascii="Times New Roman" w:cs="Times New Roman" w:eastAsia="Times New Roman" w:hAnsi="Times New Roman"/>
                <w:sz w:val="11"/>
                <w:szCs w:val="11"/>
                <w:color w:val="auto"/>
                <w:w w:val="99"/>
              </w:rPr>
              <w:t>2,659,097</w:t>
            </w:r>
          </w:p>
        </w:tc>
        <w:tc>
          <w:tcPr>
            <w:tcW w:w="500" w:type="dxa"/>
            <w:vAlign w:val="bottom"/>
            <w:gridSpan w:val="2"/>
            <w:shd w:val="clear" w:color="auto" w:fill="CFF0FC"/>
          </w:tcPr>
          <w:p>
            <w:pPr>
              <w:jc w:val="center"/>
              <w:ind w:left="5"/>
              <w:spacing w:after="0"/>
              <w:rPr>
                <w:sz w:val="20"/>
                <w:szCs w:val="20"/>
                <w:color w:val="auto"/>
              </w:rPr>
            </w:pPr>
            <w:r>
              <w:rPr>
                <w:rFonts w:ascii="Times New Roman" w:cs="Times New Roman" w:eastAsia="Times New Roman" w:hAnsi="Times New Roman"/>
                <w:sz w:val="11"/>
                <w:szCs w:val="11"/>
                <w:color w:val="auto"/>
              </w:rPr>
              <w:t>0.24</w:t>
            </w:r>
          </w:p>
        </w:tc>
        <w:tc>
          <w:tcPr>
            <w:tcW w:w="54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1/24/2034</w:t>
            </w:r>
          </w:p>
        </w:tc>
        <w:tc>
          <w:tcPr>
            <w:tcW w:w="0" w:type="dxa"/>
            <w:vAlign w:val="bottom"/>
          </w:tcPr>
          <w:p>
            <w:pPr>
              <w:spacing w:after="0"/>
              <w:rPr>
                <w:sz w:val="1"/>
                <w:szCs w:val="1"/>
                <w:color w:val="auto"/>
              </w:rPr>
            </w:pPr>
          </w:p>
        </w:tc>
      </w:tr>
      <w:tr>
        <w:trPr>
          <w:trHeight w:val="209"/>
        </w:trPr>
        <w:tc>
          <w:tcPr>
            <w:tcW w:w="17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58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9/11/2025</w:t>
            </w:r>
          </w:p>
        </w:tc>
        <w:tc>
          <w:tcPr>
            <w:tcW w:w="560" w:type="dxa"/>
            <w:vAlign w:val="bottom"/>
            <w:tcBorders>
              <w:bottom w:val="single" w:sz="8" w:color="CFF0FC"/>
            </w:tcBorders>
            <w:gridSpan w:val="2"/>
            <w:shd w:val="clear" w:color="auto" w:fill="CFF0FC"/>
          </w:tcPr>
          <w:p>
            <w:pPr>
              <w:jc w:val="center"/>
              <w:ind w:left="5"/>
              <w:spacing w:after="0"/>
              <w:rPr>
                <w:sz w:val="20"/>
                <w:szCs w:val="20"/>
                <w:color w:val="auto"/>
              </w:rPr>
            </w:pPr>
            <w:r>
              <w:rPr>
                <w:rFonts w:ascii="Times New Roman" w:cs="Times New Roman" w:eastAsia="Times New Roman" w:hAnsi="Times New Roman"/>
                <w:sz w:val="11"/>
                <w:szCs w:val="11"/>
                <w:color w:val="auto"/>
              </w:rPr>
              <w:t>5/29/2025</w:t>
            </w:r>
          </w:p>
        </w:tc>
        <w:tc>
          <w:tcPr>
            <w:tcW w:w="1120" w:type="dxa"/>
            <w:vAlign w:val="bottom"/>
            <w:tcBorders>
              <w:bottom w:val="single" w:sz="8" w:color="CFF0FC"/>
            </w:tcBorders>
            <w:gridSpan w:val="2"/>
            <w:shd w:val="clear" w:color="auto" w:fill="CFF0FC"/>
          </w:tcPr>
          <w:p>
            <w:pPr>
              <w:jc w:val="center"/>
              <w:ind w:left="2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tcBorders>
              <w:bottom w:val="single" w:sz="8" w:color="CFF0FC"/>
            </w:tcBorders>
            <w:gridSpan w:val="2"/>
            <w:shd w:val="clear" w:color="auto" w:fill="CFF0FC"/>
          </w:tcPr>
          <w:p>
            <w:pPr>
              <w:jc w:val="center"/>
              <w:ind w:left="25"/>
              <w:spacing w:after="0"/>
              <w:rPr>
                <w:sz w:val="20"/>
                <w:szCs w:val="20"/>
                <w:color w:val="auto"/>
              </w:rPr>
            </w:pPr>
            <w:r>
              <w:rPr>
                <w:rFonts w:ascii="Times New Roman" w:cs="Times New Roman" w:eastAsia="Times New Roman" w:hAnsi="Times New Roman"/>
                <w:sz w:val="11"/>
                <w:szCs w:val="11"/>
                <w:color w:val="auto"/>
                <w:w w:val="99"/>
              </w:rPr>
              <w:t>8,058,312</w:t>
            </w:r>
          </w:p>
        </w:tc>
        <w:tc>
          <w:tcPr>
            <w:tcW w:w="500" w:type="dxa"/>
            <w:vAlign w:val="bottom"/>
            <w:tcBorders>
              <w:bottom w:val="single" w:sz="8" w:color="CFF0FC"/>
            </w:tcBorders>
            <w:gridSpan w:val="2"/>
            <w:shd w:val="clear" w:color="auto" w:fill="CFF0FC"/>
          </w:tcPr>
          <w:p>
            <w:pPr>
              <w:jc w:val="center"/>
              <w:ind w:left="5"/>
              <w:spacing w:after="0"/>
              <w:rPr>
                <w:sz w:val="20"/>
                <w:szCs w:val="20"/>
                <w:color w:val="auto"/>
              </w:rPr>
            </w:pPr>
            <w:r>
              <w:rPr>
                <w:rFonts w:ascii="Times New Roman" w:cs="Times New Roman" w:eastAsia="Times New Roman" w:hAnsi="Times New Roman"/>
                <w:sz w:val="11"/>
                <w:szCs w:val="11"/>
                <w:color w:val="auto"/>
              </w:rPr>
              <w:t>0.25</w:t>
            </w:r>
          </w:p>
        </w:tc>
        <w:tc>
          <w:tcPr>
            <w:tcW w:w="540" w:type="dxa"/>
            <w:vAlign w:val="bottom"/>
            <w:tcBorders>
              <w:bottom w:val="single" w:sz="8" w:color="CFF0FC"/>
            </w:tcBorders>
            <w:gridSpan w:val="2"/>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9/10/2035</w:t>
            </w:r>
          </w:p>
        </w:tc>
        <w:tc>
          <w:tcPr>
            <w:tcW w:w="0" w:type="dxa"/>
            <w:vAlign w:val="bottom"/>
          </w:tcPr>
          <w:p>
            <w:pPr>
              <w:spacing w:after="0"/>
              <w:rPr>
                <w:sz w:val="1"/>
                <w:szCs w:val="1"/>
                <w:color w:val="auto"/>
              </w:rPr>
            </w:pPr>
          </w:p>
        </w:tc>
      </w:tr>
      <w:tr>
        <w:trPr>
          <w:trHeight w:val="96"/>
        </w:trPr>
        <w:tc>
          <w:tcPr>
            <w:tcW w:w="174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 xml:space="preserve">Melissa Rhodes, Ph.D, D.A.B.T </w:t>
            </w:r>
            <w:r>
              <w:rPr>
                <w:rFonts w:ascii="Times New Roman" w:cs="Times New Roman" w:eastAsia="Times New Roman" w:hAnsi="Times New Roman"/>
                <w:sz w:val="11"/>
                <w:szCs w:val="11"/>
                <w:i w:val="1"/>
                <w:iCs w:val="1"/>
                <w:color w:val="auto"/>
              </w:rPr>
              <w:t>Chief</w:t>
            </w:r>
          </w:p>
        </w:tc>
        <w:tc>
          <w:tcPr>
            <w:tcW w:w="60" w:type="dxa"/>
            <w:vAlign w:val="bottom"/>
          </w:tcPr>
          <w:p>
            <w:pPr>
              <w:spacing w:after="0"/>
              <w:rPr>
                <w:sz w:val="8"/>
                <w:szCs w:val="8"/>
                <w:color w:val="auto"/>
              </w:rPr>
            </w:pPr>
          </w:p>
        </w:tc>
        <w:tc>
          <w:tcPr>
            <w:tcW w:w="58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color w:val="auto"/>
              </w:rPr>
              <w:t>1/25/2024</w:t>
            </w:r>
          </w:p>
        </w:tc>
        <w:tc>
          <w:tcPr>
            <w:tcW w:w="560" w:type="dxa"/>
            <w:vAlign w:val="bottom"/>
            <w:gridSpan w:val="2"/>
          </w:tcPr>
          <w:p>
            <w:pPr>
              <w:jc w:val="center"/>
              <w:ind w:left="5"/>
              <w:spacing w:after="0" w:line="96" w:lineRule="exact"/>
              <w:rPr>
                <w:sz w:val="20"/>
                <w:szCs w:val="20"/>
                <w:color w:val="auto"/>
              </w:rPr>
            </w:pPr>
            <w:r>
              <w:rPr>
                <w:rFonts w:ascii="Times New Roman" w:cs="Times New Roman" w:eastAsia="Times New Roman" w:hAnsi="Times New Roman"/>
                <w:sz w:val="11"/>
                <w:szCs w:val="11"/>
                <w:color w:val="auto"/>
              </w:rPr>
              <w:t>9/11/2023</w:t>
            </w:r>
          </w:p>
        </w:tc>
        <w:tc>
          <w:tcPr>
            <w:tcW w:w="1120" w:type="dxa"/>
            <w:vAlign w:val="bottom"/>
            <w:gridSpan w:val="2"/>
          </w:tcPr>
          <w:p>
            <w:pPr>
              <w:jc w:val="center"/>
              <w:ind w:left="25"/>
              <w:spacing w:after="0" w:line="96" w:lineRule="exact"/>
              <w:rPr>
                <w:sz w:val="20"/>
                <w:szCs w:val="20"/>
                <w:color w:val="auto"/>
              </w:rPr>
            </w:pPr>
            <w:r>
              <w:rPr>
                <w:rFonts w:ascii="Times New Roman" w:cs="Times New Roman" w:eastAsia="Times New Roman" w:hAnsi="Times New Roman"/>
                <w:sz w:val="11"/>
                <w:szCs w:val="11"/>
                <w:color w:val="auto"/>
                <w:w w:val="99"/>
              </w:rPr>
              <w:t>1,990,853</w:t>
            </w:r>
          </w:p>
        </w:tc>
        <w:tc>
          <w:tcPr>
            <w:tcW w:w="1120" w:type="dxa"/>
            <w:vAlign w:val="bottom"/>
            <w:gridSpan w:val="2"/>
          </w:tcPr>
          <w:p>
            <w:pPr>
              <w:jc w:val="center"/>
              <w:ind w:left="25"/>
              <w:spacing w:after="0" w:line="96" w:lineRule="exact"/>
              <w:rPr>
                <w:sz w:val="20"/>
                <w:szCs w:val="20"/>
                <w:color w:val="auto"/>
              </w:rPr>
            </w:pPr>
            <w:r>
              <w:rPr>
                <w:rFonts w:ascii="Times New Roman" w:cs="Times New Roman" w:eastAsia="Times New Roman" w:hAnsi="Times New Roman"/>
                <w:sz w:val="11"/>
                <w:szCs w:val="11"/>
                <w:color w:val="auto"/>
                <w:w w:val="99"/>
              </w:rPr>
              <w:t>1,548,442</w:t>
            </w:r>
          </w:p>
        </w:tc>
        <w:tc>
          <w:tcPr>
            <w:tcW w:w="500" w:type="dxa"/>
            <w:vAlign w:val="bottom"/>
            <w:gridSpan w:val="2"/>
          </w:tcPr>
          <w:p>
            <w:pPr>
              <w:jc w:val="center"/>
              <w:ind w:left="5"/>
              <w:spacing w:after="0" w:line="96" w:lineRule="exact"/>
              <w:rPr>
                <w:sz w:val="20"/>
                <w:szCs w:val="20"/>
                <w:color w:val="auto"/>
              </w:rPr>
            </w:pPr>
            <w:r>
              <w:rPr>
                <w:rFonts w:ascii="Times New Roman" w:cs="Times New Roman" w:eastAsia="Times New Roman" w:hAnsi="Times New Roman"/>
                <w:sz w:val="11"/>
                <w:szCs w:val="11"/>
                <w:color w:val="auto"/>
              </w:rPr>
              <w:t>0.24</w:t>
            </w:r>
          </w:p>
        </w:tc>
        <w:tc>
          <w:tcPr>
            <w:tcW w:w="54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1"/>
                <w:szCs w:val="11"/>
                <w:color w:val="auto"/>
              </w:rPr>
              <w:t>1/24/2034</w:t>
            </w:r>
          </w:p>
        </w:tc>
        <w:tc>
          <w:tcPr>
            <w:tcW w:w="0" w:type="dxa"/>
            <w:vAlign w:val="bottom"/>
          </w:tcPr>
          <w:p>
            <w:pPr>
              <w:spacing w:after="0"/>
              <w:rPr>
                <w:sz w:val="1"/>
                <w:szCs w:val="1"/>
                <w:color w:val="auto"/>
              </w:rPr>
            </w:pPr>
          </w:p>
        </w:tc>
      </w:tr>
      <w:tr>
        <w:trPr>
          <w:trHeight w:val="148"/>
        </w:trPr>
        <w:tc>
          <w:tcPr>
            <w:tcW w:w="174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Operating Officer</w:t>
            </w:r>
          </w:p>
        </w:tc>
        <w:tc>
          <w:tcPr>
            <w:tcW w:w="640" w:type="dxa"/>
            <w:vAlign w:val="bottom"/>
            <w:gridSpan w:val="2"/>
            <w:vMerge w:val="restart"/>
          </w:tcPr>
          <w:p>
            <w:pPr>
              <w:jc w:val="center"/>
              <w:ind w:left="4"/>
              <w:spacing w:after="0"/>
              <w:rPr>
                <w:sz w:val="20"/>
                <w:szCs w:val="20"/>
                <w:color w:val="auto"/>
              </w:rPr>
            </w:pPr>
            <w:r>
              <w:rPr>
                <w:rFonts w:ascii="Times New Roman" w:cs="Times New Roman" w:eastAsia="Times New Roman" w:hAnsi="Times New Roman"/>
                <w:sz w:val="11"/>
                <w:szCs w:val="11"/>
                <w:color w:val="auto"/>
              </w:rPr>
              <w:t>9/11/2025</w:t>
            </w:r>
          </w:p>
        </w:tc>
        <w:tc>
          <w:tcPr>
            <w:tcW w:w="560" w:type="dxa"/>
            <w:vAlign w:val="bottom"/>
            <w:gridSpan w:val="2"/>
            <w:vMerge w:val="restart"/>
          </w:tcPr>
          <w:p>
            <w:pPr>
              <w:jc w:val="center"/>
              <w:ind w:left="5"/>
              <w:spacing w:after="0"/>
              <w:rPr>
                <w:sz w:val="20"/>
                <w:szCs w:val="20"/>
                <w:color w:val="auto"/>
              </w:rPr>
            </w:pPr>
            <w:r>
              <w:rPr>
                <w:rFonts w:ascii="Times New Roman" w:cs="Times New Roman" w:eastAsia="Times New Roman" w:hAnsi="Times New Roman"/>
                <w:sz w:val="11"/>
                <w:szCs w:val="11"/>
                <w:color w:val="auto"/>
              </w:rPr>
              <w:t>5/29/2025</w:t>
            </w:r>
          </w:p>
        </w:tc>
        <w:tc>
          <w:tcPr>
            <w:tcW w:w="112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vMerge w:val="restart"/>
          </w:tcPr>
          <w:p>
            <w:pPr>
              <w:jc w:val="center"/>
              <w:ind w:left="25"/>
              <w:spacing w:after="0"/>
              <w:rPr>
                <w:sz w:val="20"/>
                <w:szCs w:val="20"/>
                <w:color w:val="auto"/>
              </w:rPr>
            </w:pPr>
            <w:r>
              <w:rPr>
                <w:rFonts w:ascii="Times New Roman" w:cs="Times New Roman" w:eastAsia="Times New Roman" w:hAnsi="Times New Roman"/>
                <w:sz w:val="11"/>
                <w:szCs w:val="11"/>
                <w:color w:val="auto"/>
                <w:w w:val="99"/>
              </w:rPr>
              <w:t>2,138,208</w:t>
            </w:r>
          </w:p>
        </w:tc>
        <w:tc>
          <w:tcPr>
            <w:tcW w:w="500" w:type="dxa"/>
            <w:vAlign w:val="bottom"/>
            <w:gridSpan w:val="2"/>
            <w:vMerge w:val="restart"/>
          </w:tcPr>
          <w:p>
            <w:pPr>
              <w:jc w:val="center"/>
              <w:ind w:left="5"/>
              <w:spacing w:after="0"/>
              <w:rPr>
                <w:sz w:val="20"/>
                <w:szCs w:val="20"/>
                <w:color w:val="auto"/>
              </w:rPr>
            </w:pPr>
            <w:r>
              <w:rPr>
                <w:rFonts w:ascii="Times New Roman" w:cs="Times New Roman" w:eastAsia="Times New Roman" w:hAnsi="Times New Roman"/>
                <w:sz w:val="11"/>
                <w:szCs w:val="11"/>
                <w:color w:val="auto"/>
              </w:rPr>
              <w:t>0.25</w:t>
            </w:r>
          </w:p>
        </w:tc>
        <w:tc>
          <w:tcPr>
            <w:tcW w:w="5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1"/>
                <w:szCs w:val="11"/>
                <w:color w:val="auto"/>
              </w:rPr>
              <w:t>9/10/2035</w:t>
            </w:r>
          </w:p>
        </w:tc>
        <w:tc>
          <w:tcPr>
            <w:tcW w:w="0" w:type="dxa"/>
            <w:vAlign w:val="bottom"/>
          </w:tcPr>
          <w:p>
            <w:pPr>
              <w:spacing w:after="0"/>
              <w:rPr>
                <w:sz w:val="1"/>
                <w:szCs w:val="1"/>
                <w:color w:val="auto"/>
              </w:rPr>
            </w:pPr>
          </w:p>
        </w:tc>
      </w:tr>
      <w:tr>
        <w:trPr>
          <w:trHeight w:val="53"/>
        </w:trPr>
        <w:tc>
          <w:tcPr>
            <w:tcW w:w="1740" w:type="dxa"/>
            <w:vAlign w:val="bottom"/>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56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500" w:type="dxa"/>
            <w:vAlign w:val="bottom"/>
            <w:gridSpan w:val="2"/>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1740" w:type="dxa"/>
            <w:vAlign w:val="bottom"/>
          </w:tcPr>
          <w:p>
            <w:pPr>
              <w:spacing w:after="0"/>
              <w:rPr>
                <w:sz w:val="3"/>
                <w:szCs w:val="3"/>
                <w:color w:val="auto"/>
              </w:rPr>
            </w:pPr>
          </w:p>
        </w:tc>
        <w:tc>
          <w:tcPr>
            <w:tcW w:w="6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6"/>
        </w:trPr>
        <w:tc>
          <w:tcPr>
            <w:tcW w:w="1740" w:type="dxa"/>
            <w:vAlign w:val="bottom"/>
            <w:shd w:val="clear" w:color="auto" w:fill="CFF0FC"/>
          </w:tcPr>
          <w:p>
            <w:pPr>
              <w:spacing w:after="0" w:line="96" w:lineRule="exact"/>
              <w:rPr>
                <w:sz w:val="20"/>
                <w:szCs w:val="20"/>
                <w:color w:val="auto"/>
              </w:rPr>
            </w:pPr>
            <w:r>
              <w:rPr>
                <w:rFonts w:ascii="Times New Roman" w:cs="Times New Roman" w:eastAsia="Times New Roman" w:hAnsi="Times New Roman"/>
                <w:sz w:val="11"/>
                <w:szCs w:val="11"/>
                <w:color w:val="auto"/>
              </w:rPr>
              <w:t xml:space="preserve">Douglas Carlson </w:t>
            </w:r>
            <w:r>
              <w:rPr>
                <w:rFonts w:ascii="Times New Roman" w:cs="Times New Roman" w:eastAsia="Times New Roman" w:hAnsi="Times New Roman"/>
                <w:sz w:val="11"/>
                <w:szCs w:val="11"/>
                <w:i w:val="1"/>
                <w:iCs w:val="1"/>
                <w:color w:val="auto"/>
              </w:rPr>
              <w:t>Chief Financial</w:t>
            </w:r>
          </w:p>
        </w:tc>
        <w:tc>
          <w:tcPr>
            <w:tcW w:w="60" w:type="dxa"/>
            <w:vAlign w:val="bottom"/>
            <w:shd w:val="clear" w:color="auto" w:fill="CFF0FC"/>
          </w:tcPr>
          <w:p>
            <w:pPr>
              <w:spacing w:after="0"/>
              <w:rPr>
                <w:sz w:val="8"/>
                <w:szCs w:val="8"/>
                <w:color w:val="auto"/>
              </w:rPr>
            </w:pPr>
          </w:p>
        </w:tc>
        <w:tc>
          <w:tcPr>
            <w:tcW w:w="580" w:type="dxa"/>
            <w:vAlign w:val="bottom"/>
            <w:shd w:val="clear" w:color="auto" w:fill="CFF0FC"/>
          </w:tcPr>
          <w:p>
            <w:pPr>
              <w:jc w:val="center"/>
              <w:spacing w:after="0" w:line="96" w:lineRule="exact"/>
              <w:rPr>
                <w:sz w:val="20"/>
                <w:szCs w:val="20"/>
                <w:color w:val="auto"/>
              </w:rPr>
            </w:pPr>
            <w:r>
              <w:rPr>
                <w:rFonts w:ascii="Times New Roman" w:cs="Times New Roman" w:eastAsia="Times New Roman" w:hAnsi="Times New Roman"/>
                <w:sz w:val="11"/>
                <w:szCs w:val="11"/>
                <w:color w:val="auto"/>
              </w:rPr>
              <w:t>6/11/2024</w:t>
            </w:r>
          </w:p>
        </w:tc>
        <w:tc>
          <w:tcPr>
            <w:tcW w:w="560" w:type="dxa"/>
            <w:vAlign w:val="bottom"/>
            <w:gridSpan w:val="2"/>
            <w:shd w:val="clear" w:color="auto" w:fill="CFF0FC"/>
          </w:tcPr>
          <w:p>
            <w:pPr>
              <w:jc w:val="center"/>
              <w:ind w:left="5"/>
              <w:spacing w:after="0" w:line="96" w:lineRule="exact"/>
              <w:rPr>
                <w:sz w:val="20"/>
                <w:szCs w:val="20"/>
                <w:color w:val="auto"/>
              </w:rPr>
            </w:pPr>
            <w:r>
              <w:rPr>
                <w:rFonts w:ascii="Times New Roman" w:cs="Times New Roman" w:eastAsia="Times New Roman" w:hAnsi="Times New Roman"/>
                <w:sz w:val="11"/>
                <w:szCs w:val="11"/>
                <w:color w:val="auto"/>
                <w:w w:val="97"/>
              </w:rPr>
              <w:t>5/1/2024</w:t>
            </w:r>
          </w:p>
        </w:tc>
        <w:tc>
          <w:tcPr>
            <w:tcW w:w="1120" w:type="dxa"/>
            <w:vAlign w:val="bottom"/>
            <w:gridSpan w:val="2"/>
            <w:shd w:val="clear" w:color="auto" w:fill="CFF0FC"/>
          </w:tcPr>
          <w:p>
            <w:pPr>
              <w:jc w:val="center"/>
              <w:ind w:left="25"/>
              <w:spacing w:after="0" w:line="96" w:lineRule="exact"/>
              <w:rPr>
                <w:sz w:val="20"/>
                <w:szCs w:val="20"/>
                <w:color w:val="auto"/>
              </w:rPr>
            </w:pPr>
            <w:r>
              <w:rPr>
                <w:rFonts w:ascii="Times New Roman" w:cs="Times New Roman" w:eastAsia="Times New Roman" w:hAnsi="Times New Roman"/>
                <w:sz w:val="11"/>
                <w:szCs w:val="11"/>
                <w:color w:val="auto"/>
                <w:w w:val="99"/>
              </w:rPr>
              <w:t>2,060,251</w:t>
            </w:r>
          </w:p>
        </w:tc>
        <w:tc>
          <w:tcPr>
            <w:tcW w:w="1120" w:type="dxa"/>
            <w:vAlign w:val="bottom"/>
            <w:gridSpan w:val="2"/>
            <w:shd w:val="clear" w:color="auto" w:fill="CFF0FC"/>
          </w:tcPr>
          <w:p>
            <w:pPr>
              <w:jc w:val="center"/>
              <w:ind w:left="25"/>
              <w:spacing w:after="0" w:line="96" w:lineRule="exact"/>
              <w:rPr>
                <w:sz w:val="20"/>
                <w:szCs w:val="20"/>
                <w:color w:val="auto"/>
              </w:rPr>
            </w:pPr>
            <w:r>
              <w:rPr>
                <w:rFonts w:ascii="Times New Roman" w:cs="Times New Roman" w:eastAsia="Times New Roman" w:hAnsi="Times New Roman"/>
                <w:sz w:val="11"/>
                <w:szCs w:val="11"/>
                <w:color w:val="auto"/>
                <w:w w:val="99"/>
              </w:rPr>
              <w:t>3,144,596</w:t>
            </w:r>
          </w:p>
        </w:tc>
        <w:tc>
          <w:tcPr>
            <w:tcW w:w="500" w:type="dxa"/>
            <w:vAlign w:val="bottom"/>
            <w:gridSpan w:val="2"/>
            <w:shd w:val="clear" w:color="auto" w:fill="CFF0FC"/>
          </w:tcPr>
          <w:p>
            <w:pPr>
              <w:jc w:val="center"/>
              <w:ind w:left="5"/>
              <w:spacing w:after="0" w:line="96" w:lineRule="exact"/>
              <w:rPr>
                <w:sz w:val="20"/>
                <w:szCs w:val="20"/>
                <w:color w:val="auto"/>
              </w:rPr>
            </w:pPr>
            <w:r>
              <w:rPr>
                <w:rFonts w:ascii="Times New Roman" w:cs="Times New Roman" w:eastAsia="Times New Roman" w:hAnsi="Times New Roman"/>
                <w:sz w:val="11"/>
                <w:szCs w:val="11"/>
                <w:color w:val="auto"/>
              </w:rPr>
              <w:t>0.24</w:t>
            </w:r>
          </w:p>
        </w:tc>
        <w:tc>
          <w:tcPr>
            <w:tcW w:w="540" w:type="dxa"/>
            <w:vAlign w:val="bottom"/>
            <w:gridSpan w:val="2"/>
            <w:shd w:val="clear" w:color="auto" w:fill="CFF0FC"/>
          </w:tcPr>
          <w:p>
            <w:pPr>
              <w:jc w:val="center"/>
              <w:spacing w:after="0" w:line="96" w:lineRule="exact"/>
              <w:rPr>
                <w:sz w:val="20"/>
                <w:szCs w:val="20"/>
                <w:color w:val="auto"/>
              </w:rPr>
            </w:pPr>
            <w:r>
              <w:rPr>
                <w:rFonts w:ascii="Times New Roman" w:cs="Times New Roman" w:eastAsia="Times New Roman" w:hAnsi="Times New Roman"/>
                <w:sz w:val="11"/>
                <w:szCs w:val="11"/>
                <w:color w:val="auto"/>
              </w:rPr>
              <w:t>6/10/2034</w:t>
            </w:r>
          </w:p>
        </w:tc>
        <w:tc>
          <w:tcPr>
            <w:tcW w:w="0" w:type="dxa"/>
            <w:vAlign w:val="bottom"/>
          </w:tcPr>
          <w:p>
            <w:pPr>
              <w:spacing w:after="0"/>
              <w:rPr>
                <w:sz w:val="1"/>
                <w:szCs w:val="1"/>
                <w:color w:val="auto"/>
              </w:rPr>
            </w:pPr>
          </w:p>
        </w:tc>
      </w:tr>
      <w:tr>
        <w:trPr>
          <w:trHeight w:val="116"/>
        </w:trPr>
        <w:tc>
          <w:tcPr>
            <w:tcW w:w="1740" w:type="dxa"/>
            <w:vAlign w:val="bottom"/>
            <w:shd w:val="clear" w:color="auto" w:fill="CFF0FC"/>
          </w:tcPr>
          <w:p>
            <w:pPr>
              <w:spacing w:after="0" w:line="116" w:lineRule="exact"/>
              <w:rPr>
                <w:sz w:val="20"/>
                <w:szCs w:val="20"/>
                <w:color w:val="auto"/>
              </w:rPr>
            </w:pPr>
            <w:r>
              <w:rPr>
                <w:rFonts w:ascii="Times New Roman" w:cs="Times New Roman" w:eastAsia="Times New Roman" w:hAnsi="Times New Roman"/>
                <w:sz w:val="11"/>
                <w:szCs w:val="11"/>
                <w:i w:val="1"/>
                <w:iCs w:val="1"/>
                <w:color w:val="auto"/>
              </w:rPr>
              <w:t>Officer</w:t>
            </w:r>
          </w:p>
        </w:tc>
        <w:tc>
          <w:tcPr>
            <w:tcW w:w="6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9/11/2025</w:t>
            </w:r>
          </w:p>
        </w:tc>
        <w:tc>
          <w:tcPr>
            <w:tcW w:w="560" w:type="dxa"/>
            <w:vAlign w:val="bottom"/>
            <w:gridSpan w:val="2"/>
            <w:vMerge w:val="restart"/>
            <w:shd w:val="clear" w:color="auto" w:fill="CFF0FC"/>
          </w:tcPr>
          <w:p>
            <w:pPr>
              <w:jc w:val="center"/>
              <w:ind w:left="5"/>
              <w:spacing w:after="0"/>
              <w:rPr>
                <w:sz w:val="20"/>
                <w:szCs w:val="20"/>
                <w:color w:val="auto"/>
              </w:rPr>
            </w:pPr>
            <w:r>
              <w:rPr>
                <w:rFonts w:ascii="Times New Roman" w:cs="Times New Roman" w:eastAsia="Times New Roman" w:hAnsi="Times New Roman"/>
                <w:sz w:val="11"/>
                <w:szCs w:val="11"/>
                <w:color w:val="auto"/>
              </w:rPr>
              <w:t>5/29/2025</w:t>
            </w:r>
          </w:p>
        </w:tc>
        <w:tc>
          <w:tcPr>
            <w:tcW w:w="1120" w:type="dxa"/>
            <w:vAlign w:val="bottom"/>
            <w:gridSpan w:val="2"/>
            <w:vMerge w:val="restart"/>
            <w:shd w:val="clear" w:color="auto" w:fill="CFF0FC"/>
          </w:tcPr>
          <w:p>
            <w:pPr>
              <w:jc w:val="center"/>
              <w:ind w:left="2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vMerge w:val="restart"/>
            <w:shd w:val="clear" w:color="auto" w:fill="CFF0FC"/>
          </w:tcPr>
          <w:p>
            <w:pPr>
              <w:jc w:val="center"/>
              <w:ind w:left="25"/>
              <w:spacing w:after="0"/>
              <w:rPr>
                <w:sz w:val="20"/>
                <w:szCs w:val="20"/>
                <w:color w:val="auto"/>
              </w:rPr>
            </w:pPr>
            <w:r>
              <w:rPr>
                <w:rFonts w:ascii="Times New Roman" w:cs="Times New Roman" w:eastAsia="Times New Roman" w:hAnsi="Times New Roman"/>
                <w:sz w:val="11"/>
                <w:szCs w:val="11"/>
                <w:color w:val="auto"/>
                <w:w w:val="99"/>
              </w:rPr>
              <w:t>1,608,157</w:t>
            </w:r>
          </w:p>
        </w:tc>
        <w:tc>
          <w:tcPr>
            <w:tcW w:w="500" w:type="dxa"/>
            <w:vAlign w:val="bottom"/>
            <w:gridSpan w:val="2"/>
            <w:vMerge w:val="restart"/>
            <w:shd w:val="clear" w:color="auto" w:fill="CFF0FC"/>
          </w:tcPr>
          <w:p>
            <w:pPr>
              <w:jc w:val="center"/>
              <w:ind w:left="5"/>
              <w:spacing w:after="0"/>
              <w:rPr>
                <w:sz w:val="20"/>
                <w:szCs w:val="20"/>
                <w:color w:val="auto"/>
              </w:rPr>
            </w:pPr>
            <w:r>
              <w:rPr>
                <w:rFonts w:ascii="Times New Roman" w:cs="Times New Roman" w:eastAsia="Times New Roman" w:hAnsi="Times New Roman"/>
                <w:sz w:val="11"/>
                <w:szCs w:val="11"/>
                <w:color w:val="auto"/>
              </w:rPr>
              <w:t>0.25</w:t>
            </w:r>
          </w:p>
        </w:tc>
        <w:tc>
          <w:tcPr>
            <w:tcW w:w="540" w:type="dxa"/>
            <w:vAlign w:val="bottom"/>
            <w:gridSpan w:val="2"/>
            <w:vMerge w:val="restart"/>
            <w:shd w:val="clear" w:color="auto" w:fill="CFF0FC"/>
          </w:tcPr>
          <w:p>
            <w:pPr>
              <w:jc w:val="center"/>
              <w:spacing w:after="0"/>
              <w:rPr>
                <w:sz w:val="20"/>
                <w:szCs w:val="20"/>
                <w:color w:val="auto"/>
              </w:rPr>
            </w:pPr>
            <w:r>
              <w:rPr>
                <w:rFonts w:ascii="Times New Roman" w:cs="Times New Roman" w:eastAsia="Times New Roman" w:hAnsi="Times New Roman"/>
                <w:sz w:val="11"/>
                <w:szCs w:val="11"/>
                <w:color w:val="auto"/>
              </w:rPr>
              <w:t>9/10/2035</w:t>
            </w:r>
          </w:p>
        </w:tc>
        <w:tc>
          <w:tcPr>
            <w:tcW w:w="0" w:type="dxa"/>
            <w:vAlign w:val="bottom"/>
          </w:tcPr>
          <w:p>
            <w:pPr>
              <w:spacing w:after="0"/>
              <w:rPr>
                <w:sz w:val="1"/>
                <w:szCs w:val="1"/>
                <w:color w:val="auto"/>
              </w:rPr>
            </w:pPr>
          </w:p>
        </w:tc>
      </w:tr>
      <w:tr>
        <w:trPr>
          <w:trHeight w:val="115"/>
        </w:trPr>
        <w:tc>
          <w:tcPr>
            <w:tcW w:w="1740" w:type="dxa"/>
            <w:vAlign w:val="bottom"/>
            <w:tcBorders>
              <w:bottom w:val="single" w:sz="8" w:color="CFF0FC"/>
            </w:tcBorders>
            <w:shd w:val="clear" w:color="auto" w:fill="CFF0FC"/>
          </w:tcPr>
          <w:p>
            <w:pPr>
              <w:ind w:left="80"/>
              <w:spacing w:after="0" w:line="115" w:lineRule="exact"/>
              <w:rPr>
                <w:sz w:val="20"/>
                <w:szCs w:val="20"/>
                <w:color w:val="auto"/>
              </w:rPr>
            </w:pPr>
            <w:r>
              <w:rPr>
                <w:rFonts w:ascii="Times New Roman" w:cs="Times New Roman" w:eastAsia="Times New Roman" w:hAnsi="Times New Roman"/>
                <w:sz w:val="11"/>
                <w:szCs w:val="11"/>
                <w:i w:val="1"/>
                <w:iCs w:val="1"/>
                <w:color w:val="auto"/>
              </w:rPr>
              <w:t>and Chief Business Officer</w:t>
            </w:r>
          </w:p>
        </w:tc>
        <w:tc>
          <w:tcPr>
            <w:tcW w:w="6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CFF0FC"/>
            </w:tcBorders>
            <w:vMerge w:val="continue"/>
            <w:shd w:val="clear" w:color="auto" w:fill="CFF0FC"/>
          </w:tcPr>
          <w:p>
            <w:pPr>
              <w:spacing w:after="0"/>
              <w:rPr>
                <w:sz w:val="9"/>
                <w:szCs w:val="9"/>
                <w:color w:val="auto"/>
              </w:rPr>
            </w:pPr>
          </w:p>
        </w:tc>
        <w:tc>
          <w:tcPr>
            <w:tcW w:w="560" w:type="dxa"/>
            <w:vAlign w:val="bottom"/>
            <w:tcBorders>
              <w:bottom w:val="single" w:sz="8" w:color="CFF0FC"/>
            </w:tcBorders>
            <w:gridSpan w:val="2"/>
            <w:vMerge w:val="continue"/>
            <w:shd w:val="clear" w:color="auto" w:fill="CFF0FC"/>
          </w:tcPr>
          <w:p>
            <w:pPr>
              <w:spacing w:after="0"/>
              <w:rPr>
                <w:sz w:val="9"/>
                <w:szCs w:val="9"/>
                <w:color w:val="auto"/>
              </w:rPr>
            </w:pPr>
          </w:p>
        </w:tc>
        <w:tc>
          <w:tcPr>
            <w:tcW w:w="1120" w:type="dxa"/>
            <w:vAlign w:val="bottom"/>
            <w:tcBorders>
              <w:bottom w:val="single" w:sz="8" w:color="CFF0FC"/>
            </w:tcBorders>
            <w:gridSpan w:val="2"/>
            <w:vMerge w:val="continue"/>
            <w:shd w:val="clear" w:color="auto" w:fill="CFF0FC"/>
          </w:tcPr>
          <w:p>
            <w:pPr>
              <w:spacing w:after="0"/>
              <w:rPr>
                <w:sz w:val="9"/>
                <w:szCs w:val="9"/>
                <w:color w:val="auto"/>
              </w:rPr>
            </w:pPr>
          </w:p>
        </w:tc>
        <w:tc>
          <w:tcPr>
            <w:tcW w:w="1120" w:type="dxa"/>
            <w:vAlign w:val="bottom"/>
            <w:tcBorders>
              <w:bottom w:val="single" w:sz="8" w:color="CFF0FC"/>
            </w:tcBorders>
            <w:gridSpan w:val="2"/>
            <w:vMerge w:val="continue"/>
            <w:shd w:val="clear" w:color="auto" w:fill="CFF0FC"/>
          </w:tcPr>
          <w:p>
            <w:pPr>
              <w:spacing w:after="0"/>
              <w:rPr>
                <w:sz w:val="9"/>
                <w:szCs w:val="9"/>
                <w:color w:val="auto"/>
              </w:rPr>
            </w:pPr>
          </w:p>
        </w:tc>
        <w:tc>
          <w:tcPr>
            <w:tcW w:w="500" w:type="dxa"/>
            <w:vAlign w:val="bottom"/>
            <w:tcBorders>
              <w:bottom w:val="single" w:sz="8" w:color="CFF0FC"/>
            </w:tcBorders>
            <w:gridSpan w:val="2"/>
            <w:vMerge w:val="continue"/>
            <w:shd w:val="clear" w:color="auto" w:fill="CFF0FC"/>
          </w:tcPr>
          <w:p>
            <w:pPr>
              <w:spacing w:after="0"/>
              <w:rPr>
                <w:sz w:val="9"/>
                <w:szCs w:val="9"/>
                <w:color w:val="auto"/>
              </w:rPr>
            </w:pPr>
          </w:p>
        </w:tc>
        <w:tc>
          <w:tcPr>
            <w:tcW w:w="540" w:type="dxa"/>
            <w:vAlign w:val="bottom"/>
            <w:tcBorders>
              <w:bottom w:val="single" w:sz="8" w:color="CFF0FC"/>
            </w:tcBorders>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1740" w:type="dxa"/>
            <w:vAlign w:val="bottom"/>
          </w:tcPr>
          <w:p>
            <w:pPr>
              <w:spacing w:after="0" w:line="96" w:lineRule="exact"/>
              <w:rPr>
                <w:sz w:val="20"/>
                <w:szCs w:val="20"/>
                <w:color w:val="auto"/>
              </w:rPr>
            </w:pPr>
            <w:r>
              <w:rPr>
                <w:rFonts w:ascii="Times New Roman" w:cs="Times New Roman" w:eastAsia="Times New Roman" w:hAnsi="Times New Roman"/>
                <w:sz w:val="11"/>
                <w:szCs w:val="11"/>
                <w:color w:val="auto"/>
              </w:rPr>
              <w:t xml:space="preserve">Howard Lazarus, M.D. </w:t>
            </w:r>
            <w:r>
              <w:rPr>
                <w:rFonts w:ascii="Times New Roman" w:cs="Times New Roman" w:eastAsia="Times New Roman" w:hAnsi="Times New Roman"/>
                <w:sz w:val="11"/>
                <w:szCs w:val="11"/>
                <w:i w:val="1"/>
                <w:iCs w:val="1"/>
                <w:color w:val="auto"/>
              </w:rPr>
              <w:t>Chief Medical</w:t>
            </w:r>
          </w:p>
        </w:tc>
        <w:tc>
          <w:tcPr>
            <w:tcW w:w="60" w:type="dxa"/>
            <w:vAlign w:val="bottom"/>
          </w:tcPr>
          <w:p>
            <w:pPr>
              <w:spacing w:after="0"/>
              <w:rPr>
                <w:sz w:val="8"/>
                <w:szCs w:val="8"/>
                <w:color w:val="auto"/>
              </w:rPr>
            </w:pPr>
          </w:p>
        </w:tc>
        <w:tc>
          <w:tcPr>
            <w:tcW w:w="580" w:type="dxa"/>
            <w:vAlign w:val="bottom"/>
          </w:tcPr>
          <w:p>
            <w:pPr>
              <w:jc w:val="center"/>
              <w:spacing w:after="0" w:line="96" w:lineRule="exact"/>
              <w:rPr>
                <w:sz w:val="20"/>
                <w:szCs w:val="20"/>
                <w:color w:val="auto"/>
              </w:rPr>
            </w:pPr>
            <w:r>
              <w:rPr>
                <w:rFonts w:ascii="Times New Roman" w:cs="Times New Roman" w:eastAsia="Times New Roman" w:hAnsi="Times New Roman"/>
                <w:sz w:val="11"/>
                <w:szCs w:val="11"/>
                <w:color w:val="auto"/>
              </w:rPr>
              <w:t>1/25/2024</w:t>
            </w:r>
          </w:p>
        </w:tc>
        <w:tc>
          <w:tcPr>
            <w:tcW w:w="560" w:type="dxa"/>
            <w:vAlign w:val="bottom"/>
            <w:gridSpan w:val="2"/>
          </w:tcPr>
          <w:p>
            <w:pPr>
              <w:jc w:val="center"/>
              <w:ind w:left="5"/>
              <w:spacing w:after="0" w:line="96" w:lineRule="exact"/>
              <w:rPr>
                <w:sz w:val="20"/>
                <w:szCs w:val="20"/>
                <w:color w:val="auto"/>
              </w:rPr>
            </w:pPr>
            <w:r>
              <w:rPr>
                <w:rFonts w:ascii="Times New Roman" w:cs="Times New Roman" w:eastAsia="Times New Roman" w:hAnsi="Times New Roman"/>
                <w:sz w:val="11"/>
                <w:szCs w:val="11"/>
                <w:color w:val="auto"/>
              </w:rPr>
              <w:t>8/07/2023</w:t>
            </w:r>
          </w:p>
        </w:tc>
        <w:tc>
          <w:tcPr>
            <w:tcW w:w="1120" w:type="dxa"/>
            <w:vAlign w:val="bottom"/>
            <w:gridSpan w:val="2"/>
          </w:tcPr>
          <w:p>
            <w:pPr>
              <w:jc w:val="center"/>
              <w:ind w:left="25"/>
              <w:spacing w:after="0" w:line="96" w:lineRule="exact"/>
              <w:rPr>
                <w:sz w:val="20"/>
                <w:szCs w:val="20"/>
                <w:color w:val="auto"/>
              </w:rPr>
            </w:pPr>
            <w:r>
              <w:rPr>
                <w:rFonts w:ascii="Times New Roman" w:cs="Times New Roman" w:eastAsia="Times New Roman" w:hAnsi="Times New Roman"/>
                <w:sz w:val="11"/>
                <w:szCs w:val="11"/>
                <w:color w:val="auto"/>
                <w:w w:val="99"/>
              </w:rPr>
              <w:t>3,036,160</w:t>
            </w:r>
          </w:p>
        </w:tc>
        <w:tc>
          <w:tcPr>
            <w:tcW w:w="1120" w:type="dxa"/>
            <w:vAlign w:val="bottom"/>
            <w:gridSpan w:val="2"/>
          </w:tcPr>
          <w:p>
            <w:pPr>
              <w:jc w:val="center"/>
              <w:ind w:left="25"/>
              <w:spacing w:after="0" w:line="96" w:lineRule="exact"/>
              <w:rPr>
                <w:sz w:val="20"/>
                <w:szCs w:val="20"/>
                <w:color w:val="auto"/>
              </w:rPr>
            </w:pPr>
            <w:r>
              <w:rPr>
                <w:rFonts w:ascii="Times New Roman" w:cs="Times New Roman" w:eastAsia="Times New Roman" w:hAnsi="Times New Roman"/>
                <w:sz w:val="11"/>
                <w:szCs w:val="11"/>
                <w:color w:val="auto"/>
                <w:w w:val="99"/>
              </w:rPr>
              <w:t>2,168,686</w:t>
            </w:r>
          </w:p>
        </w:tc>
        <w:tc>
          <w:tcPr>
            <w:tcW w:w="500" w:type="dxa"/>
            <w:vAlign w:val="bottom"/>
            <w:gridSpan w:val="2"/>
          </w:tcPr>
          <w:p>
            <w:pPr>
              <w:jc w:val="center"/>
              <w:ind w:left="5"/>
              <w:spacing w:after="0" w:line="96" w:lineRule="exact"/>
              <w:rPr>
                <w:sz w:val="20"/>
                <w:szCs w:val="20"/>
                <w:color w:val="auto"/>
              </w:rPr>
            </w:pPr>
            <w:r>
              <w:rPr>
                <w:rFonts w:ascii="Times New Roman" w:cs="Times New Roman" w:eastAsia="Times New Roman" w:hAnsi="Times New Roman"/>
                <w:sz w:val="11"/>
                <w:szCs w:val="11"/>
                <w:color w:val="auto"/>
              </w:rPr>
              <w:t>0.24</w:t>
            </w:r>
          </w:p>
        </w:tc>
        <w:tc>
          <w:tcPr>
            <w:tcW w:w="54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1"/>
                <w:szCs w:val="11"/>
                <w:color w:val="auto"/>
              </w:rPr>
              <w:t>1/24/2034</w:t>
            </w:r>
          </w:p>
        </w:tc>
        <w:tc>
          <w:tcPr>
            <w:tcW w:w="0" w:type="dxa"/>
            <w:vAlign w:val="bottom"/>
          </w:tcPr>
          <w:p>
            <w:pPr>
              <w:spacing w:after="0"/>
              <w:rPr>
                <w:sz w:val="1"/>
                <w:szCs w:val="1"/>
                <w:color w:val="auto"/>
              </w:rPr>
            </w:pPr>
          </w:p>
        </w:tc>
      </w:tr>
      <w:tr>
        <w:trPr>
          <w:trHeight w:val="148"/>
        </w:trPr>
        <w:tc>
          <w:tcPr>
            <w:tcW w:w="1740" w:type="dxa"/>
            <w:vAlign w:val="bottom"/>
          </w:tcPr>
          <w:p>
            <w:pPr>
              <w:ind w:left="80"/>
              <w:spacing w:after="0"/>
              <w:rPr>
                <w:sz w:val="20"/>
                <w:szCs w:val="20"/>
                <w:color w:val="auto"/>
              </w:rPr>
            </w:pPr>
            <w:r>
              <w:rPr>
                <w:rFonts w:ascii="Times New Roman" w:cs="Times New Roman" w:eastAsia="Times New Roman" w:hAnsi="Times New Roman"/>
                <w:sz w:val="11"/>
                <w:szCs w:val="11"/>
                <w:i w:val="1"/>
                <w:iCs w:val="1"/>
                <w:color w:val="auto"/>
              </w:rPr>
              <w:t>Officer</w:t>
            </w:r>
          </w:p>
        </w:tc>
        <w:tc>
          <w:tcPr>
            <w:tcW w:w="640" w:type="dxa"/>
            <w:vAlign w:val="bottom"/>
            <w:gridSpan w:val="2"/>
          </w:tcPr>
          <w:p>
            <w:pPr>
              <w:jc w:val="center"/>
              <w:ind w:left="4"/>
              <w:spacing w:after="0"/>
              <w:rPr>
                <w:sz w:val="20"/>
                <w:szCs w:val="20"/>
                <w:color w:val="auto"/>
              </w:rPr>
            </w:pPr>
            <w:r>
              <w:rPr>
                <w:rFonts w:ascii="Times New Roman" w:cs="Times New Roman" w:eastAsia="Times New Roman" w:hAnsi="Times New Roman"/>
                <w:sz w:val="11"/>
                <w:szCs w:val="11"/>
                <w:color w:val="auto"/>
              </w:rPr>
              <w:t>9/11/2025</w:t>
            </w:r>
          </w:p>
        </w:tc>
        <w:tc>
          <w:tcPr>
            <w:tcW w:w="560" w:type="dxa"/>
            <w:vAlign w:val="bottom"/>
            <w:gridSpan w:val="2"/>
          </w:tcPr>
          <w:p>
            <w:pPr>
              <w:jc w:val="center"/>
              <w:ind w:left="5"/>
              <w:spacing w:after="0"/>
              <w:rPr>
                <w:sz w:val="20"/>
                <w:szCs w:val="20"/>
                <w:color w:val="auto"/>
              </w:rPr>
            </w:pPr>
            <w:r>
              <w:rPr>
                <w:rFonts w:ascii="Times New Roman" w:cs="Times New Roman" w:eastAsia="Times New Roman" w:hAnsi="Times New Roman"/>
                <w:sz w:val="11"/>
                <w:szCs w:val="11"/>
                <w:color w:val="auto"/>
              </w:rPr>
              <w:t>5/29/2025</w:t>
            </w:r>
          </w:p>
        </w:tc>
        <w:tc>
          <w:tcPr>
            <w:tcW w:w="1120" w:type="dxa"/>
            <w:vAlign w:val="bottom"/>
            <w:gridSpan w:val="2"/>
          </w:tcPr>
          <w:p>
            <w:pPr>
              <w:jc w:val="center"/>
              <w:ind w:left="25"/>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center"/>
              <w:ind w:left="25"/>
              <w:spacing w:after="0"/>
              <w:rPr>
                <w:sz w:val="20"/>
                <w:szCs w:val="20"/>
                <w:color w:val="auto"/>
              </w:rPr>
            </w:pPr>
            <w:r>
              <w:rPr>
                <w:rFonts w:ascii="Times New Roman" w:cs="Times New Roman" w:eastAsia="Times New Roman" w:hAnsi="Times New Roman"/>
                <w:sz w:val="11"/>
                <w:szCs w:val="11"/>
                <w:color w:val="auto"/>
              </w:rPr>
              <w:t>472,657</w:t>
            </w:r>
          </w:p>
        </w:tc>
        <w:tc>
          <w:tcPr>
            <w:tcW w:w="500" w:type="dxa"/>
            <w:vAlign w:val="bottom"/>
            <w:gridSpan w:val="2"/>
          </w:tcPr>
          <w:p>
            <w:pPr>
              <w:jc w:val="center"/>
              <w:ind w:left="5"/>
              <w:spacing w:after="0"/>
              <w:rPr>
                <w:sz w:val="20"/>
                <w:szCs w:val="20"/>
                <w:color w:val="auto"/>
              </w:rPr>
            </w:pPr>
            <w:r>
              <w:rPr>
                <w:rFonts w:ascii="Times New Roman" w:cs="Times New Roman" w:eastAsia="Times New Roman" w:hAnsi="Times New Roman"/>
                <w:sz w:val="11"/>
                <w:szCs w:val="11"/>
                <w:color w:val="auto"/>
              </w:rPr>
              <w:t>0.25</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1"/>
                <w:szCs w:val="11"/>
                <w:color w:val="auto"/>
              </w:rPr>
              <w:t>9/10/2035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-815340</wp:posOffset>
            </wp:positionV>
            <wp:extent cx="40005" cy="698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-701675</wp:posOffset>
            </wp:positionV>
            <wp:extent cx="40005" cy="6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42" w:lineRule="exact"/>
        <w:rPr>
          <w:sz w:val="20"/>
          <w:szCs w:val="20"/>
          <w:color w:val="auto"/>
        </w:rPr>
      </w:pPr>
    </w:p>
    <w:p>
      <w:pPr>
        <w:jc w:val="both"/>
        <w:ind w:left="1880" w:right="1239" w:hanging="323"/>
        <w:spacing w:after="0" w:line="258" w:lineRule="auto"/>
        <w:tabs>
          <w:tab w:leader="none" w:pos="1880" w:val="left"/>
        </w:tabs>
        <w:numPr>
          <w:ilvl w:val="0"/>
          <w:numId w:val="10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The shares underlying each stock option vest as follows: 25% on the first anniversary of the vesting start date and the remaining 75% in 36 equal monthly installments thereafter. Vesting of the award requires continued employment through the applicable vesting date.</w:t>
      </w:r>
    </w:p>
    <w:p>
      <w:pPr>
        <w:jc w:val="both"/>
        <w:ind w:left="1880" w:right="1239" w:hanging="323"/>
        <w:spacing w:after="0" w:line="252" w:lineRule="auto"/>
        <w:tabs>
          <w:tab w:leader="none" w:pos="1880" w:val="left"/>
        </w:tabs>
        <w:numPr>
          <w:ilvl w:val="0"/>
          <w:numId w:val="105"/>
        </w:numPr>
        <w:rPr>
          <w:rFonts w:ascii="Times New Roman" w:cs="Times New Roman" w:eastAsia="Times New Roman" w:hAnsi="Times New Roman"/>
          <w:sz w:val="14"/>
          <w:szCs w:val="14"/>
          <w:color w:val="231F20"/>
        </w:rPr>
      </w:pPr>
      <w:r>
        <w:rPr>
          <w:rFonts w:ascii="Times New Roman" w:cs="Times New Roman" w:eastAsia="Times New Roman" w:hAnsi="Times New Roman"/>
          <w:sz w:val="14"/>
          <w:szCs w:val="14"/>
          <w:color w:val="231F20"/>
        </w:rPr>
        <w:t>In the event that the NEO is terminated by the Company without “cause” or by such NEO for “good reason” (each term, as defined in the applicable offer letter), together, a Qualifying Termination, in each case, during the period beginning 3 months prior to and ending 12 months following the Company’s consummation of an “acquisition” (as defined in the 2022 Plan), the vesting of all then-unvested shares of common stock shall accelerate in full and become immediately exercisable, subject to the NEO’s execution of a general release of claims in favor of the Company.</w:t>
      </w:r>
    </w:p>
    <w:p>
      <w:pPr>
        <w:spacing w:after="0" w:line="200" w:lineRule="exact"/>
        <w:rPr>
          <w:sz w:val="20"/>
          <w:szCs w:val="20"/>
          <w:color w:val="auto"/>
        </w:rPr>
      </w:pP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4" w:name="page185"/>
    <w:bookmarkEnd w:id="184"/>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Offer Letters in Place with our NEOs Prior to the Offering</w:t>
      </w:r>
    </w:p>
    <w:p>
      <w:pPr>
        <w:spacing w:after="0" w:line="93"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auto"/>
        </w:rPr>
        <w:t>We entered into employment offer letters with each of Ms. Baranowski, Dr. Rhodes, Mr. Carlson, and Dr. Lazarus, or collectively, the NEO Offer Letters. The NEO Offer Letters provide for each NEO’s at-will employment and set forth each NEO’s initial annual base salary, initial target annual bonus opportunity, and an initial equity incentive award in the form of stock options.</w:t>
      </w:r>
    </w:p>
    <w:p>
      <w:pPr>
        <w:spacing w:after="0" w:line="141" w:lineRule="exact"/>
        <w:rPr>
          <w:sz w:val="20"/>
          <w:szCs w:val="20"/>
          <w:color w:val="auto"/>
        </w:rPr>
      </w:pPr>
    </w:p>
    <w:p>
      <w:pPr>
        <w:jc w:val="both"/>
        <w:ind w:left="1560" w:right="1239" w:firstLine="333"/>
        <w:spacing w:after="0" w:line="253" w:lineRule="auto"/>
        <w:rPr>
          <w:sz w:val="20"/>
          <w:szCs w:val="20"/>
          <w:color w:val="auto"/>
        </w:rPr>
      </w:pPr>
      <w:r>
        <w:rPr>
          <w:rFonts w:ascii="Times New Roman" w:cs="Times New Roman" w:eastAsia="Times New Roman" w:hAnsi="Times New Roman"/>
          <w:sz w:val="14"/>
          <w:szCs w:val="14"/>
          <w:color w:val="auto"/>
        </w:rPr>
        <w:t>Each NEO Offer Letter provides that, in the event the applicable NEO experiences a Qualifying Termination, and subject to the NEO’s execution and delivery of a general release of claims in the Company’s favor, the NEO will be entitled to receive: (i) a lump-sum payment equal to (A) for Ms. Baranowski, Dr. Rhodes, Mr. Carlson, and Dr. Lazarus, 12 months, nine months, six months, and 12 months, respectively, or each, the applicable Severance Period, of the NEO’s then-current base salary and (B) the NEO’s annual target bonus (which, in the case of Drs. Rhodes and Lazarus, will be prorated for the year in which the Qualifying Termination occurs); (ii) for Dr. Lazarus only, his annual bonus for the year prior in which the Qualifying Termination occurs; (iii) upon a timely election to enroll in COBRA, reimbursement of health insurance premiums for the NEO and the NEO’s dependents, as if the NEO remained employed with the Company through the earliest of (A) the end of the applicable Severance Period, (B) the date the NEO becomes eligible for health benefits under a subsequent employer’s health plan, or (C) the date the NEO ceases to be eligible for COBRA coverage; and (iv) an extension of the post-termination exercise period for vested option awards until the second anniversary of the NEO’s termination date, or collectively, the NEO Severance.</w:t>
      </w:r>
    </w:p>
    <w:p>
      <w:pPr>
        <w:spacing w:after="0" w:line="149" w:lineRule="exact"/>
        <w:rPr>
          <w:sz w:val="20"/>
          <w:szCs w:val="20"/>
          <w:color w:val="auto"/>
        </w:rPr>
      </w:pPr>
    </w:p>
    <w:p>
      <w:pPr>
        <w:jc w:val="both"/>
        <w:ind w:left="1560" w:right="1239" w:firstLine="333"/>
        <w:spacing w:after="0" w:line="256" w:lineRule="auto"/>
        <w:rPr>
          <w:sz w:val="20"/>
          <w:szCs w:val="20"/>
          <w:color w:val="auto"/>
        </w:rPr>
      </w:pPr>
      <w:r>
        <w:rPr>
          <w:rFonts w:ascii="Times New Roman" w:cs="Times New Roman" w:eastAsia="Times New Roman" w:hAnsi="Times New Roman"/>
          <w:sz w:val="14"/>
          <w:szCs w:val="14"/>
          <w:color w:val="auto"/>
        </w:rPr>
        <w:t>If the NEO experiences a Qualifying Termination during the period commencing three months prior to and 12 months following an Acquisition (as defined in the 2022 Plan), then, in addition to the NEO Severance and subject to the NEO’s execution and delivery of a general release of claims in the Company’s favor, the NEO will be entitled to receive (A) for Ms. Baranowski and Mr. Carlson only, payment equal to 1.5 times the COBRA health premium reimbursements as described in clause (ii) above (and, for the avoidance of doubt, this payment will be in lieu of (ii) above) and (B) accelerated vesting of all unvested shares subject to any outstanding stock options.</w:t>
      </w:r>
    </w:p>
    <w:p>
      <w:pPr>
        <w:spacing w:after="0" w:line="226"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Employment Agreements, to be Effective upon or prior to the Offering</w:t>
      </w:r>
    </w:p>
    <w:p>
      <w:pPr>
        <w:spacing w:after="0" w:line="93"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color w:val="231F20"/>
        </w:rPr>
        <w:t>We intend to enter into employment agreements with each of our NEOs, or collectively, the New Employment Agreements. The New Employment Agreements will replace and supersede the existing NEO Offer Letters we entered into with each of the NEOs. Under the New Employment Agreements, each of Ms. Baranowski, Dr. Rhodes, Mr. Carlson, and Dr. Lazarus will be entitled to receive an annual base salary and an annual target bonus, subject to annual review and adjustment by our board of directors. Such executives are also eligible to receive future equity awards, to participate in the Company employee benefit plans, subject to the terms of such plans, and to receive severance benefits pursuant to the Executive Severance Plan (as detailed below) as a Tier 1 officer for Ms. Baranowski and as Tier 2 officers for Dr. Rhodes, Mr. Carlson, and Dr. Lazarus. The severance benefits are further detailed below.</w:t>
      </w:r>
    </w:p>
    <w:p>
      <w:pPr>
        <w:spacing w:after="0" w:line="11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Executive Severance Plan, to be Effective upon the Offering</w:t>
      </w:r>
    </w:p>
    <w:p>
      <w:pPr>
        <w:spacing w:after="0" w:line="93"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On April 6, 2026, our board of directors adopted an Executive Severance Plan, which will become effective upon the date on which the registration statement of which this prospectus is part is declared effective by the SEC. Employees with the job title of senior vice president and above at the time of termination, and who have executed a participation agreement, will be eligible to participate in the Executive Severance Plan.</w:t>
      </w:r>
    </w:p>
    <w:p>
      <w:pPr>
        <w:spacing w:after="0" w:line="123" w:lineRule="exact"/>
        <w:rPr>
          <w:sz w:val="20"/>
          <w:szCs w:val="20"/>
          <w:color w:val="auto"/>
        </w:rPr>
      </w:pPr>
    </w:p>
    <w:p>
      <w:pPr>
        <w:jc w:val="both"/>
        <w:ind w:left="1560" w:right="1239" w:firstLine="252"/>
        <w:spacing w:after="0" w:line="256" w:lineRule="auto"/>
        <w:rPr>
          <w:sz w:val="20"/>
          <w:szCs w:val="20"/>
          <w:color w:val="auto"/>
        </w:rPr>
      </w:pPr>
      <w:r>
        <w:rPr>
          <w:rFonts w:ascii="Times New Roman" w:cs="Times New Roman" w:eastAsia="Times New Roman" w:hAnsi="Times New Roman"/>
          <w:sz w:val="14"/>
          <w:szCs w:val="14"/>
          <w:color w:val="auto"/>
        </w:rPr>
        <w:t>The Executive Severance Plan will provide that upon any termination of employment, the eligible executive will receive (i) all earned but unpaid base salary, (ii) unpaid expense reimbursements, (iii) any vested benefits the eligible executive may have under any employee benefit plan of the Company through the date of termination, and (iv) the eligible executive’s unpaid bonus amount, if any, that was earned for the calendar year prior to the calendar year in which the eligible executive’s employment terminates. In addition, the Executive Severance Plan will provide that upon a termination by us for any reason other than due to “cause,” death or</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5" w:name="page186"/>
    <w:bookmarkEnd w:id="185"/>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560" w:right="1239"/>
        <w:spacing w:after="0" w:line="252" w:lineRule="auto"/>
        <w:rPr>
          <w:sz w:val="20"/>
          <w:szCs w:val="20"/>
          <w:color w:val="auto"/>
        </w:rPr>
      </w:pPr>
      <w:r>
        <w:rPr>
          <w:rFonts w:ascii="Times New Roman" w:cs="Times New Roman" w:eastAsia="Times New Roman" w:hAnsi="Times New Roman"/>
          <w:sz w:val="14"/>
          <w:szCs w:val="14"/>
          <w:color w:val="auto"/>
        </w:rPr>
        <w:t>“disability” (as such terms are defined in the Executive Severance Plan) or a resignation by the executive for “good reason” (as defined in the Executive Severance Plan), in each case outside of the change in control period (i.e., the period beginning three months prior to and ending 12 months after a change in control), an eligible executive will be entitled to receive, subject to the execution and delivery of a separation agreement, including an effective and irrevocable release of claims in favor of the Company and continued compliance with all applicable restrictive covenants, (A) an amount equal to 1.0 times “base salary” (i.e., the higher of the annual base salary in effect immediately prior to the date of termination or the annual base salary in effect immediately prior to a change in control, if applicable) for our chief executive officer, 0.75 times base salary for our other C-level officers, and 0.5 times base salary for our senior vice presidents, and (B) if the eligible executive elects to continue health coverage following such termination, an amount equal to the monthly employer contribution, based on the premiums as of the date of termination, that we would have made to provide health insurance for the applicable executive and his or her dependents if he or she had remained employed by us for up to 12 months for our chief executive officer, nine months for our other c-level officers, and six months for our senior vice presidents. The payment under (A) will be paid in a lump sum cash payment within 60 days of the NEO’s termination and the payments under (B) will be paid in substantially equal installments in accordance with our payroll practices over the applicable period.</w:t>
      </w:r>
    </w:p>
    <w:p>
      <w:pPr>
        <w:spacing w:after="0" w:line="123" w:lineRule="exact"/>
        <w:rPr>
          <w:sz w:val="20"/>
          <w:szCs w:val="20"/>
          <w:color w:val="auto"/>
        </w:rPr>
      </w:pPr>
    </w:p>
    <w:p>
      <w:pPr>
        <w:jc w:val="both"/>
        <w:ind w:left="1560" w:right="1239" w:firstLine="252"/>
        <w:spacing w:after="0" w:line="252" w:lineRule="auto"/>
        <w:rPr>
          <w:sz w:val="20"/>
          <w:szCs w:val="20"/>
          <w:color w:val="auto"/>
        </w:rPr>
      </w:pPr>
      <w:r>
        <w:rPr>
          <w:rFonts w:ascii="Times New Roman" w:cs="Times New Roman" w:eastAsia="Times New Roman" w:hAnsi="Times New Roman"/>
          <w:sz w:val="14"/>
          <w:szCs w:val="14"/>
          <w:color w:val="auto"/>
        </w:rPr>
        <w:t>The Executive Severance Plan will also provide that upon a termination by us other than due to cause, death or disability or a resignation by the executive for good reason, in each case, within the change in control period, an eligible executive will be entitled to receive, in lieu of the payments and benefits above and subject to the execution and delivery of an effective and irrevocable release of claims in favor of the Company and continued compliance with all applicable restrictive covenants, (A) an amount equal to the sum of (1) 1.5 times the base salary for our chief executive officer, 1.0 times the base salary for our other c-level officers, and 0.75 times of the base salary for our senior vice presidents and (2) the “target bonus” (i.e., the higher of the target annual performance bonus for the year in which the termination occurs or the target annual performance bonus in effect as of immediately prior to a change in control, as applicable), (B) if the eligible executive elects to continue health coverage following such termination, an amount equal to the monthly employer contribution, based on the premiums as of the date of termination, that we would have made to provide health insurance for the applicable executive if he or she had remained employed by us for up to 12 months for our chief executive officer, nine months for our C-level officers (but, excluding our chief executive officer), and six months for our senior vice presidents, and (C) for all outstanding and unvested equity awards of the Company that are subject to time-based vesting held by the executive, full accelerated vesting of such awards; provided, that the performance conditions applicable to any outstanding and unvested equity awards subject to performance-based vesting will be deemed satisfied in accordance with the terms of the applicable award agreement. The payments under (A) and (B) will be paid in a lump sum cash payment within 60 days of the NEO’s termination.</w:t>
      </w:r>
    </w:p>
    <w:p>
      <w:pPr>
        <w:spacing w:after="0" w:line="131" w:lineRule="exact"/>
        <w:rPr>
          <w:sz w:val="20"/>
          <w:szCs w:val="20"/>
          <w:color w:val="auto"/>
        </w:rPr>
      </w:pPr>
    </w:p>
    <w:p>
      <w:pPr>
        <w:jc w:val="both"/>
        <w:ind w:left="1560" w:right="1239" w:firstLine="252"/>
        <w:spacing w:after="0" w:line="256" w:lineRule="auto"/>
        <w:rPr>
          <w:sz w:val="20"/>
          <w:szCs w:val="20"/>
          <w:color w:val="auto"/>
        </w:rPr>
      </w:pPr>
      <w:r>
        <w:rPr>
          <w:rFonts w:ascii="Times New Roman" w:cs="Times New Roman" w:eastAsia="Times New Roman" w:hAnsi="Times New Roman"/>
          <w:sz w:val="14"/>
          <w:szCs w:val="14"/>
          <w:color w:val="auto"/>
        </w:rPr>
        <w:t>In addition, the Executive Severance Plan provides that upon a termination for death or “disability” (as defined in the Executive Severance Plan), the eligible executive will be entitled to a prorated Target Bonus for the calendar year in which such termination occurs. Each of our NEOs will also be entitled to receive, upon a termination by us other than due to cause, death or disability or a resignation by the NEO for good reason, a prorated Target Bonus for the calendar year in which such termination occurs and an extended post-termination exercise period for vested option awards until the second anniversary of the NEO’s termination date (or, if earlier, the original expiration date of the option),</w:t>
      </w:r>
    </w:p>
    <w:p>
      <w:pPr>
        <w:spacing w:after="0" w:line="112" w:lineRule="exact"/>
        <w:rPr>
          <w:sz w:val="20"/>
          <w:szCs w:val="20"/>
          <w:color w:val="auto"/>
        </w:rPr>
      </w:pPr>
    </w:p>
    <w:p>
      <w:pPr>
        <w:jc w:val="both"/>
        <w:ind w:left="1560" w:right="1239" w:firstLine="252"/>
        <w:spacing w:after="0" w:line="257" w:lineRule="auto"/>
        <w:rPr>
          <w:sz w:val="20"/>
          <w:szCs w:val="20"/>
          <w:color w:val="auto"/>
        </w:rPr>
      </w:pPr>
      <w:r>
        <w:rPr>
          <w:rFonts w:ascii="Times New Roman" w:cs="Times New Roman" w:eastAsia="Times New Roman" w:hAnsi="Times New Roman"/>
          <w:sz w:val="14"/>
          <w:szCs w:val="14"/>
          <w:color w:val="auto"/>
        </w:rPr>
        <w:t>The payments and benefits provided under the Executive Severance Plan in connection with a change in control may not be eligible for a federal income tax deduction by us pursuant to Section 280G of the Code. These payments and benefits may also subject an eligible executive, including the NEOs, to an excise tax under Section 4999 of the Code. If the payments or benefits payable in connection with a change in control would be subject to the excise tax imposed under Section 4999 of the Code, then those payments or benefits will be reduced if such reduction would result in a higher net after-tax benefit to the participant.</w:t>
      </w:r>
    </w:p>
    <w:p>
      <w:pPr>
        <w:spacing w:after="0" w:line="112"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auto"/>
        </w:rPr>
        <w:t>The Executive Severance Plan will fully supersede and replace all previous severance and change in control plans, policies, arrangements, agreements, or provisions. In addition, upon a termination of employment by us (other than for cause), death or disability or a resignation by the executive for good reason, in each case,</w:t>
      </w:r>
    </w:p>
    <w:p>
      <w:pPr>
        <w:spacing w:after="0" w:line="200" w:lineRule="exact"/>
        <w:rPr>
          <w:sz w:val="20"/>
          <w:szCs w:val="20"/>
          <w:color w:val="auto"/>
        </w:rPr>
      </w:pPr>
    </w:p>
    <w:p>
      <w:pPr>
        <w:spacing w:after="0" w:line="3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241300</wp:posOffset>
            </wp:positionV>
            <wp:extent cx="54857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6" w:name="page187"/>
    <w:bookmarkEnd w:id="186"/>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560" w:right="1239"/>
        <w:spacing w:after="0" w:line="283" w:lineRule="auto"/>
        <w:rPr>
          <w:sz w:val="20"/>
          <w:szCs w:val="20"/>
          <w:color w:val="auto"/>
        </w:rPr>
      </w:pPr>
      <w:r>
        <w:rPr>
          <w:rFonts w:ascii="Times New Roman" w:cs="Times New Roman" w:eastAsia="Times New Roman" w:hAnsi="Times New Roman"/>
          <w:sz w:val="14"/>
          <w:szCs w:val="14"/>
          <w:color w:val="auto"/>
        </w:rPr>
        <w:t>the NEO will retain their benefit of an extended post-termination exercise period for vested option awards until the second anniversary of the NEO’s termination date pursuant to the NEO Offer Letters.</w:t>
      </w:r>
    </w:p>
    <w:p>
      <w:pPr>
        <w:spacing w:after="0" w:line="2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Senior Executive Cash Incentive Bonus Plan</w:t>
      </w:r>
    </w:p>
    <w:p>
      <w:pPr>
        <w:spacing w:after="0" w:line="93"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On April 6, 2026, our board of directors adopted the Senior Executive Cash Incentive Bonus Plan, or the Bonus Plan. The Bonus Plan provides for cash bonus payments based upon company and individual performance targets established by our compensation committee. The payment targets will be related to financial and operational measures or objectives with respect to our company, or the corporate performance goals, as well as individual performance objectives.</w:t>
      </w:r>
    </w:p>
    <w:p>
      <w:pPr>
        <w:spacing w:after="0" w:line="144"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Our compensation committee may select corporate performance goals from among the following:</w:t>
      </w:r>
    </w:p>
    <w:p>
      <w:pPr>
        <w:spacing w:after="0" w:line="22" w:lineRule="exact"/>
        <w:rPr>
          <w:sz w:val="20"/>
          <w:szCs w:val="20"/>
          <w:color w:val="auto"/>
        </w:rPr>
      </w:pPr>
    </w:p>
    <w:p>
      <w:pPr>
        <w:jc w:val="both"/>
        <w:ind w:left="1560" w:right="1239" w:hanging="3"/>
        <w:spacing w:after="0" w:line="256" w:lineRule="auto"/>
        <w:tabs>
          <w:tab w:leader="none" w:pos="1631" w:val="left"/>
        </w:tabs>
        <w:numPr>
          <w:ilvl w:val="0"/>
          <w:numId w:val="10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which may be (A) measured in absolute terms, as compared to any incremental increase, (B) measured in terms of growth, as compared to results of a peer group, or (C) measured against the market as a whole, compared to applicable market indices and/or measured on a pre-tax or post-tax basis.</w:t>
      </w:r>
    </w:p>
    <w:p>
      <w:pPr>
        <w:spacing w:after="0" w:line="143"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color w:val="auto"/>
        </w:rPr>
        <w:t>Each executive officer who is selected to participate in the Bonus Plan will have a target bonus opportunity set for each performance period. The bonus formulas will be adopted in each performance period by the compensation committee and communicated to each executive. The corporate performance goals will be measured at the end of each performance period after our financial reports have been published or such other appropriate time as the compensation committee determines. If the corporate performance goals and individual performance objectives are met, payments will be made as soon as practicable following the end of each performance period. Subject to the rights contained in any agreement between the executive officer and us, an executive officer shall be required to be employed by us on the bonus payment date to be eligible to receive a bonus payment under the Bonus Plan. The Bonus Plan also permits the compensation committee to approve additional bonuses to executive officers in its sole discretion.</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231F20"/>
        </w:rPr>
        <w:t>Equity Incentive Plans</w:t>
      </w:r>
    </w:p>
    <w:p>
      <w:pPr>
        <w:spacing w:after="0" w:line="91"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2012 Equity Incentive Plan</w:t>
      </w:r>
    </w:p>
    <w:p>
      <w:pPr>
        <w:spacing w:after="0" w:line="93"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color w:val="auto"/>
        </w:rPr>
        <w:t xml:space="preserve">The 2012 Equity Incentive Plan, or, as amended from time to time, the 2012 Plan, was approved by the Company’s Board and Stockholders and became effective for the Company in </w:t>
      </w:r>
      <w:r>
        <w:rPr>
          <w:rFonts w:ascii="Times New Roman" w:cs="Times New Roman" w:eastAsia="Times New Roman" w:hAnsi="Times New Roman"/>
          <w:sz w:val="14"/>
          <w:szCs w:val="14"/>
          <w:color w:val="231F20"/>
        </w:rPr>
        <w:t>October 2</w:t>
      </w:r>
      <w:r>
        <w:rPr>
          <w:rFonts w:ascii="Times New Roman" w:cs="Times New Roman" w:eastAsia="Times New Roman" w:hAnsi="Times New Roman"/>
          <w:sz w:val="14"/>
          <w:szCs w:val="14"/>
          <w:color w:val="auto"/>
        </w:rPr>
        <w:t xml:space="preserve">012 and was subsequently amended in June 2015, March 2017, December 2022, November 2019 and April 2020 to increase the number of shares reserved for issuance thereunder. Under the 2012 Plan, as amended, we have reserved for issuance an aggregate of </w:t>
      </w:r>
      <w:r>
        <w:rPr>
          <w:rFonts w:ascii="Times New Roman" w:cs="Times New Roman" w:eastAsia="Times New Roman" w:hAnsi="Times New Roman"/>
          <w:sz w:val="14"/>
          <w:szCs w:val="14"/>
          <w:color w:val="231F20"/>
        </w:rPr>
        <w:t>14,434,936</w:t>
      </w:r>
      <w:r>
        <w:rPr>
          <w:rFonts w:ascii="Times New Roman" w:cs="Times New Roman" w:eastAsia="Times New Roman" w:hAnsi="Times New Roman"/>
          <w:sz w:val="14"/>
          <w:szCs w:val="14"/>
          <w:color w:val="auto"/>
        </w:rPr>
        <w:t xml:space="preserve"> shares of our common stock. These numbers are subject to adjustment in the event of a stock dividend, stock split, spin-off, recapitalization, or other similar equity restructuring. Our board of directors has determined not to issue any further awards under the 2012 Plan following the approval of the 2022 Plan. The following summary describes the material terms of the 2012 Plan. This summary is not a complete description of all provisions of the 2012 Plan and is qualified in its entirety by reference to the 2012 Plan, which is filed as an exhibit to the registration statement of which this prospectus is a part.</w:t>
      </w:r>
    </w:p>
    <w:p>
      <w:pPr>
        <w:spacing w:after="0" w:line="144" w:lineRule="exact"/>
        <w:rPr>
          <w:sz w:val="20"/>
          <w:szCs w:val="20"/>
          <w:color w:val="auto"/>
        </w:rPr>
      </w:pPr>
    </w:p>
    <w:p>
      <w:pPr>
        <w:jc w:val="both"/>
        <w:ind w:left="1560" w:right="1239" w:firstLine="333"/>
        <w:spacing w:after="0" w:line="257" w:lineRule="auto"/>
        <w:rPr>
          <w:sz w:val="20"/>
          <w:szCs w:val="20"/>
          <w:color w:val="auto"/>
        </w:rPr>
      </w:pPr>
      <w:r>
        <w:rPr>
          <w:rFonts w:ascii="Times New Roman" w:cs="Times New Roman" w:eastAsia="Times New Roman" w:hAnsi="Times New Roman"/>
          <w:sz w:val="14"/>
          <w:szCs w:val="14"/>
          <w:color w:val="auto"/>
        </w:rPr>
        <w:t>The shares of common stock underlying any awards that are expired, lapsed, terminated, surrendered, cancelled without having been fully exercised, or are forfeited in whole or in part (including repurchased by us at or below the original issuance price), and shares that are withheld upon exercise of an option or settlement of an award to cover the exercise price or tax withholding under our 2012 Plan were added back to the shares of common stock available for issuance under our 2012 Plan (and, following the approval of the 2022 Plan, are added back to the shares of common stock available for issuance under the 2022 Plan).</w:t>
      </w:r>
    </w:p>
    <w:p>
      <w:pPr>
        <w:spacing w:after="0" w:line="143"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Our board of directors has acted as administrator of the 2012 Plan. The administrator has full power to, among other things, select, from among the individuals eligible for awards, determine the specific terms and conditions of each award, adopt, amend, and repeal rules as it deems advisable, and accelerate at any time the exercisability or vesting of any award, subject to the provisions of the 2012 Plan. Persons eligible to participate in our 2012 Plan are our employees, consultants and directors.</w:t>
      </w:r>
    </w:p>
    <w:p>
      <w:pPr>
        <w:spacing w:after="0" w:line="200" w:lineRule="exact"/>
        <w:rPr>
          <w:sz w:val="20"/>
          <w:szCs w:val="20"/>
          <w:color w:val="auto"/>
        </w:rPr>
      </w:pPr>
    </w:p>
    <w:p>
      <w:pPr>
        <w:spacing w:after="0" w:line="3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7" w:name="page188"/>
    <w:bookmarkEnd w:id="187"/>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color w:val="auto"/>
        </w:rPr>
        <w:t>The 2012 Plan permits the granting of (1) options to purchase common stock intended to qualify as incentive stock options under Section 422 of the Code and (2) options that do not so qualify. The option exercise price of each option is determined by the administrator but may not be less than 100% of the fair market value of the common stock on the date of grant or, in the case of an incentive stock option granted to an owner who owns more than 10% of the total combined voting power of all classes of stock, the exercise price shall not be less than 110% of the fair market value of our common stock on the date of grant. The term of each option is fixed by the administrator and may not exceed ten years from the date of grant (or five years in the case of certain incentive stock option grants). The administrator determines at what time or times each option may be exercised.</w:t>
      </w:r>
    </w:p>
    <w:p>
      <w:pPr>
        <w:spacing w:after="0" w:line="149" w:lineRule="exact"/>
        <w:rPr>
          <w:sz w:val="20"/>
          <w:szCs w:val="20"/>
          <w:color w:val="auto"/>
        </w:rPr>
      </w:pPr>
    </w:p>
    <w:p>
      <w:pPr>
        <w:jc w:val="both"/>
        <w:ind w:left="1560" w:right="1239" w:firstLine="333"/>
        <w:spacing w:after="0" w:line="283" w:lineRule="auto"/>
        <w:rPr>
          <w:sz w:val="20"/>
          <w:szCs w:val="20"/>
          <w:color w:val="auto"/>
        </w:rPr>
      </w:pPr>
      <w:r>
        <w:rPr>
          <w:rFonts w:ascii="Times New Roman" w:cs="Times New Roman" w:eastAsia="Times New Roman" w:hAnsi="Times New Roman"/>
          <w:sz w:val="14"/>
          <w:szCs w:val="14"/>
          <w:color w:val="auto"/>
        </w:rPr>
        <w:t>The administrator of the 2012 Plan may award restricted shares of common stock and restricted stock units subject to such conditions and restrictions as it determines.</w:t>
      </w:r>
    </w:p>
    <w:p>
      <w:pPr>
        <w:spacing w:after="0" w:line="125" w:lineRule="exact"/>
        <w:rPr>
          <w:sz w:val="20"/>
          <w:szCs w:val="20"/>
          <w:color w:val="auto"/>
        </w:rPr>
      </w:pPr>
    </w:p>
    <w:p>
      <w:pPr>
        <w:jc w:val="both"/>
        <w:ind w:left="1560" w:right="1239" w:firstLine="333"/>
        <w:spacing w:after="0" w:line="267" w:lineRule="auto"/>
        <w:rPr>
          <w:sz w:val="20"/>
          <w:szCs w:val="20"/>
          <w:color w:val="auto"/>
        </w:rPr>
      </w:pPr>
      <w:r>
        <w:rPr>
          <w:rFonts w:ascii="Times New Roman" w:cs="Times New Roman" w:eastAsia="Times New Roman" w:hAnsi="Times New Roman"/>
          <w:sz w:val="14"/>
          <w:szCs w:val="14"/>
          <w:color w:val="auto"/>
        </w:rPr>
        <w:t>The administrator of the 2012 Plan may also grant other stock-based awards to be delivered in the future. The awards may be paid in shares of common stock, cash, or other forms of property, as determined by the administrator.</w:t>
      </w:r>
    </w:p>
    <w:p>
      <w:pPr>
        <w:spacing w:after="0" w:line="136" w:lineRule="exact"/>
        <w:rPr>
          <w:sz w:val="20"/>
          <w:szCs w:val="20"/>
          <w:color w:val="auto"/>
        </w:rPr>
      </w:pPr>
    </w:p>
    <w:p>
      <w:pPr>
        <w:jc w:val="both"/>
        <w:ind w:left="1560" w:right="1239" w:firstLine="333"/>
        <w:spacing w:after="0" w:line="283" w:lineRule="auto"/>
        <w:rPr>
          <w:sz w:val="20"/>
          <w:szCs w:val="20"/>
          <w:color w:val="auto"/>
        </w:rPr>
      </w:pPr>
      <w:r>
        <w:rPr>
          <w:rFonts w:ascii="Times New Roman" w:cs="Times New Roman" w:eastAsia="Times New Roman" w:hAnsi="Times New Roman"/>
          <w:sz w:val="14"/>
          <w:szCs w:val="14"/>
          <w:color w:val="auto"/>
        </w:rPr>
        <w:t>The awards under the 2012 Plan are subject to certain restrictions, including, without limitation, transfer restrictions, a lock-up period, and the Company’s right of first refusal.</w:t>
      </w:r>
    </w:p>
    <w:p>
      <w:pPr>
        <w:spacing w:after="0" w:line="125"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In the event of certain equity restructuring, including stock dividend, stock split, spin-off, recapitalization or other similar change to the Company’s capital structure, the administrator of the 2012 Plan shall make appropriate adjustments to the maximum number of shares reserved for issuance under the 2012 Plan, the number and type of securities subject to outstanding awards under the 2012 Plan, the exercise price of any outstanding awards under the 2012 Plan and the terms and conditions of any awards.</w:t>
      </w:r>
    </w:p>
    <w:p>
      <w:pPr>
        <w:spacing w:after="0" w:line="144" w:lineRule="exact"/>
        <w:rPr>
          <w:sz w:val="20"/>
          <w:szCs w:val="20"/>
          <w:color w:val="auto"/>
        </w:rPr>
      </w:pPr>
    </w:p>
    <w:p>
      <w:pPr>
        <w:jc w:val="both"/>
        <w:ind w:left="1560" w:right="1239" w:firstLine="333"/>
        <w:spacing w:after="0" w:line="255" w:lineRule="auto"/>
        <w:rPr>
          <w:sz w:val="20"/>
          <w:szCs w:val="20"/>
          <w:color w:val="auto"/>
        </w:rPr>
      </w:pPr>
      <w:r>
        <w:rPr>
          <w:rFonts w:ascii="Times New Roman" w:cs="Times New Roman" w:eastAsia="Times New Roman" w:hAnsi="Times New Roman"/>
          <w:sz w:val="14"/>
          <w:szCs w:val="14"/>
          <w:color w:val="auto"/>
        </w:rPr>
        <w:t>The 2012 Plan provides that in the event of a “change in control” (as defined in the 2012 Plan), the administrator is authorized to take various actions, including, but not limited to: (i) canceling any award in exchange for cash or property, (ii) accelerating the vesting of any award, (iii) providing for the assumption or substitution of awards by the successor entity, (iv) adjusting the number and type of shares subject to outstanding awards, (v) replacing the award with other rights or property selected by the administrator, and</w:t>
      </w:r>
    </w:p>
    <w:p>
      <w:pPr>
        <w:jc w:val="both"/>
        <w:ind w:left="1560" w:right="1239" w:hanging="3"/>
        <w:spacing w:after="0" w:line="252" w:lineRule="auto"/>
        <w:tabs>
          <w:tab w:leader="none" w:pos="1803" w:val="left"/>
        </w:tabs>
        <w:numPr>
          <w:ilvl w:val="0"/>
          <w:numId w:val="10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terminating the award. Notwithstanding the foregoing, if a change in control occurs and the participant’s awards are not continued, converted, assumed or replaced with substantially similar awards by the Company or any successor entity or its affiliates, and provided that the participant continues services through such change in control, then immediately prior to the change in control, the outstanding and unvested awards shall become fully vested, exercisable and/or payable, as applicable, and all forfeiture, repurchase and other restrictions shall lapse.</w:t>
      </w:r>
    </w:p>
    <w:p>
      <w:pPr>
        <w:spacing w:after="0" w:line="149"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Our board of directors may amend, suspend or terminate the 2012 Plan at any time, subject to stockholder approval where required by applicable law. The administrator of the 2012 Plan may also amend, modify or terminate any outstanding award. The participant’s consent to such action will be required unless (i) the administrator determines that the action would not materially and adversely affect the participant, or (ii) the change is permitted under the 2012 Plan.</w:t>
      </w:r>
    </w:p>
    <w:p>
      <w:pPr>
        <w:spacing w:after="0" w:line="144" w:lineRule="exact"/>
        <w:rPr>
          <w:sz w:val="20"/>
          <w:szCs w:val="20"/>
          <w:color w:val="auto"/>
        </w:rPr>
      </w:pPr>
    </w:p>
    <w:p>
      <w:pPr>
        <w:jc w:val="both"/>
        <w:ind w:left="1560" w:right="1239" w:firstLine="333"/>
        <w:spacing w:after="0" w:line="267" w:lineRule="auto"/>
        <w:rPr>
          <w:sz w:val="20"/>
          <w:szCs w:val="20"/>
          <w:color w:val="auto"/>
        </w:rPr>
      </w:pPr>
      <w:r>
        <w:rPr>
          <w:rFonts w:ascii="Times New Roman" w:cs="Times New Roman" w:eastAsia="Times New Roman" w:hAnsi="Times New Roman"/>
          <w:sz w:val="14"/>
          <w:szCs w:val="14"/>
          <w:color w:val="auto"/>
        </w:rPr>
        <w:t>No awards may be granted under our 2012 Plan after the date that is ten years from the date our 2012 Plan was adopted by our board of directors. As described above, our board of directors has determined not to issue any further awards under our 2012 Plan following the completion of this offering.</w:t>
      </w:r>
    </w:p>
    <w:p>
      <w:pPr>
        <w:spacing w:after="0" w:line="136" w:lineRule="exact"/>
        <w:rPr>
          <w:sz w:val="20"/>
          <w:szCs w:val="20"/>
          <w:color w:val="auto"/>
        </w:rPr>
      </w:pPr>
    </w:p>
    <w:p>
      <w:pPr>
        <w:jc w:val="both"/>
        <w:ind w:left="1560" w:right="1239" w:firstLine="333"/>
        <w:spacing w:after="0" w:line="267" w:lineRule="auto"/>
        <w:rPr>
          <w:sz w:val="20"/>
          <w:szCs w:val="20"/>
          <w:color w:val="auto"/>
        </w:rPr>
      </w:pPr>
      <w:r>
        <w:rPr>
          <w:rFonts w:ascii="Times New Roman" w:cs="Times New Roman" w:eastAsia="Times New Roman" w:hAnsi="Times New Roman"/>
          <w:sz w:val="14"/>
          <w:szCs w:val="14"/>
          <w:color w:val="auto"/>
        </w:rPr>
        <w:t xml:space="preserve">As of December 31, 2025, options to purchase up to 5,269,073 shares of common stock at a weighted average exercise price of $0.28 per share and </w:t>
      </w:r>
      <w:r>
        <w:rPr>
          <w:rFonts w:ascii="Times New Roman" w:cs="Times New Roman" w:eastAsia="Times New Roman" w:hAnsi="Times New Roman"/>
          <w:sz w:val="14"/>
          <w:szCs w:val="14"/>
          <w:color w:val="231F20"/>
        </w:rPr>
        <w:t>0</w:t>
      </w:r>
      <w:r>
        <w:rPr>
          <w:rFonts w:ascii="Times New Roman" w:cs="Times New Roman" w:eastAsia="Times New Roman" w:hAnsi="Times New Roman"/>
          <w:sz w:val="14"/>
          <w:szCs w:val="14"/>
          <w:color w:val="auto"/>
        </w:rPr>
        <w:t xml:space="preserve"> shares of restricted stock were outstanding under the 2012 Plan.</w:t>
      </w:r>
    </w:p>
    <w:p>
      <w:pPr>
        <w:spacing w:after="0" w:line="2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2022 Equity Incentive Plan</w:t>
      </w:r>
    </w:p>
    <w:p>
      <w:pPr>
        <w:spacing w:after="0" w:line="93" w:lineRule="exact"/>
        <w:rPr>
          <w:sz w:val="20"/>
          <w:szCs w:val="20"/>
          <w:color w:val="auto"/>
        </w:rPr>
      </w:pPr>
    </w:p>
    <w:p>
      <w:pPr>
        <w:jc w:val="both"/>
        <w:ind w:left="1560" w:right="1239" w:firstLine="333"/>
        <w:spacing w:after="0" w:line="283" w:lineRule="auto"/>
        <w:rPr>
          <w:sz w:val="20"/>
          <w:szCs w:val="20"/>
          <w:color w:val="auto"/>
        </w:rPr>
      </w:pPr>
      <w:r>
        <w:rPr>
          <w:rFonts w:ascii="Times New Roman" w:cs="Times New Roman" w:eastAsia="Times New Roman" w:hAnsi="Times New Roman"/>
          <w:sz w:val="14"/>
          <w:szCs w:val="14"/>
          <w:color w:val="auto"/>
        </w:rPr>
        <w:t xml:space="preserve">The 2022 Plan was approved by the Company’s Board and Stockholders and became effective for the Company in </w:t>
      </w:r>
      <w:r>
        <w:rPr>
          <w:rFonts w:ascii="Times New Roman" w:cs="Times New Roman" w:eastAsia="Times New Roman" w:hAnsi="Times New Roman"/>
          <w:sz w:val="14"/>
          <w:szCs w:val="14"/>
          <w:color w:val="231F20"/>
        </w:rPr>
        <w:t>February 2022</w:t>
      </w:r>
      <w:r>
        <w:rPr>
          <w:rFonts w:ascii="Times New Roman" w:cs="Times New Roman" w:eastAsia="Times New Roman" w:hAnsi="Times New Roman"/>
          <w:sz w:val="14"/>
          <w:szCs w:val="14"/>
          <w:color w:val="auto"/>
        </w:rPr>
        <w:t xml:space="preserve"> and was subsequently amended in November 2022, September 2023, April 2025</w:t>
      </w:r>
    </w:p>
    <w:p>
      <w:pPr>
        <w:spacing w:after="0" w:line="200" w:lineRule="exact"/>
        <w:rPr>
          <w:sz w:val="20"/>
          <w:szCs w:val="20"/>
          <w:color w:val="auto"/>
        </w:rPr>
      </w:pP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8" w:name="page189"/>
    <w:bookmarkEnd w:id="188"/>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560" w:right="1239"/>
        <w:spacing w:after="0" w:line="267" w:lineRule="auto"/>
        <w:rPr>
          <w:sz w:val="20"/>
          <w:szCs w:val="20"/>
          <w:color w:val="auto"/>
        </w:rPr>
      </w:pPr>
      <w:r>
        <w:rPr>
          <w:rFonts w:ascii="Times New Roman" w:cs="Times New Roman" w:eastAsia="Times New Roman" w:hAnsi="Times New Roman"/>
          <w:sz w:val="14"/>
          <w:szCs w:val="14"/>
          <w:color w:val="auto"/>
        </w:rPr>
        <w:t>and January 2026 to increase the number of shares reserved for issuance thereunder. This summary is not a complete description of all provisions of the 2022 Plan and is qualified in its entirety by reference to the 2022 Plan, which is filed as an exhibit to the registration statement of which this prospectus is a part.</w:t>
      </w:r>
    </w:p>
    <w:p>
      <w:pPr>
        <w:spacing w:after="0" w:line="136"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The 2022 Plan authorizes the award of both equity-based and cash-based incentive awards, including: (i) stock options (both incentive stock options and nonqualified stock options), (ii) stock appreciation rights, or SARs, (iii) restricted stock awards, and (iv) restricted stock units, or RSUs. Incentive stock options may be granted only to employees. All other types of awards may be issued to employees, directors and consultants, including employees and consultants of any parent or subsidiary.</w:t>
      </w:r>
    </w:p>
    <w:p>
      <w:pPr>
        <w:spacing w:after="0" w:line="142" w:lineRule="exact"/>
        <w:rPr>
          <w:sz w:val="20"/>
          <w:szCs w:val="20"/>
          <w:color w:val="auto"/>
        </w:rPr>
      </w:pPr>
    </w:p>
    <w:p>
      <w:pPr>
        <w:jc w:val="both"/>
        <w:ind w:left="1560" w:right="12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Shares Subject to 2022 Plan</w:t>
      </w:r>
      <w:r>
        <w:rPr>
          <w:rFonts w:ascii="Times New Roman" w:cs="Times New Roman" w:eastAsia="Times New Roman" w:hAnsi="Times New Roman"/>
          <w:sz w:val="14"/>
          <w:szCs w:val="14"/>
          <w:color w:val="auto"/>
        </w:rPr>
        <w:t>. Under the 2022 Plan, as amended, we have reserved for issuance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aggregate of 74,840,074 shares of our common stock. These numbers are subject to adjustment in the event of a stock dividend, stock split, spin-off, recapitalization, or other similar equity restructuring. The shares of common stock underlying any awards under the 2022 Plan and the 2012 Plan that are expired, lapsed, terminated, surrendered, cancelled, or is forfeited in whole or in part (including repurchased by us), and shares that are withheld upon exercise of an option or settlement of an award to cover the exercise price or tax withholding are currently added back to the shares of common stock available for issuance under our 2012 Plan (and, following closing of this offering, will be added back to the shares of common stock available for issuance under the 2026 Plan).</w:t>
      </w:r>
    </w:p>
    <w:p>
      <w:pPr>
        <w:spacing w:after="0" w:line="143" w:lineRule="exact"/>
        <w:rPr>
          <w:sz w:val="20"/>
          <w:szCs w:val="20"/>
          <w:color w:val="auto"/>
        </w:rPr>
      </w:pPr>
    </w:p>
    <w:p>
      <w:pPr>
        <w:jc w:val="both"/>
        <w:ind w:left="1560" w:right="1239" w:firstLine="333"/>
        <w:spacing w:after="0" w:line="257" w:lineRule="auto"/>
        <w:rPr>
          <w:sz w:val="20"/>
          <w:szCs w:val="20"/>
          <w:color w:val="auto"/>
        </w:rPr>
      </w:pPr>
      <w:r>
        <w:rPr>
          <w:rFonts w:ascii="Times New Roman" w:cs="Times New Roman" w:eastAsia="Times New Roman" w:hAnsi="Times New Roman"/>
          <w:sz w:val="14"/>
          <w:szCs w:val="14"/>
          <w:i w:val="1"/>
          <w:iCs w:val="1"/>
          <w:color w:val="auto"/>
        </w:rPr>
        <w:t>Administration</w:t>
      </w:r>
      <w:r>
        <w:rPr>
          <w:rFonts w:ascii="Times New Roman" w:cs="Times New Roman" w:eastAsia="Times New Roman" w:hAnsi="Times New Roman"/>
          <w:sz w:val="14"/>
          <w:szCs w:val="14"/>
          <w:color w:val="auto"/>
        </w:rPr>
        <w:t>. Our board or a duly authorized committee of our board administers our 2022 Plan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awards granted under it. Under our 2022 Plan, the administrator has the authority to, among other things, determine who will be granted stock awards, to determine the terms and conditions of each stock award (including the number of shares subject to the stock award, when the stock award will vest and, as applicable, become exercisable), to accelerate the time(s) at which a stock award may vest or be exercised, and to construe and interpret the terms of our 2022 Plan and stock awards granted thereunder.</w:t>
      </w:r>
    </w:p>
    <w:p>
      <w:pPr>
        <w:spacing w:after="0" w:line="143" w:lineRule="exact"/>
        <w:rPr>
          <w:sz w:val="20"/>
          <w:szCs w:val="20"/>
          <w:color w:val="auto"/>
        </w:rPr>
      </w:pPr>
    </w:p>
    <w:p>
      <w:pPr>
        <w:jc w:val="both"/>
        <w:ind w:left="1560" w:right="12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Options. </w:t>
      </w:r>
      <w:r>
        <w:rPr>
          <w:rFonts w:ascii="Times New Roman" w:cs="Times New Roman" w:eastAsia="Times New Roman" w:hAnsi="Times New Roman"/>
          <w:sz w:val="14"/>
          <w:szCs w:val="14"/>
          <w:color w:val="auto"/>
        </w:rPr>
        <w:t>The 2022 Plan permits the granting of (1) options to purchase common stock intended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qualify as incentive stock options under Section 422 of the Code and (2) options that do not so qualify. The option exercise price of each option is determined by the administrator but may not be less than 100% of the fair market value of the common stock on the date of grant or, in the case of an incentive stock option granted to an owner who owns more than 10% of the total combined voting power of all classes of stock, the exercise price shall not be less than 110% of the fair market value of our common stock on the date of grant. The term of each option is fixed by the administrator and may not exceed ten years from the date of grant (or five years in the case of certain incentive stock option grants). The administrator determines at what time or times each option may be exercised.</w:t>
      </w:r>
    </w:p>
    <w:p>
      <w:pPr>
        <w:spacing w:after="0" w:line="143" w:lineRule="exact"/>
        <w:rPr>
          <w:sz w:val="20"/>
          <w:szCs w:val="20"/>
          <w:color w:val="auto"/>
        </w:rPr>
      </w:pPr>
    </w:p>
    <w:p>
      <w:pPr>
        <w:jc w:val="both"/>
        <w:ind w:left="1560" w:right="1239" w:firstLine="33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Adjustment of Shares. </w:t>
      </w:r>
      <w:r>
        <w:rPr>
          <w:rFonts w:ascii="Times New Roman" w:cs="Times New Roman" w:eastAsia="Times New Roman" w:hAnsi="Times New Roman"/>
          <w:sz w:val="14"/>
          <w:szCs w:val="14"/>
          <w:color w:val="auto"/>
        </w:rPr>
        <w:t>In the event there is a specified type of change in our capital structure, such as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stock split, reverse stock split, or recapitalization, proportionate adjustments will be made to (i) the class and maximum number of shares reserved for issuance under our 2022 Plan, and (ii) the class and number of shares and exercise price or purchase price, if applicable, of all outstanding stock awards.</w:t>
      </w:r>
    </w:p>
    <w:p>
      <w:pPr>
        <w:spacing w:after="0" w:line="138" w:lineRule="exact"/>
        <w:rPr>
          <w:sz w:val="20"/>
          <w:szCs w:val="20"/>
          <w:color w:val="auto"/>
        </w:rPr>
      </w:pPr>
    </w:p>
    <w:p>
      <w:pPr>
        <w:jc w:val="both"/>
        <w:ind w:left="1560" w:right="1239" w:firstLine="333"/>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Corporate Transactions. </w:t>
      </w:r>
      <w:r>
        <w:rPr>
          <w:rFonts w:ascii="Times New Roman" w:cs="Times New Roman" w:eastAsia="Times New Roman" w:hAnsi="Times New Roman"/>
          <w:sz w:val="14"/>
          <w:szCs w:val="14"/>
          <w:color w:val="auto"/>
        </w:rPr>
        <w:t>Our 2022 Plan provides that in the event of an acquisition or other combination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(such terms as defined under our 2022 Plan), stock awards outstanding under our 2022 Plan will be treated as provided in the agreement evidencing such acquisition or other combination, which may provide for one or more of the following: (i) continuation of outstanding stock awards, if we are the successor entity; (ii) assumption or substitution of outstanding stock awards by the successor or acquiring entity in accordance with the terms of the 2022 Plan; (iii) the full or partial exercisability or vesting and accelerated expiration of outstanding stock awards; (iv) the settlement of the fair market value of such stock awards (whether or not then vested or exercisable) in cash, cash equivalents, or securities of the successor entity (or its parent if any) (or the cancellation without consideration of any awards without value); or (v) the termination of outstanding stock awards, without the payment of any consideration that are not exercised upon or prior to the acquisition or other combination within such time specified by the administrator. Immediately following an acquisition or other combination, outstanding stock awards will terminate and cease to be outstanding, except to the extent such stock awards, have been continued, assumed or substituted, as described above.</w:t>
      </w:r>
    </w:p>
    <w:p>
      <w:pPr>
        <w:spacing w:after="0" w:line="200" w:lineRule="exact"/>
        <w:rPr>
          <w:sz w:val="20"/>
          <w:szCs w:val="20"/>
          <w:color w:val="auto"/>
        </w:rPr>
      </w:pPr>
    </w:p>
    <w:p>
      <w:pPr>
        <w:spacing w:after="0" w:line="31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89" w:name="page190"/>
    <w:bookmarkEnd w:id="189"/>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560" w:right="1239" w:firstLine="33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Repricing Without Stockholder Approval. </w:t>
      </w:r>
      <w:r>
        <w:rPr>
          <w:rFonts w:ascii="Times New Roman" w:cs="Times New Roman" w:eastAsia="Times New Roman" w:hAnsi="Times New Roman"/>
          <w:sz w:val="14"/>
          <w:szCs w:val="14"/>
          <w:color w:val="auto"/>
        </w:rPr>
        <w:t>Our board of directors or our compensation committee may,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without obtaining prior approval of our stockholders, reprice options or stock appreciation rights (and where such repricing is a reduction in the exercise price of outstanding options or stock appreciation rights, the consent of the affected participant is not required as long as we provide written notice to them).</w:t>
      </w:r>
    </w:p>
    <w:p>
      <w:pPr>
        <w:spacing w:after="0" w:line="138" w:lineRule="exact"/>
        <w:rPr>
          <w:sz w:val="20"/>
          <w:szCs w:val="20"/>
          <w:color w:val="auto"/>
        </w:rPr>
      </w:pPr>
    </w:p>
    <w:p>
      <w:pPr>
        <w:jc w:val="both"/>
        <w:ind w:left="1560" w:right="1239" w:firstLine="333"/>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Transferability. </w:t>
      </w:r>
      <w:r>
        <w:rPr>
          <w:rFonts w:ascii="Times New Roman" w:cs="Times New Roman" w:eastAsia="Times New Roman" w:hAnsi="Times New Roman"/>
          <w:sz w:val="14"/>
          <w:szCs w:val="14"/>
          <w:color w:val="auto"/>
        </w:rPr>
        <w:t>Except for certain estate planning transfers authorized by the compensation committee,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awards granted under the 2022 Plan are generally nontransferable except by will or by the laws of descent and distribution.</w:t>
      </w:r>
    </w:p>
    <w:p>
      <w:pPr>
        <w:spacing w:after="0" w:line="133" w:lineRule="exact"/>
        <w:rPr>
          <w:sz w:val="20"/>
          <w:szCs w:val="20"/>
          <w:color w:val="auto"/>
        </w:rPr>
      </w:pPr>
    </w:p>
    <w:p>
      <w:pPr>
        <w:jc w:val="both"/>
        <w:ind w:left="1560" w:right="1239" w:firstLine="333"/>
        <w:spacing w:after="0" w:line="257" w:lineRule="auto"/>
        <w:rPr>
          <w:sz w:val="20"/>
          <w:szCs w:val="20"/>
          <w:color w:val="auto"/>
        </w:rPr>
      </w:pPr>
      <w:r>
        <w:rPr>
          <w:rFonts w:ascii="Times New Roman" w:cs="Times New Roman" w:eastAsia="Times New Roman" w:hAnsi="Times New Roman"/>
          <w:sz w:val="14"/>
          <w:szCs w:val="14"/>
          <w:i w:val="1"/>
          <w:iCs w:val="1"/>
          <w:color w:val="auto"/>
        </w:rPr>
        <w:t xml:space="preserve">Plan Amendment or Termination. </w:t>
      </w:r>
      <w:r>
        <w:rPr>
          <w:rFonts w:ascii="Times New Roman" w:cs="Times New Roman" w:eastAsia="Times New Roman" w:hAnsi="Times New Roman"/>
          <w:sz w:val="14"/>
          <w:szCs w:val="14"/>
          <w:color w:val="auto"/>
        </w:rPr>
        <w:t>Our board has the authority to terminate or amend our 2022 Plan at</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any time, except any amendment of our 2022 Plan will be subject to stockholder approval if required by applicable law. The termination or amendment of our 2022 Plan will not affect any share previously issued or any stock award previously granted under our 2022 Plan. As described above, our 2022 Plan will be terminated upon the effective date of the 2026 Plan and no future awards will be granted under the 2022 Plan following such termination.</w:t>
      </w:r>
    </w:p>
    <w:p>
      <w:pPr>
        <w:spacing w:after="0" w:line="145"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Our board of directors has determined not to issue any further awards under the 2022 Plan following closing of this offering, but all outstanding awards under the 2022 Plan will continue to be governed by their existing terms. In connection with this offering, we have adopted a new incentive equity plan under which we will grant equity-based awards following this offering, as described below under “2026 Equity Incentive Plan.”</w:t>
      </w:r>
    </w:p>
    <w:p>
      <w:pPr>
        <w:spacing w:after="0" w:line="144" w:lineRule="exact"/>
        <w:rPr>
          <w:sz w:val="20"/>
          <w:szCs w:val="20"/>
          <w:color w:val="auto"/>
        </w:rPr>
      </w:pPr>
    </w:p>
    <w:p>
      <w:pPr>
        <w:jc w:val="both"/>
        <w:ind w:left="1560" w:right="1239" w:firstLine="333"/>
        <w:spacing w:after="0" w:line="267" w:lineRule="auto"/>
        <w:rPr>
          <w:sz w:val="20"/>
          <w:szCs w:val="20"/>
          <w:color w:val="auto"/>
        </w:rPr>
      </w:pPr>
      <w:r>
        <w:rPr>
          <w:rFonts w:ascii="Times New Roman" w:cs="Times New Roman" w:eastAsia="Times New Roman" w:hAnsi="Times New Roman"/>
          <w:sz w:val="14"/>
          <w:szCs w:val="14"/>
          <w:color w:val="auto"/>
        </w:rPr>
        <w:t>As of December 31, 2025, options to purchase up to 73,410,032 shares of common stock at a weighted average exercise price of $0.25 per share and 0 shares of restricted stock were outstanding under the 2022 Plan.</w:t>
      </w:r>
    </w:p>
    <w:p>
      <w:pPr>
        <w:spacing w:after="0" w:line="218"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231F20"/>
        </w:rPr>
        <w:t>2026 Stock Option and Incentive Plan</w:t>
      </w:r>
    </w:p>
    <w:p>
      <w:pPr>
        <w:spacing w:after="0" w:line="9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2026 Plan was adopted by our board of directors on April 6, 2026, approved by our stockholders on</w:t>
      </w:r>
    </w:p>
    <w:p>
      <w:pPr>
        <w:spacing w:after="0" w:line="22" w:lineRule="exact"/>
        <w:rPr>
          <w:sz w:val="20"/>
          <w:szCs w:val="20"/>
          <w:color w:val="auto"/>
        </w:rPr>
      </w:pPr>
    </w:p>
    <w:p>
      <w:pPr>
        <w:jc w:val="both"/>
        <w:ind w:left="1560" w:right="1239" w:hanging="3"/>
        <w:spacing w:after="0" w:line="252" w:lineRule="auto"/>
        <w:tabs>
          <w:tab w:leader="none" w:pos="1662" w:val="left"/>
        </w:tabs>
        <w:numPr>
          <w:ilvl w:val="0"/>
          <w:numId w:val="10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2026 and will become effective on the date immediately preceding the date on which the registration statement of which this prospectus is a part is declared effective by the SEC. The 2026 Plan will allow us to issue equity-based and cash-based incentive awards to our officers, employees, directors, and consultants. The following summary describes the material terms of the 2026 Plan. This summary is not a complete description of all provisions of the 2026 Plan and is qualified in its entirety by reference to the 2026 Plan, which will be filed as an exhibit to the registration statement of which this prospectus is a part.</w:t>
      </w:r>
    </w:p>
    <w:p>
      <w:pPr>
        <w:spacing w:after="0" w:line="149"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color w:val="auto"/>
        </w:rPr>
        <w:t>Authorized Shares. We have initially reserved shares of our common stock for the issuance of awards under the 2026 Plan, or the Initial Limit. The 2026 Plan provides that the number of shares reserved and available for issuance under the 2026 Plan will automatically increase on January 1, 2027 and each January thereafter during the term of the 2026 Plan, by 5% of sum of (i) the number of shares of common stock issued and outstanding and (ii) the number of the number of shares of common stock issuable pursuant to the exercise of any outstanding, pre-funded warrants to acquire common stock for a nominal exercise price ((i) and (ii) together, the “Outstanding Shares”) on the immediately preceding December 31 or such lesser number of shares as determined by our compensation committee, or the Annual Increase. The number of shares reserved for issuance under the 2026 Plan will be subject to adjustment in the event of a stock split, stock dividend, or other change in our capitalization.</w:t>
      </w:r>
    </w:p>
    <w:p>
      <w:pPr>
        <w:spacing w:after="0" w:line="146"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color w:val="auto"/>
        </w:rPr>
        <w:t>The shares we issue under the 2026 Plan will be authorized but unissued shares or shares that we reacquire. The shares of common stock underlying any awards under the 2026 Plan, the 2022 Plan, and the 2012 Plan that are forfeited, cancelled, held back upon exercise or settlement of an award to satisfy the exercise price or tax withholding, reacquired by us prior to vesting, satisfied without the issuance of stock, expire, or are otherwise terminated (other than by exercise) will be added back to the shares of common stock available for issuance under the 2026 Plan. The maximum number of shares of common stock that may be issued pursuant to incentive stock options shall not exceed the Initial Limit, cumulatively increased on January 1, 2027 and on each January 1 thereafter by the lesser of the Annual Increase for such year or shares of common stock.</w:t>
      </w:r>
    </w:p>
    <w:p>
      <w:pPr>
        <w:spacing w:after="0" w:line="200" w:lineRule="exact"/>
        <w:rPr>
          <w:sz w:val="20"/>
          <w:szCs w:val="20"/>
          <w:color w:val="auto"/>
        </w:rPr>
      </w:pPr>
    </w:p>
    <w:p>
      <w:pPr>
        <w:spacing w:after="0" w:line="3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0" w:name="page191"/>
    <w:bookmarkEnd w:id="190"/>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560" w:right="1239" w:firstLine="333"/>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Non-Employee Director Limit. </w:t>
      </w:r>
      <w:r>
        <w:rPr>
          <w:rFonts w:ascii="Times New Roman" w:cs="Times New Roman" w:eastAsia="Times New Roman" w:hAnsi="Times New Roman"/>
          <w:sz w:val="14"/>
          <w:szCs w:val="14"/>
          <w:color w:val="auto"/>
        </w:rPr>
        <w:t>The grant date fair value of all awards under the 2026 Plan and all other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cash compensation paid by us to any non-employee director during any one calendar year for services as a non-employee director may not exceed $750,000; provided, however, that such amount shall be $1,000,000 for the calendar year in which the applicable non-employee director is initially elected or appointed to our board of directors.</w:t>
      </w:r>
    </w:p>
    <w:p>
      <w:pPr>
        <w:spacing w:after="0" w:line="141" w:lineRule="exact"/>
        <w:rPr>
          <w:sz w:val="20"/>
          <w:szCs w:val="20"/>
          <w:color w:val="auto"/>
        </w:rPr>
      </w:pPr>
    </w:p>
    <w:p>
      <w:pPr>
        <w:jc w:val="both"/>
        <w:ind w:left="1560" w:right="12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Plan Administration. </w:t>
      </w:r>
      <w:r>
        <w:rPr>
          <w:rFonts w:ascii="Times New Roman" w:cs="Times New Roman" w:eastAsia="Times New Roman" w:hAnsi="Times New Roman"/>
          <w:sz w:val="14"/>
          <w:szCs w:val="14"/>
          <w:color w:val="auto"/>
        </w:rPr>
        <w:t>The 2026 Plan will be administered by our compensation committee.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compensation committee will have full power to select, from among the individuals eligible for awards, the individuals to whom awards will be granted and the number of shares subject to such awards, to make any combination of awards to participants, to accelerate at any time the exercisability or vesting of any award, and to determine the specific terms and conditions of each award, subject to the provisions of the 2026 Plan. The compensation committee is specifically authorized to exercise its discretion to reduce the exercise price of outstanding stock options and stock appreciation rights or effect the repricing of such awards through cancellation and re-grants without stockholder consent.</w:t>
      </w:r>
    </w:p>
    <w:p>
      <w:pPr>
        <w:spacing w:after="0" w:line="145" w:lineRule="exact"/>
        <w:rPr>
          <w:sz w:val="20"/>
          <w:szCs w:val="20"/>
          <w:color w:val="auto"/>
        </w:rPr>
      </w:pPr>
    </w:p>
    <w:p>
      <w:pPr>
        <w:jc w:val="both"/>
        <w:ind w:left="1560" w:right="1239" w:firstLine="333"/>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Eligibility. </w:t>
      </w:r>
      <w:r>
        <w:rPr>
          <w:rFonts w:ascii="Times New Roman" w:cs="Times New Roman" w:eastAsia="Times New Roman" w:hAnsi="Times New Roman"/>
          <w:sz w:val="14"/>
          <w:szCs w:val="14"/>
          <w:color w:val="auto"/>
        </w:rPr>
        <w:t>Persons eligible to participate in the 2026 Plan will be those employees, non-employee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directors, and consultants selected from time to time by our compensation committee in its discretion.</w:t>
      </w:r>
    </w:p>
    <w:p>
      <w:pPr>
        <w:spacing w:after="0" w:line="121" w:lineRule="exact"/>
        <w:rPr>
          <w:sz w:val="20"/>
          <w:szCs w:val="20"/>
          <w:color w:val="auto"/>
        </w:rPr>
      </w:pPr>
    </w:p>
    <w:p>
      <w:pPr>
        <w:jc w:val="both"/>
        <w:ind w:left="1560" w:right="1239" w:firstLine="333"/>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Stock Options. </w:t>
      </w:r>
      <w:r>
        <w:rPr>
          <w:rFonts w:ascii="Times New Roman" w:cs="Times New Roman" w:eastAsia="Times New Roman" w:hAnsi="Times New Roman"/>
          <w:sz w:val="14"/>
          <w:szCs w:val="14"/>
          <w:color w:val="auto"/>
        </w:rPr>
        <w:t>The 2026 Plan permits the granting of both options to purchase common stock intended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to qualify as incentive stock options under Section 422 of the Code and options that do not so qualify. The option exercise price of each option will be determined by our compensation committee but may not be less than 100% of the fair market value of our common stock on the date of grant unless the option (i) is granted pursuant to a transaction described in and in a manner consistent with, Section 424(a) of the Code, (ii) is granted to an individual who is not subject to United States income tax, or (iii) complies with or is exempt from Section 409A of the Code. The term of each option will be fixed by our compensation committee and may not exceed ten years from the date of grant (or five years in the case of certain incentive stock options). Our compensation committee will determine at what time or times each option may be exercised.</w:t>
      </w:r>
    </w:p>
    <w:p>
      <w:pPr>
        <w:spacing w:after="0" w:line="143"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Stock Appreciation Rights. </w:t>
      </w:r>
      <w:r>
        <w:rPr>
          <w:rFonts w:ascii="Times New Roman" w:cs="Times New Roman" w:eastAsia="Times New Roman" w:hAnsi="Times New Roman"/>
          <w:sz w:val="14"/>
          <w:szCs w:val="14"/>
          <w:color w:val="auto"/>
        </w:rPr>
        <w:t>Our compensation committee may award stock appreciation rights under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2026 Plan subject to such conditions and restrictions as it determines. Stock appreciation rights entitle the recipient to shares of common stock, or cash, equal to the value of the appreciation in our stock price over the exercise price. The exercise price of each stock appreciation right may not be less than 100% of the fair market value of our common stock on the date of grant unless the stock appreciation right (i) is granted pursuant to a transaction described in, and in a manner consistent with, Section 424(a) of the Code, (ii) is granted to an individual who is not subject to United States income tax, or (iii) complies with or is exempt from Section 409A of the Code. The term of each stock appreciation right will be fixed by our compensation committee and may not exceed ten years from the date of grant. Our compensation committee will determine at what time or times each stock appreciation right may be exercised.</w:t>
      </w:r>
    </w:p>
    <w:p>
      <w:pPr>
        <w:spacing w:after="0" w:line="146" w:lineRule="exact"/>
        <w:rPr>
          <w:sz w:val="20"/>
          <w:szCs w:val="20"/>
          <w:color w:val="auto"/>
        </w:rPr>
      </w:pPr>
    </w:p>
    <w:p>
      <w:pPr>
        <w:jc w:val="both"/>
        <w:ind w:left="1560" w:right="1239" w:firstLine="33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Restricted Stock and Restricted Stock Units. </w:t>
      </w:r>
      <w:r>
        <w:rPr>
          <w:rFonts w:ascii="Times New Roman" w:cs="Times New Roman" w:eastAsia="Times New Roman" w:hAnsi="Times New Roman"/>
          <w:sz w:val="14"/>
          <w:szCs w:val="14"/>
          <w:color w:val="auto"/>
        </w:rPr>
        <w:t>Our compensation committee may award restricted shares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common stock and restricted stock units to participants subject to such conditions and restrictions as it determines. These conditions and restrictions may include the achievement of certain performance goals and/or continued employment or other service relationship with us through a specified vesting period.</w:t>
      </w:r>
    </w:p>
    <w:p>
      <w:pPr>
        <w:spacing w:after="0" w:line="138" w:lineRule="exact"/>
        <w:rPr>
          <w:sz w:val="20"/>
          <w:szCs w:val="20"/>
          <w:color w:val="auto"/>
        </w:rPr>
      </w:pPr>
    </w:p>
    <w:p>
      <w:pPr>
        <w:jc w:val="both"/>
        <w:ind w:left="1560" w:right="1239" w:firstLine="333"/>
        <w:spacing w:after="0" w:line="262" w:lineRule="auto"/>
        <w:rPr>
          <w:sz w:val="20"/>
          <w:szCs w:val="20"/>
          <w:color w:val="auto"/>
        </w:rPr>
      </w:pPr>
      <w:r>
        <w:rPr>
          <w:rFonts w:ascii="Times New Roman" w:cs="Times New Roman" w:eastAsia="Times New Roman" w:hAnsi="Times New Roman"/>
          <w:sz w:val="14"/>
          <w:szCs w:val="14"/>
          <w:i w:val="1"/>
          <w:iCs w:val="1"/>
          <w:color w:val="auto"/>
        </w:rPr>
        <w:t xml:space="preserve">Unrestricted Stock Awards. </w:t>
      </w:r>
      <w:r>
        <w:rPr>
          <w:rFonts w:ascii="Times New Roman" w:cs="Times New Roman" w:eastAsia="Times New Roman" w:hAnsi="Times New Roman"/>
          <w:sz w:val="14"/>
          <w:szCs w:val="14"/>
          <w:color w:val="auto"/>
        </w:rPr>
        <w:t>Our compensation committee may grant shares of common stock that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free from any restrictions under the 2026 Plan. Unrestricted stock may be granted to participants in recognition of past services or for other valid consideration and may be issued in lieu of cash compensation due to such participant.</w:t>
      </w:r>
    </w:p>
    <w:p>
      <w:pPr>
        <w:spacing w:after="0" w:line="138" w:lineRule="exact"/>
        <w:rPr>
          <w:sz w:val="20"/>
          <w:szCs w:val="20"/>
          <w:color w:val="auto"/>
        </w:rPr>
      </w:pPr>
    </w:p>
    <w:p>
      <w:pPr>
        <w:jc w:val="both"/>
        <w:ind w:left="1560" w:right="1239" w:firstLine="333"/>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Dividend Equivalent Rights. </w:t>
      </w:r>
      <w:r>
        <w:rPr>
          <w:rFonts w:ascii="Times New Roman" w:cs="Times New Roman" w:eastAsia="Times New Roman" w:hAnsi="Times New Roman"/>
          <w:sz w:val="14"/>
          <w:szCs w:val="14"/>
          <w:color w:val="auto"/>
        </w:rPr>
        <w:t>Our compensation committee may grant dividend equivalent rights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participants that entitle the recipient to receive credits for dividends that would be paid if the recipient had held a specified number of shares of common stock.</w:t>
      </w:r>
    </w:p>
    <w:p>
      <w:pPr>
        <w:spacing w:after="0" w:line="200" w:lineRule="exact"/>
        <w:rPr>
          <w:sz w:val="20"/>
          <w:szCs w:val="20"/>
          <w:color w:val="auto"/>
        </w:rPr>
      </w:pPr>
    </w:p>
    <w:p>
      <w:pPr>
        <w:spacing w:after="0" w:line="3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1" w:name="page192"/>
    <w:bookmarkEnd w:id="191"/>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1560" w:right="1239" w:firstLine="333"/>
        <w:spacing w:after="0" w:line="286" w:lineRule="auto"/>
        <w:rPr>
          <w:sz w:val="20"/>
          <w:szCs w:val="20"/>
          <w:color w:val="auto"/>
        </w:rPr>
      </w:pPr>
      <w:r>
        <w:rPr>
          <w:rFonts w:ascii="Times New Roman" w:cs="Times New Roman" w:eastAsia="Times New Roman" w:hAnsi="Times New Roman"/>
          <w:sz w:val="14"/>
          <w:szCs w:val="14"/>
          <w:i w:val="1"/>
          <w:iCs w:val="1"/>
          <w:color w:val="auto"/>
        </w:rPr>
        <w:t xml:space="preserve">Cash-Based Awards. </w:t>
      </w:r>
      <w:r>
        <w:rPr>
          <w:rFonts w:ascii="Times New Roman" w:cs="Times New Roman" w:eastAsia="Times New Roman" w:hAnsi="Times New Roman"/>
          <w:sz w:val="14"/>
          <w:szCs w:val="14"/>
          <w:color w:val="auto"/>
        </w:rPr>
        <w:t>Our compensation committee may grant cash bonuses under the 2026 Plan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participants, subject to the achievement of certain performance goals.</w:t>
      </w:r>
    </w:p>
    <w:p>
      <w:pPr>
        <w:spacing w:after="0" w:line="121" w:lineRule="exact"/>
        <w:rPr>
          <w:sz w:val="20"/>
          <w:szCs w:val="20"/>
          <w:color w:val="auto"/>
        </w:rPr>
      </w:pPr>
    </w:p>
    <w:p>
      <w:pPr>
        <w:jc w:val="both"/>
        <w:ind w:left="1560" w:right="1239" w:firstLine="333"/>
        <w:spacing w:after="0" w:line="252" w:lineRule="auto"/>
        <w:rPr>
          <w:sz w:val="20"/>
          <w:szCs w:val="20"/>
          <w:color w:val="auto"/>
        </w:rPr>
      </w:pPr>
      <w:r>
        <w:rPr>
          <w:rFonts w:ascii="Times New Roman" w:cs="Times New Roman" w:eastAsia="Times New Roman" w:hAnsi="Times New Roman"/>
          <w:sz w:val="14"/>
          <w:szCs w:val="14"/>
          <w:i w:val="1"/>
          <w:iCs w:val="1"/>
          <w:color w:val="auto"/>
        </w:rPr>
        <w:t xml:space="preserve">Sale Event. </w:t>
      </w:r>
      <w:r>
        <w:rPr>
          <w:rFonts w:ascii="Times New Roman" w:cs="Times New Roman" w:eastAsia="Times New Roman" w:hAnsi="Times New Roman"/>
          <w:sz w:val="14"/>
          <w:szCs w:val="14"/>
          <w:color w:val="auto"/>
        </w:rPr>
        <w:t>The 2026 Plan provides that, upon the effectiveness of a “sale event” (as defined in the 2026</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Plan), an acquirer or successor entity may assume, continue, or substitute outstanding awards under the 2026 Plan. To the extent that awards granted under the 2026 Plan are not assumed, continued, or substituted by the successor entity, the 2026 Plan and all awards granted under the 2026 Plan will terminate. In such case, except as may be otherwise provided in the relevant award agreement, all awards with time-based vesting, conditions, or restrictions will become fully vested and exercisable or nonforfeitable as of the effective time of the sale event and all awards with conditions and restrictions relating to the attainment of performance goals may become vested and exercisable or nonforfeitable in connection with the sale event in the plan administrator’s discretion or to the extent specified in the relevant award agreement. In the event of such termination, (i) individuals holding options and stock appreciation rights will be permitted to exercise any options and stock appreciation rights (to the extent exercisable) within a specified time period, as determined by the compensation committee, prior to the sale event or (ii) we may make or provide for a payment, in cash or in kind, to participants holding vested and exercisable options and stock appreciation rights equal to the difference between the per share consideration payable to stockholders in the sale event and the exercise price of the options or stock appreciation rights; provided, that any options or stock appreciation rights with exercise prices equal to or greater than such per share consideration will be cancelled for no consideration. In addition, we may make or provide for a payment, in cash or in kind, to the participants holding other awards in an amount equal to the per share consideration payable to stockholders in the sale event multiplied by the number of vested shares of common stock under such awards.</w:t>
      </w:r>
    </w:p>
    <w:p>
      <w:pPr>
        <w:spacing w:after="0" w:line="152" w:lineRule="exact"/>
        <w:rPr>
          <w:sz w:val="20"/>
          <w:szCs w:val="20"/>
          <w:color w:val="auto"/>
        </w:rPr>
      </w:pPr>
    </w:p>
    <w:p>
      <w:pPr>
        <w:jc w:val="both"/>
        <w:ind w:left="1560" w:right="1239" w:firstLine="333"/>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Amendment. </w:t>
      </w:r>
      <w:r>
        <w:rPr>
          <w:rFonts w:ascii="Times New Roman" w:cs="Times New Roman" w:eastAsia="Times New Roman" w:hAnsi="Times New Roman"/>
          <w:sz w:val="14"/>
          <w:szCs w:val="14"/>
          <w:color w:val="auto"/>
        </w:rPr>
        <w:t>Our board of directors may amend or discontinue the 2026 Plan and our compensation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committee may amend or cancel outstanding awards for purposes of satisfying changes in law or any other lawful purpose, but no such action may materially and adversely affect rights under an award without the holder’s consent. Certain amendments to the 2026 Plan require the approval of our stockholders. The board of directors is specifically authorized, without stockholder or grantee consent, to exercise its discretion to reduce the exercise price of outstanding stock options and stock appreciation rights or effect the repricing of such awards through cancellation and re-grants without stockholder consent.</w:t>
      </w:r>
    </w:p>
    <w:p>
      <w:pPr>
        <w:spacing w:after="0" w:line="146" w:lineRule="exact"/>
        <w:rPr>
          <w:sz w:val="20"/>
          <w:szCs w:val="20"/>
          <w:color w:val="auto"/>
        </w:rPr>
      </w:pPr>
    </w:p>
    <w:p>
      <w:pPr>
        <w:jc w:val="both"/>
        <w:ind w:left="1560" w:right="1239" w:firstLine="333"/>
        <w:spacing w:after="0" w:line="283" w:lineRule="auto"/>
        <w:rPr>
          <w:sz w:val="20"/>
          <w:szCs w:val="20"/>
          <w:color w:val="auto"/>
        </w:rPr>
      </w:pPr>
      <w:r>
        <w:rPr>
          <w:rFonts w:ascii="Times New Roman" w:cs="Times New Roman" w:eastAsia="Times New Roman" w:hAnsi="Times New Roman"/>
          <w:sz w:val="14"/>
          <w:szCs w:val="14"/>
          <w:color w:val="auto"/>
        </w:rPr>
        <w:t>No awards may be granted under the 2026 Plan after the date that is ten years from the effective date of the 2026 Plan. No awards have been made under the 2026 Plan prior to the effective date of such plan.</w:t>
      </w:r>
    </w:p>
    <w:p>
      <w:pPr>
        <w:spacing w:after="0" w:line="200" w:lineRule="exact"/>
        <w:rPr>
          <w:sz w:val="20"/>
          <w:szCs w:val="20"/>
          <w:color w:val="auto"/>
        </w:rPr>
      </w:pP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2" w:name="page193"/>
    <w:bookmarkEnd w:id="192"/>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b w:val="1"/>
          <w:bCs w:val="1"/>
          <w:i w:val="1"/>
          <w:iCs w:val="1"/>
          <w:color w:val="auto"/>
        </w:rPr>
        <w:t>2026 Employee Stock Purchase Plan</w:t>
      </w:r>
    </w:p>
    <w:p>
      <w:pPr>
        <w:spacing w:after="0" w:line="9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4"/>
          <w:szCs w:val="14"/>
          <w:color w:val="auto"/>
        </w:rPr>
        <w:t>The ESPP was adopted by our board of directors on April 6, 2026, approved by our stockholders on</w:t>
      </w:r>
    </w:p>
    <w:p>
      <w:pPr>
        <w:spacing w:after="0" w:line="22" w:lineRule="exact"/>
        <w:rPr>
          <w:sz w:val="20"/>
          <w:szCs w:val="20"/>
          <w:color w:val="auto"/>
        </w:rPr>
      </w:pPr>
    </w:p>
    <w:p>
      <w:pPr>
        <w:jc w:val="both"/>
        <w:ind w:left="1560" w:right="1239" w:hanging="3"/>
        <w:spacing w:after="0" w:line="252" w:lineRule="auto"/>
        <w:tabs>
          <w:tab w:leader="none" w:pos="1660" w:val="left"/>
        </w:tabs>
        <w:numPr>
          <w:ilvl w:val="0"/>
          <w:numId w:val="10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2026, and will become effective on the date immediately preceding the date on which the registration statement of which this prospectus is part is declared effective by the SEC. The ESPP has two components: a component intended to qualify as an “employee stock purchase plan” within the meaning of Section 423 of the Code, or the 423 Component, and a component that is not intended to so qualify, or the Non-423 Component. Except as otherwise provided, the Non-423 Component will be operated and administered in the same manner as the 423 Component, except where prohibited by law. The following summary describes the material terms of the ESPP. This summary is not a complete description of all provisions of the ESPP and is qualified in its entirety by reference to the ESPP, which will be filed as an exhibit to the registration statement of which this prospectus is a part.</w:t>
      </w:r>
    </w:p>
    <w:p>
      <w:pPr>
        <w:spacing w:after="0" w:line="144" w:lineRule="exact"/>
        <w:rPr>
          <w:sz w:val="20"/>
          <w:szCs w:val="20"/>
          <w:color w:val="auto"/>
        </w:rPr>
      </w:pPr>
    </w:p>
    <w:p>
      <w:pPr>
        <w:jc w:val="both"/>
        <w:ind w:left="1560" w:right="1239" w:firstLine="333"/>
        <w:spacing w:after="0" w:line="256" w:lineRule="auto"/>
        <w:rPr>
          <w:sz w:val="20"/>
          <w:szCs w:val="20"/>
          <w:color w:val="auto"/>
        </w:rPr>
      </w:pPr>
      <w:r>
        <w:rPr>
          <w:rFonts w:ascii="Times New Roman" w:cs="Times New Roman" w:eastAsia="Times New Roman" w:hAnsi="Times New Roman"/>
          <w:sz w:val="14"/>
          <w:szCs w:val="14"/>
          <w:i w:val="1"/>
          <w:iCs w:val="1"/>
          <w:color w:val="auto"/>
        </w:rPr>
        <w:t xml:space="preserve">Authorized Shares. </w:t>
      </w:r>
      <w:r>
        <w:rPr>
          <w:rFonts w:ascii="Times New Roman" w:cs="Times New Roman" w:eastAsia="Times New Roman" w:hAnsi="Times New Roman"/>
          <w:sz w:val="14"/>
          <w:szCs w:val="14"/>
          <w:color w:val="auto"/>
        </w:rPr>
        <w:t>The ESPP initially reserves and authorizes the issuance of up to a total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shares of our common stock to participating employees. The ESPP provides that the number of shares reserved and available for issuance will automatically increase on January 1, 2027 and each January 1 thereafter through January 1, 2036, by the lesser of (i) 1% of the number of Outstanding Shares on the immediately</w:t>
      </w:r>
    </w:p>
    <w:p>
      <w:pPr>
        <w:spacing w:after="0" w:line="3" w:lineRule="exact"/>
        <w:rPr>
          <w:sz w:val="20"/>
          <w:szCs w:val="20"/>
          <w:color w:val="auto"/>
        </w:rPr>
      </w:pPr>
    </w:p>
    <w:p>
      <w:pPr>
        <w:jc w:val="both"/>
        <w:ind w:left="1560" w:right="1239"/>
        <w:spacing w:after="0" w:line="256" w:lineRule="auto"/>
        <w:rPr>
          <w:sz w:val="20"/>
          <w:szCs w:val="20"/>
          <w:color w:val="auto"/>
        </w:rPr>
      </w:pPr>
      <w:r>
        <w:rPr>
          <w:rFonts w:ascii="Times New Roman" w:cs="Times New Roman" w:eastAsia="Times New Roman" w:hAnsi="Times New Roman"/>
          <w:sz w:val="14"/>
          <w:szCs w:val="14"/>
          <w:color w:val="auto"/>
        </w:rPr>
        <w:t>preceding December 31 (ii) shares of common stock, or (iii) such lesser number of shares of common stock as determined by the administrator of the ESPP. The number of shares reserved under the ESPP is subject to adjustment in the event of a stock split, stock dividend, or other change in our capitalization.</w:t>
      </w:r>
    </w:p>
    <w:p>
      <w:pPr>
        <w:spacing w:after="0" w:line="141" w:lineRule="exact"/>
        <w:rPr>
          <w:sz w:val="20"/>
          <w:szCs w:val="20"/>
          <w:color w:val="auto"/>
        </w:rPr>
      </w:pPr>
    </w:p>
    <w:p>
      <w:pPr>
        <w:jc w:val="both"/>
        <w:ind w:left="1560" w:right="1239" w:firstLine="333"/>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Eligibility. </w:t>
      </w:r>
      <w:r>
        <w:rPr>
          <w:rFonts w:ascii="Times New Roman" w:cs="Times New Roman" w:eastAsia="Times New Roman" w:hAnsi="Times New Roman"/>
          <w:sz w:val="14"/>
          <w:szCs w:val="14"/>
          <w:color w:val="auto"/>
        </w:rPr>
        <w:t>All individuals classified as employees on the payroll records of the Company or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“designated company” (as defined in the ESPP) as of the first day of the applicable offering period are eligible to participate in the ESPP, provided that the ESPP administrator may determine in advance of an offering that employees are eligible only if, as of the first day of the offering, they (i) are customarily employed by us or a designated company for more than 20 hours a week (or such lesser amount determined by the ESPP administrator), (ii) are customarily employed by us or a designated company for more than five months per calendar year, (iii) have completed a minimum period of employment as determined by the ESPP administrator, provided such service requirement does not exceed two years of employment, and/or (iv) they are not highly compensated employees. However, any employee who owns, or as a result of participation in the ESPP would own or hold, 5% or more of the total combined voting power or value of all classes of our stock will not be eligible to purchase shares of common stock under the ESPP.</w:t>
      </w:r>
    </w:p>
    <w:p>
      <w:pPr>
        <w:spacing w:after="0" w:line="144" w:lineRule="exact"/>
        <w:rPr>
          <w:sz w:val="20"/>
          <w:szCs w:val="20"/>
          <w:color w:val="auto"/>
        </w:rPr>
      </w:pPr>
    </w:p>
    <w:p>
      <w:pPr>
        <w:jc w:val="both"/>
        <w:ind w:left="1560" w:right="1239" w:firstLine="333"/>
        <w:spacing w:after="0" w:line="259" w:lineRule="auto"/>
        <w:rPr>
          <w:sz w:val="20"/>
          <w:szCs w:val="20"/>
          <w:color w:val="auto"/>
        </w:rPr>
      </w:pPr>
      <w:r>
        <w:rPr>
          <w:rFonts w:ascii="Times New Roman" w:cs="Times New Roman" w:eastAsia="Times New Roman" w:hAnsi="Times New Roman"/>
          <w:sz w:val="14"/>
          <w:szCs w:val="14"/>
          <w:i w:val="1"/>
          <w:iCs w:val="1"/>
          <w:color w:val="auto"/>
        </w:rPr>
        <w:t xml:space="preserve">Offerings. </w:t>
      </w:r>
      <w:r>
        <w:rPr>
          <w:rFonts w:ascii="Times New Roman" w:cs="Times New Roman" w:eastAsia="Times New Roman" w:hAnsi="Times New Roman"/>
          <w:sz w:val="14"/>
          <w:szCs w:val="14"/>
          <w:color w:val="auto"/>
        </w:rPr>
        <w:t>We may make one or more offerings each year to our employees to purchase shares of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common stock under the ESPP, each of which may consist of one or more purchase periods. Offerings will begin and end on the dates determined by the ESPP administrator, except that no offering will exceed 27 months in duration. Each eligible employee may elect to participate in any offering by submitting an enrollment form by the deadline established by the ESPP administrator.</w:t>
      </w:r>
    </w:p>
    <w:p>
      <w:pPr>
        <w:spacing w:after="0" w:line="143" w:lineRule="exact"/>
        <w:rPr>
          <w:sz w:val="20"/>
          <w:szCs w:val="20"/>
          <w:color w:val="auto"/>
        </w:rPr>
      </w:pPr>
    </w:p>
    <w:p>
      <w:pPr>
        <w:jc w:val="both"/>
        <w:ind w:left="1560" w:right="1239" w:firstLine="333"/>
        <w:spacing w:after="0" w:line="253" w:lineRule="auto"/>
        <w:rPr>
          <w:sz w:val="20"/>
          <w:szCs w:val="20"/>
          <w:color w:val="auto"/>
        </w:rPr>
      </w:pPr>
      <w:r>
        <w:rPr>
          <w:rFonts w:ascii="Times New Roman" w:cs="Times New Roman" w:eastAsia="Times New Roman" w:hAnsi="Times New Roman"/>
          <w:sz w:val="14"/>
          <w:szCs w:val="14"/>
          <w:color w:val="auto"/>
        </w:rPr>
        <w:t>Each employee who is a participant in the ESPP may purchase shares by authorizing payroll deductions at a minimum of 1% and up to a maximum of 15% of such participant’s eligible compensation (including base pay prior to salary reductions pursuant to Sections 125, 132(f) or 401(k) of the Internal Revenue Code, but excluding overtime, commissions, incentive or bonus awards) during an offering period (or such other minimum and maximum as determined by the administrator in advance of an offering). Unless the participating employee has previously withdrawn from the offering, such participant’s accumulated payroll deductions will be used to purchase shares of our common stock on the last day of each purchase period at a price equal to 85% of the fair market value of the shares on the first day or the last day of the purchase period, whichever is lower, provided that no more than the number of shares of common stock determined by dividing $25,000 by the fair market value of our common stock on the first day of such offering period (or such other maximum number of shares as may be established by the administrator) may be purchased by any one employee during any purchase period. Under applicable tax rules, an employee may purchase no more than $25,000 worth of shares of our common stock, valued at the start of the offering period, under the ESPP for each calendar year during which any option granted to the employee is outstanding at any time.</w:t>
      </w:r>
    </w:p>
    <w:p>
      <w:pPr>
        <w:spacing w:after="0" w:line="200" w:lineRule="exact"/>
        <w:rPr>
          <w:sz w:val="20"/>
          <w:szCs w:val="20"/>
          <w:color w:val="auto"/>
        </w:rPr>
      </w:pPr>
    </w:p>
    <w:p>
      <w:pPr>
        <w:spacing w:after="0" w:line="31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3" w:name="page194"/>
    <w:bookmarkEnd w:id="193"/>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560" w:right="1239" w:firstLine="333"/>
        <w:spacing w:after="0" w:line="267" w:lineRule="auto"/>
        <w:rPr>
          <w:sz w:val="20"/>
          <w:szCs w:val="20"/>
          <w:color w:val="auto"/>
        </w:rPr>
      </w:pPr>
      <w:r>
        <w:rPr>
          <w:rFonts w:ascii="Times New Roman" w:cs="Times New Roman" w:eastAsia="Times New Roman" w:hAnsi="Times New Roman"/>
          <w:sz w:val="14"/>
          <w:szCs w:val="14"/>
          <w:color w:val="auto"/>
        </w:rPr>
        <w:t>The accumulated payroll deductions of any employee who is not a participant on the last day of an offering period will be refunded. An employee’s rights under the ESPP terminate upon voluntary withdrawal from the plan or when the employee ceases employment with us for any reason.</w:t>
      </w:r>
    </w:p>
    <w:p>
      <w:pPr>
        <w:spacing w:after="0" w:line="134" w:lineRule="exact"/>
        <w:rPr>
          <w:sz w:val="20"/>
          <w:szCs w:val="20"/>
          <w:color w:val="auto"/>
        </w:rPr>
      </w:pPr>
    </w:p>
    <w:p>
      <w:pPr>
        <w:jc w:val="both"/>
        <w:ind w:left="1560" w:right="1239" w:firstLine="333"/>
        <w:spacing w:after="0" w:line="253" w:lineRule="auto"/>
        <w:rPr>
          <w:sz w:val="20"/>
          <w:szCs w:val="20"/>
          <w:color w:val="auto"/>
        </w:rPr>
      </w:pPr>
      <w:r>
        <w:rPr>
          <w:rFonts w:ascii="Times New Roman" w:cs="Times New Roman" w:eastAsia="Times New Roman" w:hAnsi="Times New Roman"/>
          <w:sz w:val="14"/>
          <w:szCs w:val="14"/>
          <w:i w:val="1"/>
          <w:iCs w:val="1"/>
          <w:color w:val="auto"/>
        </w:rPr>
        <w:t xml:space="preserve">Sale Event. </w:t>
      </w:r>
      <w:r>
        <w:rPr>
          <w:rFonts w:ascii="Times New Roman" w:cs="Times New Roman" w:eastAsia="Times New Roman" w:hAnsi="Times New Roman"/>
          <w:sz w:val="14"/>
          <w:szCs w:val="14"/>
          <w:color w:val="auto"/>
        </w:rPr>
        <w:t>In the case of and subject to the consummation of a “sale event” (as defined in the ESPP),</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administrator of the ESPP, in its discretion, and on such terms and conditions as it deems appropriate, is authorized to take any one or more of the following actions under the ESPP or with respect to any right under the ESPP to facilitate such transactions or events: (i) provide for either (A) termination of any outstanding option in exchange for an amount of cash, if any, equal to the amount that would have been obtained upon the exercise of such option had such option been currently exercisable or (B) the replacement of such outstanding option with other options or property selected by the administrator of the ESPP in its sole discretion; (ii) provide that the outstanding options under the ESPP shall be assumed by the successor or survivor corporation, or a parent or subsidiary thereof, or shall be substituted for similar options covering the stock of the successor or survivor corporation, or a parent or subsidiary thereof, with appropriate adjustments as to the number and kind of shares and prices; (iii) make adjustments in the number and type of shares of common stock (or other securities or property) subject to outstanding options under the ESPP and/or in terms and conditions of outstanding options and options that may be granted in the future; (iv) provide that the offering with respect to which an option relates will be shortened by setting a new exercise date on which such offering period will end; and (v) provide that all outstanding options shall terminate without being exercised and all amounts in the accounts of participants shall be promptly refunded.</w:t>
      </w:r>
    </w:p>
    <w:p>
      <w:pPr>
        <w:spacing w:after="0" w:line="144" w:lineRule="exact"/>
        <w:rPr>
          <w:sz w:val="20"/>
          <w:szCs w:val="20"/>
          <w:color w:val="auto"/>
        </w:rPr>
      </w:pPr>
    </w:p>
    <w:p>
      <w:pPr>
        <w:jc w:val="both"/>
        <w:ind w:left="1560" w:right="1239" w:firstLine="333"/>
        <w:spacing w:after="0" w:line="268" w:lineRule="auto"/>
        <w:rPr>
          <w:sz w:val="20"/>
          <w:szCs w:val="20"/>
          <w:color w:val="auto"/>
        </w:rPr>
      </w:pPr>
      <w:r>
        <w:rPr>
          <w:rFonts w:ascii="Times New Roman" w:cs="Times New Roman" w:eastAsia="Times New Roman" w:hAnsi="Times New Roman"/>
          <w:sz w:val="14"/>
          <w:szCs w:val="14"/>
          <w:i w:val="1"/>
          <w:iCs w:val="1"/>
          <w:color w:val="auto"/>
        </w:rPr>
        <w:t xml:space="preserve">Amendment. </w:t>
      </w:r>
      <w:r>
        <w:rPr>
          <w:rFonts w:ascii="Times New Roman" w:cs="Times New Roman" w:eastAsia="Times New Roman" w:hAnsi="Times New Roman"/>
          <w:sz w:val="14"/>
          <w:szCs w:val="14"/>
          <w:color w:val="auto"/>
        </w:rPr>
        <w:t>The ESPP may be terminated or amended by our board of directors at any time. An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amendment that increases the number of shares of our common stock authorized under the ESPP and certain other amendments require the approval of our stockholders.</w:t>
      </w:r>
    </w:p>
    <w:p>
      <w:pPr>
        <w:spacing w:after="0" w:line="200" w:lineRule="exact"/>
        <w:rPr>
          <w:sz w:val="20"/>
          <w:szCs w:val="20"/>
          <w:color w:val="auto"/>
        </w:rPr>
      </w:pPr>
    </w:p>
    <w:p>
      <w:pPr>
        <w:spacing w:after="0" w:line="3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4" w:name="page195"/>
    <w:bookmarkEnd w:id="194"/>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DIRECTOR COMPENSATION</w:t>
      </w:r>
    </w:p>
    <w:p>
      <w:pPr>
        <w:spacing w:after="0" w:line="17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2025 Director Compensation Table</w:t>
      </w:r>
    </w:p>
    <w:p>
      <w:pPr>
        <w:spacing w:after="0" w:line="93" w:lineRule="exact"/>
        <w:rPr>
          <w:sz w:val="20"/>
          <w:szCs w:val="20"/>
          <w:color w:val="auto"/>
        </w:rPr>
      </w:pPr>
    </w:p>
    <w:p>
      <w:pPr>
        <w:jc w:val="both"/>
        <w:ind w:left="1560" w:right="1239" w:firstLine="333"/>
        <w:spacing w:after="0" w:line="257" w:lineRule="auto"/>
        <w:rPr>
          <w:sz w:val="20"/>
          <w:szCs w:val="20"/>
          <w:color w:val="auto"/>
        </w:rPr>
      </w:pPr>
      <w:r>
        <w:rPr>
          <w:rFonts w:ascii="Times New Roman" w:cs="Times New Roman" w:eastAsia="Times New Roman" w:hAnsi="Times New Roman"/>
          <w:sz w:val="14"/>
          <w:szCs w:val="14"/>
          <w:color w:val="auto"/>
        </w:rPr>
        <w:t>The following table presents the compensation awarded to, earned by, or paid to each person who served as a non-employee member of our board of directors for their services to us during the fiscal year ended December 31, 2025. During fiscal year ended December 31, 2025, Ms. Baranowski served as a member of our board of directors and received no additional compensation for her service as a member of our board of directors. The compensation for fiscal year ended December 31, 2025 received by Ms. Baranowski as our Chief Executive Officer is presented in the “2025 Summary Compensation Table” above.</w:t>
      </w:r>
    </w:p>
    <w:p>
      <w:pPr>
        <w:spacing w:after="0" w:line="212"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3120" w:type="dxa"/>
            <w:vAlign w:val="bottom"/>
          </w:tcPr>
          <w:p>
            <w:pPr>
              <w:spacing w:after="0"/>
              <w:rPr>
                <w:sz w:val="11"/>
                <w:szCs w:val="11"/>
                <w:color w:val="auto"/>
              </w:rPr>
            </w:pPr>
          </w:p>
        </w:tc>
        <w:tc>
          <w:tcPr>
            <w:tcW w:w="1000" w:type="dxa"/>
            <w:vAlign w:val="bottom"/>
          </w:tcPr>
          <w:p>
            <w:pPr>
              <w:jc w:val="center"/>
              <w:ind w:left="53"/>
              <w:spacing w:after="0"/>
              <w:rPr>
                <w:sz w:val="20"/>
                <w:szCs w:val="20"/>
                <w:color w:val="auto"/>
              </w:rPr>
            </w:pPr>
            <w:r>
              <w:rPr>
                <w:rFonts w:ascii="Times New Roman" w:cs="Times New Roman" w:eastAsia="Times New Roman" w:hAnsi="Times New Roman"/>
                <w:sz w:val="11"/>
                <w:szCs w:val="11"/>
                <w:b w:val="1"/>
                <w:bCs w:val="1"/>
                <w:color w:val="auto"/>
              </w:rPr>
              <w:t>Fees Earned</w:t>
            </w:r>
          </w:p>
        </w:tc>
        <w:tc>
          <w:tcPr>
            <w:tcW w:w="140" w:type="dxa"/>
            <w:vAlign w:val="bottom"/>
          </w:tcPr>
          <w:p>
            <w:pPr>
              <w:spacing w:after="0"/>
              <w:rPr>
                <w:sz w:val="11"/>
                <w:szCs w:val="11"/>
                <w:color w:val="auto"/>
              </w:rPr>
            </w:pPr>
          </w:p>
        </w:tc>
        <w:tc>
          <w:tcPr>
            <w:tcW w:w="720" w:type="dxa"/>
            <w:vAlign w:val="bottom"/>
          </w:tcPr>
          <w:p>
            <w:pPr>
              <w:jc w:val="center"/>
              <w:ind w:left="44"/>
              <w:spacing w:after="0"/>
              <w:rPr>
                <w:sz w:val="20"/>
                <w:szCs w:val="20"/>
                <w:color w:val="auto"/>
              </w:rPr>
            </w:pPr>
            <w:r>
              <w:rPr>
                <w:rFonts w:ascii="Times New Roman" w:cs="Times New Roman" w:eastAsia="Times New Roman" w:hAnsi="Times New Roman"/>
                <w:sz w:val="11"/>
                <w:szCs w:val="11"/>
                <w:b w:val="1"/>
                <w:bCs w:val="1"/>
                <w:color w:val="auto"/>
              </w:rPr>
              <w:t>Option</w:t>
            </w:r>
          </w:p>
        </w:tc>
        <w:tc>
          <w:tcPr>
            <w:tcW w:w="4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3120" w:type="dxa"/>
            <w:vAlign w:val="bottom"/>
          </w:tcPr>
          <w:p>
            <w:pPr>
              <w:spacing w:after="0"/>
              <w:rPr>
                <w:sz w:val="10"/>
                <w:szCs w:val="10"/>
                <w:color w:val="auto"/>
              </w:rPr>
            </w:pPr>
          </w:p>
        </w:tc>
        <w:tc>
          <w:tcPr>
            <w:tcW w:w="1000" w:type="dxa"/>
            <w:vAlign w:val="bottom"/>
          </w:tcPr>
          <w:p>
            <w:pPr>
              <w:jc w:val="center"/>
              <w:ind w:left="53"/>
              <w:spacing w:after="0" w:line="116" w:lineRule="exact"/>
              <w:rPr>
                <w:sz w:val="20"/>
                <w:szCs w:val="20"/>
                <w:color w:val="auto"/>
              </w:rPr>
            </w:pPr>
            <w:r>
              <w:rPr>
                <w:rFonts w:ascii="Times New Roman" w:cs="Times New Roman" w:eastAsia="Times New Roman" w:hAnsi="Times New Roman"/>
                <w:sz w:val="11"/>
                <w:szCs w:val="11"/>
                <w:b w:val="1"/>
                <w:bCs w:val="1"/>
                <w:color w:val="auto"/>
              </w:rPr>
              <w:t>or Paid</w:t>
            </w:r>
          </w:p>
        </w:tc>
        <w:tc>
          <w:tcPr>
            <w:tcW w:w="140" w:type="dxa"/>
            <w:vAlign w:val="bottom"/>
          </w:tcPr>
          <w:p>
            <w:pPr>
              <w:spacing w:after="0"/>
              <w:rPr>
                <w:sz w:val="10"/>
                <w:szCs w:val="10"/>
                <w:color w:val="auto"/>
              </w:rPr>
            </w:pPr>
          </w:p>
        </w:tc>
        <w:tc>
          <w:tcPr>
            <w:tcW w:w="720" w:type="dxa"/>
            <w:vAlign w:val="bottom"/>
          </w:tcPr>
          <w:p>
            <w:pPr>
              <w:jc w:val="center"/>
              <w:ind w:left="44"/>
              <w:spacing w:after="0" w:line="116" w:lineRule="exact"/>
              <w:rPr>
                <w:sz w:val="20"/>
                <w:szCs w:val="20"/>
                <w:color w:val="auto"/>
              </w:rPr>
            </w:pPr>
            <w:r>
              <w:rPr>
                <w:rFonts w:ascii="Times New Roman" w:cs="Times New Roman" w:eastAsia="Times New Roman" w:hAnsi="Times New Roman"/>
                <w:sz w:val="11"/>
                <w:szCs w:val="11"/>
                <w:b w:val="1"/>
                <w:bCs w:val="1"/>
                <w:color w:val="auto"/>
              </w:rPr>
              <w:t>Awards</w:t>
            </w:r>
          </w:p>
        </w:tc>
        <w:tc>
          <w:tcPr>
            <w:tcW w:w="480" w:type="dxa"/>
            <w:vAlign w:val="bottom"/>
          </w:tcPr>
          <w:p>
            <w:pPr>
              <w:spacing w:after="0"/>
              <w:rPr>
                <w:sz w:val="10"/>
                <w:szCs w:val="10"/>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Total ($)</w:t>
            </w:r>
          </w:p>
        </w:tc>
        <w:tc>
          <w:tcPr>
            <w:tcW w:w="0" w:type="dxa"/>
            <w:vAlign w:val="bottom"/>
          </w:tcPr>
          <w:p>
            <w:pPr>
              <w:spacing w:after="0"/>
              <w:rPr>
                <w:sz w:val="1"/>
                <w:szCs w:val="1"/>
                <w:color w:val="auto"/>
              </w:rPr>
            </w:pPr>
          </w:p>
        </w:tc>
      </w:tr>
      <w:tr>
        <w:trPr>
          <w:trHeight w:val="135"/>
        </w:trPr>
        <w:tc>
          <w:tcPr>
            <w:tcW w:w="3120" w:type="dxa"/>
            <w:vAlign w:val="bottom"/>
          </w:tcPr>
          <w:p>
            <w:pPr>
              <w:spacing w:after="0"/>
              <w:rPr>
                <w:sz w:val="11"/>
                <w:szCs w:val="11"/>
                <w:color w:val="auto"/>
              </w:rPr>
            </w:pPr>
          </w:p>
        </w:tc>
        <w:tc>
          <w:tcPr>
            <w:tcW w:w="1000" w:type="dxa"/>
            <w:vAlign w:val="bottom"/>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w w:val="99"/>
              </w:rPr>
              <w:t>in Cash ($)(1)</w:t>
            </w:r>
          </w:p>
        </w:tc>
        <w:tc>
          <w:tcPr>
            <w:tcW w:w="860" w:type="dxa"/>
            <w:vAlign w:val="bottom"/>
            <w:gridSpan w:val="2"/>
          </w:tcPr>
          <w:p>
            <w:pPr>
              <w:jc w:val="center"/>
              <w:ind w:left="171"/>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0" w:type="dxa"/>
            <w:vAlign w:val="bottom"/>
            <w:tcBorders>
              <w:top w:val="single" w:sz="8" w:color="auto"/>
            </w:tcBorders>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tcBorders>
              <w:top w:val="single" w:sz="8" w:color="auto"/>
            </w:tcBorders>
            <w:shd w:val="clear" w:color="auto" w:fill="CFF0FC"/>
          </w:tcPr>
          <w:p>
            <w:pPr>
              <w:spacing w:after="0"/>
              <w:rPr>
                <w:sz w:val="14"/>
                <w:szCs w:val="14"/>
                <w:color w:val="auto"/>
              </w:rPr>
            </w:pPr>
          </w:p>
        </w:tc>
        <w:tc>
          <w:tcPr>
            <w:tcW w:w="48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Tiba Aynechi, Ph.D.</w:t>
            </w:r>
          </w:p>
        </w:tc>
        <w:tc>
          <w:tcPr>
            <w:tcW w:w="1000" w:type="dxa"/>
            <w:vAlign w:val="bottom"/>
          </w:tcPr>
          <w:p>
            <w:pPr>
              <w:jc w:val="center"/>
              <w:ind w:left="53"/>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Scott A. Beardsley</w:t>
            </w:r>
          </w:p>
        </w:tc>
        <w:tc>
          <w:tcPr>
            <w:tcW w:w="100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shd w:val="clear" w:color="auto" w:fill="CFF0FC"/>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shd w:val="clear" w:color="auto" w:fill="CFF0FC"/>
          </w:tcPr>
          <w:p>
            <w:pPr>
              <w:jc w:val="center"/>
              <w:ind w:lef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Jill Carroll</w:t>
            </w:r>
          </w:p>
        </w:tc>
        <w:tc>
          <w:tcPr>
            <w:tcW w:w="1000" w:type="dxa"/>
            <w:vAlign w:val="bottom"/>
          </w:tcPr>
          <w:p>
            <w:pPr>
              <w:jc w:val="center"/>
              <w:ind w:left="53"/>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David Friedman, M.D.</w:t>
            </w:r>
          </w:p>
        </w:tc>
        <w:tc>
          <w:tcPr>
            <w:tcW w:w="100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shd w:val="clear" w:color="auto" w:fill="CFF0FC"/>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shd w:val="clear" w:color="auto" w:fill="CFF0FC"/>
          </w:tcPr>
          <w:p>
            <w:pPr>
              <w:jc w:val="center"/>
              <w:ind w:lef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Gianna Hoffman-Luca, Ph.D.</w:t>
            </w:r>
          </w:p>
        </w:tc>
        <w:tc>
          <w:tcPr>
            <w:tcW w:w="1000" w:type="dxa"/>
            <w:vAlign w:val="bottom"/>
          </w:tcPr>
          <w:p>
            <w:pPr>
              <w:jc w:val="center"/>
              <w:ind w:left="53"/>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Erin Lavelle</w:t>
            </w:r>
          </w:p>
        </w:tc>
        <w:tc>
          <w:tcPr>
            <w:tcW w:w="1000" w:type="dxa"/>
            <w:vAlign w:val="bottom"/>
            <w:shd w:val="clear" w:color="auto" w:fill="CFF0FC"/>
          </w:tcPr>
          <w:p>
            <w:pPr>
              <w:jc w:val="right"/>
              <w:ind w:right="193"/>
              <w:spacing w:after="0"/>
              <w:rPr>
                <w:sz w:val="20"/>
                <w:szCs w:val="20"/>
                <w:color w:val="auto"/>
              </w:rPr>
            </w:pPr>
            <w:r>
              <w:rPr>
                <w:rFonts w:ascii="Times New Roman" w:cs="Times New Roman" w:eastAsia="Times New Roman" w:hAnsi="Times New Roman"/>
                <w:sz w:val="14"/>
                <w:szCs w:val="14"/>
                <w:color w:val="auto"/>
              </w:rPr>
              <w:t>25,000</w:t>
            </w:r>
          </w:p>
        </w:tc>
        <w:tc>
          <w:tcPr>
            <w:tcW w:w="860" w:type="dxa"/>
            <w:vAlign w:val="bottom"/>
            <w:gridSpan w:val="2"/>
            <w:shd w:val="clear" w:color="auto" w:fill="CFF0FC"/>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(3)</w:t>
            </w:r>
          </w:p>
        </w:tc>
        <w:tc>
          <w:tcPr>
            <w:tcW w:w="760" w:type="dxa"/>
            <w:vAlign w:val="bottom"/>
            <w:shd w:val="clear" w:color="auto" w:fill="CFF0FC"/>
          </w:tcPr>
          <w:p>
            <w:pPr>
              <w:jc w:val="center"/>
              <w:ind w:left="31"/>
              <w:spacing w:after="0"/>
              <w:rPr>
                <w:sz w:val="20"/>
                <w:szCs w:val="20"/>
                <w:color w:val="auto"/>
              </w:rPr>
            </w:pPr>
            <w:r>
              <w:rPr>
                <w:rFonts w:ascii="Times New Roman" w:cs="Times New Roman" w:eastAsia="Times New Roman" w:hAnsi="Times New Roman"/>
                <w:sz w:val="14"/>
                <w:szCs w:val="14"/>
                <w:color w:val="auto"/>
                <w:w w:val="98"/>
              </w:rPr>
              <w:t>25,000</w:t>
            </w:r>
          </w:p>
        </w:tc>
        <w:tc>
          <w:tcPr>
            <w:tcW w:w="0" w:type="dxa"/>
            <w:vAlign w:val="bottom"/>
          </w:tcPr>
          <w:p>
            <w:pPr>
              <w:spacing w:after="0"/>
              <w:rPr>
                <w:sz w:val="1"/>
                <w:szCs w:val="1"/>
                <w:color w:val="auto"/>
              </w:rPr>
            </w:pPr>
          </w:p>
        </w:tc>
      </w:tr>
      <w:tr>
        <w:trPr>
          <w:trHeight w:val="179"/>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Jonathan Leff, M.D.</w:t>
            </w:r>
          </w:p>
        </w:tc>
        <w:tc>
          <w:tcPr>
            <w:tcW w:w="1000" w:type="dxa"/>
            <w:vAlign w:val="bottom"/>
          </w:tcPr>
          <w:p>
            <w:pPr>
              <w:jc w:val="center"/>
              <w:ind w:left="33"/>
              <w:spacing w:after="0"/>
              <w:rPr>
                <w:sz w:val="20"/>
                <w:szCs w:val="20"/>
                <w:color w:val="auto"/>
              </w:rPr>
            </w:pPr>
            <w:r>
              <w:rPr>
                <w:rFonts w:ascii="Times New Roman" w:cs="Times New Roman" w:eastAsia="Times New Roman" w:hAnsi="Times New Roman"/>
                <w:sz w:val="14"/>
                <w:szCs w:val="14"/>
                <w:color w:val="auto"/>
                <w:w w:val="98"/>
              </w:rPr>
              <w:t>30,000</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(4)</w:t>
            </w: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8"/>
              </w:rPr>
              <w:t>30,000</w:t>
            </w:r>
          </w:p>
        </w:tc>
        <w:tc>
          <w:tcPr>
            <w:tcW w:w="0" w:type="dxa"/>
            <w:vAlign w:val="bottom"/>
          </w:tcPr>
          <w:p>
            <w:pPr>
              <w:spacing w:after="0"/>
              <w:rPr>
                <w:sz w:val="1"/>
                <w:szCs w:val="1"/>
                <w:color w:val="auto"/>
              </w:rPr>
            </w:pPr>
          </w:p>
        </w:tc>
      </w:tr>
      <w:tr>
        <w:trPr>
          <w:trHeight w:val="179"/>
        </w:trPr>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Ketan Patel, M.D.</w:t>
            </w:r>
          </w:p>
        </w:tc>
        <w:tc>
          <w:tcPr>
            <w:tcW w:w="1000" w:type="dxa"/>
            <w:vAlign w:val="bottom"/>
            <w:shd w:val="clear" w:color="auto" w:fill="CFF0FC"/>
          </w:tcPr>
          <w:p>
            <w:pPr>
              <w:jc w:val="center"/>
              <w:ind w:left="53"/>
              <w:spacing w:after="0"/>
              <w:rPr>
                <w:sz w:val="20"/>
                <w:szCs w:val="20"/>
                <w:color w:val="auto"/>
              </w:rPr>
            </w:pPr>
            <w:r>
              <w:rPr>
                <w:rFonts w:ascii="Times New Roman" w:cs="Times New Roman" w:eastAsia="Times New Roman" w:hAnsi="Times New Roman"/>
                <w:sz w:val="14"/>
                <w:szCs w:val="14"/>
                <w:color w:val="auto"/>
                <w:w w:val="84"/>
              </w:rPr>
              <w:t>-</w:t>
            </w:r>
          </w:p>
        </w:tc>
        <w:tc>
          <w:tcPr>
            <w:tcW w:w="860" w:type="dxa"/>
            <w:vAlign w:val="bottom"/>
            <w:gridSpan w:val="2"/>
            <w:shd w:val="clear" w:color="auto" w:fill="CFF0FC"/>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c>
          <w:tcPr>
            <w:tcW w:w="760" w:type="dxa"/>
            <w:vAlign w:val="bottom"/>
            <w:shd w:val="clear" w:color="auto" w:fill="CFF0FC"/>
          </w:tcPr>
          <w:p>
            <w:pPr>
              <w:jc w:val="center"/>
              <w:ind w:left="3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3"/>
        </w:trPr>
        <w:tc>
          <w:tcPr>
            <w:tcW w:w="3120" w:type="dxa"/>
            <w:vAlign w:val="bottom"/>
          </w:tcPr>
          <w:p>
            <w:pPr>
              <w:spacing w:after="0"/>
              <w:rPr>
                <w:sz w:val="20"/>
                <w:szCs w:val="20"/>
                <w:color w:val="auto"/>
              </w:rPr>
            </w:pPr>
            <w:r>
              <w:rPr>
                <w:rFonts w:ascii="Times New Roman" w:cs="Times New Roman" w:eastAsia="Times New Roman" w:hAnsi="Times New Roman"/>
                <w:sz w:val="14"/>
                <w:szCs w:val="14"/>
                <w:color w:val="auto"/>
              </w:rPr>
              <w:t>Heather Turner</w:t>
            </w:r>
          </w:p>
        </w:tc>
        <w:tc>
          <w:tcPr>
            <w:tcW w:w="1000" w:type="dxa"/>
            <w:vAlign w:val="bottom"/>
          </w:tcPr>
          <w:p>
            <w:pPr>
              <w:jc w:val="center"/>
              <w:ind w:left="33"/>
              <w:spacing w:after="0"/>
              <w:rPr>
                <w:sz w:val="20"/>
                <w:szCs w:val="20"/>
                <w:color w:val="auto"/>
              </w:rPr>
            </w:pPr>
            <w:r>
              <w:rPr>
                <w:rFonts w:ascii="Times New Roman" w:cs="Times New Roman" w:eastAsia="Times New Roman" w:hAnsi="Times New Roman"/>
                <w:sz w:val="14"/>
                <w:szCs w:val="14"/>
                <w:color w:val="auto"/>
                <w:w w:val="98"/>
              </w:rPr>
              <w:t>40,000</w:t>
            </w:r>
          </w:p>
        </w:tc>
        <w:tc>
          <w:tcPr>
            <w:tcW w:w="860" w:type="dxa"/>
            <w:vAlign w:val="bottom"/>
            <w:gridSpan w:val="2"/>
          </w:tcPr>
          <w:p>
            <w:pPr>
              <w:jc w:val="center"/>
              <w:ind w:left="191"/>
              <w:spacing w:after="0"/>
              <w:rPr>
                <w:sz w:val="20"/>
                <w:szCs w:val="20"/>
                <w:color w:val="auto"/>
              </w:rPr>
            </w:pPr>
            <w:r>
              <w:rPr>
                <w:rFonts w:ascii="Times New Roman" w:cs="Times New Roman" w:eastAsia="Times New Roman" w:hAnsi="Times New Roman"/>
                <w:sz w:val="14"/>
                <w:szCs w:val="14"/>
                <w:color w:val="auto"/>
                <w:w w:val="84"/>
              </w:rPr>
              <w:t>-</w:t>
            </w:r>
          </w:p>
        </w:tc>
        <w:tc>
          <w:tcPr>
            <w:tcW w:w="48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w:t>
            </w:r>
          </w:p>
        </w:tc>
        <w:tc>
          <w:tcPr>
            <w:tcW w:w="760" w:type="dxa"/>
            <w:vAlign w:val="bottom"/>
          </w:tcPr>
          <w:p>
            <w:pPr>
              <w:jc w:val="center"/>
              <w:ind w:left="31"/>
              <w:spacing w:after="0"/>
              <w:rPr>
                <w:sz w:val="20"/>
                <w:szCs w:val="20"/>
                <w:color w:val="auto"/>
              </w:rPr>
            </w:pPr>
            <w:r>
              <w:rPr>
                <w:rFonts w:ascii="Times New Roman" w:cs="Times New Roman" w:eastAsia="Times New Roman" w:hAnsi="Times New Roman"/>
                <w:sz w:val="14"/>
                <w:szCs w:val="14"/>
                <w:color w:val="auto"/>
                <w:w w:val="98"/>
              </w:rPr>
              <w:t>40,000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124460</wp:posOffset>
            </wp:positionV>
            <wp:extent cx="427355" cy="69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427355" cy="6985"/>
                    </a:xfrm>
                    <a:prstGeom prst="rect">
                      <a:avLst/>
                    </a:prstGeom>
                    <a:noFill/>
                  </pic:spPr>
                </pic:pic>
              </a:graphicData>
            </a:graphic>
          </wp:anchor>
        </w:drawing>
      </w:r>
    </w:p>
    <w:p>
      <w:pPr>
        <w:spacing w:after="0" w:line="203" w:lineRule="exact"/>
        <w:rPr>
          <w:sz w:val="20"/>
          <w:szCs w:val="20"/>
          <w:color w:val="auto"/>
        </w:rPr>
      </w:pPr>
    </w:p>
    <w:p>
      <w:pPr>
        <w:ind w:left="1880" w:right="1239" w:hanging="323"/>
        <w:spacing w:after="0" w:line="261" w:lineRule="auto"/>
        <w:tabs>
          <w:tab w:leader="none" w:pos="18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reported represent the fees each director received for their services to our board of directors during the fiscal year ended December 31, 2025.</w:t>
      </w:r>
    </w:p>
    <w:p>
      <w:pPr>
        <w:ind w:left="1880" w:right="1239" w:hanging="323"/>
        <w:spacing w:after="0" w:line="250" w:lineRule="auto"/>
        <w:tabs>
          <w:tab w:leader="none" w:pos="18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Dr. Aynechi, Mr. Beardsley, Ms. Carroll, Dr. Friedman, Dr. Hoffman-Luca and Dr. Patel did not hold any outstanding equity.</w:t>
      </w:r>
    </w:p>
    <w:p>
      <w:pPr>
        <w:spacing w:after="0" w:line="1" w:lineRule="exact"/>
        <w:rPr>
          <w:rFonts w:ascii="Times New Roman" w:cs="Times New Roman" w:eastAsia="Times New Roman" w:hAnsi="Times New Roman"/>
          <w:sz w:val="14"/>
          <w:szCs w:val="14"/>
          <w:color w:val="auto"/>
        </w:rPr>
      </w:pPr>
    </w:p>
    <w:p>
      <w:pPr>
        <w:ind w:left="1880" w:right="1239" w:hanging="323"/>
        <w:spacing w:after="0" w:line="250" w:lineRule="auto"/>
        <w:tabs>
          <w:tab w:leader="none" w:pos="18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Ms. Lavelle held outstanding options to purchase an aggregate of 845,267 shares of our common stock under our 2022 Plan, and did not hold any other unvested stock awards.</w:t>
      </w:r>
    </w:p>
    <w:p>
      <w:pPr>
        <w:spacing w:after="0" w:line="1" w:lineRule="exact"/>
        <w:rPr>
          <w:rFonts w:ascii="Times New Roman" w:cs="Times New Roman" w:eastAsia="Times New Roman" w:hAnsi="Times New Roman"/>
          <w:sz w:val="14"/>
          <w:szCs w:val="14"/>
          <w:color w:val="auto"/>
        </w:rPr>
      </w:pPr>
    </w:p>
    <w:p>
      <w:pPr>
        <w:jc w:val="both"/>
        <w:ind w:left="1880" w:right="1239" w:hanging="323"/>
        <w:spacing w:after="0" w:line="250" w:lineRule="auto"/>
        <w:tabs>
          <w:tab w:leader="none" w:pos="18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Mr. Leff held outstanding options to purchase an aggregate of (i) 236,002 shares of our common stock under our 2012 Plan and (ii) 609,265 shares of our common stock under our 2022 Plan, and did not hold any other unvested stock awards. Mr. Leff resigned from our board of directors in March 2026.</w:t>
      </w:r>
    </w:p>
    <w:p>
      <w:pPr>
        <w:spacing w:after="0" w:line="2" w:lineRule="exact"/>
        <w:rPr>
          <w:rFonts w:ascii="Times New Roman" w:cs="Times New Roman" w:eastAsia="Times New Roman" w:hAnsi="Times New Roman"/>
          <w:sz w:val="14"/>
          <w:szCs w:val="14"/>
          <w:color w:val="auto"/>
        </w:rPr>
      </w:pPr>
    </w:p>
    <w:p>
      <w:pPr>
        <w:ind w:left="1880" w:right="1239" w:hanging="323"/>
        <w:spacing w:after="0" w:line="261" w:lineRule="auto"/>
        <w:tabs>
          <w:tab w:leader="none" w:pos="1880" w:val="left"/>
        </w:tabs>
        <w:numPr>
          <w:ilvl w:val="0"/>
          <w:numId w:val="1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2025, Ms. Turner held outstanding options to purchase an aggregate of 1,249,163 shares of our common stock under our 2022 Plan, and did not hold any other unvested stock awards.</w:t>
      </w:r>
    </w:p>
    <w:p>
      <w:pPr>
        <w:spacing w:after="0" w:line="22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Director Offer Letters</w:t>
      </w:r>
    </w:p>
    <w:p>
      <w:pPr>
        <w:spacing w:after="0" w:line="93" w:lineRule="exact"/>
        <w:rPr>
          <w:sz w:val="20"/>
          <w:szCs w:val="20"/>
          <w:color w:val="auto"/>
        </w:rPr>
      </w:pPr>
    </w:p>
    <w:p>
      <w:pPr>
        <w:jc w:val="both"/>
        <w:ind w:left="1560" w:right="1239" w:firstLine="333"/>
        <w:spacing w:after="0" w:line="253" w:lineRule="auto"/>
        <w:rPr>
          <w:sz w:val="20"/>
          <w:szCs w:val="20"/>
          <w:color w:val="auto"/>
        </w:rPr>
      </w:pPr>
      <w:r>
        <w:rPr>
          <w:rFonts w:ascii="Times New Roman" w:cs="Times New Roman" w:eastAsia="Times New Roman" w:hAnsi="Times New Roman"/>
          <w:sz w:val="14"/>
          <w:szCs w:val="14"/>
          <w:color w:val="auto"/>
        </w:rPr>
        <w:t>We entered into director offer letters with each of Ms. Lavelle, Ms. Turner, Ms. Haviland, and Mr. Congleton pursuant to which each serves as a member of our board of directors. In accordance with the offer letters, we granted initial option awards to each of Ms. Lavelle, Ms. Turner, Ms. Haviland, and Mr. Congleton, which vest in eight quarterly installments over a two-year period following the grant date, subject to the applicable director’s continuous service with us through each applicable vesting date. In addition, Ms. Turner is entitled to an annual cash retainer of $40,000 for her role as chair of the board of directors, Ms. Lavelle is entitled to an annual cash retainer of $25,000 for her role as a member of our board of directors and chair of the Audit Committee, Ms. Haviland is entitled to an annual cash retainer of $25,000 for her role as a member of our board of directors and a member of the Audit Committee and the Nominating and Governing Committee, and Mr. Congleton is entitled to an annual cash retainer of $25,000 for his role as a member of our board of directors and a member of the Audit Committee and the Nominating and Governing Committee, in each case, payable in arrears, as well as reimbursement for reasonable travel and out-of-pocket expenses incurred by Ms. Turner for her attendance at meetings of our board of directors.</w:t>
      </w:r>
    </w:p>
    <w:p>
      <w:pPr>
        <w:spacing w:after="0" w:line="200" w:lineRule="exact"/>
        <w:rPr>
          <w:sz w:val="20"/>
          <w:szCs w:val="20"/>
          <w:color w:val="auto"/>
        </w:rPr>
      </w:pPr>
    </w:p>
    <w:p>
      <w:pPr>
        <w:spacing w:after="0" w:line="31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5" w:name="page196"/>
    <w:bookmarkEnd w:id="195"/>
    <w:p>
      <w:pPr>
        <w:ind w:left="222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color w:val="auto"/>
        </w:rPr>
        <w:t>Non-Employee Director Compensation Policy</w:t>
      </w:r>
    </w:p>
    <w:p>
      <w:pPr>
        <w:spacing w:after="0" w:line="93" w:lineRule="exact"/>
        <w:rPr>
          <w:sz w:val="20"/>
          <w:szCs w:val="20"/>
          <w:color w:val="auto"/>
        </w:rPr>
      </w:pPr>
    </w:p>
    <w:p>
      <w:pPr>
        <w:jc w:val="both"/>
        <w:ind w:left="1560" w:right="1239" w:firstLine="333"/>
        <w:spacing w:after="0" w:line="258" w:lineRule="auto"/>
        <w:rPr>
          <w:sz w:val="20"/>
          <w:szCs w:val="20"/>
          <w:color w:val="auto"/>
        </w:rPr>
      </w:pPr>
      <w:r>
        <w:rPr>
          <w:rFonts w:ascii="Times New Roman" w:cs="Times New Roman" w:eastAsia="Times New Roman" w:hAnsi="Times New Roman"/>
          <w:sz w:val="14"/>
          <w:szCs w:val="14"/>
          <w:color w:val="auto"/>
        </w:rPr>
        <w:t>In connection with this offering, we have adopted a new non-employee director compensation policy that will become effective upon the completion of this offering and is designed to enable us to attract and retain, on a long-term basis, highly qualified non-employee directors. Under the policy, each director who is not an employee will be paid cash compensation from and after the completion of this offering, as set forth below, which amounts will be payable quarterly in arrears and prorated for partial years of service:</w:t>
      </w:r>
    </w:p>
    <w:p>
      <w:pPr>
        <w:spacing w:after="0" w:line="160" w:lineRule="exact"/>
        <w:rPr>
          <w:sz w:val="20"/>
          <w:szCs w:val="20"/>
          <w:color w:val="auto"/>
        </w:rPr>
      </w:pPr>
    </w:p>
    <w:tbl>
      <w:tblPr>
        <w:tblLayout w:type="fixed"/>
        <w:tblInd w:w="1560" w:type="dxa"/>
        <w:tblCellMar>
          <w:top w:w="0" w:type="dxa"/>
          <w:left w:w="0" w:type="dxa"/>
          <w:bottom w:w="0" w:type="dxa"/>
          <w:right w:w="0" w:type="dxa"/>
        </w:tblCellMar>
      </w:tblPr>
      <w:tr>
        <w:trPr>
          <w:trHeight w:val="135"/>
        </w:trPr>
        <w:tc>
          <w:tcPr>
            <w:tcW w:w="48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Board of Directors:</w:t>
            </w:r>
          </w:p>
        </w:tc>
        <w:tc>
          <w:tcPr>
            <w:tcW w:w="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1"/>
                <w:szCs w:val="11"/>
                <w:b w:val="1"/>
                <w:bCs w:val="1"/>
                <w:color w:val="auto"/>
              </w:rPr>
              <w:t>Annual Retainer</w:t>
            </w:r>
          </w:p>
        </w:tc>
        <w:tc>
          <w:tcPr>
            <w:tcW w:w="120" w:type="dxa"/>
            <w:vAlign w:val="bottom"/>
          </w:tcPr>
          <w:p>
            <w:pPr>
              <w:spacing w:after="0"/>
              <w:rPr>
                <w:sz w:val="11"/>
                <w:szCs w:val="11"/>
                <w:color w:val="auto"/>
              </w:rPr>
            </w:pPr>
          </w:p>
        </w:tc>
      </w:tr>
      <w:tr>
        <w:trPr>
          <w:trHeight w:val="159"/>
        </w:trPr>
        <w:tc>
          <w:tcPr>
            <w:tcW w:w="4860" w:type="dxa"/>
            <w:vAlign w:val="bottom"/>
            <w:shd w:val="clear" w:color="auto" w:fill="CFF0FC"/>
          </w:tcPr>
          <w:p>
            <w:pPr>
              <w:ind w:left="40"/>
              <w:spacing w:after="0" w:line="159" w:lineRule="exact"/>
              <w:rPr>
                <w:sz w:val="20"/>
                <w:szCs w:val="20"/>
                <w:color w:val="auto"/>
              </w:rPr>
            </w:pPr>
            <w:r>
              <w:rPr>
                <w:rFonts w:ascii="Times New Roman" w:cs="Times New Roman" w:eastAsia="Times New Roman" w:hAnsi="Times New Roman"/>
                <w:sz w:val="14"/>
                <w:szCs w:val="14"/>
                <w:color w:val="auto"/>
              </w:rPr>
              <w:t>Members</w:t>
            </w:r>
          </w:p>
        </w:tc>
        <w:tc>
          <w:tcPr>
            <w:tcW w:w="240" w:type="dxa"/>
            <w:vAlign w:val="bottom"/>
            <w:gridSpan w:val="2"/>
            <w:shd w:val="clear" w:color="auto" w:fill="CFF0FC"/>
          </w:tcPr>
          <w:p>
            <w:pPr>
              <w:jc w:val="right"/>
              <w:ind w:right="100"/>
              <w:spacing w:after="0" w:line="15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40,000</w:t>
            </w:r>
          </w:p>
        </w:tc>
        <w:tc>
          <w:tcPr>
            <w:tcW w:w="120" w:type="dxa"/>
            <w:vAlign w:val="bottom"/>
            <w:shd w:val="clear" w:color="auto" w:fill="CFF0FC"/>
          </w:tcPr>
          <w:p>
            <w:pPr>
              <w:spacing w:after="0"/>
              <w:rPr>
                <w:sz w:val="13"/>
                <w:szCs w:val="13"/>
                <w:color w:val="auto"/>
              </w:rPr>
            </w:pPr>
          </w:p>
        </w:tc>
      </w:tr>
      <w:tr>
        <w:trPr>
          <w:trHeight w:val="168"/>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Additional retainer for non-executive chair</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20" w:type="dxa"/>
            <w:vAlign w:val="bottom"/>
          </w:tcPr>
          <w:p>
            <w:pPr>
              <w:spacing w:after="0"/>
              <w:rPr>
                <w:sz w:val="14"/>
                <w:szCs w:val="14"/>
                <w:color w:val="auto"/>
              </w:rPr>
            </w:pPr>
          </w:p>
        </w:tc>
      </w:tr>
      <w:tr>
        <w:trPr>
          <w:trHeight w:val="168"/>
        </w:trPr>
        <w:tc>
          <w:tcPr>
            <w:tcW w:w="4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Audit Committee:</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8"/>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Members (other than chair)</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w:t>
            </w:r>
          </w:p>
        </w:tc>
        <w:tc>
          <w:tcPr>
            <w:tcW w:w="120" w:type="dxa"/>
            <w:vAlign w:val="bottom"/>
          </w:tcPr>
          <w:p>
            <w:pPr>
              <w:spacing w:after="0"/>
              <w:rPr>
                <w:sz w:val="14"/>
                <w:szCs w:val="14"/>
                <w:color w:val="auto"/>
              </w:rPr>
            </w:pPr>
          </w:p>
        </w:tc>
      </w:tr>
      <w:tr>
        <w:trPr>
          <w:trHeight w:val="168"/>
        </w:trPr>
        <w:tc>
          <w:tcPr>
            <w:tcW w:w="4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20" w:type="dxa"/>
            <w:vAlign w:val="bottom"/>
            <w:shd w:val="clear" w:color="auto" w:fill="CFF0FC"/>
          </w:tcPr>
          <w:p>
            <w:pPr>
              <w:spacing w:after="0"/>
              <w:rPr>
                <w:sz w:val="14"/>
                <w:szCs w:val="14"/>
                <w:color w:val="auto"/>
              </w:rPr>
            </w:pPr>
          </w:p>
        </w:tc>
      </w:tr>
      <w:tr>
        <w:trPr>
          <w:trHeight w:val="168"/>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Compensation Committee: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8"/>
        </w:trPr>
        <w:tc>
          <w:tcPr>
            <w:tcW w:w="4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Members (other than chair)</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20" w:type="dxa"/>
            <w:vAlign w:val="bottom"/>
            <w:shd w:val="clear" w:color="auto" w:fill="CFF0FC"/>
          </w:tcPr>
          <w:p>
            <w:pPr>
              <w:spacing w:after="0"/>
              <w:rPr>
                <w:sz w:val="14"/>
                <w:szCs w:val="14"/>
                <w:color w:val="auto"/>
              </w:rPr>
            </w:pPr>
          </w:p>
        </w:tc>
      </w:tr>
      <w:tr>
        <w:trPr>
          <w:trHeight w:val="168"/>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120" w:type="dxa"/>
            <w:vAlign w:val="bottom"/>
          </w:tcPr>
          <w:p>
            <w:pPr>
              <w:spacing w:after="0"/>
              <w:rPr>
                <w:sz w:val="14"/>
                <w:szCs w:val="14"/>
                <w:color w:val="auto"/>
              </w:rPr>
            </w:pPr>
          </w:p>
        </w:tc>
      </w:tr>
      <w:tr>
        <w:trPr>
          <w:trHeight w:val="168"/>
        </w:trPr>
        <w:tc>
          <w:tcPr>
            <w:tcW w:w="4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tc>
        <w:tc>
          <w:tcPr>
            <w:tcW w:w="6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8"/>
        </w:trPr>
        <w:tc>
          <w:tcPr>
            <w:tcW w:w="4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Members (other than chair)</w:t>
            </w:r>
          </w:p>
        </w:tc>
        <w:tc>
          <w:tcPr>
            <w:tcW w:w="2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4"/>
                <w:szCs w:val="14"/>
                <w:color w:val="auto"/>
              </w:rPr>
            </w:pPr>
          </w:p>
        </w:tc>
      </w:tr>
      <w:tr>
        <w:trPr>
          <w:trHeight w:val="168"/>
        </w:trPr>
        <w:tc>
          <w:tcPr>
            <w:tcW w:w="48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Retainer for chair</w:t>
            </w:r>
          </w:p>
        </w:tc>
        <w:tc>
          <w:tcPr>
            <w:tcW w:w="2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20" w:type="dxa"/>
            <w:vAlign w:val="bottom"/>
            <w:shd w:val="clear" w:color="auto" w:fill="CFF0FC"/>
          </w:tcPr>
          <w:p>
            <w:pPr>
              <w:spacing w:after="0"/>
              <w:rPr>
                <w:sz w:val="14"/>
                <w:szCs w:val="14"/>
                <w:color w:val="auto"/>
              </w:rPr>
            </w:pPr>
          </w:p>
        </w:tc>
      </w:tr>
    </w:tbl>
    <w:p>
      <w:pPr>
        <w:spacing w:after="0" w:line="153"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auto"/>
        </w:rPr>
        <w:t>In addition, the non-employee director compensation policy will provide that, upon initial election to our board of directors, each non-employee director will be granted an option to purchase 600,000 shares of our common stock, or the Initial Grant. The Initial Grant will vest in equal monthly installments over three years following the grant date, subject to continued service as a director through the applicable vesting date.</w:t>
      </w:r>
    </w:p>
    <w:p>
      <w:pPr>
        <w:spacing w:after="0" w:line="141" w:lineRule="exact"/>
        <w:rPr>
          <w:sz w:val="20"/>
          <w:szCs w:val="20"/>
          <w:color w:val="auto"/>
        </w:rPr>
      </w:pPr>
    </w:p>
    <w:p>
      <w:pPr>
        <w:jc w:val="both"/>
        <w:ind w:left="1560" w:right="1239" w:firstLine="333"/>
        <w:spacing w:after="0" w:line="257" w:lineRule="auto"/>
        <w:rPr>
          <w:sz w:val="20"/>
          <w:szCs w:val="20"/>
          <w:color w:val="auto"/>
        </w:rPr>
      </w:pPr>
      <w:r>
        <w:rPr>
          <w:rFonts w:ascii="Times New Roman" w:cs="Times New Roman" w:eastAsia="Times New Roman" w:hAnsi="Times New Roman"/>
          <w:sz w:val="14"/>
          <w:szCs w:val="14"/>
          <w:color w:val="auto"/>
        </w:rPr>
        <w:t>Furthermore, on the date of each annual meeting of stockholders following the completion of this offering, each non-employee director who continues as a non-employee director following such meeting will be granted an option to purchase 300,000 shares of our common stock, or the Annual Grant. The Annual Grant will vest in full upon the earlier of (i) the first anniversary of the date of grant or (ii) the date of the next annual meeting of stockholders, subject to continued service through the applicable vesting date. The Initial Grant and the Annual Grant are subject to full accelerated vesting upon the sale of the company.</w:t>
      </w:r>
    </w:p>
    <w:p>
      <w:pPr>
        <w:spacing w:after="0" w:line="143" w:lineRule="exact"/>
        <w:rPr>
          <w:sz w:val="20"/>
          <w:szCs w:val="20"/>
          <w:color w:val="auto"/>
        </w:rPr>
      </w:pPr>
    </w:p>
    <w:p>
      <w:pPr>
        <w:jc w:val="both"/>
        <w:ind w:left="1560" w:right="1239" w:firstLine="333"/>
        <w:spacing w:after="0" w:line="261" w:lineRule="auto"/>
        <w:rPr>
          <w:sz w:val="20"/>
          <w:szCs w:val="20"/>
          <w:color w:val="auto"/>
        </w:rPr>
      </w:pPr>
      <w:r>
        <w:rPr>
          <w:rFonts w:ascii="Times New Roman" w:cs="Times New Roman" w:eastAsia="Times New Roman" w:hAnsi="Times New Roman"/>
          <w:sz w:val="14"/>
          <w:szCs w:val="14"/>
          <w:color w:val="auto"/>
        </w:rPr>
        <w:t>The aggregate amount of compensation, including both equity compensation and cash compensation, paid to any non-employee director for service as a non-employee director in a calendar year period will not exceed $750,000 (or $1,000,000 for the calendar year in which the applicable non-employee director is initially elected or appointed to our board of directors).</w:t>
      </w:r>
    </w:p>
    <w:p>
      <w:pPr>
        <w:spacing w:after="0" w:line="141" w:lineRule="exact"/>
        <w:rPr>
          <w:sz w:val="20"/>
          <w:szCs w:val="20"/>
          <w:color w:val="auto"/>
        </w:rPr>
      </w:pPr>
    </w:p>
    <w:p>
      <w:pPr>
        <w:jc w:val="both"/>
        <w:ind w:left="1560" w:right="1239" w:firstLine="333"/>
        <w:spacing w:after="0" w:line="283" w:lineRule="auto"/>
        <w:rPr>
          <w:sz w:val="20"/>
          <w:szCs w:val="20"/>
          <w:color w:val="auto"/>
        </w:rPr>
      </w:pPr>
      <w:r>
        <w:rPr>
          <w:rFonts w:ascii="Times New Roman" w:cs="Times New Roman" w:eastAsia="Times New Roman" w:hAnsi="Times New Roman"/>
          <w:sz w:val="14"/>
          <w:szCs w:val="14"/>
          <w:color w:val="auto"/>
        </w:rPr>
        <w:t>We will reimburse all reasonable out-of-pocket expenses incurred by non-employee directors in attending meetings of the board of directors and committees thereof.</w:t>
      </w:r>
    </w:p>
    <w:p>
      <w:pPr>
        <w:spacing w:after="0" w:line="200" w:lineRule="exact"/>
        <w:rPr>
          <w:sz w:val="20"/>
          <w:szCs w:val="20"/>
          <w:color w:val="auto"/>
        </w:rPr>
      </w:pP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6" w:name="page197"/>
    <w:bookmarkEnd w:id="19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CERTAIN RELATIONSHIPS AND RELATED PERSON TRANSACTIONS</w:t>
      </w:r>
    </w:p>
    <w:p>
      <w:pPr>
        <w:spacing w:after="0" w:line="17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addition to the compensation arrangements, including employment, termination of employment and change in control arrangements, and indemnification arrangements discussed, when required, in the sections titled “Management,” “Executive Compensation” and “Director Compensation” and the registration rights described in the section titled “Description of Capital Stock—Registration Rights,” the following is a description of all transactions since January 1, 2023 and each currently proposed transaction in which:</w:t>
      </w:r>
    </w:p>
    <w:p>
      <w:pPr>
        <w:spacing w:after="0" w:line="60" w:lineRule="exact"/>
        <w:rPr>
          <w:sz w:val="20"/>
          <w:szCs w:val="20"/>
          <w:color w:val="auto"/>
        </w:rPr>
      </w:pPr>
    </w:p>
    <w:p>
      <w:pPr>
        <w:ind w:left="1880" w:hanging="323"/>
        <w:spacing w:after="0"/>
        <w:tabs>
          <w:tab w:leader="none" w:pos="18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been or are to be a participant;</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involved exceeded or will exceed the lesser of $120,000 or 1% of the average of our total assets at year-end for the last two completed fiscal years; and</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our directors, executive officers or holders of more than 5% or more of our outstanding capital stock, or any immediate family member of, or person sharing the household with, any of these individuals or entities or affiliated entities, had or will have a direct or indirect material interest.</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Series C Preferred Stock Financing</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September 2023 and January 2024, we issued and sold to certain investors an aggregate of 239,016,017 shares of Series C-1 convertible preferred stock at a price per share of $0.7323, for an aggregate purchase price of approximately $175.0 million, and issued an aggregate of 24,207,788 shares of Series C-2 convertible preferred stock upon conversion of outstanding convertible notes. Each outstanding share of Series C-1 convertible preferred stock and Series C-2 convertible preferred stock will convert into one share of common stock immediately prior to the completion of this offering. The following table summarizes the shares of our Series C-1 convertible preferred stock and Series C-2 convertible preferred stock issued to our related parties:</w:t>
      </w:r>
    </w:p>
    <w:p>
      <w:pPr>
        <w:spacing w:after="0" w:line="149"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33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Series C-1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vMerge w:val="restart"/>
          </w:tcPr>
          <w:p>
            <w:pPr>
              <w:jc w:val="center"/>
              <w:ind w:right="3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80" w:type="dxa"/>
            <w:vAlign w:val="bottom"/>
          </w:tcPr>
          <w:p>
            <w:pPr>
              <w:spacing w:after="0"/>
              <w:rPr>
                <w:sz w:val="11"/>
                <w:szCs w:val="11"/>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Series C-2</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vMerge w:val="restart"/>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6"/>
        </w:trPr>
        <w:tc>
          <w:tcPr>
            <w:tcW w:w="336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Convertible</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336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jc w:val="center"/>
              <w:ind w:right="13"/>
              <w:spacing w:after="0" w:line="116" w:lineRule="exact"/>
              <w:rPr>
                <w:sz w:val="20"/>
                <w:szCs w:val="20"/>
                <w:color w:val="auto"/>
              </w:rPr>
            </w:pPr>
            <w:r>
              <w:rPr>
                <w:rFonts w:ascii="Times New Roman" w:cs="Times New Roman" w:eastAsia="Times New Roman" w:hAnsi="Times New Roman"/>
                <w:sz w:val="11"/>
                <w:szCs w:val="11"/>
                <w:b w:val="1"/>
                <w:bCs w:val="1"/>
                <w:color w:val="auto"/>
              </w:rPr>
              <w:t>Purchase</w:t>
            </w:r>
          </w:p>
        </w:tc>
        <w:tc>
          <w:tcPr>
            <w:tcW w:w="80" w:type="dxa"/>
            <w:vAlign w:val="bottom"/>
          </w:tcPr>
          <w:p>
            <w:pPr>
              <w:spacing w:after="0"/>
              <w:rPr>
                <w:sz w:val="10"/>
                <w:szCs w:val="10"/>
                <w:color w:val="auto"/>
              </w:rPr>
            </w:pPr>
          </w:p>
        </w:tc>
        <w:tc>
          <w:tcPr>
            <w:tcW w:w="7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Preferred</w:t>
            </w:r>
          </w:p>
        </w:tc>
        <w:tc>
          <w:tcPr>
            <w:tcW w:w="880" w:type="dxa"/>
            <w:vAlign w:val="bottom"/>
            <w:gridSpan w:val="3"/>
          </w:tcPr>
          <w:p>
            <w:pPr>
              <w:ind w:left="60"/>
              <w:spacing w:after="0" w:line="116" w:lineRule="exact"/>
              <w:rPr>
                <w:sz w:val="20"/>
                <w:szCs w:val="20"/>
                <w:color w:val="auto"/>
              </w:rPr>
            </w:pPr>
            <w:r>
              <w:rPr>
                <w:rFonts w:ascii="Times New Roman" w:cs="Times New Roman" w:eastAsia="Times New Roman" w:hAnsi="Times New Roman"/>
                <w:sz w:val="11"/>
                <w:szCs w:val="11"/>
                <w:b w:val="1"/>
                <w:bCs w:val="1"/>
                <w:color w:val="auto"/>
                <w:w w:val="99"/>
              </w:rPr>
              <w:t>Convertible Note</w:t>
            </w:r>
          </w:p>
        </w:tc>
        <w:tc>
          <w:tcPr>
            <w:tcW w:w="0" w:type="dxa"/>
            <w:vAlign w:val="bottom"/>
          </w:tcPr>
          <w:p>
            <w:pPr>
              <w:spacing w:after="0"/>
              <w:rPr>
                <w:sz w:val="1"/>
                <w:szCs w:val="1"/>
                <w:color w:val="auto"/>
              </w:rPr>
            </w:pPr>
          </w:p>
        </w:tc>
      </w:tr>
      <w:tr>
        <w:trPr>
          <w:trHeight w:val="135"/>
        </w:trPr>
        <w:tc>
          <w:tcPr>
            <w:tcW w:w="336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Purchasers </w:t>
            </w:r>
            <w:r>
              <w:rPr>
                <w:rFonts w:ascii="Times New Roman" w:cs="Times New Roman" w:eastAsia="Times New Roman" w:hAnsi="Times New Roman"/>
                <w:sz w:val="7"/>
                <w:szCs w:val="7"/>
                <w:b w:val="1"/>
                <w:bCs w:val="1"/>
                <w:color w:val="auto"/>
              </w:rPr>
              <w:t>(1)</w:t>
            </w:r>
          </w:p>
        </w:tc>
        <w:tc>
          <w:tcPr>
            <w:tcW w:w="74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13"/>
              <w:spacing w:after="0" w:line="115"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80" w:type="dxa"/>
            <w:vAlign w:val="bottom"/>
          </w:tcPr>
          <w:p>
            <w:pPr>
              <w:spacing w:after="0"/>
              <w:rPr>
                <w:sz w:val="11"/>
                <w:szCs w:val="11"/>
                <w:color w:val="auto"/>
              </w:rPr>
            </w:pPr>
          </w:p>
        </w:tc>
        <w:tc>
          <w:tcPr>
            <w:tcW w:w="700" w:type="dxa"/>
            <w:vAlign w:val="bottom"/>
            <w:tcBorders>
              <w:bottom w:val="single" w:sz="8" w:color="auto"/>
            </w:tcBorders>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Stock</w:t>
            </w:r>
          </w:p>
        </w:tc>
        <w:tc>
          <w:tcPr>
            <w:tcW w:w="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0" w:type="dxa"/>
            <w:vAlign w:val="bottom"/>
          </w:tcPr>
          <w:p>
            <w:pPr>
              <w:spacing w:after="0"/>
              <w:rPr>
                <w:sz w:val="1"/>
                <w:szCs w:val="1"/>
                <w:color w:val="auto"/>
              </w:rPr>
            </w:pPr>
          </w:p>
        </w:tc>
      </w:tr>
      <w:tr>
        <w:trPr>
          <w:trHeight w:val="159"/>
        </w:trPr>
        <w:tc>
          <w:tcPr>
            <w:tcW w:w="33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 xml:space="preserve">F-Prime Capital Partners Healthcare Fund V LP </w:t>
            </w:r>
            <w:r>
              <w:rPr>
                <w:rFonts w:ascii="Times New Roman" w:cs="Times New Roman" w:eastAsia="Times New Roman" w:hAnsi="Times New Roman"/>
                <w:sz w:val="9"/>
                <w:szCs w:val="9"/>
                <w:color w:val="auto"/>
              </w:rPr>
              <w:t>(2)</w:t>
            </w:r>
          </w:p>
        </w:tc>
        <w:tc>
          <w:tcPr>
            <w:tcW w:w="7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16,795,477</w:t>
            </w:r>
          </w:p>
        </w:tc>
        <w:tc>
          <w:tcPr>
            <w:tcW w:w="16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98"/>
              </w:rPr>
              <w:t>12,299,999</w:t>
            </w:r>
          </w:p>
        </w:tc>
        <w:tc>
          <w:tcPr>
            <w:tcW w:w="78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4,345,612</w:t>
            </w:r>
          </w:p>
        </w:tc>
        <w:tc>
          <w:tcPr>
            <w:tcW w:w="200" w:type="dxa"/>
            <w:vAlign w:val="bottom"/>
            <w:gridSpan w:val="2"/>
            <w:shd w:val="clear" w:color="auto" w:fill="CFF0FC"/>
          </w:tcPr>
          <w:p>
            <w:pPr>
              <w:ind w:lef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2,545,964</w:t>
            </w:r>
          </w:p>
        </w:tc>
        <w:tc>
          <w:tcPr>
            <w:tcW w:w="0" w:type="dxa"/>
            <w:vAlign w:val="bottom"/>
          </w:tcPr>
          <w:p>
            <w:pPr>
              <w:spacing w:after="0"/>
              <w:rPr>
                <w:sz w:val="1"/>
                <w:szCs w:val="1"/>
                <w:color w:val="auto"/>
              </w:rPr>
            </w:pPr>
          </w:p>
        </w:tc>
      </w:tr>
      <w:tr>
        <w:trPr>
          <w:trHeight w:val="153"/>
        </w:trPr>
        <w:tc>
          <w:tcPr>
            <w:tcW w:w="33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Mutual Fund Series Trust, on behalf of Eventide</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Healthcare &amp; Life Sciences Fund </w:t>
            </w:r>
            <w:r>
              <w:rPr>
                <w:rFonts w:ascii="Times New Roman" w:cs="Times New Roman" w:eastAsia="Times New Roman" w:hAnsi="Times New Roman"/>
                <w:sz w:val="9"/>
                <w:szCs w:val="9"/>
                <w:color w:val="auto"/>
              </w:rPr>
              <w:t>(3)</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20,482,289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14,999,999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Norwest Venture Partners XV, LP </w:t>
            </w:r>
            <w:r>
              <w:rPr>
                <w:rFonts w:ascii="Times New Roman" w:cs="Times New Roman" w:eastAsia="Times New Roman" w:hAnsi="Times New Roman"/>
                <w:sz w:val="9"/>
                <w:szCs w:val="9"/>
                <w:color w:val="auto"/>
              </w:rPr>
              <w:t>(4)</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17,751,317</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12,999,999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3,554,116</w:t>
            </w:r>
          </w:p>
        </w:tc>
        <w:tc>
          <w:tcPr>
            <w:tcW w:w="200" w:type="dxa"/>
            <w:vAlign w:val="bottom"/>
            <w:gridSpan w:val="2"/>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2,082,250</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Novo Holdings A/S </w:t>
            </w:r>
            <w:r>
              <w:rPr>
                <w:rFonts w:ascii="Times New Roman" w:cs="Times New Roman" w:eastAsia="Times New Roman" w:hAnsi="Times New Roman"/>
                <w:sz w:val="9"/>
                <w:szCs w:val="9"/>
                <w:color w:val="auto"/>
              </w:rPr>
              <w:t>(5)</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25,899,284</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18,967,081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5,587,603</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3,273,609</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Perceptive Xontogeny Venture Fund II, LP </w:t>
            </w:r>
            <w:r>
              <w:rPr>
                <w:rFonts w:ascii="Times New Roman" w:cs="Times New Roman" w:eastAsia="Times New Roman" w:hAnsi="Times New Roman"/>
                <w:sz w:val="9"/>
                <w:szCs w:val="9"/>
                <w:color w:val="auto"/>
              </w:rPr>
              <w:t>(6)</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34,137,149</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8"/>
              </w:rPr>
              <w:t>24,999,999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SR One Capital Fund II Aggregator, LP </w:t>
            </w:r>
            <w:r>
              <w:rPr>
                <w:rFonts w:ascii="Times New Roman" w:cs="Times New Roman" w:eastAsia="Times New Roman" w:hAnsi="Times New Roman"/>
                <w:sz w:val="9"/>
                <w:szCs w:val="9"/>
                <w:color w:val="auto"/>
              </w:rPr>
              <w:t>(7)</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27,309,719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19,999,999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AMZL, LP </w:t>
            </w:r>
            <w:r>
              <w:rPr>
                <w:rFonts w:ascii="Times New Roman" w:cs="Times New Roman" w:eastAsia="Times New Roman" w:hAnsi="Times New Roman"/>
                <w:sz w:val="9"/>
                <w:szCs w:val="9"/>
                <w:color w:val="auto"/>
              </w:rPr>
              <w:t>(7)</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6,827,429</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4,999,999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8"/>
        </w:trPr>
        <w:tc>
          <w:tcPr>
            <w:tcW w:w="336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Vida Ventures III, LP </w:t>
            </w:r>
            <w:r>
              <w:rPr>
                <w:rFonts w:ascii="Times New Roman" w:cs="Times New Roman" w:eastAsia="Times New Roman" w:hAnsi="Times New Roman"/>
                <w:sz w:val="9"/>
                <w:szCs w:val="9"/>
                <w:color w:val="auto"/>
              </w:rPr>
              <w:t>(8)</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20,435,180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14,965,499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68"/>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Vida Ventures III-A, LP </w:t>
            </w:r>
            <w:r>
              <w:rPr>
                <w:rFonts w:ascii="Times New Roman" w:cs="Times New Roman" w:eastAsia="Times New Roman" w:hAnsi="Times New Roman"/>
                <w:sz w:val="9"/>
                <w:szCs w:val="9"/>
                <w:color w:val="auto"/>
              </w:rPr>
              <w:t>(8)</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47,109</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34,499</w:t>
            </w:r>
          </w:p>
        </w:tc>
        <w:tc>
          <w:tcPr>
            <w:tcW w:w="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3"/>
        </w:trPr>
        <w:tc>
          <w:tcPr>
            <w:tcW w:w="336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Wellington Biomedical Innovation Master Investors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3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(Cayman) II L.P. </w:t>
            </w:r>
            <w:r>
              <w:rPr>
                <w:rFonts w:ascii="Times New Roman" w:cs="Times New Roman" w:eastAsia="Times New Roman" w:hAnsi="Times New Roman"/>
                <w:sz w:val="9"/>
                <w:szCs w:val="9"/>
                <w:color w:val="auto"/>
              </w:rPr>
              <w:t>(9)</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20,482,289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14,999,999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58420</wp:posOffset>
            </wp:positionV>
            <wp:extent cx="640715" cy="698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99" w:lineRule="exact"/>
        <w:rPr>
          <w:sz w:val="20"/>
          <w:szCs w:val="20"/>
          <w:color w:val="auto"/>
        </w:rPr>
      </w:pPr>
    </w:p>
    <w:p>
      <w:pPr>
        <w:ind w:left="1880" w:right="1239" w:hanging="323"/>
        <w:spacing w:after="0" w:line="283" w:lineRule="auto"/>
        <w:tabs>
          <w:tab w:leader="none" w:pos="18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the section titled “Principal Stockholders.”</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F-Prime Capital Partners Healthcare Fund V LP, or F-Prime, beneficially owns more than 5% of our outstanding capital stock. Ketan Patel, a member of our board of directors, was appointed to our board of directors as a representative of F-Prime and is a Managing Partner at F-Prime Capital.</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 Series Trust, on behalf of Eventide Healthcare &amp; Life Sciences Fund, beneficially owns more than 5% of our outstanding capital stock.</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7" w:name="page198"/>
    <w:bookmarkEnd w:id="19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hanging="323"/>
        <w:spacing w:after="0" w:line="267" w:lineRule="auto"/>
        <w:tabs>
          <w:tab w:leader="none" w:pos="18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Norwest Venture Partners XV, LP, or Norwest, beneficially owns more than 5% of our outstanding capital stock. Tiba Aynechi, a member of our board of directors, was appointed to our board of directors as a representative of Norwest and is a General Partner at Norwest.</w:t>
      </w:r>
    </w:p>
    <w:p>
      <w:pPr>
        <w:spacing w:after="0" w:line="5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Novo Holdings A/S, or Novo, beneficially owns more than 5% of our outstanding capital stock.</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Perceptive Xontogeny Venture Fund II, LP, or Perceptive, beneficially owns more than 5% of our outstanding capital stock. Gianna Hoffman-Luca, a member of our board of directors, was appointed to our board of directors as a representative of Perceptive and is a Partner at Perceptive Advisors, LLC.</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SR One Capital Fund II Aggregator, LP, or SR One, and AMZL, LP beneficially own more than 5% of our outstanding capital stock. Jill Carroll, a member of our board of directors, was appointed to our board of directors as a representative of SR One and is a partner of SR One Capital Management, LP.</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Vida Ventures III, LP and Vida Ventures III-A, LP collectively beneficially owns more than 5% of our outstanding capital stock.</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Wellington Biomedical Innovation Master Investors (Cayman) II L.P. beneficially owns more than 5% of our outstanding capital stock.</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Series D Convertible Preferred Stock Financing</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April 2025, June 2025, and July 2025, we issued and sold to certain investors an aggregate of 126,036,334 shares of Series D convertible preferred stock at a price per share of $0.7963, for an aggregate purchase price of $100.4 million. Each outstanding share of Series D convertible preferred stock will convert into one share of common stock immediately prior to the completion of this offering. The following table summarizes the shares of our Series D convertible preferred stock issued to our related parties:</w:t>
      </w:r>
    </w:p>
    <w:p>
      <w:pPr>
        <w:spacing w:after="0" w:line="15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4620" w:type="dxa"/>
            <w:vAlign w:val="bottom"/>
          </w:tcPr>
          <w:p>
            <w:pPr>
              <w:spacing w:after="0"/>
              <w:rPr>
                <w:sz w:val="11"/>
                <w:szCs w:val="1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Series D Convertible</w:t>
            </w:r>
          </w:p>
        </w:tc>
        <w:tc>
          <w:tcPr>
            <w:tcW w:w="80" w:type="dxa"/>
            <w:vAlign w:val="bottom"/>
          </w:tcPr>
          <w:p>
            <w:pPr>
              <w:spacing w:after="0"/>
              <w:rPr>
                <w:sz w:val="11"/>
                <w:szCs w:val="1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Total Purchase</w:t>
            </w:r>
          </w:p>
        </w:tc>
      </w:tr>
      <w:tr>
        <w:trPr>
          <w:trHeight w:val="135"/>
        </w:trPr>
        <w:tc>
          <w:tcPr>
            <w:tcW w:w="4620" w:type="dxa"/>
            <w:vAlign w:val="bottom"/>
          </w:tcPr>
          <w:p>
            <w:pPr>
              <w:spacing w:after="0" w:line="115" w:lineRule="exact"/>
              <w:rPr>
                <w:sz w:val="20"/>
                <w:szCs w:val="20"/>
                <w:color w:val="auto"/>
              </w:rPr>
            </w:pPr>
            <w:r>
              <w:rPr>
                <w:rFonts w:ascii="Times New Roman" w:cs="Times New Roman" w:eastAsia="Times New Roman" w:hAnsi="Times New Roman"/>
                <w:sz w:val="11"/>
                <w:szCs w:val="11"/>
                <w:b w:val="1"/>
                <w:bCs w:val="1"/>
                <w:color w:val="auto"/>
              </w:rPr>
              <w:t xml:space="preserve">Purchasers </w:t>
            </w:r>
            <w:r>
              <w:rPr>
                <w:rFonts w:ascii="Times New Roman" w:cs="Times New Roman" w:eastAsia="Times New Roman" w:hAnsi="Times New Roman"/>
                <w:sz w:val="7"/>
                <w:szCs w:val="7"/>
                <w:b w:val="1"/>
                <w:bCs w:val="1"/>
                <w:color w:val="auto"/>
              </w:rPr>
              <w:t>(1)</w:t>
            </w:r>
          </w:p>
        </w:tc>
        <w:tc>
          <w:tcPr>
            <w:tcW w:w="1040" w:type="dxa"/>
            <w:vAlign w:val="bottom"/>
            <w:tcBorders>
              <w:bottom w:val="single" w:sz="8" w:color="auto"/>
            </w:tcBorders>
          </w:tcPr>
          <w:p>
            <w:pPr>
              <w:jc w:val="right"/>
              <w:ind w:right="72"/>
              <w:spacing w:after="0" w:line="115" w:lineRule="exact"/>
              <w:rPr>
                <w:sz w:val="20"/>
                <w:szCs w:val="20"/>
                <w:color w:val="auto"/>
              </w:rPr>
            </w:pPr>
            <w:r>
              <w:rPr>
                <w:rFonts w:ascii="Times New Roman" w:cs="Times New Roman" w:eastAsia="Times New Roman" w:hAnsi="Times New Roman"/>
                <w:sz w:val="11"/>
                <w:szCs w:val="11"/>
                <w:b w:val="1"/>
                <w:bCs w:val="1"/>
                <w:color w:val="auto"/>
              </w:rPr>
              <w:t>Preferred Stock</w:t>
            </w: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211"/>
              <w:spacing w:after="0" w:line="115" w:lineRule="exact"/>
              <w:rPr>
                <w:sz w:val="20"/>
                <w:szCs w:val="20"/>
                <w:color w:val="auto"/>
              </w:rPr>
            </w:pPr>
            <w:r>
              <w:rPr>
                <w:rFonts w:ascii="Times New Roman" w:cs="Times New Roman" w:eastAsia="Times New Roman" w:hAnsi="Times New Roman"/>
                <w:sz w:val="11"/>
                <w:szCs w:val="11"/>
                <w:b w:val="1"/>
                <w:bCs w:val="1"/>
                <w:color w:val="auto"/>
              </w:rPr>
              <w:t>Price</w:t>
            </w:r>
          </w:p>
        </w:tc>
      </w:tr>
      <w:tr>
        <w:trPr>
          <w:trHeight w:val="159"/>
        </w:trPr>
        <w:tc>
          <w:tcPr>
            <w:tcW w:w="46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 xml:space="preserve">F-Prime Capital Partners Healthcare Fund V LP </w:t>
            </w:r>
            <w:r>
              <w:rPr>
                <w:rFonts w:ascii="Times New Roman" w:cs="Times New Roman" w:eastAsia="Times New Roman" w:hAnsi="Times New Roman"/>
                <w:sz w:val="9"/>
                <w:szCs w:val="9"/>
                <w:color w:val="auto"/>
              </w:rPr>
              <w:t>(2)</w:t>
            </w:r>
          </w:p>
        </w:tc>
        <w:tc>
          <w:tcPr>
            <w:tcW w:w="10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7,272,371</w:t>
            </w:r>
          </w:p>
        </w:tc>
        <w:tc>
          <w:tcPr>
            <w:tcW w:w="240" w:type="dxa"/>
            <w:vAlign w:val="bottom"/>
            <w:gridSpan w:val="2"/>
            <w:shd w:val="clear" w:color="auto" w:fill="CFF0FC"/>
          </w:tcPr>
          <w:p>
            <w:pPr>
              <w:jc w:val="right"/>
              <w:ind w:right="44"/>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5,790,989</w:t>
            </w:r>
          </w:p>
        </w:tc>
      </w:tr>
      <w:tr>
        <w:trPr>
          <w:trHeight w:val="153"/>
        </w:trPr>
        <w:tc>
          <w:tcPr>
            <w:tcW w:w="4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Mutual Fund Series Trust, on behalf of Eventide Healthcare &amp;</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3"/>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Life Sciences Fund </w:t>
            </w:r>
            <w:r>
              <w:rPr>
                <w:rFonts w:ascii="Times New Roman" w:cs="Times New Roman" w:eastAsia="Times New Roman" w:hAnsi="Times New Roman"/>
                <w:sz w:val="9"/>
                <w:szCs w:val="9"/>
                <w:color w:val="auto"/>
              </w:rPr>
              <w:t>(3)</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4,060,259</w:t>
            </w:r>
          </w:p>
        </w:tc>
        <w:tc>
          <w:tcPr>
            <w:tcW w:w="24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3,233,184</w:t>
            </w:r>
          </w:p>
        </w:tc>
      </w:tr>
      <w:tr>
        <w:trPr>
          <w:trHeight w:val="168"/>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Norwest Venture Partners XV, LP </w:t>
            </w:r>
            <w:r>
              <w:rPr>
                <w:rFonts w:ascii="Times New Roman" w:cs="Times New Roman" w:eastAsia="Times New Roman" w:hAnsi="Times New Roman"/>
                <w:sz w:val="9"/>
                <w:szCs w:val="9"/>
                <w:color w:val="auto"/>
              </w:rPr>
              <w:t>(4)</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6,743,517</w:t>
            </w:r>
          </w:p>
        </w:tc>
        <w:tc>
          <w:tcPr>
            <w:tcW w:w="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5,369,862</w:t>
            </w:r>
          </w:p>
        </w:tc>
      </w:tr>
      <w:tr>
        <w:trPr>
          <w:trHeight w:val="16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Novo Holdings A/S </w:t>
            </w:r>
            <w:r>
              <w:rPr>
                <w:rFonts w:ascii="Times New Roman" w:cs="Times New Roman" w:eastAsia="Times New Roman" w:hAnsi="Times New Roman"/>
                <w:sz w:val="9"/>
                <w:szCs w:val="9"/>
                <w:color w:val="auto"/>
              </w:rPr>
              <w:t>(5)</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12,558,081</w:t>
            </w:r>
          </w:p>
        </w:tc>
        <w:tc>
          <w:tcPr>
            <w:tcW w:w="24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9,999,999</w:t>
            </w:r>
          </w:p>
        </w:tc>
      </w:tr>
      <w:tr>
        <w:trPr>
          <w:trHeight w:val="168"/>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Perceptive Xontogeny Venture Fund II, LP </w:t>
            </w:r>
            <w:r>
              <w:rPr>
                <w:rFonts w:ascii="Times New Roman" w:cs="Times New Roman" w:eastAsia="Times New Roman" w:hAnsi="Times New Roman"/>
                <w:sz w:val="9"/>
                <w:szCs w:val="9"/>
                <w:color w:val="auto"/>
              </w:rPr>
              <w:t>(6)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9,162,385</w:t>
            </w:r>
          </w:p>
        </w:tc>
        <w:tc>
          <w:tcPr>
            <w:tcW w:w="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7,296,007</w:t>
            </w:r>
          </w:p>
        </w:tc>
      </w:tr>
      <w:tr>
        <w:trPr>
          <w:trHeight w:val="16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SR One Capital Fund II Aggregator, LP </w:t>
            </w:r>
            <w:r>
              <w:rPr>
                <w:rFonts w:ascii="Times New Roman" w:cs="Times New Roman" w:eastAsia="Times New Roman" w:hAnsi="Times New Roman"/>
                <w:sz w:val="9"/>
                <w:szCs w:val="9"/>
                <w:color w:val="auto"/>
              </w:rPr>
              <w:t>(7)</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9,418,561</w:t>
            </w:r>
          </w:p>
        </w:tc>
        <w:tc>
          <w:tcPr>
            <w:tcW w:w="24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7,500,000</w:t>
            </w:r>
          </w:p>
        </w:tc>
      </w:tr>
      <w:tr>
        <w:trPr>
          <w:trHeight w:val="168"/>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AMZL, LP </w:t>
            </w:r>
            <w:r>
              <w:rPr>
                <w:rFonts w:ascii="Times New Roman" w:cs="Times New Roman" w:eastAsia="Times New Roman" w:hAnsi="Times New Roman"/>
                <w:sz w:val="9"/>
                <w:szCs w:val="9"/>
                <w:color w:val="auto"/>
              </w:rPr>
              <w:t>(7)</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9,418,560</w:t>
            </w:r>
          </w:p>
        </w:tc>
        <w:tc>
          <w:tcPr>
            <w:tcW w:w="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7,499,999</w:t>
            </w:r>
          </w:p>
        </w:tc>
      </w:tr>
      <w:tr>
        <w:trPr>
          <w:trHeight w:val="168"/>
        </w:trPr>
        <w:tc>
          <w:tcPr>
            <w:tcW w:w="46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Vida Ventures III, LP </w:t>
            </w:r>
            <w:r>
              <w:rPr>
                <w:rFonts w:ascii="Times New Roman" w:cs="Times New Roman" w:eastAsia="Times New Roman" w:hAnsi="Times New Roman"/>
                <w:sz w:val="9"/>
                <w:szCs w:val="9"/>
                <w:color w:val="auto"/>
              </w:rPr>
              <w:t>(8)</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4,050,920</w:t>
            </w:r>
          </w:p>
        </w:tc>
        <w:tc>
          <w:tcPr>
            <w:tcW w:w="24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3,225,747</w:t>
            </w:r>
          </w:p>
        </w:tc>
      </w:tr>
      <w:tr>
        <w:trPr>
          <w:trHeight w:val="168"/>
        </w:trPr>
        <w:tc>
          <w:tcPr>
            <w:tcW w:w="46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Vida Ventures III-A, LP </w:t>
            </w:r>
            <w:r>
              <w:rPr>
                <w:rFonts w:ascii="Times New Roman" w:cs="Times New Roman" w:eastAsia="Times New Roman" w:hAnsi="Times New Roman"/>
                <w:sz w:val="9"/>
                <w:szCs w:val="9"/>
                <w:color w:val="auto"/>
              </w:rPr>
              <w:t>(8)</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9,339</w:t>
            </w:r>
          </w:p>
        </w:tc>
        <w:tc>
          <w:tcPr>
            <w:tcW w:w="24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7,436</w:t>
            </w:r>
          </w:p>
        </w:tc>
      </w:tr>
      <w:tr>
        <w:trPr>
          <w:trHeight w:val="153"/>
        </w:trPr>
        <w:tc>
          <w:tcPr>
            <w:tcW w:w="46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Wellington Biomedical Innovation Master Investors (Cayman)</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83"/>
        </w:trPr>
        <w:tc>
          <w:tcPr>
            <w:tcW w:w="46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 xml:space="preserve">II L.P. </w:t>
            </w:r>
            <w:r>
              <w:rPr>
                <w:rFonts w:ascii="Times New Roman" w:cs="Times New Roman" w:eastAsia="Times New Roman" w:hAnsi="Times New Roman"/>
                <w:sz w:val="9"/>
                <w:szCs w:val="9"/>
                <w:color w:val="auto"/>
              </w:rPr>
              <w:t>(9)</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4,060,259</w:t>
            </w:r>
          </w:p>
        </w:tc>
        <w:tc>
          <w:tcPr>
            <w:tcW w:w="240" w:type="dxa"/>
            <w:vAlign w:val="bottom"/>
            <w:gridSpan w:val="2"/>
          </w:tcPr>
          <w:p>
            <w:pPr>
              <w:jc w:val="right"/>
              <w:ind w:right="44"/>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3,233,184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66675</wp:posOffset>
            </wp:positionV>
            <wp:extent cx="640715" cy="698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13" w:lineRule="exact"/>
        <w:rPr>
          <w:sz w:val="20"/>
          <w:szCs w:val="20"/>
          <w:color w:val="auto"/>
        </w:rPr>
      </w:pPr>
    </w:p>
    <w:p>
      <w:pPr>
        <w:ind w:left="1560" w:right="1239" w:hanging="336"/>
        <w:spacing w:after="0" w:line="261" w:lineRule="auto"/>
        <w:tabs>
          <w:tab w:leader="none" w:pos="15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details regarding these stockholders and their equity holdings are included in the section titled “Principal Stockholders.”</w:t>
      </w:r>
    </w:p>
    <w:p>
      <w:pPr>
        <w:jc w:val="both"/>
        <w:ind w:left="1560" w:right="1239" w:hanging="336"/>
        <w:spacing w:after="0" w:line="250" w:lineRule="auto"/>
        <w:tabs>
          <w:tab w:leader="none" w:pos="15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F-Prime beneficially owns more than 5% of our outstanding capital stock. Ketan Patel, a member of our board of directors, was appointed to our board of directors as a representative of F-Prime and is a Managing Partner at F-Prime Capital.</w:t>
      </w:r>
    </w:p>
    <w:p>
      <w:pPr>
        <w:spacing w:after="0" w:line="1" w:lineRule="exact"/>
        <w:rPr>
          <w:rFonts w:ascii="Times New Roman" w:cs="Times New Roman" w:eastAsia="Times New Roman" w:hAnsi="Times New Roman"/>
          <w:sz w:val="14"/>
          <w:szCs w:val="14"/>
          <w:color w:val="auto"/>
        </w:rPr>
      </w:pPr>
    </w:p>
    <w:p>
      <w:pPr>
        <w:ind w:left="1560" w:right="1239" w:hanging="336"/>
        <w:spacing w:after="0" w:line="250" w:lineRule="auto"/>
        <w:tabs>
          <w:tab w:leader="none" w:pos="15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Mutual Fund Series Trust, on behalf of Eventide Healthcare &amp; Life Sciences Fund, beneficially owns more than 5% of our outstanding capital stock.</w:t>
      </w:r>
    </w:p>
    <w:p>
      <w:pPr>
        <w:spacing w:after="0" w:line="1" w:lineRule="exact"/>
        <w:rPr>
          <w:rFonts w:ascii="Times New Roman" w:cs="Times New Roman" w:eastAsia="Times New Roman" w:hAnsi="Times New Roman"/>
          <w:sz w:val="14"/>
          <w:szCs w:val="14"/>
          <w:color w:val="auto"/>
        </w:rPr>
      </w:pPr>
    </w:p>
    <w:p>
      <w:pPr>
        <w:jc w:val="both"/>
        <w:ind w:left="1560" w:right="1239" w:hanging="336"/>
        <w:spacing w:after="0" w:line="250" w:lineRule="auto"/>
        <w:tabs>
          <w:tab w:leader="none" w:pos="15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Norwest beneficially owns more than 5% of our outstanding capital stock. Tiba Aynechi, a member of our board of directors, was appointed to our board of directors as a representative of Norwest and is a General Partner at Norwest.</w:t>
      </w:r>
    </w:p>
    <w:p>
      <w:pPr>
        <w:spacing w:after="0" w:line="1" w:lineRule="exact"/>
        <w:rPr>
          <w:rFonts w:ascii="Times New Roman" w:cs="Times New Roman" w:eastAsia="Times New Roman" w:hAnsi="Times New Roman"/>
          <w:sz w:val="14"/>
          <w:szCs w:val="14"/>
          <w:color w:val="auto"/>
        </w:rPr>
      </w:pPr>
    </w:p>
    <w:p>
      <w:pPr>
        <w:ind w:left="1560" w:hanging="336"/>
        <w:spacing w:after="0"/>
        <w:tabs>
          <w:tab w:leader="none" w:pos="1560" w:val="left"/>
        </w:tabs>
        <w:numPr>
          <w:ilvl w:val="0"/>
          <w:numId w:val="1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Novo beneficially owns more than 5% of our outstanding capital stock.</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8" w:name="page199"/>
    <w:bookmarkEnd w:id="19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left="1560" w:right="1239" w:hanging="336"/>
        <w:spacing w:after="0" w:line="258" w:lineRule="auto"/>
        <w:tabs>
          <w:tab w:leader="none" w:pos="15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Perceptive beneficially owns more than 5% of our outstanding capital stock. Gianna Hoffman-Luca, a member of our board of directors, was appointed to our board of directors as a representative of Perceptive and is a Partner at Perceptive Advisors, LLC.</w:t>
      </w:r>
    </w:p>
    <w:p>
      <w:pPr>
        <w:jc w:val="both"/>
        <w:ind w:left="1560" w:right="1239" w:hanging="336"/>
        <w:spacing w:after="0" w:line="250" w:lineRule="auto"/>
        <w:tabs>
          <w:tab w:leader="none" w:pos="15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SR One and AMZL, LP beneficially own more than 5% of our outstanding capital stock. Jill Carroll, a member of our board of directors, was appointed to our board of directors as a representative of SR One and is a partner of SR One Capital Management, LP.</w:t>
      </w:r>
    </w:p>
    <w:p>
      <w:pPr>
        <w:spacing w:after="0" w:line="1" w:lineRule="exact"/>
        <w:rPr>
          <w:rFonts w:ascii="Times New Roman" w:cs="Times New Roman" w:eastAsia="Times New Roman" w:hAnsi="Times New Roman"/>
          <w:sz w:val="14"/>
          <w:szCs w:val="14"/>
          <w:color w:val="auto"/>
        </w:rPr>
      </w:pPr>
    </w:p>
    <w:p>
      <w:pPr>
        <w:ind w:left="1560" w:right="1239" w:hanging="336"/>
        <w:spacing w:after="0" w:line="250" w:lineRule="auto"/>
        <w:tabs>
          <w:tab w:leader="none" w:pos="15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Vida Ventures III, LP and Vida Ventures III-A, LP collectively beneficially owns more than 5% of our outstanding capital stock.</w:t>
      </w:r>
    </w:p>
    <w:p>
      <w:pPr>
        <w:spacing w:after="0" w:line="1" w:lineRule="exact"/>
        <w:rPr>
          <w:rFonts w:ascii="Times New Roman" w:cs="Times New Roman" w:eastAsia="Times New Roman" w:hAnsi="Times New Roman"/>
          <w:sz w:val="14"/>
          <w:szCs w:val="14"/>
          <w:color w:val="auto"/>
        </w:rPr>
      </w:pPr>
    </w:p>
    <w:p>
      <w:pPr>
        <w:ind w:left="1560" w:right="1239" w:hanging="336"/>
        <w:spacing w:after="0" w:line="261" w:lineRule="auto"/>
        <w:tabs>
          <w:tab w:leader="none" w:pos="1560" w:val="left"/>
        </w:tabs>
        <w:numPr>
          <w:ilvl w:val="0"/>
          <w:numId w:val="1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Wellington Biomedical Innovation Master Investors (Cayman) II L.P. beneficially owns more than 5% of our outstanding capital stock.</w:t>
      </w:r>
    </w:p>
    <w:p>
      <w:pPr>
        <w:spacing w:after="0" w:line="2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Consulting and Other Arrangements</w:t>
      </w:r>
    </w:p>
    <w:p>
      <w:pPr>
        <w:spacing w:after="0" w:line="9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Agreements with Bruce Montgomery, M.D.</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January 2025, we entered into an option cancellation and replacement agreement and warrant agreement with Bruce Montgomery, M.D., our former Chief Executive Officer, to exchange options to purchase 4,935,717 shares of our common stock for a warrant to purchase 4,287,641 shares of common stock at an exercise price of $0.29, with an aggregate value of $1,243,416. In October 2023, we entered into an advisory agreement with Dr. Montgomery, as amended in January 2025. Pursuant to the advisory agreement, Dr. Montgomery’s equity continued to vest and we are obligated to pay Dr. Montgomery an hourly rate for his services. As of the year ended December 31, 2025, we have paid Dr. Montgomery $133,800 pursuant to the advisor agreement. This agreement can be terminated by either party at any time.</w:t>
      </w:r>
    </w:p>
    <w:p>
      <w:pPr>
        <w:spacing w:after="0" w:line="2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Separation Agreement with Mark Surber</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January 2024, we entered into a transition and separation agreement with Mark Surber, one of our founders and former chief scientific officer, pursuant to which, among other things, Mr. Surber’s equity would continue to vest for an additional period of time, and we agreed to continue to pay Mr. Surber compensation for transition services through the earlier of June 2024, an earlier date of termination pursuant to the terms of the agreement or such date as may be agreed to by the parties. We paid Mr. Surber an aggregate of $513,246 pursuant to such agreement.</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Agreements with Stockholders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connection with our Series C and Series D convertible preferred stock financings, we entered into investors’ rights, voting and right of first refusal and co-sale agreements containing registration rights and information rights, among other things, with certain holders of our preferred stock and certain holders of our common stock, including holders of more than 5% of our capital stock and entities with which certain of our directors or officers are affiliated. These agreements will terminate upon the closing of this offering, except for the registration rights granted under our amended and restated investors’ rights agreement, as more fully described in “Description of Capital Stock— Registration Rights.”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Management Rights and Side Letters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In connection with the initial issuance and sale of our convertible preferred stock, we entered into management rights and side letters with certain purchasers of our convertible preferred stock, including holders of more than 5% of our capital stock and entities with which certain of our directors or officers are affiliated, pursuant to which such entities were granted certain management rights, among other things, including the right to consult with and advise our management on significant business issues, review our operating plans, examine our books and records and inspect our facilities. These management rights letters will terminate upon completion of this offering.</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199" w:name="page200"/>
    <w:bookmarkEnd w:id="19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Employment and Benefit Arrangements</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We have entered into offer letter or employment agreements with our executive officers as more fully described in the section titled “Executive Compensation.”</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Equity Grants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have granted options to purchase shares of our common stock to certain of our executive officers and directors. For more information regarding the options granted to our executive officers and directors, see the sections titled “Executive Compensation” and “Director Compensation.”</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contain provisions limiting the liability of directors and officers,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“Management—Limitations on Liability and Indemnification Agreements.”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Policies and Procedures for Transactions with Related Persons</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have adopted a written policy that our executive officers, directors, nominees for election as a director, beneficial owners of more than 5% of any series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series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material facts of the transaction, including whether the transaction is on terms no less favorable than terms generally available to an unaffiliated third party under the same or similar circumstances and the extent of the related person’s interest in the transaction.</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0" w:name="page201"/>
    <w:bookmarkEnd w:id="20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PRINCIPAL STOCKHOLDERS</w:t>
      </w:r>
    </w:p>
    <w:p>
      <w:pPr>
        <w:spacing w:after="0" w:line="177"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following table sets forth information regarding beneficial ownership of our capital stock as of April 1, 2026 by:</w:t>
      </w:r>
    </w:p>
    <w:p>
      <w:pPr>
        <w:spacing w:after="0" w:line="41" w:lineRule="exact"/>
        <w:rPr>
          <w:sz w:val="20"/>
          <w:szCs w:val="20"/>
          <w:color w:val="auto"/>
        </w:rPr>
      </w:pPr>
    </w:p>
    <w:p>
      <w:pPr>
        <w:ind w:left="1880" w:right="1239" w:hanging="323"/>
        <w:spacing w:after="0" w:line="283" w:lineRule="auto"/>
        <w:tabs>
          <w:tab w:leader="none" w:pos="18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our common stock;</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 and</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current executive officers and directors as a group.</w:t>
      </w:r>
    </w:p>
    <w:p>
      <w:pPr>
        <w:spacing w:after="0" w:line="17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Under these rules, beneficial ownership includes any shares of common stock as to which the individual or entity has sole or shared voting power or investment power. Unless otherwise indicated below, to our knowledge the persons and entities named in the table have sole voting and sole investment power with respect to all shares that they beneficially owned, subject to community property laws where applicable. We have deemed shares of common stock subject to options that are currently exercisable or exercisable within 60 days of April 1, 2026 to be outstanding and to be beneficially owned by the person holding the option for the purpose of computing the percentage ownership of that person but have not treated them as outstanding for the purpose of computing the percentage ownership of any other person.</w:t>
      </w:r>
    </w:p>
    <w:p>
      <w:pPr>
        <w:spacing w:after="0" w:line="149"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Applicable percentage ownership before the offering is based on an aggregate of 483,943,602 shares of common stock deemed to be outstanding as of April 1, 2026, after giving effect to the Preferred Stock Conversion.</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Applicable percentage ownership after the offering is based on      shares of common stock assumed to be outstanding immediately after the completion of this offering (assuming the sale of shares of common stock in this</w:t>
      </w:r>
    </w:p>
    <w:p>
      <w:pPr>
        <w:spacing w:after="0" w:line="1" w:lineRule="exact"/>
        <w:rPr>
          <w:sz w:val="20"/>
          <w:szCs w:val="20"/>
          <w:color w:val="auto"/>
        </w:rPr>
      </w:pPr>
    </w:p>
    <w:p>
      <w:pPr>
        <w:jc w:val="both"/>
        <w:ind w:left="1220" w:right="1259"/>
        <w:spacing w:after="0" w:line="261" w:lineRule="auto"/>
        <w:rPr>
          <w:sz w:val="20"/>
          <w:szCs w:val="20"/>
          <w:color w:val="auto"/>
        </w:rPr>
      </w:pPr>
      <w:r>
        <w:rPr>
          <w:rFonts w:ascii="Times New Roman" w:cs="Times New Roman" w:eastAsia="Times New Roman" w:hAnsi="Times New Roman"/>
          <w:sz w:val="14"/>
          <w:szCs w:val="14"/>
          <w:color w:val="auto"/>
        </w:rPr>
        <w:t>offering based on an initial public offering price of $ per share, which is the midpoint of the price range set forth on the cover page of this prospectus, and no exercise of the underwriters’ option to purchase additional shares).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1" w:name="page202"/>
    <w:bookmarkEnd w:id="20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Unless otherwise indicated, the address for each beneficial owner listed in the table below is c/o Avalyn Pharma Inc., 105 W First Street, Boston, Massachusetts 02127.</w:t>
      </w:r>
    </w:p>
    <w:p>
      <w:pPr>
        <w:spacing w:after="0" w:line="160"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3720" w:type="dxa"/>
            <w:vAlign w:val="bottom"/>
          </w:tcPr>
          <w:p>
            <w:pPr>
              <w:spacing w:after="0"/>
              <w:rPr>
                <w:sz w:val="11"/>
                <w:szCs w:val="11"/>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9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Percentage of Shares</w:t>
            </w:r>
          </w:p>
        </w:tc>
      </w:tr>
      <w:tr>
        <w:trPr>
          <w:trHeight w:val="126"/>
        </w:trPr>
        <w:tc>
          <w:tcPr>
            <w:tcW w:w="3720" w:type="dxa"/>
            <w:vAlign w:val="bottom"/>
          </w:tcPr>
          <w:p>
            <w:pPr>
              <w:spacing w:after="0"/>
              <w:rPr>
                <w:sz w:val="10"/>
                <w:szCs w:val="10"/>
                <w:color w:val="auto"/>
              </w:rPr>
            </w:pP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9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rPr>
              <w:t>Beneficially Owned</w:t>
            </w:r>
          </w:p>
        </w:tc>
      </w:tr>
      <w:tr>
        <w:trPr>
          <w:trHeight w:val="87"/>
        </w:trPr>
        <w:tc>
          <w:tcPr>
            <w:tcW w:w="3720" w:type="dxa"/>
            <w:vAlign w:val="bottom"/>
          </w:tcPr>
          <w:p>
            <w:pPr>
              <w:spacing w:after="0"/>
              <w:rPr>
                <w:sz w:val="7"/>
                <w:szCs w:val="7"/>
                <w:color w:val="auto"/>
              </w:rPr>
            </w:pPr>
          </w:p>
        </w:tc>
        <w:tc>
          <w:tcPr>
            <w:tcW w:w="860" w:type="dxa"/>
            <w:vAlign w:val="bottom"/>
            <w:gridSpan w:val="2"/>
          </w:tcPr>
          <w:p>
            <w:pPr>
              <w:jc w:val="center"/>
              <w:ind w:right="100"/>
              <w:spacing w:after="0" w:line="87" w:lineRule="exact"/>
              <w:rPr>
                <w:sz w:val="20"/>
                <w:szCs w:val="20"/>
                <w:color w:val="auto"/>
              </w:rPr>
            </w:pPr>
            <w:r>
              <w:rPr>
                <w:rFonts w:ascii="Times New Roman" w:cs="Times New Roman" w:eastAsia="Times New Roman" w:hAnsi="Times New Roman"/>
                <w:sz w:val="10"/>
                <w:szCs w:val="10"/>
                <w:b w:val="1"/>
                <w:bCs w:val="1"/>
                <w:color w:val="auto"/>
              </w:rPr>
              <w:t>Beneficially</w:t>
            </w:r>
          </w:p>
        </w:tc>
        <w:tc>
          <w:tcPr>
            <w:tcW w:w="1140" w:type="dxa"/>
            <w:vAlign w:val="bottom"/>
            <w:gridSpan w:val="2"/>
          </w:tcPr>
          <w:p>
            <w:pPr>
              <w:jc w:val="right"/>
              <w:ind w:right="600"/>
              <w:spacing w:after="0" w:line="87" w:lineRule="exact"/>
              <w:rPr>
                <w:sz w:val="20"/>
                <w:szCs w:val="20"/>
                <w:color w:val="auto"/>
              </w:rPr>
            </w:pPr>
            <w:r>
              <w:rPr>
                <w:rFonts w:ascii="Times New Roman" w:cs="Times New Roman" w:eastAsia="Times New Roman" w:hAnsi="Times New Roman"/>
                <w:sz w:val="10"/>
                <w:szCs w:val="10"/>
                <w:b w:val="1"/>
                <w:bCs w:val="1"/>
                <w:color w:val="auto"/>
              </w:rPr>
              <w:t>Before</w:t>
            </w:r>
          </w:p>
        </w:tc>
        <w:tc>
          <w:tcPr>
            <w:tcW w:w="840" w:type="dxa"/>
            <w:vAlign w:val="bottom"/>
          </w:tcPr>
          <w:p>
            <w:pPr>
              <w:jc w:val="center"/>
              <w:spacing w:after="0" w:line="87" w:lineRule="exact"/>
              <w:rPr>
                <w:sz w:val="20"/>
                <w:szCs w:val="20"/>
                <w:color w:val="auto"/>
              </w:rPr>
            </w:pPr>
            <w:r>
              <w:rPr>
                <w:rFonts w:ascii="Times New Roman" w:cs="Times New Roman" w:eastAsia="Times New Roman" w:hAnsi="Times New Roman"/>
                <w:sz w:val="10"/>
                <w:szCs w:val="10"/>
                <w:b w:val="1"/>
                <w:bCs w:val="1"/>
                <w:color w:val="auto"/>
              </w:rPr>
              <w:t>After</w:t>
            </w:r>
          </w:p>
        </w:tc>
      </w:tr>
      <w:tr>
        <w:trPr>
          <w:trHeight w:val="135"/>
        </w:trPr>
        <w:tc>
          <w:tcPr>
            <w:tcW w:w="372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 of Beneficial Owner</w:t>
            </w:r>
          </w:p>
        </w:tc>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140" w:type="dxa"/>
            <w:vAlign w:val="bottom"/>
            <w:gridSpan w:val="2"/>
          </w:tcPr>
          <w:p>
            <w:pPr>
              <w:jc w:val="right"/>
              <w:ind w:right="560"/>
              <w:spacing w:after="0"/>
              <w:rPr>
                <w:sz w:val="20"/>
                <w:szCs w:val="20"/>
                <w:color w:val="auto"/>
              </w:rPr>
            </w:pPr>
            <w:r>
              <w:rPr>
                <w:rFonts w:ascii="Times New Roman" w:cs="Times New Roman" w:eastAsia="Times New Roman" w:hAnsi="Times New Roman"/>
                <w:sz w:val="11"/>
                <w:szCs w:val="11"/>
                <w:b w:val="1"/>
                <w:bCs w:val="1"/>
                <w:color w:val="auto"/>
              </w:rPr>
              <w:t>Offering</w:t>
            </w:r>
          </w:p>
        </w:tc>
        <w:tc>
          <w:tcPr>
            <w:tcW w:w="8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r>
      <w:tr>
        <w:trPr>
          <w:trHeight w:val="159"/>
        </w:trPr>
        <w:tc>
          <w:tcPr>
            <w:tcW w:w="37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5% or Greater Shareholders:</w:t>
            </w:r>
          </w:p>
        </w:tc>
        <w:tc>
          <w:tcPr>
            <w:tcW w:w="780" w:type="dxa"/>
            <w:vAlign w:val="bottom"/>
            <w:tcBorders>
              <w:top w:val="single" w:sz="8" w:color="auto"/>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tcBorders>
              <w:top w:val="single" w:sz="8" w:color="auto"/>
            </w:tcBorders>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spacing w:after="0"/>
              <w:rPr>
                <w:sz w:val="13"/>
                <w:szCs w:val="13"/>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F-Prime Capital Partners Healthcare Fund V LP (1)</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43,958,413</w:t>
            </w: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9.08%</w:t>
            </w:r>
          </w:p>
        </w:tc>
        <w:tc>
          <w:tcPr>
            <w:tcW w:w="840" w:type="dxa"/>
            <w:vAlign w:val="bottom"/>
          </w:tcPr>
          <w:p>
            <w:pPr>
              <w:spacing w:after="0"/>
              <w:rPr>
                <w:sz w:val="14"/>
                <w:szCs w:val="14"/>
                <w:color w:val="auto"/>
              </w:rPr>
            </w:pPr>
          </w:p>
        </w:tc>
      </w:tr>
      <w:tr>
        <w:trPr>
          <w:trHeight w:val="153"/>
        </w:trPr>
        <w:tc>
          <w:tcPr>
            <w:tcW w:w="372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Mutual Fund Series Trust, on behalf of Eventide</w:t>
            </w: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Healthcare</w:t>
            </w:r>
          </w:p>
        </w:tc>
        <w:tc>
          <w:tcPr>
            <w:tcW w:w="7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r>
      <w:tr>
        <w:trPr>
          <w:trHeight w:val="183"/>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&amp; Life Sciences Fund (2)</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24,542,548</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5.07%</w:t>
            </w:r>
          </w:p>
        </w:tc>
        <w:tc>
          <w:tcPr>
            <w:tcW w:w="840" w:type="dxa"/>
            <w:vAlign w:val="bottom"/>
            <w:shd w:val="clear" w:color="auto" w:fill="CFF0FC"/>
          </w:tcPr>
          <w:p>
            <w:pPr>
              <w:spacing w:after="0"/>
              <w:rPr>
                <w:sz w:val="15"/>
                <w:szCs w:val="15"/>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Norwest Venture Partners XV, LP (3)</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40,761,712</w:t>
            </w: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8.42%</w:t>
            </w: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Novo Holdings A/S (4)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64,031,337</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13.23%</w:t>
            </w:r>
          </w:p>
        </w:tc>
        <w:tc>
          <w:tcPr>
            <w:tcW w:w="840" w:type="dxa"/>
            <w:vAlign w:val="bottom"/>
            <w:shd w:val="clear" w:color="auto" w:fill="CFF0FC"/>
          </w:tcPr>
          <w:p>
            <w:pPr>
              <w:spacing w:after="0"/>
              <w:rPr>
                <w:sz w:val="14"/>
                <w:szCs w:val="14"/>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Perceptive Xontogeny Venture Fund II, LP (5)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43,299,534</w:t>
            </w: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8.95%</w:t>
            </w: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Entities affiliated with SR One Capital (6)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52,974,269</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10.95%</w:t>
            </w:r>
          </w:p>
        </w:tc>
        <w:tc>
          <w:tcPr>
            <w:tcW w:w="840" w:type="dxa"/>
            <w:vAlign w:val="bottom"/>
            <w:shd w:val="clear" w:color="auto" w:fill="CFF0FC"/>
          </w:tcPr>
          <w:p>
            <w:pPr>
              <w:spacing w:after="0"/>
              <w:rPr>
                <w:sz w:val="14"/>
                <w:szCs w:val="14"/>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Entities affiliated with Vida Ventures (7)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24,542,548</w:t>
            </w: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5.07%</w:t>
            </w:r>
          </w:p>
        </w:tc>
        <w:tc>
          <w:tcPr>
            <w:tcW w:w="840" w:type="dxa"/>
            <w:vAlign w:val="bottom"/>
          </w:tcPr>
          <w:p>
            <w:pPr>
              <w:spacing w:after="0"/>
              <w:rPr>
                <w:sz w:val="14"/>
                <w:szCs w:val="14"/>
                <w:color w:val="auto"/>
              </w:rPr>
            </w:pPr>
          </w:p>
        </w:tc>
      </w:tr>
      <w:tr>
        <w:trPr>
          <w:trHeight w:val="153"/>
        </w:trPr>
        <w:tc>
          <w:tcPr>
            <w:tcW w:w="372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Wellington Biomedical Innovation Master Investors</w:t>
            </w: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83"/>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(Cayman) II L.P. (8)</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24,542,548</w:t>
            </w:r>
          </w:p>
        </w:tc>
        <w:tc>
          <w:tcPr>
            <w:tcW w:w="8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5.07%</w:t>
            </w:r>
          </w:p>
        </w:tc>
        <w:tc>
          <w:tcPr>
            <w:tcW w:w="840" w:type="dxa"/>
            <w:vAlign w:val="bottom"/>
            <w:shd w:val="clear" w:color="auto" w:fill="CFF0FC"/>
          </w:tcPr>
          <w:p>
            <w:pPr>
              <w:spacing w:after="0"/>
              <w:rPr>
                <w:sz w:val="15"/>
                <w:szCs w:val="15"/>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Officers and Directors:</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Lyn Baranowski, </w:t>
            </w:r>
            <w:r>
              <w:rPr>
                <w:rFonts w:ascii="Times New Roman" w:cs="Times New Roman" w:eastAsia="Times New Roman" w:hAnsi="Times New Roman"/>
                <w:sz w:val="14"/>
                <w:szCs w:val="14"/>
                <w:i w:val="1"/>
                <w:iCs w:val="1"/>
                <w:color w:val="auto"/>
              </w:rPr>
              <w:t>Chief Executive Officer and Director</w:t>
            </w:r>
            <w:r>
              <w:rPr>
                <w:rFonts w:ascii="Times New Roman" w:cs="Times New Roman" w:eastAsia="Times New Roman" w:hAnsi="Times New Roman"/>
                <w:sz w:val="14"/>
                <w:szCs w:val="14"/>
                <w:color w:val="auto"/>
              </w:rPr>
              <w:t xml:space="preserve"> (9)</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18,640,200</w:t>
            </w:r>
          </w:p>
        </w:tc>
        <w:tc>
          <w:tcPr>
            <w:tcW w:w="8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3.71%</w:t>
            </w:r>
          </w:p>
        </w:tc>
        <w:tc>
          <w:tcPr>
            <w:tcW w:w="840" w:type="dxa"/>
            <w:vAlign w:val="bottom"/>
            <w:shd w:val="clear" w:color="auto" w:fill="CFF0FC"/>
          </w:tcPr>
          <w:p>
            <w:pPr>
              <w:spacing w:after="0"/>
              <w:rPr>
                <w:sz w:val="14"/>
                <w:szCs w:val="14"/>
                <w:color w:val="auto"/>
              </w:rPr>
            </w:pPr>
          </w:p>
        </w:tc>
      </w:tr>
      <w:tr>
        <w:trPr>
          <w:trHeight w:val="151"/>
        </w:trPr>
        <w:tc>
          <w:tcPr>
            <w:tcW w:w="3720" w:type="dxa"/>
            <w:vAlign w:val="bottom"/>
          </w:tcPr>
          <w:p>
            <w:pPr>
              <w:spacing w:after="0" w:line="151" w:lineRule="exact"/>
              <w:rPr>
                <w:sz w:val="20"/>
                <w:szCs w:val="20"/>
                <w:color w:val="auto"/>
              </w:rPr>
            </w:pPr>
            <w:r>
              <w:rPr>
                <w:rFonts w:ascii="Times New Roman" w:cs="Times New Roman" w:eastAsia="Times New Roman" w:hAnsi="Times New Roman"/>
                <w:sz w:val="14"/>
                <w:szCs w:val="14"/>
                <w:color w:val="auto"/>
              </w:rPr>
              <w:t xml:space="preserve">Douglas Carlson, </w:t>
            </w:r>
            <w:r>
              <w:rPr>
                <w:rFonts w:ascii="Times New Roman" w:cs="Times New Roman" w:eastAsia="Times New Roman" w:hAnsi="Times New Roman"/>
                <w:sz w:val="14"/>
                <w:szCs w:val="14"/>
                <w:i w:val="1"/>
                <w:iCs w:val="1"/>
                <w:color w:val="auto"/>
              </w:rPr>
              <w:t>Chief Financial Officer and Chief</w:t>
            </w:r>
            <w:r>
              <w:rPr>
                <w:rFonts w:ascii="Times New Roman" w:cs="Times New Roman" w:eastAsia="Times New Roman" w:hAnsi="Times New Roman"/>
                <w:sz w:val="14"/>
                <w:szCs w:val="14"/>
                <w:color w:val="auto"/>
              </w:rPr>
              <w:t xml:space="preserve"> (10)</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5"/>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i w:val="1"/>
                <w:iCs w:val="1"/>
                <w:color w:val="auto"/>
              </w:rPr>
              <w:t>Business Officer</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3,004,462</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54"/>
        </w:trPr>
        <w:tc>
          <w:tcPr>
            <w:tcW w:w="372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 xml:space="preserve">Melissa Rhodes, Ph.D., D.A.B.T., </w:t>
            </w:r>
            <w:r>
              <w:rPr>
                <w:rFonts w:ascii="Times New Roman" w:cs="Times New Roman" w:eastAsia="Times New Roman" w:hAnsi="Times New Roman"/>
                <w:sz w:val="14"/>
                <w:szCs w:val="14"/>
                <w:i w:val="1"/>
                <w:iCs w:val="1"/>
                <w:color w:val="auto"/>
              </w:rPr>
              <w:t>Chief Operating Officer</w:t>
            </w:r>
          </w:p>
        </w:tc>
        <w:tc>
          <w:tcPr>
            <w:tcW w:w="7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r>
      <w:tr>
        <w:trPr>
          <w:trHeight w:val="183"/>
        </w:trPr>
        <w:tc>
          <w:tcPr>
            <w:tcW w:w="37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(11)</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2,894,082</w:t>
            </w:r>
          </w:p>
        </w:tc>
        <w:tc>
          <w:tcPr>
            <w:tcW w:w="8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 xml:space="preserve">Howard Lazarus, M.D., </w:t>
            </w:r>
            <w:r>
              <w:rPr>
                <w:rFonts w:ascii="Times New Roman" w:cs="Times New Roman" w:eastAsia="Times New Roman" w:hAnsi="Times New Roman"/>
                <w:sz w:val="14"/>
                <w:szCs w:val="14"/>
                <w:i w:val="1"/>
                <w:iCs w:val="1"/>
                <w:color w:val="auto"/>
              </w:rPr>
              <w:t>Chief Medical Officer</w:t>
            </w:r>
            <w:r>
              <w:rPr>
                <w:rFonts w:ascii="Times New Roman" w:cs="Times New Roman" w:eastAsia="Times New Roman" w:hAnsi="Times New Roman"/>
                <w:sz w:val="14"/>
                <w:szCs w:val="14"/>
                <w:color w:val="auto"/>
              </w:rPr>
              <w:t xml:space="preserve"> (12)</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3,696,495</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Heather Turner (13)</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936,872</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Tiba Aynechi, Ph.D. (14)</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40,761,712</w:t>
            </w:r>
          </w:p>
        </w:tc>
        <w:tc>
          <w:tcPr>
            <w:tcW w:w="8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8.42%</w:t>
            </w: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Jill Carroll</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4"/>
                <w:szCs w:val="14"/>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Jon Congleton</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David Friedman, M.D.</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4"/>
                <w:szCs w:val="14"/>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Kate Haviland (15)</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105,658</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Gianna Hoffman-Luca, Ph.D.</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4"/>
                <w:szCs w:val="14"/>
                <w:color w:val="auto"/>
              </w:rPr>
            </w:pPr>
          </w:p>
        </w:tc>
      </w:tr>
      <w:tr>
        <w:trPr>
          <w:trHeight w:val="168"/>
        </w:trPr>
        <w:tc>
          <w:tcPr>
            <w:tcW w:w="3720" w:type="dxa"/>
            <w:vAlign w:val="bottom"/>
          </w:tcPr>
          <w:p>
            <w:pPr>
              <w:spacing w:after="0"/>
              <w:rPr>
                <w:sz w:val="20"/>
                <w:szCs w:val="20"/>
                <w:color w:val="auto"/>
              </w:rPr>
            </w:pPr>
            <w:r>
              <w:rPr>
                <w:rFonts w:ascii="Times New Roman" w:cs="Times New Roman" w:eastAsia="Times New Roman" w:hAnsi="Times New Roman"/>
                <w:sz w:val="14"/>
                <w:szCs w:val="14"/>
                <w:color w:val="auto"/>
              </w:rPr>
              <w:t>Erin Lavelle (16)</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739,608</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7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Ketan Patel, M.D.</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FF0FC"/>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spacing w:after="0"/>
              <w:rPr>
                <w:sz w:val="14"/>
                <w:szCs w:val="14"/>
                <w:color w:val="auto"/>
              </w:rPr>
            </w:pPr>
          </w:p>
        </w:tc>
      </w:tr>
      <w:tr>
        <w:trPr>
          <w:trHeight w:val="153"/>
        </w:trPr>
        <w:tc>
          <w:tcPr>
            <w:tcW w:w="3720" w:type="dxa"/>
            <w:vAlign w:val="bottom"/>
          </w:tcPr>
          <w:p>
            <w:pPr>
              <w:spacing w:after="0" w:line="153" w:lineRule="exact"/>
              <w:rPr>
                <w:sz w:val="20"/>
                <w:szCs w:val="20"/>
                <w:color w:val="auto"/>
              </w:rPr>
            </w:pPr>
            <w:r>
              <w:rPr>
                <w:rFonts w:ascii="Times New Roman" w:cs="Times New Roman" w:eastAsia="Times New Roman" w:hAnsi="Times New Roman"/>
                <w:sz w:val="14"/>
                <w:szCs w:val="14"/>
                <w:color w:val="auto"/>
              </w:rPr>
              <w:t>All executive officers and directors as a group</w:t>
            </w: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183"/>
        </w:trPr>
        <w:tc>
          <w:tcPr>
            <w:tcW w:w="37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(13 persons) (17)</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70,779,089</w:t>
            </w:r>
          </w:p>
        </w:tc>
        <w:tc>
          <w:tcPr>
            <w:tcW w:w="8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13.77%</w:t>
            </w:r>
          </w:p>
        </w:tc>
        <w:tc>
          <w:tcPr>
            <w:tcW w:w="84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66675</wp:posOffset>
            </wp:positionV>
            <wp:extent cx="640715" cy="698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113" w:lineRule="exact"/>
        <w:rPr>
          <w:sz w:val="20"/>
          <w:szCs w:val="20"/>
          <w:color w:val="auto"/>
        </w:rPr>
      </w:pPr>
    </w:p>
    <w:p>
      <w:pPr>
        <w:ind w:left="1440" w:hanging="216"/>
        <w:spacing w:after="0"/>
        <w:tabs>
          <w:tab w:leader="none" w:pos="1440" w:val="left"/>
        </w:tabs>
        <w:numPr>
          <w:ilvl w:val="0"/>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beneficial ownership of less than 1%.</w:t>
      </w:r>
    </w:p>
    <w:p>
      <w:pPr>
        <w:spacing w:after="0" w:line="175" w:lineRule="exact"/>
        <w:rPr>
          <w:rFonts w:ascii="Times New Roman" w:cs="Times New Roman" w:eastAsia="Times New Roman" w:hAnsi="Times New Roman"/>
          <w:sz w:val="14"/>
          <w:szCs w:val="14"/>
          <w:color w:val="auto"/>
        </w:rPr>
      </w:pPr>
    </w:p>
    <w:p>
      <w:pPr>
        <w:jc w:val="both"/>
        <w:ind w:left="1220" w:right="1239" w:firstLine="337"/>
        <w:spacing w:after="0" w:line="253" w:lineRule="auto"/>
        <w:tabs>
          <w:tab w:leader="none" w:pos="1872" w:val="left"/>
        </w:tabs>
        <w:numPr>
          <w:ilvl w:val="1"/>
          <w:numId w:val="1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14,000,000 shares of common stock issuable upon conversion of Series A preferred stock held by F-Prime Capital Partners Healthcare Fund V LP, or F-Prime, (ii) 1,544,953 shares of common stock issuable upon conversion of Series B preferred stock held by F-Prime, (iii) 16,795,477 shares of common stock issuable upon conversion of Series C-1 preferred stock held by F-Prime, (iv) 4,345,612 shares of common stock issuable upon conversion of Series C-2 preferred stock held by F-Prime, and (v) 7,272,371 shares of common stock issuable upon conversion of Series D preferred stock held by F-Prime. F-Prime Capital Partners Healthcare Advisors Fund V LP is the general partner of F-Prime. F-Prime Capital Partners Healthcare Advisors Fund V LP is solely managed by Impresa Management LLC, the managing member of its general partner and its investment manager. Impresa Management LLC is owned, directly or indirectly, by various shareholders and employees of FMR LLC. Impresa Management LLC is managed on a day-to-day basis by its President, Suzanne Streeter, and as such, Ms. Streeter may be deemed to have voting and dispositive power with respect to all shares held by the above entities. The individual and each of the entities listed above expressly disclaims beneficial ownership of the securities listed above except to the extent of any pecuniary interest therein. The address of these entities is 245 Summer Street, Boston, Massachusetts 02210.</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2" w:name="page203"/>
    <w:bookmarkEnd w:id="20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7"/>
        <w:spacing w:after="0" w:line="254" w:lineRule="auto"/>
        <w:tabs>
          <w:tab w:leader="none" w:pos="175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20,482,289 shares of common stock issuable upon conversion of Series C-1 preferred shares held by Mutual Fund Series Trust, on behalf of Eventide Healthcare &amp; Life Sciences Fund (the “Eventide Fund”), and (ii) 4,060,259 shares of common stock issuable upon conversion of Series D preferred shares held by the Eventide Fund. Eventide Asset Management, LLC (“Eventide Management”), is investment adviser to the Eventide Fund and may be deemed to have voting and investment power over the shares held by the Eventide Fund. Robin C. John is Chief Executive Officer of Eventide Management and Finny Kuruvilla, MD, PhD, is a Co-Chief Investment Officer and Managing Director of Eventide Management. In their corporate capacity for Eventide Management, Mr. John and Dr. Kuruvilla hold voting and/or dispositive power over shares held by the Eventide Fund. Eventide Management, Mr. John and Dr. Kuruvilla disclaim beneficial ownership of the shares held by the Eventide Fund, except to the extent of their respective pecuniary interests therein. The address for the Eventide Fund is Mutual Fund Series Trust, 4221 North 203rd Street, Suite 100, Elkhorn, Nebraska 68022.</w:t>
      </w:r>
    </w:p>
    <w:p>
      <w:pPr>
        <w:spacing w:after="0" w:line="144" w:lineRule="exact"/>
        <w:rPr>
          <w:rFonts w:ascii="Times New Roman" w:cs="Times New Roman" w:eastAsia="Times New Roman" w:hAnsi="Times New Roman"/>
          <w:sz w:val="14"/>
          <w:szCs w:val="14"/>
          <w:color w:val="auto"/>
        </w:rPr>
      </w:pPr>
    </w:p>
    <w:p>
      <w:pPr>
        <w:jc w:val="both"/>
        <w:ind w:left="1220" w:right="1239" w:firstLine="337"/>
        <w:spacing w:after="0" w:line="253" w:lineRule="auto"/>
        <w:tabs>
          <w:tab w:leader="none" w:pos="176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12,712,762 shares of common stock issuable upon conversion of Series B preferred stock held by Norwest Venture Partners XV, LP, or Norwest, (ii) 17,751,317 shares of common stock issuable upon conversion of Series C-1 preferred stock held by Norwest, (iii) 3,554,116 shares of common stock issuable upon conversion of Series C-2 preferred stock held by Norwest, and (iv) 6,743,517 shares of common stock issuable upon conversion of Series D preferred stock held by Norwest. Genesis VC Partners XV, LLC, or Genesis XV, is the general partner of NVP XV and NVP Associates, LLC, or NVP Associates, is the managing member of Genesis XV. Genesis XV, NVP Associates and Jeffrey Crowe and Jon E. Kossow, as co-chief executive officers of NVP Associates, and Tiba Aynechi, Ph.D., as an officer of NVP Associates and director of the Company, may be deemed to share voting and dispositive power over the shares held by NVP XV. Each of Genesis XV, NVP Associates, Messrs. Crowe and Kossow and Dr. Aynechi disclaims beneficial ownership of the securities held by NVP XV, except to the extent of its, his or her respective pecuniary interest therein. The address of the foregoing entities and individuals is 1300 El Camino Real, Suite 200 Menlo Park, California 94025.</w:t>
      </w:r>
    </w:p>
    <w:p>
      <w:pPr>
        <w:spacing w:after="0" w:line="150" w:lineRule="exact"/>
        <w:rPr>
          <w:rFonts w:ascii="Times New Roman" w:cs="Times New Roman" w:eastAsia="Times New Roman" w:hAnsi="Times New Roman"/>
          <w:sz w:val="14"/>
          <w:szCs w:val="14"/>
          <w:color w:val="auto"/>
        </w:rPr>
      </w:pPr>
    </w:p>
    <w:p>
      <w:pPr>
        <w:jc w:val="both"/>
        <w:ind w:left="1220" w:right="1239" w:firstLine="337"/>
        <w:spacing w:after="0" w:line="255" w:lineRule="auto"/>
        <w:tabs>
          <w:tab w:leader="none" w:pos="1762"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18,000,000 shares of common stock issuable upon conversion of Series A preferred stock held directly by Novo Holdings A/S, or Novo, (ii) 1,986,369 shares of common stock issuable upon conversion of Series B preferred stock held by Novo, (iii) 25,899,284 shares of common stock issuable upon conversion of Series C-1 preferred stock held by Novo, (iv) 5,587,603 shares of common stock issuable upon conversion of Series C-2 preferred stock held by Novo, and (v) 12,558,081 shares of common stock issuable upon conversion of Series D preferred stock held by Novo. Novo has the sole power to vote and dispose of the shares, and no individual or other entity is deemed to hold any beneficial ownership in the shares. The address of Novo is Tuborg Havnevej 19, 2900 Hellerup, Denmark.</w:t>
      </w:r>
    </w:p>
    <w:p>
      <w:pPr>
        <w:spacing w:after="0" w:line="145" w:lineRule="exact"/>
        <w:rPr>
          <w:rFonts w:ascii="Times New Roman" w:cs="Times New Roman" w:eastAsia="Times New Roman" w:hAnsi="Times New Roman"/>
          <w:sz w:val="14"/>
          <w:szCs w:val="14"/>
          <w:color w:val="auto"/>
        </w:rPr>
      </w:pPr>
    </w:p>
    <w:p>
      <w:pPr>
        <w:jc w:val="both"/>
        <w:ind w:left="1220" w:right="1239" w:firstLine="337"/>
        <w:spacing w:after="0" w:line="257" w:lineRule="auto"/>
        <w:tabs>
          <w:tab w:leader="none" w:pos="1755"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34,137,149 shares of common stock issuable upon conversion of Series C-1 preferred stock held by Perceptive Xontogeny Venture Fund II, LP, or Perceptive, and (ii) 9,162,385 shares of common stock issuable upon conversion of Series D preferred stock held by Perceptive. Perceptive Venture Advisors, LLC is the investment advisor to Perceptive and is an affiliate of Perceptive Advisors, LLC. Joseph Edelman serves as the managing member of Perceptive Advisors, LLC. The address of the foregoing entities is c/o Perceptive Advisors, LLC, 51 Astor Place, 10th Floor, New York, New York 10003.</w:t>
      </w:r>
    </w:p>
    <w:p>
      <w:pPr>
        <w:spacing w:after="0" w:line="143" w:lineRule="exact"/>
        <w:rPr>
          <w:rFonts w:ascii="Times New Roman" w:cs="Times New Roman" w:eastAsia="Times New Roman" w:hAnsi="Times New Roman"/>
          <w:sz w:val="14"/>
          <w:szCs w:val="14"/>
          <w:color w:val="auto"/>
        </w:rPr>
      </w:pPr>
    </w:p>
    <w:p>
      <w:pPr>
        <w:jc w:val="both"/>
        <w:ind w:left="1220" w:right="1239" w:firstLine="337"/>
        <w:spacing w:after="0" w:line="253" w:lineRule="auto"/>
        <w:tabs>
          <w:tab w:leader="none" w:pos="1886" w:val="left"/>
        </w:tabs>
        <w:numPr>
          <w:ilvl w:val="0"/>
          <w:numId w:val="1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27,309,719 shares of common stock issuable upon conversion of Series C-1 preferred stock held by SR One Capital Fund II Aggregator, LP, or SR One Capital Fund, (ii) 9,418,561 shares of common stock issuable upon conversion of Series D preferred shares held by SR One Capital Fund, (iii) 6,827,429 shares of common stock issuable upon conversion of Series C-1 preferred stock held by AMZL, LP, or AMZL, and (iv) 9,418,560 shares of common stock issuable upon conversion of Series D preferred stock held by AMZL. SR One Capital Fund is directly controlled by its general partner, SR One Capital Partners II, LP, or SR One Capital Partners. AMZL is directly controlled by its general partner, SR One Capital SMA Partners, LP, or SMA Partners. SMA Partners and SR One Capital Partners are directly controlled by their general partners, SR One Capital Management, LLC, or SR One Capital Management, and Simeon George, M.D. controls SR One Capital Management. Accordingly, each of SR One Capital Management and Simeon George, M.D. may be deemed to have voting and dispositive power with respect to the shares held of record by SR One Fund II Aggregator and AMZL. Jill Carroll is a partner at SR One Capital Management, LP and is a member of our board of directors, but does not have voting and investment power over any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3" w:name="page204"/>
    <w:bookmarkEnd w:id="20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spacing w:after="0" w:line="283" w:lineRule="auto"/>
        <w:rPr>
          <w:sz w:val="20"/>
          <w:szCs w:val="20"/>
          <w:color w:val="auto"/>
        </w:rPr>
      </w:pPr>
      <w:r>
        <w:rPr>
          <w:rFonts w:ascii="Times New Roman" w:cs="Times New Roman" w:eastAsia="Times New Roman" w:hAnsi="Times New Roman"/>
          <w:sz w:val="14"/>
          <w:szCs w:val="14"/>
          <w:color w:val="auto"/>
        </w:rPr>
        <w:t>of the above-referenced shares held directly by SR One Capital Fund or AMZL. The address of the foregoing entities and individuals is 929 Main Street, Suite 200, Redwood City, California 94063.</w:t>
      </w:r>
    </w:p>
    <w:p>
      <w:pPr>
        <w:spacing w:after="0" w:line="125" w:lineRule="exact"/>
        <w:rPr>
          <w:sz w:val="20"/>
          <w:szCs w:val="20"/>
          <w:color w:val="auto"/>
        </w:rPr>
      </w:pPr>
    </w:p>
    <w:p>
      <w:pPr>
        <w:jc w:val="both"/>
        <w:ind w:left="1220" w:right="1239" w:firstLine="337"/>
        <w:spacing w:after="0" w:line="253" w:lineRule="auto"/>
        <w:tabs>
          <w:tab w:leader="none" w:pos="1886"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20,435,180 shares of common stock issuable upon conversion of Series C-1 preferred shares held by Vida Ventures III, LP, or Vida III, (ii) 4,050,920 shares of common stock issuable upon conversion of Series D preferred shares held by Vida III, (iii) 47,109 shares of common stock issuable upon conversion of Series C-1 preferred shares held by Vida Ventures III-A, LP, or Vida III-A, and together, the Vida Funds, and (iv) 9,339 shares of common stock issuable upon conversion of Series D preferred shares held by Vida III-A. Vida Ventures GP III, L.L.C., or Vida III GP, is the general partner of each of the Vida Funds and may be deemed to have voting and investment power over the shares held by the Vida Funds. Arie Belldegrun, Helen Kim and Rajul Jain are the members of the investment committee of Vida III GP (each, a “Vida III Investment Committee Member” and such committee, the “Vida III Investment Committee”). The Vida III Investment Committee and each of the Vida III Investment Committee Members may be deemed to share voting, investment and dispositive power with respect to these securities. Each of Vida III GP, the Vida III Investment Committee and each of the Vida III Investment Committee Members disclaims beneficial ownership of the securities held of record by Vida III and Vida III-A, except to the extent of their pecuniary interest therein, if any. The business address of the foregoing parties is 10100 Santa Monica Boulevard, Suite 1500, Los Angeles, California 90067.</w:t>
      </w:r>
    </w:p>
    <w:p>
      <w:pPr>
        <w:spacing w:after="0" w:line="147" w:lineRule="exact"/>
        <w:rPr>
          <w:rFonts w:ascii="Times New Roman" w:cs="Times New Roman" w:eastAsia="Times New Roman" w:hAnsi="Times New Roman"/>
          <w:sz w:val="14"/>
          <w:szCs w:val="14"/>
          <w:color w:val="auto"/>
        </w:rPr>
      </w:pPr>
    </w:p>
    <w:p>
      <w:pPr>
        <w:jc w:val="both"/>
        <w:ind w:left="1220" w:right="1239" w:firstLine="337"/>
        <w:spacing w:after="0" w:line="261" w:lineRule="auto"/>
        <w:tabs>
          <w:tab w:leader="none" w:pos="1752" w:val="left"/>
        </w:tabs>
        <w:numPr>
          <w:ilvl w:val="1"/>
          <w:numId w:val="1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20,482,289 shares of common stock issuable upon conversion of Series C-1 preferred shares held by Wellington Biomedical Innovation Master Investors (Cayman) II L.P., or Wellington Biomedical Fund, and</w:t>
      </w:r>
    </w:p>
    <w:p>
      <w:pPr>
        <w:jc w:val="both"/>
        <w:ind w:left="1220" w:right="1239" w:firstLine="4"/>
        <w:spacing w:after="0" w:line="251" w:lineRule="auto"/>
        <w:tabs>
          <w:tab w:leader="none" w:pos="1441" w:val="left"/>
        </w:tabs>
        <w:numPr>
          <w:ilvl w:val="0"/>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4,060,259 shares of common stock issuable upon conversion of Series D preferred shares held by Wellington Biomedical Fund. Wellington Management Company LLP, a registered investment adviser under the Investment Advisers Act of 1940, as amended, is the investment adviser to Wellington Biomedical Fund, and Wellington Biomedical Innovation II GP L.P. is its general partner. Wellington Management Company LLP, or WMC, is an indirect subsidiary of Wellington Management Group LLP, or WMG. WMG and WMC may be deemed beneficial owners with shared voting and investment power over the shares held by Wellington Biomedical Fund. WMG is a Massachusetts limited liability partnership that, as of July 1, 2025, is privately held by 181 partners. There are no entities with any ownership interest in WMG. No single partner owns or has the right to vote more than 5% of WMG’s capital. Additional information about WMC is available in its Form ADV filed with the SEC. The address of all entities referenced in this footnote is 280 Congress Street, Boston, Massachusetts 02210.</w:t>
      </w:r>
    </w:p>
    <w:p>
      <w:pPr>
        <w:spacing w:after="0" w:line="151"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754"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18,640,200 shares of common stock underlying outstanding stock options that are immediately exercisable within 60 days of April 1, 2026.</w:t>
      </w:r>
    </w:p>
    <w:p>
      <w:pPr>
        <w:spacing w:after="0" w:line="124"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824"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3,004,462 shares of common stock underlying outstanding stock options that are immediately exercisable within 60 days of April 1, 2026.</w:t>
      </w:r>
    </w:p>
    <w:p>
      <w:pPr>
        <w:spacing w:after="0" w:line="124"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824"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2,894,082 shares of common stock underlying outstanding stock options that are immediately exercisable within 60 days of April 1, 2026.</w:t>
      </w:r>
    </w:p>
    <w:p>
      <w:pPr>
        <w:spacing w:after="0" w:line="124"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824"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3,696,495 shares of common stock underlying outstanding stock options that are immediately exercisable within 60 days of April 1, 2026.</w:t>
      </w:r>
    </w:p>
    <w:p>
      <w:pPr>
        <w:spacing w:after="0" w:line="124"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832"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936,872 shares of common stock underlying outstanding stock options that are immediately exercisable within 60 days of April 1, 2026.</w:t>
      </w:r>
    </w:p>
    <w:p>
      <w:pPr>
        <w:spacing w:after="0" w:line="124"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839"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shares described in footnote (3) above. Dr. Aynechi disclaims beneficial ownership of such shares except to the extent of her pecuniary interest therein, if any.</w:t>
      </w:r>
    </w:p>
    <w:p>
      <w:pPr>
        <w:spacing w:after="0" w:line="124"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832"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105,658 shares of common stock underlying outstanding stock options that are immediately exercisable within 60 days of April 1, 2026.</w:t>
      </w:r>
    </w:p>
    <w:p>
      <w:pPr>
        <w:spacing w:after="0" w:line="124" w:lineRule="exact"/>
        <w:rPr>
          <w:rFonts w:ascii="Times New Roman" w:cs="Times New Roman" w:eastAsia="Times New Roman" w:hAnsi="Times New Roman"/>
          <w:sz w:val="14"/>
          <w:szCs w:val="14"/>
          <w:color w:val="auto"/>
        </w:rPr>
      </w:pPr>
    </w:p>
    <w:p>
      <w:pPr>
        <w:ind w:left="1220" w:right="1239" w:firstLine="337"/>
        <w:spacing w:after="0" w:line="283" w:lineRule="auto"/>
        <w:tabs>
          <w:tab w:leader="none" w:pos="1832" w:val="left"/>
        </w:tabs>
        <w:numPr>
          <w:ilvl w:val="1"/>
          <w:numId w:val="1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739,608 shares of common stock underlying outstanding stock options that are immediately exercisable within 60 days of April 1, 2026.</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4" w:name="page205"/>
    <w:bookmarkEnd w:id="20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firstLine="337"/>
        <w:spacing w:after="0" w:line="283" w:lineRule="auto"/>
        <w:tabs>
          <w:tab w:leader="none" w:pos="1875" w:val="left"/>
        </w:tabs>
        <w:numPr>
          <w:ilvl w:val="0"/>
          <w:numId w:val="1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30,017,377 shares of common stock underlying outstanding stock options that are immediately exercisable within 60 days of April 1, 2026.</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Other Investors</w:t>
      </w:r>
    </w:p>
    <w:p>
      <w:pPr>
        <w:spacing w:after="0" w:line="177"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addition to the foregoing investors, our current investors include: Catalio Capital Management; RiverVest Venture Partners; Pivotal bioVenture Partners; TPG Biotech; Suvretta Capital Management; Hamilton Square Partners Management; Rock Springs Capital; Surveyor Capital (a Citadel Company); funds and accounts advised by T. Rowe Price Associates, Inc.; and Piper Heartland. These investors are not currently beneficial owners of 5% or more of our common stock, but may become so in the future. If any of these investors were to exceed the 5% beneficial ownership threshold, they would become subject to beneficial ownership reporting requirements under Section 13 of the Exchange Act. Until that time, they will not be obligated to provide updated information with respect to their investments, and we do not have any plans to inform investors about any changes these entities make with respect to their investments in the Company.</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5" w:name="page206"/>
    <w:bookmarkEnd w:id="20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DESCRIPTION OF CAPITAL STOCK</w:t>
      </w:r>
    </w:p>
    <w:p>
      <w:pPr>
        <w:spacing w:after="0" w:line="26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following description of our capital stock and certain provisions of our amended and restated certificate of incorporation and amended and restated bylaws are summaries and are qualified by reference to the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Copies of these documents have been filed with the SEC as exhibits to our registration statement of which this prospectus forms a part. The descriptions of the common stock and preferred stock reflect changes to our capital structure that will be in effect on the completion of this offering.</w:t>
      </w:r>
    </w:p>
    <w:p>
      <w:pPr>
        <w:spacing w:after="0" w:line="14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Upon filing of our amended and restated certificate of incorporation and the completion of this offering, our authorized capital stock will consist of 700,000,000 shares of common stock, par value $0.001 per share, including</w:t>
      </w:r>
    </w:p>
    <w:p>
      <w:pPr>
        <w:spacing w:after="0" w:line="1" w:lineRule="exact"/>
        <w:rPr>
          <w:sz w:val="20"/>
          <w:szCs w:val="20"/>
          <w:color w:val="auto"/>
        </w:rPr>
      </w:pPr>
    </w:p>
    <w:p>
      <w:pPr>
        <w:jc w:val="both"/>
        <w:ind w:left="1220" w:right="1239" w:firstLine="4"/>
        <w:spacing w:after="0" w:line="256" w:lineRule="auto"/>
        <w:tabs>
          <w:tab w:leader="none" w:pos="1415" w:val="left"/>
        </w:tabs>
        <w:numPr>
          <w:ilvl w:val="0"/>
          <w:numId w:val="1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500,000,000 shares of voting common stock and (ii) 200,000,000 shares of non-voting common stock, and 10,000,000 shares of preferred stock, par value $0.001 per share, all of which shares of preferred stock will be undesignated.</w:t>
      </w:r>
    </w:p>
    <w:p>
      <w:pPr>
        <w:spacing w:after="0" w:line="14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As of December 31, 2025, there were 483,842,421 shares of common stock outstanding, assuming the Preferred Stock Conversion, held of record by 163 stockholders.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Voting Common Stock and Non-Voting Common Stock</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will have two series of common stock authorized immediately following this offering: voting common stock and non-voting common stock. We are offering shares of voting common stock in this offering and unless otherwise noted or context otherwise requires, all references in this prospectus to our “common stock” refer to our voting common stock. The non-voting common stock will not be listed for trading on any securities exchange. Immediately after consummation of this offering, no shares of non-voting common stock will be outstanding, and we have no present intention to issue any shares of non-voting common stock.</w:t>
      </w:r>
    </w:p>
    <w:p>
      <w:pPr>
        <w:spacing w:after="0" w:line="59"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holders of our common stock and non-voting common stock have identical rights, provided that, (i) except as otherwise expressly provided in our amended and restated certificate of incorporation or as required by applicable law, on any matter that is submitted to a vote by our stockholders, holders of our voting common stock are entitled to one vote per share of common stock, and holders of our non-voting common stock are not entitled to any votes per share of non-voting common stock, including for the election of directors, and (ii) holders of our voting common stock have no conversion rights, while holders of our non-voting common stock shall have the right to convert each share of our non-voting common stock into one share of voting common stock at such holder’s election, provided that as a result of such conversion, such holder, together with its affiliates and any members of a Schedule 13(d) group with such holder, would not beneficially own in excess of 9.99% of our common stock immediately prior to and following such conversion, unless otherwise as expressly provided for in our Amended and Restated Certificate of Incorporation. However, this ownership limitation may be increased or decreased to any other percentage (not to exceed 19.99%) designated by such holder of non-voting common stock upon 61 days’ notice to us.</w:t>
      </w:r>
    </w:p>
    <w:p>
      <w:pPr>
        <w:spacing w:after="0" w:line="6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Holders of our voting common stock and non-voting common stock are entitled to receive ratably any dividends declared by our board of directors out of funds legally available for that purpose, subject to any preferential dividend rights of any outstanding preferred stock or our amended and restated certificate of incorporation. Our voting common stock and non-voting common stock have no preemptive rights, conversion rights, or other subscription rights or redemption or sinking fund provisions.</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subject to our amended and restated certificate of incorporation. The shares to be issued by us in this offering will be, when issued and paid for, validly issued, fully paid and non-assessable.</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6" w:name="page207"/>
    <w:bookmarkEnd w:id="20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Immediately prior to the completion of this offering, all outstanding shares of our convertible preferred stock will be converted into shares of our common stock. Upon the consummation of this offering, our board of directors will have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Immediately after consummation of this offering, no shares of preferred stock will be outstanding, and we have no present plan to issue any shares of preferred stock.</w:t>
      </w:r>
    </w:p>
    <w:p>
      <w:pPr>
        <w:spacing w:after="0" w:line="2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Stock Options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As of December 31, 2025, 73,410,032 shares of common stock were issuable upon the exercise of outstanding stock options under the 2022 Plan, at a weighted-average exercise price of $0.25 per share, and 5,269,073 shares of common stock were issuable upon the exercise of outstanding stock options under the 2012 Plan, at a weighted-average exercise price of $0.28 per share; no shares of common stock were issuable upon exercise of outstanding stock options outside of our 2012 Plan and 2022 Plan; and        shares of our common stock will be reserved for future issuance under the 2026 Plan, which will become effective once the registration statement of which this prospectus forms a part is declared effective, as well as any future automatic annual increases in the number of shares of common stock reserved for issuance under the 2026 Plan and any shares underlying outstanding stock awards granted under the 2012 Plan or 2022 Plan, that expire or are repurchased, forfeited, cancelled, or withheld. For additional information regarding terms of our equity incentive plans, see the section titled “Executive Compensation—Employee Incentive Plans.”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Upon the completion of this offering and subject to the lock-up agreements entered into in connection with this offering and federal securities laws, certain holders of shares of our common stock, including those shares of our common stock that will be issued upon the Preferred Stock Conversion in connection with this offering, will initially be entitled to certain rights with respect to registration of such shares under the Securities Act. These shares are referred to as registrable securities. The holders of these registrable securities will possess these registration rights pursuant to the terms of our amended and restated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all registration expenses, other than underwriting discounts, selling commissions and stock transfer taxes, of the shares registered pursuant to the demand, piggyback and Form S-3 registrations described below.</w:t>
      </w:r>
    </w:p>
    <w:p>
      <w:pPr>
        <w:spacing w:after="0" w:line="14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four years after the completion of this offering.</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Demand Registration Rights</w:t>
      </w:r>
    </w:p>
    <w:p>
      <w:pPr>
        <w:spacing w:after="0" w:line="93" w:lineRule="exact"/>
        <w:rPr>
          <w:sz w:val="20"/>
          <w:szCs w:val="20"/>
          <w:color w:val="auto"/>
        </w:rPr>
      </w:pPr>
    </w:p>
    <w:p>
      <w:pPr>
        <w:ind w:left="1560"/>
        <w:spacing w:after="0"/>
        <w:tabs>
          <w:tab w:leader="none" w:pos="5180" w:val="left"/>
        </w:tabs>
        <w:rPr>
          <w:sz w:val="20"/>
          <w:szCs w:val="20"/>
          <w:color w:val="auto"/>
        </w:rPr>
      </w:pPr>
      <w:r>
        <w:rPr>
          <w:rFonts w:ascii="Times New Roman" w:cs="Times New Roman" w:eastAsia="Times New Roman" w:hAnsi="Times New Roman"/>
          <w:sz w:val="14"/>
          <w:szCs w:val="14"/>
          <w:color w:val="auto"/>
        </w:rPr>
        <w:t>Upon the completion of this offering, holders of</w:t>
      </w:r>
      <w:r>
        <w:rPr>
          <w:sz w:val="20"/>
          <w:szCs w:val="20"/>
          <w:color w:val="auto"/>
        </w:rPr>
        <w:tab/>
      </w:r>
      <w:r>
        <w:rPr>
          <w:rFonts w:ascii="Times New Roman" w:cs="Times New Roman" w:eastAsia="Times New Roman" w:hAnsi="Times New Roman"/>
          <w:sz w:val="14"/>
          <w:szCs w:val="14"/>
          <w:color w:val="auto"/>
        </w:rPr>
        <w:t>shares of our common stock, including those</w:t>
      </w:r>
    </w:p>
    <w:p>
      <w:pPr>
        <w:spacing w:after="0" w:line="22"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4"/>
          <w:szCs w:val="14"/>
          <w:color w:val="auto"/>
        </w:rPr>
        <w:t>issuable upon the Preferred Stock Conversion, will be entitled to certain demand registration rights pursuant to that certain investors’ rights agreement, by and between us and the investors party thereto, dated as of April 25, 2025, or the investors’ rights agreement. At any time beginning 180 days after the completion of this offering, the holders of at least 25% of these registrable securities may request that we register all or a portion of their shares. We are not required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7" w:name="page208"/>
    <w:bookmarkEnd w:id="20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4"/>
          <w:szCs w:val="14"/>
          <w:color w:val="auto"/>
        </w:rPr>
        <w:t>to effect more than two registration statements which are declared or ordered effective pursuant to these demand registration rights. Such request for registration must cover shares with an anticipated aggregate offering price of at least $5 million, net of any underwriting discounts, selling commissions and other related expenses. With certain exceptions, we are not required to effect the filing of a registration statement during the period starting with the date of the filing of, and ending on a date 60 days following the effective date of the registration statement for this offering.</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Piggyback Registration Rights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connection with this offering, holders of         shares of our common stock, including those issuable upon the Preferred Stock Conversion, were entitled to, and the necessary percentage of holders waived, their rights to notice of this offering and to include their shares of registrable securities in this offering pursuant to the investors’ rights agreement. After this offering, in the event that we propose to register any of our securities under the Securities Act, either for our own account or for the account of other security holders, the holders of these registrable securities will be entitled to certain piggyback registration rights allowing such holders to include their shares in such registration, subject to certain marketing and other limitations.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Form S-3 Registration Rights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Upon the completion of this offering, holders of         shares of our common stock, including those issuable upon the Preferred Stock Conversion, will be entitled to certain Form S-3 registration rights pursuant to the investors’ rights agreement. Holders of at least 15% of these registrable securities can make a request that we register their shares on Form S-3 if we are qualified to file a registration statement on Form S-3 (which qualification may occur no sooner than twelve calendar months after the date of this offering) and if the reasonably anticipated aggregate net proceeds of the shares offered would equal or exceed $5 million, net of any underwriting discounts, selling commissions and other related expenses. We will not be required to effect more than two registrations on Form S-3 within any twelve-month period. The right to have such shares registered on Form S-3 is further subject to other specified conditions and limitations.</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Expiration of Registration Rights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demand registration rights and Form S-3 registration rights granted under our investor rights agreement’ will terminate upon the earliest of (i) the closing of a “Deemed Liquidation Event,” as such term is defined in our amended and restated certificate of incorporation (as currently in effect), (ii) such date after the completion of this offering when each holder may immediately sell all registrable securities held by such holder pursuant to Rule 144 of the Securities Act without any volume limitations, or another similar exemption, during any three month period without registration, and (iii) the fifth anniversary of the completion of this offering.</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Anti-Takeover Effects of Our Certificate of Incorporation and Bylaws and Delaware Law</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Board Composition and Filling Vacancies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for the division of our board of directors into three classes serving staggered three-year terms, with one class being elected each year. Our amended and restated certificate of incorporation also will provide that directors may be removed only for cause and then only by the affirmative vote of the holders of two-thirds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8" w:name="page209"/>
    <w:bookmarkEnd w:id="20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treatment of vacancies, has the effect of making it more difficult for stockholders to change the composition of our board of directors.</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No Written Consent of Stockholders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amended and restated bylaws or removal of directors by our stockholders without holding a meeting of stockholders.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Meetings of Stockholders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will provide that only a majority of the members of our board of directors then in office may call special meetings of stockholders and only those matters set forth in the notice of the special meeting may be considered or acted upon at a special meeting of stockholders. Our amended and restated bylaws will limit the business that may be conducted at an annual meeting of stockholders to those matters properly brought before the meeting.</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Advance Notice Requirements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amended and restated bylaws will establish advance notice procedures with regard to stockholder proposals relating to the nomination of candidates for election as directors or new business to be brought before meetings of our stockholders. These procedures will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amended and restated bylaws will specify the requirements as to form and content of all stockholders’ notices. These requirements may preclude stockholders from bringing matters before the stockholders at an annual or special meeting.</w:t>
      </w:r>
    </w:p>
    <w:p>
      <w:pPr>
        <w:spacing w:after="0" w:line="2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Amendment to Certificate of Incorporation and Bylaws</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Any amendment to our amended and restated certificate of incorporation must first be approved by a majority of our board of directors and, if required by law or our amended and restated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and limitation of liability must be approved by not less than two-thirds of the outstanding shares entitled to vote on the amendment, and not less than two-thirds of the outstanding shares of each class entitled to vote thereon as a class. Our amended and restated bylaws may be amended by the affirmative vote of a majority of the directors then in office, subject to any limitations set forth in the amended and restated bylaws; and may also be amended by the affirmative vote of a majority of the outstanding shares entitled to vote on the amendment, voting together as a single class, except that the amendment of the provisions relating to notice of stockholder business and nominations and special meetings must be approved by not less than two-thirds of the outstanding shares entitled to vote on the amendment, and not less than two-thirds of the outstanding shares of each class entitled to vote thereon as a class, or, if our board of directors recommends that the stockholders approve the amendment, by the affirmative vote of the majority of the outstanding shares entitled to vote on the amendment, in each case voting together as a single class.</w:t>
      </w:r>
    </w:p>
    <w:p>
      <w:pPr>
        <w:spacing w:after="0" w:line="22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will provide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09" w:name="page210"/>
    <w:bookmarkEnd w:id="20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55" w:lineRule="auto"/>
        <w:rPr>
          <w:sz w:val="20"/>
          <w:szCs w:val="20"/>
          <w:color w:val="auto"/>
        </w:rPr>
      </w:pPr>
      <w:r>
        <w:rPr>
          <w:rFonts w:ascii="Times New Roman" w:cs="Times New Roman" w:eastAsia="Times New Roman" w:hAnsi="Times New Roman"/>
          <w:sz w:val="14"/>
          <w:szCs w:val="14"/>
          <w:color w:val="auto"/>
        </w:rPr>
        <w:t>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amended and restated certificate of incorporation will grant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Section 203 of the Delaware General Corporation Law</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Upon completion of this offering, we will be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59" w:lineRule="exact"/>
        <w:rPr>
          <w:sz w:val="20"/>
          <w:szCs w:val="20"/>
          <w:color w:val="auto"/>
        </w:rPr>
      </w:pPr>
    </w:p>
    <w:p>
      <w:pPr>
        <w:ind w:left="1880" w:right="1239" w:hanging="323"/>
        <w:spacing w:after="0" w:line="283" w:lineRule="auto"/>
        <w:tabs>
          <w:tab w:leader="none" w:pos="18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before the stockholder became interested, our board of directors approved either the business combination or the transaction which resulted in the stockholder becoming an interested stockholder;</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1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w:t>
      </w:r>
    </w:p>
    <w:p>
      <w:pPr>
        <w:spacing w:after="0" w:line="14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Section 203 defines a business combination to include:</w:t>
      </w:r>
    </w:p>
    <w:p>
      <w:pPr>
        <w:spacing w:after="0" w:line="91" w:lineRule="exact"/>
        <w:rPr>
          <w:sz w:val="20"/>
          <w:szCs w:val="20"/>
          <w:color w:val="auto"/>
        </w:rPr>
      </w:pPr>
    </w:p>
    <w:p>
      <w:pPr>
        <w:ind w:left="1880" w:hanging="323"/>
        <w:spacing w:after="0"/>
        <w:tabs>
          <w:tab w:leader="none" w:pos="18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merger or consolidation involving the corporation and the interested stockholder;</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sale, transfer, lease, pledge, or other disposition involving the interested stockholder of 10% or more of the assets of the corporation;</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that results in the issuance or transfer by the corporation of any stock of the corporation to the interested stockholder;</w:t>
      </w:r>
    </w:p>
    <w:p>
      <w:pPr>
        <w:spacing w:after="0" w:line="40"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receipt by the interested stockholder of the benefit of any loans, advances, guarantees, pledges, or other financial benefits provided by or through the corporation.</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0" w:name="page211"/>
    <w:bookmarkEnd w:id="21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Choice of Forum</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Our amended and restated bylaws will provide that the Court of Chancery of the State of Delaware is the sole and exclusive forum for the following claims or causes of action under the Delaware statutory or common law: (i) any derivative action or proceeding brought on our behalf, (ii) any action asserting a claim of, or a claim based on, a breach of a fiduciary duty owed by any of our current or former directors, officers, or other employees or stockholders to us or our stockholders, (iii) any action asserting a claim arising pursuant to any provision of the DGCL or our amended and restated certificate of incorporation or amended and restated bylaws (including the interpretation, validity or enforceability thereof) or as to which the DGCL confers jurisdiction on the Court of Chancery of the State of Delaware, or (iv) any action asserting a claim governed by the internal affairs doctrine.</w:t>
      </w:r>
    </w:p>
    <w:p>
      <w:pPr>
        <w:spacing w:after="0" w:line="14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However, Section 27 of the Exchange Act creates exclusive federal jurisdiction over all claims brought to enforce any duty or liability created by the Exchange Act or the rules and regulations thereunder. Consequently, this choice of forum provision would not apply to claims or causes of action brought to enforce a duty or liability created by the Exchange Act or any other claim for which the federal courts have exclusive jurisdiction or the Securities Act. Moreover, Section 22 of the Securities Act creates concurrent jurisdiction for federal and state courts over all claims brought to enforce any duty or liability created by the Securities Act or the rules and regulations thereunder.</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addition, our amended and restated bylaws will provide that, unless we consent in writing to the selection of an alternative forum, to the fullest extent permitted by law, the federal district courts of the United States of America shall be the exclusive forum for the resolution of any complaint asserting a cause or causes of action arising under the Securities Act, including all causes of action asserted against any defendant to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w:t>
      </w:r>
    </w:p>
    <w:p>
      <w:pPr>
        <w:spacing w:after="0" w:line="14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We note that investors cannot waive compliance with the federal securities laws and the rules and regulations thereunder.</w:t>
      </w:r>
    </w:p>
    <w:p>
      <w:pPr>
        <w:spacing w:after="0" w:line="14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Additionally, our amended and restated bylaws will provide that any person or entity holding, owning or otherwise acquiring any interest in any of our securities shall be deemed to have notice of and consented to these provisions.</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Limitations on Liability and Indemnification</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See the section titled “Management—Limitations on Liability and Indemnification Agreements.”</w:t>
      </w:r>
    </w:p>
    <w:p>
      <w:pPr>
        <w:spacing w:after="0" w:line="2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Exchange Listing</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Our common stock is currently not listed on any securities exchange. We have applied to have our common stock approved for listing on the Nasdaq Global Market under the symbol “AVLN.” The non-voting common stock will not be listed for trading on any securities exchange.</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Upon the completion of this offering, the transfer agent and registrar for our common stock will be Computershare Trust Company, N.A. The transfer agent’s address is 150 Royall Street, Canton, Massachusetts 02021.</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1" w:name="page212"/>
    <w:bookmarkEnd w:id="21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SHARES ELIGIBLE FOR FUTURE SALE</w:t>
      </w:r>
    </w:p>
    <w:p>
      <w:pPr>
        <w:spacing w:after="0" w:line="177"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Future sales of substantial amounts of our common stock, including shares issued on the exercise of outstanding options, in the public market after this offering, or the possibility of these sales or issuances occurring, could adversely affect the prevailing market price for our common stock or impair our ability to raise equity capital. Although we have applied to list our common stock on the Nasdaq Global Market, we cannot assure you that there will be an active public market for our common stock.</w:t>
      </w:r>
    </w:p>
    <w:p>
      <w:pPr>
        <w:spacing w:after="0" w:line="14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Following the completion of this offering, based on our shares outstanding as of December 31, 2025, a total of         shares of common stock will be outstanding, assuming no exercise of the underwriters’ option to purchase additional shares and no exercise of outstanding options. Of the outstanding shares, all of the shares sold in this offering will be freely tradable, except that any shares held by our affiliates, as that term is defined in Rule 144 under the Securities Act, may only be sold in compliance with the limitations described below.</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Rule 144</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w:t>
      </w:r>
    </w:p>
    <w:p>
      <w:pPr>
        <w:spacing w:after="0" w:line="146"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general, under Rule 144, as currently in effect, our affiliates or persons selling shares on behalf of our affiliates are entitled to sell shares on expiration of the lock-up agreements described below. Beginning 90 days after the date of this prospectus, within any three-month period, such stockholders may sell a number of shares that does not exceed the greater of:</w:t>
      </w:r>
    </w:p>
    <w:p>
      <w:pPr>
        <w:spacing w:after="0" w:line="57" w:lineRule="exact"/>
        <w:rPr>
          <w:sz w:val="20"/>
          <w:szCs w:val="20"/>
          <w:color w:val="auto"/>
        </w:rPr>
      </w:pPr>
    </w:p>
    <w:p>
      <w:pPr>
        <w:jc w:val="both"/>
        <w:ind w:left="1880" w:right="1239" w:hanging="323"/>
        <w:spacing w:after="0" w:line="267" w:lineRule="auto"/>
        <w:tabs>
          <w:tab w:leader="none" w:pos="18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 of the number of shares of common stock then outstanding, which will equal approximately        shares immediately after this offering, assuming no exercise of the underwriters’ option to purchase additional shares of common stock from us; or</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average weekly trading volume of our common stock on the Nasdaq Global Market during the four calendar weeks preceding the filing of a notice on Form 144 with respect to such sale.</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Rule 701</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Rule 701 under the Securities Act, or 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2" w:name="page213"/>
    <w:bookmarkEnd w:id="21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Form S-8 Registration Statements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intend to file one or more registration statements on Form S-8 under the Securities Act with the SEC to register the offer and sale of shares of our common stock that are issuable under the 2012 Plan, 2022 Plan, the 2026 Plan, and the ESPP. These registration statements will become effective immediately upon filing. Shares covered by these registration statements will then be eligible for sale in the public markets, subject to vesting restrictions, any applicable lock-up agreements described below, and Rule 144 limitations applicable to affiliates.</w:t>
      </w:r>
    </w:p>
    <w:p>
      <w:pPr>
        <w:spacing w:after="0" w:line="2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Lock-up Arrangements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all of our directors and executive officers, and the holders of substantially all of our capital stock and securities convertible into or exchangeable for our capital stock have entered into lock-up agreements with the underwriters and/or are subject to market standoff agreements or other agreements with us, which prevent them from selling any of our common stock or any securities convertible into or exercisable or exchangeable for common stock for a period of not less than 180 days from the date of this prospectus without the prior written consent of Morgan Stanley &amp; Co. LLC, Jefferies LLC, and Evercore Group L.L.C., subject to certain exceptions. For more information, see the section titled “Underwriting.”</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After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Upon completion of this offering, certain holders of our securities will be entitled to various rights with respect to registration of their shares under the Securities Act. Registration of these shares under the Securities Act would result in these shares becoming fully tradable without restriction under the Securities Act immediately upon the effectiveness of the registration. For more information, see the section titled “Description of Capital Stock— Registration Rights.”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3" w:name="page214"/>
    <w:bookmarkEnd w:id="21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MATERIAL U.S. FEDERAL INCOME TAX CONSEQUENCES FOR NON-U.S. HOLDERS</w:t>
      </w:r>
    </w:p>
    <w:p>
      <w:pPr>
        <w:spacing w:after="0" w:line="177"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following discussion is a summary of material U.S. federal income tax consequences to non-U.S. holders (as defined below) of the purchase, ownership and disposition of our common stock issued pursuant to this offering. This discussion is based on the Code, Treasury Regulations promulgated thereunder, published rulings and administrative pronouncements of the IRS, and judicial decisions, all as in effect on the date hereof. These authorities are subject to differing interpretations and may change, possibly with retroactive effect, resulting in U.S. federal income tax consequences different from those discussed below. We have not requested a ruling from the IRS with respect to the statements made and the conclusions reached in the following summary, and there can be no assurance that the IRS or a court will agree with such statements and conclusions.</w:t>
      </w:r>
    </w:p>
    <w:p>
      <w:pPr>
        <w:spacing w:after="0" w:line="145" w:lineRule="exact"/>
        <w:rPr>
          <w:sz w:val="20"/>
          <w:szCs w:val="20"/>
          <w:color w:val="auto"/>
        </w:rPr>
      </w:pPr>
    </w:p>
    <w:p>
      <w:pPr>
        <w:jc w:val="both"/>
        <w:ind w:left="1220" w:right="1239" w:firstLine="343"/>
        <w:spacing w:after="0" w:line="254" w:lineRule="auto"/>
        <w:rPr>
          <w:sz w:val="20"/>
          <w:szCs w:val="20"/>
          <w:color w:val="auto"/>
        </w:rPr>
      </w:pPr>
      <w:r>
        <w:rPr>
          <w:rFonts w:ascii="Times New Roman" w:cs="Times New Roman" w:eastAsia="Times New Roman" w:hAnsi="Times New Roman"/>
          <w:sz w:val="14"/>
          <w:szCs w:val="14"/>
          <w:color w:val="auto"/>
        </w:rPr>
        <w:t>This discussion is limited to non-U.S. holders who purchase our common stock pursuant to this offering and who hold our common stock as a “capital asset” within the meaning of Section 1221 of the Code (generally, property held for investment). This discussion is not a complete analysis of all potential U.S. federal income tax consequences relating thereto, does not address the potential application of the Medicare contribution tax on net investment income, the alternative minimum tax, or the special tax accounting rules under Section 451(b) of the Code, and also does not address any U.S. federal non-income tax consequences, such as estate or gift tax consequences, or any tax consequences arising under any state, local or non-U.S. tax laws. This discussion does not address all of the U.S. federal income tax consequences that may be relevant to a non-U.S. holder in light of such non-U.S. holder’s particular circumstances. This discussion also does not consider any specific facts or circumstances that may be relevant to non-U.S. holders subject to special rules under the U.S. federal income tax laws, including:</w:t>
      </w:r>
    </w:p>
    <w:p>
      <w:pPr>
        <w:spacing w:after="0" w:line="60" w:lineRule="exact"/>
        <w:rPr>
          <w:sz w:val="20"/>
          <w:szCs w:val="20"/>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former citizens, or long-term residents of the United States;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partnerships or other entities or arrangements treated as pass-through or disregarded entities for U.S. federal income tax purposes (and investors therein);</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“controlled foreign corporations”;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“passive foreign investment companies”;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corporations that accumulate earnings to avoid U.S. federal income tax;</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banks, mutual funds, financial institutions, investment funds, insurance companies, brokers, dealers or traders in stock, securities, commodities or currencies;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tax-exempt organizations and governmental organizations;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tax-qualified retirement plans;</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acquire our common stock through the exercise of an option or otherwise as compensation;</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foreign pension funds as defined in Section 897(l)(2) of the Code and entities all of the interests of which are held by qualified foreign pension funds;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that own, or have owned, actually or constructively, more than 5% of our common stock by vote or value;</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who have elected to mark securities to market; and</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persons holding our common stock as part of a hedging or conversion transaction or straddle, or synthetic security or a constructive sale, or other risk reduction strategy or integrated investment.</w:t>
      </w:r>
    </w:p>
    <w:p>
      <w:pPr>
        <w:spacing w:after="0" w:line="125" w:lineRule="exact"/>
        <w:rPr>
          <w:sz w:val="20"/>
          <w:szCs w:val="20"/>
          <w:color w:val="auto"/>
        </w:rPr>
      </w:pPr>
    </w:p>
    <w:p>
      <w:pPr>
        <w:jc w:val="both"/>
        <w:ind w:left="1220" w:right="1239" w:firstLine="343"/>
        <w:spacing w:after="0" w:line="257" w:lineRule="auto"/>
        <w:rPr>
          <w:sz w:val="20"/>
          <w:szCs w:val="20"/>
          <w:color w:val="auto"/>
        </w:rPr>
      </w:pPr>
      <w:r>
        <w:rPr>
          <w:rFonts w:ascii="Times New Roman" w:cs="Times New Roman" w:eastAsia="Times New Roman" w:hAnsi="Times New Roman"/>
          <w:sz w:val="14"/>
          <w:szCs w:val="14"/>
          <w:color w:val="auto"/>
        </w:rPr>
        <w:t>If an entity or arrangement that is classified as a partnership for U.S. federal income tax purposes holds our common stock, the U.S. federal income tax treatment of a partner in the partnership generally will depend on the status of the partner, the activities of the partnership and certain determinations made at the partner level. Partnerships holding our common stock and the partners in such partnerships are urged to consult their tax advisors about the particular U.S. federal income tax consequences to them of acquiring, owning, and disposing of our common stock.</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4" w:name="page215"/>
    <w:bookmarkEnd w:id="21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43"/>
        <w:spacing w:after="0" w:line="257" w:lineRule="auto"/>
        <w:rPr>
          <w:sz w:val="20"/>
          <w:szCs w:val="20"/>
          <w:color w:val="auto"/>
        </w:rPr>
      </w:pPr>
      <w:r>
        <w:rPr>
          <w:rFonts w:ascii="Times New Roman" w:cs="Times New Roman" w:eastAsia="Times New Roman" w:hAnsi="Times New Roman"/>
          <w:sz w:val="14"/>
          <w:szCs w:val="14"/>
          <w:color w:val="auto"/>
        </w:rPr>
        <w:t>THIS DISCUSSION IS FOR INFORMATIONAL PURPOSES ONLY AND IS NOT TAX ADVICE. PROSPECTIVE INVESTORS SHOULD CONSULT THEIR TAX ADVISORS REGARDING THE PARTICULAR U.S. FEDERAL INCOME TAX CONSEQUENCES TO THEM OF ACQUIRING, OWNING AND DISPOSING OF OUR COMMON STOCK, AS WELL AS ANY TAX CONSEQUENCES ARISING UNDER ANY STATE, LOCAL OR NON-U.S. TAX LAWS AND ANY OTHER U.S. FEDERAL TAX LAWS OR UNDER ANY APPLICABLE INCOME TAX TREATY.</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Definition of Non-U.S. Holder</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3"/>
          <w:szCs w:val="13"/>
          <w:color w:val="auto"/>
        </w:rPr>
        <w:t>For purposes of this discussion, a non-U.S. holder is any beneficial owner of our common stock that is for U.S.</w:t>
      </w:r>
    </w:p>
    <w:p>
      <w:pPr>
        <w:spacing w:after="0" w:line="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federal income tax purposes:</w:t>
      </w:r>
    </w:p>
    <w:p>
      <w:pPr>
        <w:spacing w:after="0" w:line="77" w:lineRule="exact"/>
        <w:rPr>
          <w:sz w:val="20"/>
          <w:szCs w:val="20"/>
          <w:color w:val="auto"/>
        </w:rPr>
      </w:pPr>
    </w:p>
    <w:p>
      <w:pPr>
        <w:ind w:left="1880" w:hanging="323"/>
        <w:spacing w:after="0"/>
        <w:tabs>
          <w:tab w:leader="none" w:pos="18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non-resident alien individual;</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or any organization taxable as a corporation for U.S. federal income tax purposes that is not created or organized under the laws of the United States, any state thereof, or the District of Columbia; or</w:t>
      </w:r>
    </w:p>
    <w:p>
      <w:pPr>
        <w:spacing w:after="0" w:line="5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foreign trust or estate, the income of which is not subject to U.S. federal income tax on a net income basis.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Distributions on Our Common Stock</w:t>
      </w:r>
    </w:p>
    <w:p>
      <w:pPr>
        <w:spacing w:after="0" w:line="91"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As described under “</w:t>
      </w:r>
      <w:r>
        <w:rPr>
          <w:rFonts w:ascii="Times New Roman" w:cs="Times New Roman" w:eastAsia="Times New Roman" w:hAnsi="Times New Roman"/>
          <w:sz w:val="14"/>
          <w:szCs w:val="14"/>
          <w:i w:val="1"/>
          <w:iCs w:val="1"/>
          <w:color w:val="auto"/>
        </w:rPr>
        <w:t>Dividend Policy</w:t>
      </w:r>
      <w:r>
        <w:rPr>
          <w:rFonts w:ascii="Times New Roman" w:cs="Times New Roman" w:eastAsia="Times New Roman" w:hAnsi="Times New Roman"/>
          <w:sz w:val="14"/>
          <w:szCs w:val="14"/>
          <w:color w:val="auto"/>
        </w:rPr>
        <w:t>,” we do not currently anticipate declaring or paying, for the foreseeable future, any distributions on our capital stock. However, if we were to distribute cash or other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then constitute a return of capital and will first be applied against and reduce a holder’s tax basis in our common stock, but not below zero. Any amounts distributed in excess of basis will be treated as gain realized on the sale or other disposition of our common stock and will be treated as described under “—Gain on sale or other taxable disposition of our common stock” below.</w:t>
      </w:r>
    </w:p>
    <w:p>
      <w:pPr>
        <w:spacing w:after="0" w:line="147" w:lineRule="exact"/>
        <w:rPr>
          <w:sz w:val="20"/>
          <w:szCs w:val="20"/>
          <w:color w:val="auto"/>
        </w:rPr>
      </w:pPr>
    </w:p>
    <w:p>
      <w:pPr>
        <w:jc w:val="both"/>
        <w:ind w:left="1220" w:right="1239" w:firstLine="343"/>
        <w:spacing w:after="0" w:line="254" w:lineRule="auto"/>
        <w:rPr>
          <w:sz w:val="20"/>
          <w:szCs w:val="20"/>
          <w:color w:val="auto"/>
        </w:rPr>
      </w:pPr>
      <w:r>
        <w:rPr>
          <w:rFonts w:ascii="Times New Roman" w:cs="Times New Roman" w:eastAsia="Times New Roman" w:hAnsi="Times New Roman"/>
          <w:sz w:val="14"/>
          <w:szCs w:val="14"/>
          <w:color w:val="auto"/>
        </w:rPr>
        <w:t>Subject to the discussions below regarding effectively connected income, backup withholding and FATCA (as defined below), dividends paid to a non-U.S. holder of our common stock generally will be subject to U.S. federal withholding tax at a rate of 30% of the gross amount of the dividends or such lower rate specified by an applicable income tax treaty. To receive the benefit of a reduced treaty rate, a non-U.S. holder must timely furnish to us or our withholding agent with a valid IRS Form W-8BEN (in the case of individuals) or IRS Form W-8BEN-E (in the case of entities), or other appropriate form, certifying such holder’s qualification for the reduced rate. This certification must be provided to us or our withholding agent before the payment of the dividends and must be updated periodically. If the non-U.S. holder holds our common stock through a financial institution or other agent acting on the non-U.S. holder’s behalf, the non-U.S. holder will be required to provide appropriate documentation to the agent, which then will be required to provide certification to us or our withholding agent, either directly or through other intermediaries.</w:t>
      </w:r>
    </w:p>
    <w:p>
      <w:pPr>
        <w:spacing w:after="0" w:line="144" w:lineRule="exact"/>
        <w:rPr>
          <w:sz w:val="20"/>
          <w:szCs w:val="20"/>
          <w:color w:val="auto"/>
        </w:rPr>
      </w:pPr>
    </w:p>
    <w:p>
      <w:pPr>
        <w:jc w:val="both"/>
        <w:ind w:left="1220" w:right="1239" w:firstLine="343"/>
        <w:spacing w:after="0" w:line="256" w:lineRule="auto"/>
        <w:rPr>
          <w:sz w:val="20"/>
          <w:szCs w:val="20"/>
          <w:color w:val="auto"/>
        </w:rPr>
      </w:pPr>
      <w:r>
        <w:rPr>
          <w:rFonts w:ascii="Times New Roman" w:cs="Times New Roman" w:eastAsia="Times New Roman" w:hAnsi="Times New Roman"/>
          <w:sz w:val="14"/>
          <w:szCs w:val="14"/>
          <w:color w:val="auto"/>
        </w:rPr>
        <w:t>If a non-U.S. holder holds our common stock in connection with the conduct of a trade or business in the United States, and dividends paid on our common stock are effectively connected with such holder’s U.S. trade or business (and, if required by an applicable tax treaty, are attributable to such holder’s permanent establishment or fixed base in the United States), such non-U.S. holder generally will be exempt from U.S. federal withholding tax. To claim the exemption, the non-U.S. holder generally must furnish a valid IRS Form W-8ECI (or applicable successor form), certifying that the dividends are effectively connected with the non-U.S. holder’s conduct of a trade or business within the United States to the applicable withholding agent.</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5" w:name="page216"/>
    <w:bookmarkEnd w:id="21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43"/>
        <w:spacing w:after="0" w:line="258" w:lineRule="auto"/>
        <w:rPr>
          <w:sz w:val="20"/>
          <w:szCs w:val="20"/>
          <w:color w:val="auto"/>
        </w:rPr>
      </w:pPr>
      <w:r>
        <w:rPr>
          <w:rFonts w:ascii="Times New Roman" w:cs="Times New Roman" w:eastAsia="Times New Roman" w:hAnsi="Times New Roman"/>
          <w:sz w:val="14"/>
          <w:szCs w:val="14"/>
          <w:color w:val="auto"/>
        </w:rPr>
        <w:t>However, any such effectively connected dividends paid on our common stock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dividends, as adjusted for certain items.</w:t>
      </w:r>
    </w:p>
    <w:p>
      <w:pPr>
        <w:spacing w:after="0" w:line="144" w:lineRule="exact"/>
        <w:rPr>
          <w:sz w:val="20"/>
          <w:szCs w:val="20"/>
          <w:color w:val="auto"/>
        </w:rPr>
      </w:pPr>
    </w:p>
    <w:p>
      <w:pPr>
        <w:jc w:val="both"/>
        <w:ind w:left="1220" w:right="1239" w:firstLine="343"/>
        <w:spacing w:after="0" w:line="261" w:lineRule="auto"/>
        <w:rPr>
          <w:sz w:val="20"/>
          <w:szCs w:val="20"/>
          <w:color w:val="auto"/>
        </w:rPr>
      </w:pPr>
      <w:r>
        <w:rPr>
          <w:rFonts w:ascii="Times New Roman" w:cs="Times New Roman" w:eastAsia="Times New Roman" w:hAnsi="Times New Roman"/>
          <w:sz w:val="14"/>
          <w:szCs w:val="14"/>
          <w:color w:val="auto"/>
        </w:rPr>
        <w:t>Non-U.S. holders that do not provide the required certification on a timely basis, but that qualify for a reduced treaty rate, may obtain a refund or credit of any excess amounts withheld by timely filing an appropriate claim with the IRS. Non-U.S. holders should consult their tax advisors regarding any applicable income tax treaties that may provide for different rules.</w:t>
      </w:r>
    </w:p>
    <w:p>
      <w:pPr>
        <w:spacing w:after="0" w:line="2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Gain on Disposition of Our Common Stock</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Subject to the discussions below regarding backup withholding and FATCA (as defined below), a non-U.S. holder generally will not be subject to U.S. federal income tax on any gain realized on the sale or other taxable disposition of our common stock, unless:</w:t>
      </w:r>
    </w:p>
    <w:p>
      <w:pPr>
        <w:spacing w:after="0" w:line="51" w:lineRule="exact"/>
        <w:rPr>
          <w:sz w:val="20"/>
          <w:szCs w:val="20"/>
          <w:color w:val="auto"/>
        </w:rPr>
      </w:pPr>
    </w:p>
    <w:p>
      <w:pPr>
        <w:jc w:val="both"/>
        <w:ind w:left="1880" w:right="1239" w:hanging="323"/>
        <w:spacing w:after="0" w:line="267" w:lineRule="auto"/>
        <w:tabs>
          <w:tab w:leader="none" w:pos="18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gain is effectively connected with the non-U.S. holder’s conduct of a trade or business in the United States and, if required by an applicable income tax treaty, is attributable to a permanent establishment or fixed base maintained by the non-U.S. holder in the United States;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non-U.S. holder is a nonresident alien individual who is present in the United States for a period or periods aggregating 183 days or more during the taxable year of the disposition, and certain other requirements are met; or</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57" w:lineRule="auto"/>
        <w:tabs>
          <w:tab w:leader="none" w:pos="1880" w:val="left"/>
        </w:tabs>
        <w:numPr>
          <w:ilvl w:val="0"/>
          <w:numId w:val="1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common stock constitutes a “United States real property interest” by reason of our status as a United States real property holding corporation, or USRPHC, for U.S. federal income tax purposes at any time within the shorter of the five-year period preceding the disposition or the non-U.S. holder’s holding period for our common stock, and our common stock is not “regularly traded” on an “established securities market” within the meaning of applicable Treasury Regulations, during the calendar year in which the sale or other disposition occurs.</w:t>
      </w:r>
    </w:p>
    <w:p>
      <w:pPr>
        <w:spacing w:after="0" w:line="143" w:lineRule="exact"/>
        <w:rPr>
          <w:sz w:val="20"/>
          <w:szCs w:val="20"/>
          <w:color w:val="auto"/>
        </w:rPr>
      </w:pPr>
    </w:p>
    <w:p>
      <w:pPr>
        <w:jc w:val="both"/>
        <w:ind w:left="1220" w:right="1239" w:firstLine="343"/>
        <w:spacing w:after="0" w:line="258" w:lineRule="auto"/>
        <w:rPr>
          <w:sz w:val="20"/>
          <w:szCs w:val="20"/>
          <w:color w:val="auto"/>
        </w:rPr>
      </w:pPr>
      <w:r>
        <w:rPr>
          <w:rFonts w:ascii="Times New Roman" w:cs="Times New Roman" w:eastAsia="Times New Roman" w:hAnsi="Times New Roman"/>
          <w:sz w:val="14"/>
          <w:szCs w:val="14"/>
          <w:color w:val="auto"/>
        </w:rPr>
        <w:t>Gain described in the first bullet point above generally will be subject to U.S. federal income tax on a net income basis at the regular U.S. federal income tax rates in the same manner as if such holder were a resident of the United States. A non-U.S. holder that is a corporation also may be subject to an additional branch profits tax equal to 30% (or such lower rate specified by an applicable income tax treaty) of its effectively connected earnings and profits for the taxable year, as adjusted for certain items.</w:t>
      </w:r>
    </w:p>
    <w:p>
      <w:pPr>
        <w:spacing w:after="0" w:line="144" w:lineRule="exact"/>
        <w:rPr>
          <w:sz w:val="20"/>
          <w:szCs w:val="20"/>
          <w:color w:val="auto"/>
        </w:rPr>
      </w:pPr>
    </w:p>
    <w:p>
      <w:pPr>
        <w:jc w:val="both"/>
        <w:ind w:left="1220" w:right="1239" w:firstLine="343"/>
        <w:spacing w:after="0" w:line="258" w:lineRule="auto"/>
        <w:rPr>
          <w:sz w:val="20"/>
          <w:szCs w:val="20"/>
          <w:color w:val="auto"/>
        </w:rPr>
      </w:pPr>
      <w:r>
        <w:rPr>
          <w:rFonts w:ascii="Times New Roman" w:cs="Times New Roman" w:eastAsia="Times New Roman" w:hAnsi="Times New Roman"/>
          <w:sz w:val="14"/>
          <w:szCs w:val="14"/>
          <w:color w:val="auto"/>
        </w:rPr>
        <w:t>Gain derived by a non-U.S. holder described in the second bullet point above will be subject to U.S. federal income tax at a flat 30% rate (or such lower rate specified by an applicable income tax treaty), but may be offset by certain U.S.-source capital losses of the non-U.S. holder (even though the individual is not considered a resident of the United States), provided that the non-U.S. holder has timely filed U.S. federal income tax returns with respect to such losses.</w:t>
      </w:r>
    </w:p>
    <w:p>
      <w:pPr>
        <w:spacing w:after="0" w:line="144" w:lineRule="exact"/>
        <w:rPr>
          <w:sz w:val="20"/>
          <w:szCs w:val="20"/>
          <w:color w:val="auto"/>
        </w:rPr>
      </w:pPr>
    </w:p>
    <w:p>
      <w:pPr>
        <w:jc w:val="both"/>
        <w:ind w:left="1220" w:right="1239" w:firstLine="343"/>
        <w:spacing w:after="0" w:line="254" w:lineRule="auto"/>
        <w:rPr>
          <w:sz w:val="20"/>
          <w:szCs w:val="20"/>
          <w:color w:val="auto"/>
        </w:rPr>
      </w:pPr>
      <w:r>
        <w:rPr>
          <w:rFonts w:ascii="Times New Roman" w:cs="Times New Roman" w:eastAsia="Times New Roman" w:hAnsi="Times New Roman"/>
          <w:sz w:val="14"/>
          <w:szCs w:val="14"/>
          <w:color w:val="auto"/>
        </w:rPr>
        <w:t>Determining whether we are a USRPHC depends on the fair market value of our United States real property interests relative to the fair market value of our worldwide real property interests and our other trade or business assets. We believe that we are not currently and we do not anticipate becoming a USRPHC for U.S. federal income tax purposes, although there can be no assurance we have not been, are not currently or will not in the future become a USRPHC. Even if we are treated as a USRPHC, gain realized by a non-U.S. holder on a disposition of our common stock will not be subject to U.S. federal income tax so long as (1) the non-U.S. holder owned, directly, indirectly and constructively, no more than 5% of our common stock at all times within the shorter of (a) the five-year period preceding the disposition or (b) the holder’s holding period and (2) our common stock is “regularly traded” on an “established securities market,” within the meaning of applicable Treasury Regulations. There can be no assurance that our common stock qualifies as regularly traded on an established securities market for purposes of the rules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6" w:name="page217"/>
    <w:bookmarkEnd w:id="21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described above. Prospective investors are encouraged to consult their own tax advisors regarding the possible consequences to them if we have been, are or were to become a USRPHC.</w:t>
      </w:r>
    </w:p>
    <w:p>
      <w:pPr>
        <w:spacing w:after="0" w:line="125" w:lineRule="exact"/>
        <w:rPr>
          <w:sz w:val="20"/>
          <w:szCs w:val="20"/>
          <w:color w:val="auto"/>
        </w:rPr>
      </w:pPr>
    </w:p>
    <w:p>
      <w:pPr>
        <w:jc w:val="both"/>
        <w:ind w:left="1220" w:right="1239" w:firstLine="343"/>
        <w:spacing w:after="0" w:line="283" w:lineRule="auto"/>
        <w:rPr>
          <w:sz w:val="20"/>
          <w:szCs w:val="20"/>
          <w:color w:val="auto"/>
        </w:rPr>
      </w:pPr>
      <w:r>
        <w:rPr>
          <w:rFonts w:ascii="Times New Roman" w:cs="Times New Roman" w:eastAsia="Times New Roman" w:hAnsi="Times New Roman"/>
          <w:sz w:val="14"/>
          <w:szCs w:val="14"/>
          <w:color w:val="auto"/>
        </w:rPr>
        <w:t>Non-U.S. holders should consult their tax advisors regarding any applicable income tax treaties that may provide for different rules.</w:t>
      </w:r>
    </w:p>
    <w:p>
      <w:pPr>
        <w:spacing w:after="0" w:line="20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Information Reporting and Backup Withholding</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Annual reports are required to be filed with the IRS and provided to each non-U.S. holder indicating the amount of distributions on our common stock paid to such holder and the amount of any tax withheld with respect to those distributions. These information reporting requirements apply even if no withholding was required because the distributions were effectively connected with the non-U.S. holder’s conduct of a U.S. trade or business, or withholding was reduced or eliminated by an applicable income tax treaty. This information also may be made available under a specific treaty or agreement with the tax authorities in the country in which the non-U.S. holder resides or is established. Backup withholding, currently at a 24% rate, generally will not apply to payments to a non-U.S. holder of distributions on or the gross proceeds of a disposition of our common stock provided the non-U.S. holder furnishes the required certification for its non-U.S. status, such as by providing a valid IRS Form W-8BEN, IRS Form W-8BEN-E or IRS Form W-8ECI, or otherwise establishes an exemption, and if the payor does not have actual knowledge, or reason to know, that the holder is a U.S. person who is not an exempt recipient.</w:t>
      </w:r>
    </w:p>
    <w:p>
      <w:pPr>
        <w:spacing w:after="0" w:line="14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Backup withholding is not an additional tax. If any amount is withheld under the backup withholding rules, the non-U.S. holder should consult with a U.S. tax advisor regarding the possibility of and procedure for obtaining a refund or a credit against the non-U.S. holder’s U.S. federal income tax liability, if any.</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Withholding on Foreign Entities</w:t>
      </w:r>
    </w:p>
    <w:p>
      <w:pPr>
        <w:spacing w:after="0" w:line="93"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Sections 1471 through 1474 of the Code, which are commonly referred to as FATCA, impose a U.S. federal withholding tax of 30% on certain payments made to a “foreign financial institution” (as defined under these rules) unless such institution enters into an agreement with the U.S. government to withhold on certain payments and to collect and provide to the U.S. tax authorities substantial information regarding certain U.S. account holders of such institution (which includes certain equity and debt holders of such institution, as well as certain account holders that are foreign entities with U.S. owners) or an exemption applies. FATCA also generally imposes a U.S. federal withholding tax of 30% on certain payments made to a “non-financial foreign entity” (as specially defined under these rules) unless such entity provides the withholding agent a certification that it does not have any “substantial United States owners” or provides information identifying certain direct and indirect U.S. owners of the entity or an exemption applies. An intergovernmental agreement between the United States and an applicable foreign country may modify these requirements. Under certain circumstances, a non-U.S. holder might be eligible for refunds or credits of such taxes. FATCA currently applies to dividends paid on our common stock and would have applied also to payments of gross proceeds from the sale or other disposition of our common stock. However, proposed regulations under FATCA provide for the elimination of the federal withholding tax of 30% applicable to gross proceeds of a sale or other disposition of property of a type that can produce U.S.-source dividends or interest. Under these proposed Treasury Regulations (which may be relied upon by taxpayers prior to finalization), FATCA withholding does not apply to gross proceeds from sales or other dispositions of our common stock.</w:t>
      </w:r>
    </w:p>
    <w:p>
      <w:pPr>
        <w:spacing w:after="0" w:line="154"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Prospective investors are encouraged to consult with their tax advisors regarding the possible implications of FATCA on their investment in our common stock.</w:t>
      </w:r>
    </w:p>
    <w:p>
      <w:pPr>
        <w:spacing w:after="0" w:line="12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EACH PROSPECTIVE INVESTOR SHOULD CONSULT ITS TAX ADVISOR REGARDING THE TAX CONSEQUENCES OF ACQUIRING, OWNING AND DISPOSING OF OUR COMMON STOCK, INCLUDING THE CONSEQUENCES OF ANY RECENT AND PROPOSED CHANGE IN APPLICABLE LAW, AS WELL AS TAX CONSEQUENCES ARISING UNDER ANY STATE, LOCAL, NON-U.S. OR U.S. FEDERAL NON-INCOME TAX LAWS.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7" w:name="page218"/>
    <w:bookmarkEnd w:id="21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UNDERWRITING</w:t>
      </w:r>
    </w:p>
    <w:p>
      <w:pPr>
        <w:spacing w:after="0" w:line="17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Under the terms and subject to the conditions in an underwriting agreement dated the date of this prospectus, the underwriters named below, for whom Morgan Stanley &amp; Co. LLC, Jefferies LLC, Evercore Group L.L.C., and Guggenheim Securities, LLC are acting as representatives, have severally agreed to purchase, and we have agreed to sell to them, severally, the number of shares indicated below:</w:t>
      </w:r>
    </w:p>
    <w:p>
      <w:pPr>
        <w:spacing w:after="0" w:line="125" w:lineRule="exact"/>
        <w:rPr>
          <w:sz w:val="20"/>
          <w:szCs w:val="20"/>
          <w:color w:val="auto"/>
        </w:rPr>
      </w:pPr>
    </w:p>
    <w:tbl>
      <w:tblPr>
        <w:tblLayout w:type="fixed"/>
        <w:tblInd w:w="3740" w:type="dxa"/>
        <w:tblCellMar>
          <w:top w:w="0" w:type="dxa"/>
          <w:left w:w="0" w:type="dxa"/>
          <w:bottom w:w="0" w:type="dxa"/>
          <w:right w:w="0" w:type="dxa"/>
        </w:tblCellMar>
      </w:tblPr>
      <w:tr>
        <w:trPr>
          <w:trHeight w:val="126"/>
        </w:trPr>
        <w:tc>
          <w:tcPr>
            <w:tcW w:w="172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1980" w:type="dxa"/>
            <w:vAlign w:val="bottom"/>
          </w:tcPr>
          <w:p>
            <w:pPr>
              <w:jc w:val="center"/>
              <w:ind w:left="1404"/>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0" w:type="dxa"/>
            <w:vAlign w:val="bottom"/>
          </w:tcPr>
          <w:p>
            <w:pPr>
              <w:spacing w:after="0"/>
              <w:rPr>
                <w:sz w:val="1"/>
                <w:szCs w:val="1"/>
                <w:color w:val="auto"/>
              </w:rPr>
            </w:pPr>
          </w:p>
        </w:tc>
      </w:tr>
      <w:tr>
        <w:trPr>
          <w:trHeight w:val="147"/>
        </w:trPr>
        <w:tc>
          <w:tcPr>
            <w:tcW w:w="1720" w:type="dxa"/>
            <w:vAlign w:val="bottom"/>
            <w:vMerge w:val="continue"/>
          </w:tcPr>
          <w:p>
            <w:pPr>
              <w:spacing w:after="0"/>
              <w:rPr>
                <w:sz w:val="12"/>
                <w:szCs w:val="12"/>
                <w:color w:val="auto"/>
              </w:rPr>
            </w:pPr>
          </w:p>
        </w:tc>
        <w:tc>
          <w:tcPr>
            <w:tcW w:w="1980" w:type="dxa"/>
            <w:vAlign w:val="bottom"/>
          </w:tcPr>
          <w:p>
            <w:pPr>
              <w:jc w:val="center"/>
              <w:ind w:left="1404"/>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-6985</wp:posOffset>
            </wp:positionV>
            <wp:extent cx="4165600" cy="1136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165600" cy="113665"/>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4"/>
          <w:szCs w:val="14"/>
          <w:color w:val="auto"/>
        </w:rPr>
        <w:t>Morgan Stanley &amp; Co. LLC</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Jefferies LLC</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-101600</wp:posOffset>
            </wp:positionV>
            <wp:extent cx="4165600" cy="10668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165600" cy="10668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4"/>
          <w:szCs w:val="14"/>
          <w:color w:val="auto"/>
        </w:rPr>
        <w:t>Guggenheim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4445</wp:posOffset>
            </wp:positionV>
            <wp:extent cx="4165600" cy="1403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165600" cy="140335"/>
                    </a:xfrm>
                    <a:prstGeom prst="rect">
                      <a:avLst/>
                    </a:prstGeom>
                    <a:noFill/>
                  </pic:spPr>
                </pic:pic>
              </a:graphicData>
            </a:graphic>
          </wp:anchor>
        </w:drawing>
      </w:r>
    </w:p>
    <w:p>
      <w:pPr>
        <w:spacing w:after="0" w:line="2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4"/>
          <w:szCs w:val="14"/>
          <w:b w:val="1"/>
          <w:bCs w:val="1"/>
          <w:color w:val="auto"/>
        </w:rPr>
        <w:t>Total</w:t>
      </w:r>
    </w:p>
    <w:p>
      <w:pPr>
        <w:spacing w:after="0" w:line="198"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described below. The offering of the shares of common stock by the underwriters is subject to receipt and acceptance and subject to the underwriters’ right to reject any order in whole or in part.</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underwriters initially propose to offer part of the shares of common stock directly to the public at the offering price listed on the cover page of this prospectus and part to certain dealers at a price that represents a</w:t>
      </w:r>
    </w:p>
    <w:p>
      <w:pPr>
        <w:spacing w:after="0" w:line="1"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concession not in excess of $ per share under the public offering price. After the initial offering of the shares of common stock, the offering price and other selling terms may from time to time be varied by the representative. Sales of common stock made outside of the United States may be made by affiliates of the underwriters.</w:t>
      </w:r>
    </w:p>
    <w:p>
      <w:pPr>
        <w:spacing w:after="0" w:line="14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have granted to the underwriters an option, exercisable for 30 days from the date of this prospectus, to</w:t>
      </w:r>
    </w:p>
    <w:p>
      <w:pPr>
        <w:spacing w:after="0" w:line="22" w:lineRule="exact"/>
        <w:rPr>
          <w:sz w:val="20"/>
          <w:szCs w:val="20"/>
          <w:color w:val="auto"/>
        </w:rPr>
      </w:pPr>
    </w:p>
    <w:p>
      <w:pPr>
        <w:jc w:val="both"/>
        <w:ind w:left="1220" w:right="1239"/>
        <w:spacing w:after="0" w:line="252" w:lineRule="auto"/>
        <w:rPr>
          <w:sz w:val="20"/>
          <w:szCs w:val="20"/>
          <w:color w:val="auto"/>
        </w:rPr>
      </w:pPr>
      <w:r>
        <w:rPr>
          <w:rFonts w:ascii="Times New Roman" w:cs="Times New Roman" w:eastAsia="Times New Roman" w:hAnsi="Times New Roman"/>
          <w:sz w:val="14"/>
          <w:szCs w:val="14"/>
          <w:color w:val="auto"/>
        </w:rPr>
        <w:t>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over-allotment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48"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following table shows the per share and total public offering price, underwriting discounts and commissions, and proceeds, before expenses, to us. These amounts are shown assuming both no exercise and full exercise of the underwriters’ option.</w:t>
      </w:r>
    </w:p>
    <w:p>
      <w:pPr>
        <w:spacing w:after="0" w:line="152" w:lineRule="exact"/>
        <w:rPr>
          <w:sz w:val="20"/>
          <w:szCs w:val="20"/>
          <w:color w:val="auto"/>
        </w:rPr>
      </w:pPr>
    </w:p>
    <w:tbl>
      <w:tblPr>
        <w:tblLayout w:type="fixed"/>
        <w:tblInd w:w="1220" w:type="dxa"/>
        <w:tblCellMar>
          <w:top w:w="0" w:type="dxa"/>
          <w:left w:w="0" w:type="dxa"/>
          <w:bottom w:w="0" w:type="dxa"/>
          <w:right w:w="0" w:type="dxa"/>
        </w:tblCellMar>
      </w:tblP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324"/>
              <w:spacing w:after="0"/>
              <w:rPr>
                <w:sz w:val="20"/>
                <w:szCs w:val="20"/>
                <w:color w:val="auto"/>
              </w:rPr>
            </w:pPr>
            <w:r>
              <w:rPr>
                <w:rFonts w:ascii="Times New Roman" w:cs="Times New Roman" w:eastAsia="Times New Roman" w:hAnsi="Times New Roman"/>
                <w:sz w:val="11"/>
                <w:szCs w:val="11"/>
                <w:b w:val="1"/>
                <w:bCs w:val="1"/>
                <w:color w:val="auto"/>
              </w:rPr>
              <w:t>Per</w:t>
            </w:r>
          </w:p>
        </w:tc>
        <w:tc>
          <w:tcPr>
            <w:tcW w:w="14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jc w:val="right"/>
              <w:ind w:right="787"/>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87"/>
        </w:trPr>
        <w:tc>
          <w:tcPr>
            <w:tcW w:w="3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jc w:val="right"/>
              <w:ind w:right="187"/>
              <w:spacing w:after="0" w:line="87" w:lineRule="exact"/>
              <w:rPr>
                <w:sz w:val="20"/>
                <w:szCs w:val="20"/>
                <w:color w:val="auto"/>
              </w:rPr>
            </w:pPr>
            <w:r>
              <w:rPr>
                <w:rFonts w:ascii="Times New Roman" w:cs="Times New Roman" w:eastAsia="Times New Roman" w:hAnsi="Times New Roman"/>
                <w:sz w:val="10"/>
                <w:szCs w:val="10"/>
                <w:b w:val="1"/>
                <w:bCs w:val="1"/>
                <w:color w:val="auto"/>
              </w:rPr>
              <w:t>No</w:t>
            </w: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jc w:val="right"/>
              <w:ind w:right="307"/>
              <w:spacing w:after="0" w:line="87" w:lineRule="exact"/>
              <w:rPr>
                <w:sz w:val="20"/>
                <w:szCs w:val="20"/>
                <w:color w:val="auto"/>
              </w:rPr>
            </w:pPr>
            <w:r>
              <w:rPr>
                <w:rFonts w:ascii="Times New Roman" w:cs="Times New Roman" w:eastAsia="Times New Roman" w:hAnsi="Times New Roman"/>
                <w:sz w:val="10"/>
                <w:szCs w:val="10"/>
                <w:b w:val="1"/>
                <w:bCs w:val="1"/>
                <w:color w:val="auto"/>
              </w:rPr>
              <w:t>Full</w:t>
            </w: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Borders>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b w:val="1"/>
                <w:bCs w:val="1"/>
                <w:color w:val="auto"/>
              </w:rPr>
              <w:t>Share</w:t>
            </w:r>
          </w:p>
        </w:tc>
        <w:tc>
          <w:tcPr>
            <w:tcW w:w="140" w:type="dxa"/>
            <w:vAlign w:val="bottom"/>
          </w:tcPr>
          <w:p>
            <w:pPr>
              <w:spacing w:after="0"/>
              <w:rPr>
                <w:sz w:val="11"/>
                <w:szCs w:val="11"/>
                <w:color w:val="auto"/>
              </w:rPr>
            </w:pPr>
          </w:p>
        </w:tc>
        <w:tc>
          <w:tcPr>
            <w:tcW w:w="760" w:type="dxa"/>
            <w:vAlign w:val="bottom"/>
            <w:tcBorders>
              <w:bottom w:val="single" w:sz="8" w:color="auto"/>
            </w:tcBorders>
          </w:tcPr>
          <w:p>
            <w:pPr>
              <w:jc w:val="right"/>
              <w:ind w:right="47"/>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1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Borders>
              <w:bottom w:val="single" w:sz="8" w:color="auto"/>
            </w:tcBorders>
          </w:tcPr>
          <w:p>
            <w:pPr>
              <w:jc w:val="right"/>
              <w:ind w:right="187"/>
              <w:spacing w:after="0"/>
              <w:rPr>
                <w:sz w:val="20"/>
                <w:szCs w:val="20"/>
                <w:color w:val="auto"/>
              </w:rPr>
            </w:pPr>
            <w:r>
              <w:rPr>
                <w:rFonts w:ascii="Times New Roman" w:cs="Times New Roman" w:eastAsia="Times New Roman" w:hAnsi="Times New Roman"/>
                <w:sz w:val="11"/>
                <w:szCs w:val="11"/>
                <w:b w:val="1"/>
                <w:bCs w:val="1"/>
                <w:color w:val="auto"/>
              </w:rPr>
              <w:t>Exercise</w:t>
            </w:r>
          </w:p>
        </w:tc>
        <w:tc>
          <w:tcPr>
            <w:tcW w:w="0" w:type="dxa"/>
            <w:vAlign w:val="bottom"/>
          </w:tcPr>
          <w:p>
            <w:pPr>
              <w:spacing w:after="0"/>
              <w:rPr>
                <w:sz w:val="1"/>
                <w:szCs w:val="1"/>
                <w:color w:val="auto"/>
              </w:rPr>
            </w:pPr>
          </w:p>
        </w:tc>
      </w:tr>
      <w:tr>
        <w:trPr>
          <w:trHeight w:val="159"/>
        </w:trPr>
        <w:tc>
          <w:tcPr>
            <w:tcW w:w="34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Public offering price</w:t>
            </w:r>
          </w:p>
        </w:tc>
        <w:tc>
          <w:tcPr>
            <w:tcW w:w="1080" w:type="dxa"/>
            <w:vAlign w:val="bottom"/>
            <w:gridSpan w:val="2"/>
            <w:shd w:val="clear" w:color="auto" w:fill="CFF0FC"/>
          </w:tcPr>
          <w:p>
            <w:pPr>
              <w:jc w:val="right"/>
              <w:ind w:right="804"/>
              <w:spacing w:after="0" w:line="15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647"/>
              <w:spacing w:after="0" w:line="15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ind w:right="787"/>
              <w:spacing w:after="0" w:line="15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400" w:type="dxa"/>
            <w:vAlign w:val="bottom"/>
          </w:tcPr>
          <w:p>
            <w:pPr>
              <w:spacing w:after="0"/>
              <w:rPr>
                <w:sz w:val="20"/>
                <w:szCs w:val="20"/>
                <w:color w:val="auto"/>
              </w:rPr>
            </w:pPr>
            <w:r>
              <w:rPr>
                <w:rFonts w:ascii="Times New Roman" w:cs="Times New Roman" w:eastAsia="Times New Roman" w:hAnsi="Times New Roman"/>
                <w:sz w:val="14"/>
                <w:szCs w:val="14"/>
                <w:color w:val="auto"/>
              </w:rPr>
              <w:t>Underwriting discounts and commissions to be paid by us</w:t>
            </w:r>
          </w:p>
        </w:tc>
        <w:tc>
          <w:tcPr>
            <w:tcW w:w="1080" w:type="dxa"/>
            <w:vAlign w:val="bottom"/>
            <w:gridSpan w:val="2"/>
          </w:tcPr>
          <w:p>
            <w:pPr>
              <w:jc w:val="right"/>
              <w:ind w:right="80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647"/>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tcPr>
          <w:p>
            <w:pPr>
              <w:jc w:val="right"/>
              <w:ind w:right="78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8"/>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before expenses, to us</w:t>
            </w:r>
          </w:p>
        </w:tc>
        <w:tc>
          <w:tcPr>
            <w:tcW w:w="1080" w:type="dxa"/>
            <w:vAlign w:val="bottom"/>
            <w:gridSpan w:val="2"/>
            <w:shd w:val="clear" w:color="auto" w:fill="CFF0FC"/>
          </w:tcPr>
          <w:p>
            <w:pPr>
              <w:jc w:val="right"/>
              <w:ind w:right="804"/>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FF0FC"/>
          </w:tcPr>
          <w:p>
            <w:pPr>
              <w:jc w:val="right"/>
              <w:ind w:right="647"/>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gridSpan w:val="3"/>
            <w:shd w:val="clear" w:color="auto" w:fill="CFF0FC"/>
          </w:tcPr>
          <w:p>
            <w:pPr>
              <w:jc w:val="right"/>
              <w:ind w:right="787"/>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estimated offering expenses payable by us, exclusive of the underwriting discounts and commissions, are</w:t>
      </w:r>
    </w:p>
    <w:p>
      <w:pPr>
        <w:spacing w:after="0" w:line="14"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222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approximately $</w:t>
            </w:r>
          </w:p>
        </w:tc>
        <w:tc>
          <w:tcPr>
            <w:tcW w:w="6380" w:type="dxa"/>
            <w:vAlign w:val="bottom"/>
            <w:gridSpan w:val="2"/>
          </w:tcPr>
          <w:p>
            <w:pPr>
              <w:jc w:val="right"/>
              <w:ind w:right="950"/>
              <w:spacing w:after="0"/>
              <w:rPr>
                <w:sz w:val="20"/>
                <w:szCs w:val="20"/>
                <w:color w:val="auto"/>
              </w:rPr>
            </w:pPr>
            <w:r>
              <w:rPr>
                <w:rFonts w:ascii="Times New Roman" w:cs="Times New Roman" w:eastAsia="Times New Roman" w:hAnsi="Times New Roman"/>
                <w:sz w:val="14"/>
                <w:szCs w:val="14"/>
                <w:color w:val="auto"/>
              </w:rPr>
              <w:t>. We have agreed to reimburse the underwriters for their expenses relating to clearance of</w:t>
            </w:r>
          </w:p>
        </w:tc>
      </w:tr>
      <w:tr>
        <w:trPr>
          <w:trHeight w:val="183"/>
        </w:trPr>
        <w:tc>
          <w:tcPr>
            <w:tcW w:w="5120" w:type="dxa"/>
            <w:vAlign w:val="bottom"/>
            <w:gridSpan w:val="2"/>
          </w:tcPr>
          <w:p>
            <w:pPr>
              <w:ind w:left="1020"/>
              <w:spacing w:after="0"/>
              <w:rPr>
                <w:sz w:val="20"/>
                <w:szCs w:val="20"/>
                <w:color w:val="auto"/>
              </w:rPr>
            </w:pPr>
            <w:r>
              <w:rPr>
                <w:rFonts w:ascii="Times New Roman" w:cs="Times New Roman" w:eastAsia="Times New Roman" w:hAnsi="Times New Roman"/>
                <w:sz w:val="14"/>
                <w:szCs w:val="14"/>
                <w:color w:val="auto"/>
              </w:rPr>
              <w:t>this offering with the Financial Industry Regulatory Authority up to $</w:t>
            </w:r>
          </w:p>
        </w:tc>
        <w:tc>
          <w:tcPr>
            <w:tcW w:w="3480" w:type="dxa"/>
            <w:vAlign w:val="bottom"/>
          </w:tcPr>
          <w:p>
            <w:pPr>
              <w:jc w:val="right"/>
              <w:ind w:right="3190"/>
              <w:spacing w:after="0"/>
              <w:rPr>
                <w:sz w:val="20"/>
                <w:szCs w:val="20"/>
                <w:color w:val="auto"/>
              </w:rPr>
            </w:pPr>
            <w:r>
              <w:rPr>
                <w:rFonts w:ascii="Times New Roman" w:cs="Times New Roman" w:eastAsia="Times New Roman" w:hAnsi="Times New Roman"/>
                <w:sz w:val="14"/>
                <w:szCs w:val="14"/>
                <w:color w:val="auto"/>
              </w:rPr>
              <w:t>.</w:t>
            </w:r>
          </w:p>
        </w:tc>
      </w:tr>
      <w:tr>
        <w:trPr>
          <w:trHeight w:val="704"/>
        </w:trPr>
        <w:tc>
          <w:tcPr>
            <w:tcW w:w="2220" w:type="dxa"/>
            <w:vAlign w:val="bottom"/>
          </w:tcPr>
          <w:p>
            <w:pPr>
              <w:spacing w:after="0"/>
              <w:rPr>
                <w:sz w:val="24"/>
                <w:szCs w:val="24"/>
                <w:color w:val="auto"/>
              </w:rPr>
            </w:pPr>
          </w:p>
        </w:tc>
        <w:tc>
          <w:tcPr>
            <w:tcW w:w="2900" w:type="dxa"/>
            <w:vAlign w:val="bottom"/>
          </w:tcPr>
          <w:p>
            <w:pPr>
              <w:jc w:val="right"/>
              <w:ind w:right="650"/>
              <w:spacing w:after="0"/>
              <w:rPr>
                <w:sz w:val="20"/>
                <w:szCs w:val="20"/>
                <w:color w:val="auto"/>
              </w:rPr>
            </w:pPr>
            <w:r>
              <w:rPr>
                <w:rFonts w:ascii="Times New Roman" w:cs="Times New Roman" w:eastAsia="Times New Roman" w:hAnsi="Times New Roman"/>
                <w:sz w:val="14"/>
                <w:szCs w:val="14"/>
                <w:color w:val="auto"/>
              </w:rPr>
              <w:t>214</w:t>
            </w:r>
          </w:p>
        </w:tc>
        <w:tc>
          <w:tcPr>
            <w:tcW w:w="3480" w:type="dxa"/>
            <w:vAlign w:val="bottom"/>
          </w:tcPr>
          <w:p>
            <w:pPr>
              <w:spacing w:after="0"/>
              <w:rPr>
                <w:sz w:val="24"/>
                <w:szCs w:val="24"/>
                <w:color w:val="auto"/>
              </w:rPr>
            </w:pPr>
          </w:p>
        </w:tc>
      </w:tr>
      <w:tr>
        <w:trPr>
          <w:trHeight w:val="390"/>
        </w:trPr>
        <w:tc>
          <w:tcPr>
            <w:tcW w:w="22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8" w:name="page219"/>
    <w:bookmarkEnd w:id="21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underwriters have informed us that they do not intend sales to discretionary accounts to exceed 5% of the total number of shares of common stock offered by them.</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We have applied to list our common stock on the Nasdaq Global Market under the symbol “AVLN.”</w:t>
      </w:r>
    </w:p>
    <w:p>
      <w:pPr>
        <w:spacing w:after="0" w:line="17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We and each of our directors and executive officers and the holders of substantially all of our outstanding stock and stock options have agreed, pursuant to a lock-up agreement, or the Lock-Up Agreement, that, without the prior written consent of Morgan Stanley &amp; Co. LLC, Jefferies LLC, and Evercore Group L.L.C. on behalf of the underwriters, we and they will not, during the period ending 180 days after the date of this prospectus (the “Restricted Period”):</w:t>
      </w:r>
    </w:p>
    <w:p>
      <w:pPr>
        <w:spacing w:after="0" w:line="60" w:lineRule="exact"/>
        <w:rPr>
          <w:sz w:val="20"/>
          <w:szCs w:val="20"/>
          <w:color w:val="auto"/>
        </w:rPr>
      </w:pPr>
    </w:p>
    <w:p>
      <w:pPr>
        <w:ind w:left="1880" w:right="1239" w:hanging="323"/>
        <w:spacing w:after="0" w:line="261" w:lineRule="auto"/>
        <w:tabs>
          <w:tab w:leader="none" w:pos="18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w:t>
      </w:r>
    </w:p>
    <w:p>
      <w:pPr>
        <w:spacing w:after="0" w:line="56"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file any registration statement with the SEC relating to the offering of any shares of common stock or any securities convertible into or exercisable or exchangeable for common stock; or</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any swap or other arrangement that transfers to another, in whole or in part, any of the economic consequences of ownership of our common stock,</w:t>
      </w:r>
    </w:p>
    <w:p>
      <w:pPr>
        <w:spacing w:after="0" w:line="12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whether any such transaction described above is to be settled by delivery of common stock or such other securities, in cash or otherwise. In addition, we and each such person have agreed, without the prior written consent of Morgan Stanley &amp; Co. LLC, Jefferies LLC, and Evercore Group L.L.C.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4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restrictions on issuances by us during the Restricted Period are subject to certain exceptions, including with respect to:</w:t>
      </w:r>
    </w:p>
    <w:p>
      <w:pPr>
        <w:spacing w:after="0" w:line="41" w:lineRule="exact"/>
        <w:rPr>
          <w:sz w:val="20"/>
          <w:szCs w:val="20"/>
          <w:color w:val="auto"/>
        </w:rPr>
      </w:pPr>
    </w:p>
    <w:p>
      <w:pPr>
        <w:ind w:left="1880" w:hanging="323"/>
        <w:spacing w:after="0"/>
        <w:tabs>
          <w:tab w:leader="none" w:pos="18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of shares to the underwriters;</w:t>
      </w:r>
    </w:p>
    <w:p>
      <w:pPr>
        <w:spacing w:after="0" w:line="9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our common stock upon the exercise of an option or a warrant or the conversion of a security outstanding on the date of this prospectus of which the underwriters have been advised in writing;</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grants of options, restricted stock or other equity awards and the issuance of shares of our common stock or securities convertible into or exercisable for our common stock (whether upon the exercise of stock options or otherwise) to employees, officers, directors, advisors, or consultants of the Company pursuant to the terms of an employee benefit plan in effect on the date of this prospectus and as described in this prospectus;</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filing of a registration statement on Form S-8 to register shares of our common stock issuable pursuant to any employee benefit plans, qualified stock option plans or other employee compensation plans described in this prospectus;</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53" w:lineRule="auto"/>
        <w:tabs>
          <w:tab w:leader="none" w:pos="1880" w:val="left"/>
        </w:tabs>
        <w:numPr>
          <w:ilvl w:val="0"/>
          <w:numId w:val="1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sale or issuance of shares of our common stock, or any securities convertible into, or exercisable or exchangeable for, our common stock, or the entrance into an agreement to issue shares of our common stock or any securities convertible into, or exercisable or exchangeable for, our common stock, in connection with any merger, joint venture, strategic alliance, commercial or other collaborative transaction or the acquisition or license of the business, property, technology or other assets of another individual or entity or the assumption of an employee benefit plan in connection with a merger or acquisition, other than for capital raising purposes;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the aggregate number of shares of our common stock or any securities convertible into, or exercisable or exchangeable for, our common stock that we may issue or agree to issue pursuant to this exception shall not exceed 7% of our total outstanding share capital immediately following the closing of this offering; </w:t>
      </w:r>
      <w:r>
        <w:rPr>
          <w:rFonts w:ascii="Times New Roman" w:cs="Times New Roman" w:eastAsia="Times New Roman" w:hAnsi="Times New Roman"/>
          <w:sz w:val="14"/>
          <w:szCs w:val="14"/>
          <w:i w:val="1"/>
          <w:iCs w:val="1"/>
          <w:color w:val="auto"/>
        </w:rPr>
        <w:t>provided, further</w:t>
      </w:r>
      <w:r>
        <w:rPr>
          <w:rFonts w:ascii="Times New Roman" w:cs="Times New Roman" w:eastAsia="Times New Roman" w:hAnsi="Times New Roman"/>
          <w:sz w:val="14"/>
          <w:szCs w:val="14"/>
          <w:color w:val="auto"/>
        </w:rPr>
        <w:t>, that we will cause each such recipient to execute and deliver to the representatives of the underwriters, on or prior to the such issuance, a</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19" w:name="page220"/>
    <w:bookmarkEnd w:id="21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spacing w:after="0" w:line="283" w:lineRule="auto"/>
        <w:rPr>
          <w:sz w:val="20"/>
          <w:szCs w:val="20"/>
          <w:color w:val="auto"/>
        </w:rPr>
      </w:pPr>
      <w:r>
        <w:rPr>
          <w:rFonts w:ascii="Times New Roman" w:cs="Times New Roman" w:eastAsia="Times New Roman" w:hAnsi="Times New Roman"/>
          <w:sz w:val="14"/>
          <w:szCs w:val="14"/>
          <w:color w:val="auto"/>
        </w:rPr>
        <w:t>lock-up agreement substantially in the form of the Lock-Up Agreements with respect to the remaining portion of the Restricted Period; or</w:t>
      </w:r>
    </w:p>
    <w:p>
      <w:pPr>
        <w:spacing w:after="0" w:line="41" w:lineRule="exact"/>
        <w:rPr>
          <w:sz w:val="20"/>
          <w:szCs w:val="20"/>
          <w:color w:val="auto"/>
        </w:rPr>
      </w:pPr>
    </w:p>
    <w:p>
      <w:pPr>
        <w:jc w:val="both"/>
        <w:ind w:left="1880" w:right="1239" w:hanging="323"/>
        <w:spacing w:after="0" w:line="256" w:lineRule="auto"/>
        <w:tabs>
          <w:tab w:leader="none" w:pos="1880" w:val="left"/>
        </w:tabs>
        <w:numPr>
          <w:ilvl w:val="0"/>
          <w:numId w:val="1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facilitating the establishment of a trading plan on behalf of a shareholder, officer or director of the Company pursuant to Rule 10b5-1 under the Exchange Act for the transfer of shares of common stock; provided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w:t>
      </w:r>
    </w:p>
    <w:p>
      <w:pPr>
        <w:spacing w:after="0" w:line="144"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restrictions imposed by the Lock-up Agreements with our directors, executive officers and stockholders are subject to certain exceptions, including with respect to:</w:t>
      </w:r>
    </w:p>
    <w:p>
      <w:pPr>
        <w:spacing w:after="0" w:line="41" w:lineRule="exact"/>
        <w:rPr>
          <w:sz w:val="20"/>
          <w:szCs w:val="20"/>
          <w:color w:val="auto"/>
        </w:rPr>
      </w:pPr>
    </w:p>
    <w:p>
      <w:pPr>
        <w:jc w:val="both"/>
        <w:ind w:left="1880" w:right="1239" w:hanging="323"/>
        <w:spacing w:after="0" w:line="258" w:lineRule="auto"/>
        <w:tabs>
          <w:tab w:leader="none" w:pos="18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relating to shares of common stock or other securities acquired in this offering or in open market transactions after the completion of this offering, provided that no filing under Section 16(a) of the Exchange Act shall be required or shall be voluntarily made in connection with subsequent sales of common stock or other securities acquired in this offering or such open market transactions during the Restricted Period;</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of common stock or any security convertible into or exercisable or exchangeable for common stock as a bona fide gift or to a charitable organization or educational institution in a transfer not involving a disposition for value;</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or distributions of shares of common stock or any security convertible into or exercisable or exchangeable for common stock to any member of the immediate family of the lock-up party or any trust for the direct or indirect benefit of the lock-up party or the immediate family of the lock-up party in a transaction not involving a disposition for value;</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distributions of shares of common stock or any security convertible into common stock to limited and/or general partners, members, beneficiaries or other equity holders or stockholders of the lock-up party its direct or indirect affiliates or to an investment fund or other entity that controls or manages, or is under common control with, the lock-up party;</w:t>
      </w:r>
    </w:p>
    <w:p>
      <w:pPr>
        <w:spacing w:after="0" w:line="56"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or dispositions of shares of common stock or any security convertible into or exercisable or exchangeable for common stock (i) by will, other testamentary document or intestate succession to the legal representative, heir, beneficiary or a member of the immediate family of the lock-up party upon the death of the lock-up party or (ii) by operation of law pursuant to orders of a court or regulatory agency, in connection with a negotiated divorce settlement or pursuant to a qualified domestic relations order;</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53" w:lineRule="auto"/>
        <w:tabs>
          <w:tab w:leader="none" w:pos="1880" w:val="left"/>
        </w:tabs>
        <w:numPr>
          <w:ilvl w:val="0"/>
          <w:numId w:val="1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transfers or dispositions of shares of common stock or other securities to us in connection with the conversion of any convertible security into, or the exercise of any option or warrant for, shares of common stock (including by way of “net” or “cashless” exercise solely to cover withholding tax obligations in connection with such exercise or transfer to us for the payment of taxes as a result of such exercise);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such convertible security, option or warrant is described herein and is outstanding on the date thereof, (ii) any such shares of Common Stock received by the lock-up party shall be subject to the terms of such Lock-up Agreement and (iii) no filing under Section 16(a) of the Exchange Act, reporting a reduction in beneficial ownership of shares of common stock, shall be required or shall be voluntarily made during the Restricted Period, other than a filing on a Form 4 that reports such disposition under the transaction code “F,” in which case the filing or announcement shall clearly indicate in the footnotes thereto or comments section thereof that the filing relates to the exercise of a stock option or warrant, as the case may be, that no shares of common stock were sold by the reporting person and that the shares of common stock received upon exercise of the stock option or warrant are subject to a lock-up agreement with the underwriters of this offering);</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0" w:name="page221"/>
    <w:bookmarkEnd w:id="22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880" w:right="1239" w:hanging="323"/>
        <w:spacing w:after="0" w:line="256" w:lineRule="auto"/>
        <w:tabs>
          <w:tab w:leader="none" w:pos="18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establishment of a trading plan on behalf of our shareholder, officer or director pursuant to Rule 10b5-1 under the Exchange Act for the transfer of shares of common stock;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 such plan does not provide for the transfer of common stock during the Restricted Period and (ii) to the extent a public announcement or filing under the Exchange Act, if any, is required of or voluntarily made by or on behalf of the lock-up party or us regarding the establishment of such plan, such announcement or filing shall include a statement to the effect that no transfer of common stock may be made under such plan during the Restricted Period; or</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54" w:lineRule="auto"/>
        <w:tabs>
          <w:tab w:leader="none" w:pos="1880" w:val="left"/>
        </w:tabs>
        <w:numPr>
          <w:ilvl w:val="0"/>
          <w:numId w:val="1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transfers of shares of common stock (or any securities convertible into or exercisable or exchangeable for common stock) pursuant to a bona fide third-party tender offer for shares of our capital stock made to all holders of our securities, merger, consolidation or other similar transaction approved by the our board of directors and occurring after the closing of this offering, the result of which is that any person (as defined in Section 13(d)(3) of the Exchange Act), or group of persons, other than us, becomes the beneficial owner (as defined in Rules 13d-3 and 13d-5 of the Exchange Act) of more than 50% of the total voting power of our voting stock; provided that in the event that such change of control transaction is not completed, the shares of common stock (or any security convertible into or exercisable or exchangeable for common stock) owned by the lock-up party shall remain subject to the restrictions contained in the Lock-up Agreement and title to the lock-up party’s shares shall remain with the lock-up party;</w:t>
      </w:r>
    </w:p>
    <w:p>
      <w:pPr>
        <w:spacing w:after="0" w:line="144" w:lineRule="exact"/>
        <w:rPr>
          <w:sz w:val="20"/>
          <w:szCs w:val="20"/>
          <w:color w:val="auto"/>
        </w:rPr>
      </w:pPr>
    </w:p>
    <w:p>
      <w:pPr>
        <w:jc w:val="both"/>
        <w:ind w:left="1220" w:right="1239"/>
        <w:spacing w:after="0" w:line="172" w:lineRule="exact"/>
        <w:rPr>
          <w:sz w:val="20"/>
          <w:szCs w:val="20"/>
          <w:color w:val="auto"/>
        </w:rPr>
      </w:pPr>
      <w:r>
        <w:rPr>
          <w:rFonts w:ascii="Times New Roman" w:cs="Times New Roman" w:eastAsia="Times New Roman" w:hAnsi="Times New Roman"/>
          <w:sz w:val="14"/>
          <w:szCs w:val="14"/>
          <w:color w:val="auto"/>
        </w:rPr>
        <w:t>provided that in the case of any transfer or distribution pursuant to clauses (2), (3), (4), or (5), (i) each donee or distributee shall sign and deliver a lock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up agreement substantially in the form of the Lock-up Agreement and (ii) any Form 4 or Form 5 required to be filed under the Exchange Act if the lock-up party is subject to Section 16 reporting with respect us under the Exchange Act, will indicate by footnote disclosure or otherwise the nature of the transfer or disposition).</w:t>
      </w:r>
    </w:p>
    <w:p>
      <w:pPr>
        <w:spacing w:after="0" w:line="15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Morgan Stanley &amp; Co. LLC, Jefferies LLC, and Evercore Group L.L.C., in their sole discretion, may release our common stock and other securities subject to the Lock-Up Agreements described above in whole or in part at any time.</w:t>
      </w:r>
    </w:p>
    <w:p>
      <w:pPr>
        <w:spacing w:after="0" w:line="136" w:lineRule="exact"/>
        <w:rPr>
          <w:sz w:val="20"/>
          <w:szCs w:val="20"/>
          <w:color w:val="auto"/>
        </w:rPr>
      </w:pPr>
    </w:p>
    <w:p>
      <w:pPr>
        <w:jc w:val="both"/>
        <w:ind w:left="1220" w:right="1239" w:firstLine="333"/>
        <w:spacing w:after="0" w:line="252" w:lineRule="auto"/>
        <w:rPr>
          <w:sz w:val="20"/>
          <w:szCs w:val="20"/>
          <w:color w:val="auto"/>
        </w:rPr>
      </w:pPr>
      <w:r>
        <w:rPr>
          <w:rFonts w:ascii="Times New Roman" w:cs="Times New Roman" w:eastAsia="Times New Roman" w:hAnsi="Times New Roman"/>
          <w:sz w:val="14"/>
          <w:szCs w:val="14"/>
          <w:color w:val="auto"/>
        </w:rPr>
        <w:t>In order to facilitate the offering of our common stock, the underwriters may engage in transactions that stabilize, maintain, or otherwise affect the price of our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described above.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shares of common stock in this offering. As an additional means of facilitating this offering, the underwriters may bid for, and purchase, shares of common stock in the open market to stabilize the price of our common stock. These activities may raise or maintain the market price of our common stock above independent market levels or prevent or retard a decline in the market price of our common stock. The underwriters are not required to engage in these activities and may end any of these activities at any time.</w:t>
      </w:r>
    </w:p>
    <w:p>
      <w:pPr>
        <w:spacing w:after="0" w:line="15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We and the underwriters have agreed to indemnify each other against certain liabilities, including liabilities under the Securities Act.</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 prospectus in electronic format may be made available on websites maintained by one or more underwriters, or selling group members, if any, participating in this offering. The representative may agree to allocate a number of shares of common stock to underwriters for sale to their online brokerage account holders. Internet distributions will</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1" w:name="page222"/>
    <w:bookmarkEnd w:id="22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be allocated by the representative to underwriters that may make Internet distributions on the same basis as other allocations.</w:t>
      </w:r>
    </w:p>
    <w:p>
      <w:pPr>
        <w:spacing w:after="0" w:line="12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from time to time, performed, and may in the future perform, various financial advisory and investment banking services for us, for which they received or will receive customary fees and expenses.</w:t>
      </w:r>
    </w:p>
    <w:p>
      <w:pPr>
        <w:spacing w:after="0" w:line="14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Pricing of the Offering</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Prior to this offering, there has been no public market for our common stock. The initial public offering price will be determined by negotiations between us and the representative. Among the factors to be considered in determining the initial public offering price will be our future prospects and those of our industry in general, our sales, earnings, and certain other financial and operating information in recent periods, and the price-earnings ratios, price-sales ratios, market prices of securities, and certain financial and operating information of companies engaged in activities similar to ours.</w:t>
      </w:r>
    </w:p>
    <w:p>
      <w:pPr>
        <w:spacing w:after="0" w:line="2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Selling Restrictions</w:t>
      </w:r>
    </w:p>
    <w:p>
      <w:pPr>
        <w:spacing w:after="0" w:line="9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European Economic Area</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relation to each Member State of the European Economic Area, each, a “Member State,” no shares of our common stock have been offered or will be offered pursuant to the offering to the public in that Member State prior to the publication of a prospectus in relation to our common stock which has been approved by the competent authority in that Member State or, where appropriate, approved in another Member State and notified to the competent authority in that Member State, all in accordance with the Prospectus Regulation, except that offers of our common stock may be made to the public in that Member State at any time under the following exemptions under the Prospectus Regulation:</w:t>
      </w:r>
    </w:p>
    <w:p>
      <w:pPr>
        <w:spacing w:after="0" w:line="59" w:lineRule="exact"/>
        <w:rPr>
          <w:sz w:val="20"/>
          <w:szCs w:val="20"/>
          <w:color w:val="auto"/>
        </w:rPr>
      </w:pPr>
    </w:p>
    <w:p>
      <w:pPr>
        <w:ind w:left="1880" w:hanging="323"/>
        <w:spacing w:after="0"/>
        <w:tabs>
          <w:tab w:leader="none" w:pos="18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any legal entity which is a qualified investor as defined in the Prospectus Regulation;</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fewer than 150 natural or legal persons (other than qualified investors as defined in the Prospectus Regulation), subject to obtaining the prior consent of the representatives; or</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any other circumstances falling within Article 1(4) of the Prospectus Regulation;</w:t>
      </w:r>
    </w:p>
    <w:p>
      <w:pPr>
        <w:spacing w:after="0" w:line="17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provided that no such offer of shares shall require us or any of the representatives to publish a prospectus pursuant to Article 3 of the Prospectus Regulation or supplement a prospectus pursuant to Article 23 of the Prospectus Regulation, and each person who initially acquires any shares or to whom any offer is made will be deemed to have represented, acknowledged, and agreed to and with each of the representatives and us that it is a “qualified investor” within the meaning of Article 2(e) in the Prospectus Regulation.</w:t>
      </w:r>
    </w:p>
    <w:p>
      <w:pPr>
        <w:spacing w:after="0" w:line="144"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In the case of any shares being offered to a financial intermediary as that term is used in Article 5 of the Prospectus Regulation, each such financial intermediary will be deemed to have represented, acknowledged, and agreed that the shares acquired by it in the offer have not been acquired on a nondiscretionary basis on behalf of, nor</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2" w:name="page223"/>
    <w:bookmarkEnd w:id="22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4"/>
          <w:szCs w:val="14"/>
          <w:color w:val="auto"/>
        </w:rPr>
        <w:t>have they been acquired with a view to their offer or resale to, persons in circumstances which may give rise to an offer of any shares to the public other than their offer or resale in a Member State to qualified investors as so defined or in circumstances in which the prior consent of the representatives has been obtained to each such proposed offer or resale.</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of shares to the public” in relation to any shares in any Member State means the communication in any form and by any means of sufficient information on the terms of the offer and the shares of our common stock to be offered so as to enable an investor to decide to purchase or subscribe for any shares of our common stock, the expression “Prospectus Regulation” means Regulation (EU) 2017/1129 (as amended).</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United Kingdom</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This prospectus has been prepared on the basis that the offering of our common stock falls within one of the exceptions specified in Part 1 of Schedule 1 of the Public Offers and Admissions to Trading Regulations 2024, POATRs, and accordingly there will not be a prospectus prepared or published for the purposes of the POATRs. This prospectus does not constitute a prospectus for the purposes of the POATRs.</w:t>
      </w:r>
    </w:p>
    <w:p>
      <w:pPr>
        <w:spacing w:after="0" w:line="141"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Each underwriter has represented and agreed that it has not made and will not make an offer of our common stock which are the subject of this Prospectus to the public in the United Kingdom except that it may make an offer:</w:t>
      </w:r>
    </w:p>
    <w:p>
      <w:pPr>
        <w:spacing w:after="0" w:line="41" w:lineRule="exact"/>
        <w:rPr>
          <w:sz w:val="20"/>
          <w:szCs w:val="20"/>
          <w:color w:val="auto"/>
        </w:rPr>
      </w:pPr>
    </w:p>
    <w:p>
      <w:pPr>
        <w:ind w:left="1560" w:right="1239" w:hanging="3"/>
        <w:spacing w:after="0" w:line="283" w:lineRule="auto"/>
        <w:tabs>
          <w:tab w:leader="none" w:pos="1913"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any legal entity which is a qualified investor as defined in paragraph 15 of Schedule 1 to the POATRs;</w:t>
      </w:r>
    </w:p>
    <w:p>
      <w:pPr>
        <w:spacing w:after="0" w:line="40" w:lineRule="exact"/>
        <w:rPr>
          <w:rFonts w:ascii="Times New Roman" w:cs="Times New Roman" w:eastAsia="Times New Roman" w:hAnsi="Times New Roman"/>
          <w:sz w:val="14"/>
          <w:szCs w:val="14"/>
          <w:color w:val="auto"/>
        </w:rPr>
      </w:pPr>
    </w:p>
    <w:p>
      <w:pPr>
        <w:jc w:val="both"/>
        <w:ind w:left="1560" w:right="1239" w:hanging="3"/>
        <w:spacing w:after="0" w:line="267" w:lineRule="auto"/>
        <w:tabs>
          <w:tab w:leader="none" w:pos="1913"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to fewer than 150 persons (other than qualified investors as defined in paragraph 15 of Schedule 1 to the POATRs) in the United Kingdom subject to obtaining the prior consent of the relevant underwriter or underwriters nominated by the Issuer for any such offer; or</w:t>
      </w:r>
    </w:p>
    <w:p>
      <w:pPr>
        <w:spacing w:after="0" w:line="51" w:lineRule="exact"/>
        <w:rPr>
          <w:rFonts w:ascii="Times New Roman" w:cs="Times New Roman" w:eastAsia="Times New Roman" w:hAnsi="Times New Roman"/>
          <w:sz w:val="14"/>
          <w:szCs w:val="14"/>
          <w:color w:val="auto"/>
        </w:rPr>
      </w:pPr>
    </w:p>
    <w:p>
      <w:pPr>
        <w:ind w:left="1920" w:hanging="363"/>
        <w:spacing w:after="0"/>
        <w:tabs>
          <w:tab w:leader="none" w:pos="1920" w:val="left"/>
        </w:tabs>
        <w:numPr>
          <w:ilvl w:val="0"/>
          <w:numId w:val="1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any time in any other circumstances falling within Part 1 of Schedule 1 to the POATRs.</w:t>
      </w:r>
    </w:p>
    <w:p>
      <w:pPr>
        <w:spacing w:after="0" w:line="17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For the purposes of this provision, the expression an offer of our common stock to the public in relation to any of our common stock means the communication in any form and by any means of sufficient information on the terms of the offer and our common stock to be offered so as to enable an investor to decide to buy or subscribe for our common stock and the expression “POATRs” means the Public Offers and Admissions to Trading Regulations 2024.</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Japan</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No registration pursuant to Article 4, paragraph 1 of the Financial Instruments and Exchange Law of Japan (Law No. 25 of 1948, as amended) (the “FIEL”) has been made or will be made with respect to the solicitation of the application for the acquisition of the shares of common stock.</w:t>
      </w:r>
    </w:p>
    <w:p>
      <w:pPr>
        <w:spacing w:after="0" w:line="13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Accordingly, the shares of common stock have not been, directly or indirectly, offered or sold and will not be, directly or indirectly, offered or sold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and otherwise in compliance with, the FIEL and the other applicable laws and regulations of Japan.</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u w:val="single" w:color="auto"/>
          <w:color w:val="auto"/>
        </w:rPr>
        <w:t>For Qualified Institutional Investors or “QII”</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shares of common stock constitutes either a “QII only private placement” or a “QII only secondary distribution” (each as described in Paragraph 1, Article 23-13 of the FIEL). Disclosure regarding</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3" w:name="page224"/>
    <w:bookmarkEnd w:id="22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any such solicitation, as is otherwise prescribed in Paragraph 1, Article 4 of the FIEL, has not been made in relation to the shares of common stock. The shares of common stock may only be transferred to QIIs.</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i w:val="1"/>
          <w:iCs w:val="1"/>
          <w:u w:val="single" w:color="auto"/>
          <w:color w:val="auto"/>
        </w:rPr>
        <w:t>For Non-QII Investors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Please note that the solicitation for newly-issued or secondary securities (each as described in Paragraph 2, Article 4 of the FIEL) in relation to the shares of common stock constitutes either a “small number private placement” or a “small number private secondary distribution” (each as is described in Paragraph 4, Article 23-13 of the FIEL). Disclosure regarding any such solicitation, as is otherwise prescribed in Paragraph 1, Article 4 of the FIEL, has not been made in relation to the shares of common stock. The shares of common stock may only be transferred en bloc without subdivision to a single investor.</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Brazil</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offer and sale of our shares of common stock has not been, and will not be, registered (or exempted from registration) with the Brazilian securities commission, Comissão de Valores Mobiliários or “CVM,” and, therefore, will not be carried out by any means that would constitute a public offering in Brazil under CVM resolution No. 160, dated July 13, 2022, as amended or “CVM Resolution 160” or unauthorized distribution under Brazilian laws and regulations. The shares of our common stock will be authorized for trading on organized non-Brazilian securities markets and may only be offered to Brazilian professional investors (as defined by applicable CVM regulation), who may only acquire our shares of common stock through a non-Brazilian account, with settlement outside Brazil in non-Brazilian currency. The trading of these securities on regulated securities markets in Brazil is prohibited.</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Switzerland</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shares of common stock may not be publicly offered in Switzerland and will not be listed on the SIX Swiss Exchange, or SIX, or on any other stock exchange or regulated trading facility in Switzerland.</w:t>
      </w:r>
    </w:p>
    <w:p>
      <w:pPr>
        <w:spacing w:after="0" w:line="125"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of our common stock or the offering may be publicly distributed or otherwise made publicly available in Switzerland. Neither this document nor any other offering or marketing material relating to the offering, us, or the shares of our common stock have been or will be filed with or approved by any Swiss regulatory authority. In particular, this document will not be filed with, and the offer of our common stock will not be supervised by, the Swiss Financial Market Supervisory Authority FINMA, or FINMA, and the offer of common stock has not been and will not be authorized under the Swiss Federal Act on Collective Investment Schemes, or CISA. The investor protection afforded to acquirers of interests in collective investment schemes under the CISA does not extend to acquirers of shares of our common stock.</w:t>
      </w:r>
    </w:p>
    <w:p>
      <w:pPr>
        <w:spacing w:after="0" w:line="23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Canada</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shares of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common stock must be made in accordance with an exemption from, or in a transaction not subject to, the prospectus requirements of applicable securities laws.</w:t>
      </w:r>
    </w:p>
    <w:p>
      <w:pPr>
        <w:spacing w:after="0" w:line="14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4" w:name="page225"/>
    <w:bookmarkEnd w:id="22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of the securities legislation of the purchaser’s province or territory for particulars of these rights or consult with a legal advisor.</w:t>
      </w:r>
    </w:p>
    <w:p>
      <w:pPr>
        <w:spacing w:after="0" w:line="125"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Hong Kong</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Shares of our common stock may not be offered or sold by means of any document other than (i) in circumstances which do not constitute an offer to the public within the meaning of the Companies Ordinance (Cap. 32, Laws of Hong Kong),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shares of our common stock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of our common stock which are or are intended to be disposed of only to persons outside Hong Kong or only to “professional investors” within the meaning of the Securities and Futures Ordinance (Cap. 571, Laws of Hong Kong) and any rules made thereunder.</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Singapore</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This prospectus has not been registered as a prospectus with the Monetary Authority of Singapore. Accordingly, this prospectus and any other document or material in connection with the offer or sale, or invitation for subscription or purchase, of shares of our common stock may not be circulated or distributed, nor may the shares of common stock be offered or sold, or be made the subject of an invitation for subscription or purchase, whether directly or indirectly, to persons in Singapore other than (i) to an institutional investor pursuant to Section 274 of the Securities and Futures Act, Chapter 289 of Singapore (the “SFA”), (ii) to a relevant person or any person pursuant to Section 275(1A) of the SFA, and in accordance with the conditions specified in Section 275 of the SFA, or (iii) otherwise pursuant to, and in accordance with the conditions of, any other applicable provision of the SFA.</w:t>
      </w:r>
    </w:p>
    <w:p>
      <w:pPr>
        <w:spacing w:after="0" w:line="14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Where shares of common stock are subscribed or purchased under Section 275 by a relevant person which is:</w:t>
      </w:r>
    </w:p>
    <w:p>
      <w:pPr>
        <w:spacing w:after="0" w:line="91" w:lineRule="exact"/>
        <w:rPr>
          <w:sz w:val="20"/>
          <w:szCs w:val="20"/>
          <w:color w:val="auto"/>
        </w:rPr>
      </w:pPr>
    </w:p>
    <w:p>
      <w:pPr>
        <w:jc w:val="both"/>
        <w:ind w:left="1880" w:right="1239" w:hanging="323"/>
        <w:spacing w:after="0" w:line="267" w:lineRule="auto"/>
        <w:tabs>
          <w:tab w:leader="none" w:pos="18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58" w:lineRule="auto"/>
        <w:tabs>
          <w:tab w:leader="none" w:pos="1880"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trust (where the trustee is not an accredited investor) whose sole purpose is to hold investments and each beneficiary of the trust is an individual who is an accredited investor, securities or securities based derivatives contracts (each as defined in Section 2(1) of the SFA) of that corporation or the beneficiaries’ rights and interest in that trust shall not be transferable within six months after that corporation or that trust has acquired shares of common stock under Section 275 of the SFA except:</w:t>
      </w:r>
    </w:p>
    <w:p>
      <w:pPr>
        <w:spacing w:after="0" w:line="59" w:lineRule="exact"/>
        <w:rPr>
          <w:rFonts w:ascii="Times New Roman" w:cs="Times New Roman" w:eastAsia="Times New Roman" w:hAnsi="Times New Roman"/>
          <w:sz w:val="14"/>
          <w:szCs w:val="14"/>
          <w:color w:val="auto"/>
        </w:rPr>
      </w:pPr>
    </w:p>
    <w:p>
      <w:pPr>
        <w:ind w:left="2220" w:right="1239" w:hanging="329"/>
        <w:spacing w:after="0" w:line="283" w:lineRule="auto"/>
        <w:tabs>
          <w:tab w:leader="none" w:pos="2220" w:val="left"/>
        </w:tabs>
        <w:numPr>
          <w:ilvl w:val="1"/>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an institutional investor or to a relevant person, or to any person pursuant to Section 275(1A), and in accordance with the conditions, specified in Section 275 of the SFA;</w:t>
      </w:r>
    </w:p>
    <w:p>
      <w:pPr>
        <w:spacing w:after="0" w:line="40" w:lineRule="exact"/>
        <w:rPr>
          <w:rFonts w:ascii="Times New Roman" w:cs="Times New Roman" w:eastAsia="Times New Roman" w:hAnsi="Times New Roman"/>
          <w:sz w:val="14"/>
          <w:szCs w:val="14"/>
          <w:color w:val="auto"/>
        </w:rPr>
      </w:pPr>
    </w:p>
    <w:p>
      <w:pPr>
        <w:ind w:left="2220" w:hanging="329"/>
        <w:spacing w:after="0"/>
        <w:tabs>
          <w:tab w:leader="none" w:pos="2220" w:val="left"/>
        </w:tabs>
        <w:numPr>
          <w:ilvl w:val="1"/>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no consideration is or will be given for the transfer;</w:t>
      </w:r>
    </w:p>
    <w:p>
      <w:pPr>
        <w:spacing w:after="0" w:line="91" w:lineRule="exact"/>
        <w:rPr>
          <w:rFonts w:ascii="Times New Roman" w:cs="Times New Roman" w:eastAsia="Times New Roman" w:hAnsi="Times New Roman"/>
          <w:sz w:val="14"/>
          <w:szCs w:val="14"/>
          <w:color w:val="auto"/>
        </w:rPr>
      </w:pPr>
    </w:p>
    <w:p>
      <w:pPr>
        <w:ind w:left="2220" w:hanging="329"/>
        <w:spacing w:after="0"/>
        <w:tabs>
          <w:tab w:leader="none" w:pos="2220" w:val="left"/>
        </w:tabs>
        <w:numPr>
          <w:ilvl w:val="1"/>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the transfer is by operation of law;</w:t>
      </w:r>
    </w:p>
    <w:p>
      <w:pPr>
        <w:spacing w:after="0" w:line="91" w:lineRule="exact"/>
        <w:rPr>
          <w:rFonts w:ascii="Times New Roman" w:cs="Times New Roman" w:eastAsia="Times New Roman" w:hAnsi="Times New Roman"/>
          <w:sz w:val="14"/>
          <w:szCs w:val="14"/>
          <w:color w:val="auto"/>
        </w:rPr>
      </w:pPr>
    </w:p>
    <w:p>
      <w:pPr>
        <w:ind w:left="2220" w:hanging="329"/>
        <w:spacing w:after="0"/>
        <w:tabs>
          <w:tab w:leader="none" w:pos="2220" w:val="left"/>
        </w:tabs>
        <w:numPr>
          <w:ilvl w:val="1"/>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Section 276(7) of the SFA; or</w:t>
      </w:r>
    </w:p>
    <w:p>
      <w:pPr>
        <w:spacing w:after="0" w:line="91" w:lineRule="exact"/>
        <w:rPr>
          <w:rFonts w:ascii="Times New Roman" w:cs="Times New Roman" w:eastAsia="Times New Roman" w:hAnsi="Times New Roman"/>
          <w:sz w:val="14"/>
          <w:szCs w:val="14"/>
          <w:color w:val="auto"/>
        </w:rPr>
      </w:pPr>
    </w:p>
    <w:p>
      <w:pPr>
        <w:ind w:left="2220" w:right="1239" w:hanging="329"/>
        <w:spacing w:after="0" w:line="283" w:lineRule="auto"/>
        <w:tabs>
          <w:tab w:leader="none" w:pos="2220" w:val="left"/>
        </w:tabs>
        <w:numPr>
          <w:ilvl w:val="1"/>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specified in Regulation 37A of the Securities and Futures (Offers of Investments) (Securities and Securities based Derivatives Contracts) Regulation 2018.</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5" w:name="page226"/>
    <w:bookmarkEnd w:id="22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Solely for purposes of the notification requirements under Section 309B(1)(c) of the SFA, we have determined, and hereby notify all relevant persons, that the shares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Australia</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No placement document, prospectus, product disclosure statement, or other disclosure document has been lodged with the Australian Securities and Investments Commission, or ASIC, in relation to the offering. This prospectus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Any offer in Australia of the shares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This prospectus contains general information only and does not take into account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for their needs, objectives, and circumstances and, if necessary, seek expert advice on those matters.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Dubai International Financial Centre</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This prospectus relates to an Exempt Offer in accordance with the Offered Securities Rules of the Dubai Financial Services Authority, or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of common stock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17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validity of the shares of our common stock being offered in this prospectus will be passed upon for us by Goodwin Procter LLP, Boston, Massachusetts. Certain legal matters in connection with this offering will be passed upon for the underwriters by Davis Polk &amp; Wardwell LLP, New York, New York.</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6" w:name="page227"/>
    <w:bookmarkEnd w:id="22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financial statements of Avalyn Pharma Inc. as of December 31, 2025 and 2024, and for the years ended December 31, 2025 and 2024, included in this Prospectus, have been audited by Deloitte &amp; Touche LLP, an independent registered public accounting firm, as stated in their report. Such financial statements are included in reliance upon the report of such firm given their authority as experts in accounting and auditing.</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7" w:name="page228"/>
    <w:bookmarkEnd w:id="22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ADDITIONAL INFORMATION</w:t>
      </w:r>
    </w:p>
    <w:p>
      <w:pPr>
        <w:spacing w:after="0" w:line="17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S-1 (File Number 333-        ) under the Securities Act with respect to the shares of common stock offered by this prospectus. This prospectus, which constitutes a part of the registration statement, does not contain all the information set forth in the registration statement, some of which is contained in exhibits to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are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also maintains an internet website that contains reports and other information about issuers, like us, that file electronically with the SEC. The address of that website is www.sec.gov/edgar</w:t>
      </w:r>
      <w:r>
        <w:rPr>
          <w:rFonts w:ascii="Times New Roman" w:cs="Times New Roman" w:eastAsia="Times New Roman" w:hAnsi="Times New Roman"/>
          <w:sz w:val="14"/>
          <w:szCs w:val="14"/>
          <w:i w:val="1"/>
          <w:iCs w:val="1"/>
          <w:color w:val="auto"/>
        </w:rPr>
        <w:t>.</w:t>
      </w:r>
    </w:p>
    <w:p>
      <w:pPr>
        <w:spacing w:after="0" w:line="320" w:lineRule="exact"/>
        <w:rPr>
          <w:sz w:val="20"/>
          <w:szCs w:val="20"/>
          <w:color w:val="auto"/>
        </w:rPr>
      </w:pPr>
    </w:p>
    <w:p>
      <w:pPr>
        <w:jc w:val="both"/>
        <w:ind w:left="1220" w:right="1239" w:firstLine="343"/>
        <w:spacing w:after="0" w:line="261" w:lineRule="auto"/>
        <w:rPr>
          <w:sz w:val="20"/>
          <w:szCs w:val="20"/>
          <w:color w:val="auto"/>
        </w:rPr>
      </w:pPr>
      <w:r>
        <w:rPr>
          <w:rFonts w:ascii="Times New Roman" w:cs="Times New Roman" w:eastAsia="Times New Roman" w:hAnsi="Times New Roman"/>
          <w:sz w:val="14"/>
          <w:szCs w:val="14"/>
          <w:color w:val="auto"/>
        </w:rPr>
        <w:t>We currently do not file periodic reports with the SEC. Upon the completion of this offering, we will be subject to the information reporting requirements of the Exchange Act, and we will file reports, proxy statements and other information with the SEC. These reports, proxy statements and other information will be available for review at the website of the SEC referred to above.</w:t>
      </w:r>
    </w:p>
    <w:p>
      <w:pPr>
        <w:spacing w:after="0" w:line="139" w:lineRule="exact"/>
        <w:rPr>
          <w:sz w:val="20"/>
          <w:szCs w:val="20"/>
          <w:color w:val="auto"/>
        </w:rPr>
      </w:pPr>
    </w:p>
    <w:p>
      <w:pPr>
        <w:jc w:val="both"/>
        <w:ind w:left="1220" w:right="1239" w:firstLine="343"/>
        <w:spacing w:after="0" w:line="257" w:lineRule="auto"/>
        <w:rPr>
          <w:sz w:val="20"/>
          <w:szCs w:val="20"/>
          <w:color w:val="auto"/>
        </w:rPr>
      </w:pPr>
      <w:r>
        <w:rPr>
          <w:rFonts w:ascii="Times New Roman" w:cs="Times New Roman" w:eastAsia="Times New Roman" w:hAnsi="Times New Roman"/>
          <w:sz w:val="14"/>
          <w:szCs w:val="14"/>
          <w:color w:val="auto"/>
        </w:rPr>
        <w:t xml:space="preserve">We also maintain a website at </w:t>
      </w:r>
      <w:r>
        <w:rPr>
          <w:rFonts w:ascii="Times New Roman" w:cs="Times New Roman" w:eastAsia="Times New Roman" w:hAnsi="Times New Roman"/>
          <w:sz w:val="14"/>
          <w:szCs w:val="14"/>
          <w:i w:val="1"/>
          <w:iCs w:val="1"/>
          <w:color w:val="auto"/>
        </w:rPr>
        <w:t>www.avalynpharma.com</w:t>
      </w:r>
      <w:r>
        <w:rPr>
          <w:rFonts w:ascii="Times New Roman" w:cs="Times New Roman" w:eastAsia="Times New Roman" w:hAnsi="Times New Roman"/>
          <w:sz w:val="14"/>
          <w:szCs w:val="14"/>
          <w:color w:val="auto"/>
        </w:rPr>
        <w:t>. Information contained in, or accessible through, our website is not a part of this prospectus, and the inclusion of our website address in this prospectus is only as an inactive textual reference. Upon completion of this offering, you may access, free of charge, our annual reports on Form 10-K, quarterly reports on Form 10-Q, current reports on Form 8-K and amendment to those reported filed or furnished pursuant to Section 13(a) or 15(d) of the Exchange Act as soon as reasonably practicable after such material is electronically filed with, or furnished to, the SEC.</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28" w:name="page229"/>
    <w:bookmarkEnd w:id="228"/>
    <w:tbl>
      <w:tblPr>
        <w:tblLayout w:type="fixed"/>
        <w:tblInd w:w="20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b w:val="1"/>
                <w:bCs w:val="1"/>
                <w:color w:val="0000FF"/>
                <w:w w:val="97"/>
              </w:rPr>
              <w:t>Table of Contents</w:t>
            </w:r>
          </w:p>
        </w:tc>
        <w:tc>
          <w:tcPr>
            <w:tcW w:w="4240" w:type="dxa"/>
            <w:vAlign w:val="bottom"/>
            <w:gridSpan w:val="6"/>
          </w:tcPr>
          <w:p>
            <w:pPr>
              <w:spacing w:after="0"/>
              <w:rPr>
                <w:sz w:val="13"/>
                <w:szCs w:val="13"/>
                <w:color w:val="auto"/>
              </w:rPr>
            </w:pPr>
          </w:p>
        </w:tc>
        <w:tc>
          <w:tcPr>
            <w:tcW w:w="1600" w:type="dxa"/>
            <w:vAlign w:val="bottom"/>
          </w:tcPr>
          <w:p>
            <w:pPr>
              <w:spacing w:after="0"/>
              <w:rPr>
                <w:sz w:val="13"/>
                <w:szCs w:val="13"/>
                <w:color w:val="auto"/>
              </w:rPr>
            </w:pPr>
          </w:p>
        </w:tc>
      </w:tr>
      <w:tr>
        <w:trPr>
          <w:trHeight w:val="1172"/>
        </w:trPr>
        <w:tc>
          <w:tcPr>
            <w:tcW w:w="1020" w:type="dxa"/>
            <w:vAlign w:val="bottom"/>
          </w:tcPr>
          <w:p>
            <w:pPr>
              <w:spacing w:after="0"/>
              <w:rPr>
                <w:sz w:val="24"/>
                <w:szCs w:val="24"/>
                <w:color w:val="auto"/>
              </w:rPr>
            </w:pPr>
          </w:p>
        </w:tc>
        <w:tc>
          <w:tcPr>
            <w:tcW w:w="5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AVALYN PHARMA INC.</w:t>
            </w:r>
          </w:p>
        </w:tc>
        <w:tc>
          <w:tcPr>
            <w:tcW w:w="1600" w:type="dxa"/>
            <w:vAlign w:val="bottom"/>
          </w:tcPr>
          <w:p>
            <w:pPr>
              <w:spacing w:after="0"/>
              <w:rPr>
                <w:sz w:val="24"/>
                <w:szCs w:val="24"/>
                <w:color w:val="auto"/>
              </w:rPr>
            </w:pPr>
          </w:p>
        </w:tc>
      </w:tr>
      <w:tr>
        <w:trPr>
          <w:trHeight w:val="185"/>
        </w:trPr>
        <w:tc>
          <w:tcPr>
            <w:tcW w:w="1020" w:type="dxa"/>
            <w:vAlign w:val="bottom"/>
          </w:tcPr>
          <w:p>
            <w:pPr>
              <w:spacing w:after="0"/>
              <w:rPr>
                <w:sz w:val="16"/>
                <w:szCs w:val="16"/>
                <w:color w:val="auto"/>
              </w:rPr>
            </w:pPr>
          </w:p>
        </w:tc>
        <w:tc>
          <w:tcPr>
            <w:tcW w:w="5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1600" w:type="dxa"/>
            <w:vAlign w:val="bottom"/>
          </w:tcPr>
          <w:p>
            <w:pPr>
              <w:spacing w:after="0"/>
              <w:rPr>
                <w:sz w:val="16"/>
                <w:szCs w:val="16"/>
                <w:color w:val="auto"/>
              </w:rPr>
            </w:pPr>
          </w:p>
        </w:tc>
      </w:tr>
      <w:tr>
        <w:trPr>
          <w:trHeight w:val="326"/>
        </w:trPr>
        <w:tc>
          <w:tcPr>
            <w:tcW w:w="1020" w:type="dxa"/>
            <w:vAlign w:val="bottom"/>
          </w:tcPr>
          <w:p>
            <w:pPr>
              <w:spacing w:after="0"/>
              <w:rPr>
                <w:sz w:val="24"/>
                <w:szCs w:val="24"/>
                <w:color w:val="auto"/>
              </w:rPr>
            </w:pPr>
          </w:p>
        </w:tc>
        <w:tc>
          <w:tcPr>
            <w:tcW w:w="59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REPORT OF INDEPENDENT REGISTERED PUBLIC ACCOUNTING FIRM</w:t>
            </w: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F-2</w:t>
            </w:r>
          </w:p>
        </w:tc>
      </w:tr>
      <w:tr>
        <w:trPr>
          <w:trHeight w:val="316"/>
        </w:trPr>
        <w:tc>
          <w:tcPr>
            <w:tcW w:w="1020" w:type="dxa"/>
            <w:vAlign w:val="bottom"/>
          </w:tcPr>
          <w:p>
            <w:pPr>
              <w:spacing w:after="0"/>
              <w:rPr>
                <w:sz w:val="24"/>
                <w:szCs w:val="24"/>
                <w:color w:val="auto"/>
              </w:rPr>
            </w:pPr>
          </w:p>
        </w:tc>
        <w:tc>
          <w:tcPr>
            <w:tcW w:w="234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2180" w:type="dxa"/>
            <w:vAlign w:val="bottom"/>
            <w:tcBorders>
              <w:top w:val="single" w:sz="8" w:color="0000FF"/>
            </w:tcBorders>
            <w:gridSpan w:val="4"/>
          </w:tcPr>
          <w:p>
            <w:pPr>
              <w:spacing w:after="0"/>
              <w:rPr>
                <w:sz w:val="24"/>
                <w:szCs w:val="24"/>
                <w:color w:val="auto"/>
              </w:rPr>
            </w:pPr>
          </w:p>
        </w:tc>
        <w:tc>
          <w:tcPr>
            <w:tcW w:w="1460" w:type="dxa"/>
            <w:vAlign w:val="bottom"/>
          </w:tcPr>
          <w:p>
            <w:pPr>
              <w:spacing w:after="0"/>
              <w:rPr>
                <w:sz w:val="24"/>
                <w:szCs w:val="24"/>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F-3</w:t>
            </w:r>
          </w:p>
        </w:tc>
      </w:tr>
      <w:tr>
        <w:trPr>
          <w:trHeight w:val="316"/>
        </w:trPr>
        <w:tc>
          <w:tcPr>
            <w:tcW w:w="1020" w:type="dxa"/>
            <w:vAlign w:val="bottom"/>
          </w:tcPr>
          <w:p>
            <w:pPr>
              <w:spacing w:after="0"/>
              <w:rPr>
                <w:sz w:val="24"/>
                <w:szCs w:val="24"/>
                <w:color w:val="auto"/>
              </w:rPr>
            </w:pPr>
          </w:p>
        </w:tc>
        <w:tc>
          <w:tcPr>
            <w:tcW w:w="3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CONSOLIDATED STATEMENTS OF COMPREHENSIVE LOSS</w:t>
            </w:r>
          </w:p>
        </w:tc>
        <w:tc>
          <w:tcPr>
            <w:tcW w:w="2140" w:type="dxa"/>
            <w:vAlign w:val="bottom"/>
            <w:gridSpan w:val="2"/>
          </w:tcPr>
          <w:p>
            <w:pPr>
              <w:spacing w:after="0"/>
              <w:rPr>
                <w:sz w:val="24"/>
                <w:szCs w:val="24"/>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F-4</w:t>
            </w:r>
          </w:p>
        </w:tc>
      </w:tr>
      <w:tr>
        <w:trPr>
          <w:trHeight w:val="316"/>
        </w:trPr>
        <w:tc>
          <w:tcPr>
            <w:tcW w:w="1020" w:type="dxa"/>
            <w:vAlign w:val="bottom"/>
          </w:tcPr>
          <w:p>
            <w:pPr>
              <w:spacing w:after="0"/>
              <w:rPr>
                <w:sz w:val="24"/>
                <w:szCs w:val="24"/>
                <w:color w:val="auto"/>
              </w:rPr>
            </w:pPr>
          </w:p>
        </w:tc>
        <w:tc>
          <w:tcPr>
            <w:tcW w:w="5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CHANGES IN REDEEMABLE CONVERTIBLE PREFERRED</w:t>
            </w:r>
          </w:p>
        </w:tc>
        <w:tc>
          <w:tcPr>
            <w:tcW w:w="1600" w:type="dxa"/>
            <w:vAlign w:val="bottom"/>
          </w:tcPr>
          <w:p>
            <w:pPr>
              <w:spacing w:after="0"/>
              <w:rPr>
                <w:sz w:val="24"/>
                <w:szCs w:val="24"/>
                <w:color w:val="auto"/>
              </w:rPr>
            </w:pPr>
          </w:p>
        </w:tc>
      </w:tr>
      <w:tr>
        <w:trPr>
          <w:trHeight w:val="148"/>
        </w:trPr>
        <w:tc>
          <w:tcPr>
            <w:tcW w:w="1020" w:type="dxa"/>
            <w:vAlign w:val="bottom"/>
          </w:tcPr>
          <w:p>
            <w:pPr>
              <w:spacing w:after="0"/>
              <w:rPr>
                <w:sz w:val="12"/>
                <w:szCs w:val="12"/>
                <w:color w:val="auto"/>
              </w:rPr>
            </w:pPr>
          </w:p>
        </w:tc>
        <w:tc>
          <w:tcPr>
            <w:tcW w:w="2540" w:type="dxa"/>
            <w:vAlign w:val="bottom"/>
            <w:tcBorders>
              <w:bottom w:val="single" w:sz="8" w:color="0000FF"/>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FF"/>
                <w:w w:val="99"/>
              </w:rPr>
              <w:t>STOCK AND STOCKHOLDERS' DEFICIT</w:t>
            </w:r>
          </w:p>
        </w:tc>
        <w:tc>
          <w:tcPr>
            <w:tcW w:w="3440" w:type="dxa"/>
            <w:vAlign w:val="bottom"/>
            <w:gridSpan w:val="4"/>
          </w:tcPr>
          <w:p>
            <w:pPr>
              <w:spacing w:after="0"/>
              <w:rPr>
                <w:sz w:val="12"/>
                <w:szCs w:val="12"/>
                <w:color w:val="auto"/>
              </w:rPr>
            </w:pPr>
          </w:p>
        </w:tc>
        <w:tc>
          <w:tcPr>
            <w:tcW w:w="1600" w:type="dxa"/>
            <w:vAlign w:val="bottom"/>
          </w:tcPr>
          <w:p>
            <w:pPr>
              <w:ind w:left="380"/>
              <w:spacing w:after="0" w:line="148" w:lineRule="exact"/>
              <w:rPr>
                <w:sz w:val="20"/>
                <w:szCs w:val="20"/>
                <w:color w:val="auto"/>
              </w:rPr>
            </w:pPr>
            <w:r>
              <w:rPr>
                <w:rFonts w:ascii="Times New Roman" w:cs="Times New Roman" w:eastAsia="Times New Roman" w:hAnsi="Times New Roman"/>
                <w:sz w:val="14"/>
                <w:szCs w:val="14"/>
                <w:color w:val="auto"/>
              </w:rPr>
              <w:t>F-5</w:t>
            </w:r>
          </w:p>
        </w:tc>
      </w:tr>
      <w:tr>
        <w:trPr>
          <w:trHeight w:val="316"/>
        </w:trPr>
        <w:tc>
          <w:tcPr>
            <w:tcW w:w="1020" w:type="dxa"/>
            <w:vAlign w:val="bottom"/>
          </w:tcPr>
          <w:p>
            <w:pPr>
              <w:spacing w:after="0"/>
              <w:rPr>
                <w:sz w:val="24"/>
                <w:szCs w:val="24"/>
                <w:color w:val="auto"/>
              </w:rPr>
            </w:pPr>
          </w:p>
        </w:tc>
        <w:tc>
          <w:tcPr>
            <w:tcW w:w="5980" w:type="dxa"/>
            <w:vAlign w:val="bottom"/>
            <w:gridSpan w:val="8"/>
          </w:tcPr>
          <w:p>
            <w:pPr>
              <w:spacing w:after="0"/>
              <w:rPr>
                <w:sz w:val="20"/>
                <w:szCs w:val="20"/>
                <w:color w:val="auto"/>
              </w:rPr>
            </w:pPr>
            <w:r>
              <w:rPr>
                <w:rFonts w:ascii="Times New Roman" w:cs="Times New Roman" w:eastAsia="Times New Roman" w:hAnsi="Times New Roman"/>
                <w:sz w:val="14"/>
                <w:szCs w:val="14"/>
                <w:color w:val="0000FF"/>
              </w:rPr>
              <w:t>CONSOLIDATED STATEMENTS OF CASH FLOWS</w:t>
            </w: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F-6</w:t>
            </w:r>
          </w:p>
        </w:tc>
      </w:tr>
      <w:tr>
        <w:trPr>
          <w:trHeight w:val="20"/>
        </w:trPr>
        <w:tc>
          <w:tcPr>
            <w:tcW w:w="1020" w:type="dxa"/>
            <w:vAlign w:val="bottom"/>
          </w:tcPr>
          <w:p>
            <w:pPr>
              <w:spacing w:after="0" w:line="20" w:lineRule="exact"/>
              <w:rPr>
                <w:sz w:val="1"/>
                <w:szCs w:val="1"/>
                <w:color w:val="auto"/>
              </w:rPr>
            </w:pPr>
          </w:p>
        </w:tc>
        <w:tc>
          <w:tcPr>
            <w:tcW w:w="3160" w:type="dxa"/>
            <w:vAlign w:val="bottom"/>
            <w:gridSpan w:val="5"/>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316"/>
        </w:trPr>
        <w:tc>
          <w:tcPr>
            <w:tcW w:w="1020" w:type="dxa"/>
            <w:vAlign w:val="bottom"/>
          </w:tcPr>
          <w:p>
            <w:pPr>
              <w:spacing w:after="0"/>
              <w:rPr>
                <w:sz w:val="24"/>
                <w:szCs w:val="24"/>
                <w:color w:val="auto"/>
              </w:rPr>
            </w:pPr>
          </w:p>
        </w:tc>
        <w:tc>
          <w:tcPr>
            <w:tcW w:w="38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w w:val="99"/>
              </w:rPr>
              <w:t>NOTES TO THE CONSOLIDATED FINANCIAL STATEMENTS</w:t>
            </w:r>
          </w:p>
        </w:tc>
        <w:tc>
          <w:tcPr>
            <w:tcW w:w="2140" w:type="dxa"/>
            <w:vAlign w:val="bottom"/>
            <w:gridSpan w:val="2"/>
          </w:tcPr>
          <w:p>
            <w:pPr>
              <w:spacing w:after="0"/>
              <w:rPr>
                <w:sz w:val="24"/>
                <w:szCs w:val="24"/>
                <w:color w:val="auto"/>
              </w:rPr>
            </w:pPr>
          </w:p>
        </w:tc>
        <w:tc>
          <w:tcPr>
            <w:tcW w:w="16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F-7</w:t>
            </w:r>
          </w:p>
        </w:tc>
      </w:tr>
      <w:tr>
        <w:trPr>
          <w:trHeight w:val="884"/>
        </w:trPr>
        <w:tc>
          <w:tcPr>
            <w:tcW w:w="10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2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F-1</w:t>
            </w:r>
          </w:p>
        </w:tc>
        <w:tc>
          <w:tcPr>
            <w:tcW w:w="1600" w:type="dxa"/>
            <w:vAlign w:val="bottom"/>
          </w:tcPr>
          <w:p>
            <w:pPr>
              <w:spacing w:after="0"/>
              <w:rPr>
                <w:sz w:val="24"/>
                <w:szCs w:val="24"/>
                <w:color w:val="auto"/>
              </w:rPr>
            </w:pPr>
          </w:p>
        </w:tc>
      </w:tr>
      <w:tr>
        <w:trPr>
          <w:trHeight w:val="390"/>
        </w:trPr>
        <w:tc>
          <w:tcPr>
            <w:tcW w:w="10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284" w:right="1440" w:bottom="1440" w:gutter="0" w:footer="0" w:header="0"/>
        </w:sectPr>
      </w:pPr>
    </w:p>
    <w:bookmarkStart w:id="229" w:name="page230"/>
    <w:bookmarkEnd w:id="22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60" w:right="2119" w:firstLine="545"/>
        <w:spacing w:after="0" w:line="411" w:lineRule="auto"/>
        <w:rPr>
          <w:sz w:val="20"/>
          <w:szCs w:val="20"/>
          <w:color w:val="auto"/>
        </w:rPr>
      </w:pPr>
      <w:r>
        <w:rPr>
          <w:rFonts w:ascii="Times New Roman" w:cs="Times New Roman" w:eastAsia="Times New Roman" w:hAnsi="Times New Roman"/>
          <w:sz w:val="14"/>
          <w:szCs w:val="14"/>
          <w:b w:val="1"/>
          <w:bCs w:val="1"/>
          <w:color w:val="auto"/>
        </w:rPr>
        <w:t xml:space="preserve">REPORT OF INDEPENDENT REGISTERED PUBLIC ACCOUNTING FIRM </w:t>
      </w:r>
      <w:r>
        <w:rPr>
          <w:rFonts w:ascii="Times New Roman" w:cs="Times New Roman" w:eastAsia="Times New Roman" w:hAnsi="Times New Roman"/>
          <w:sz w:val="14"/>
          <w:szCs w:val="14"/>
          <w:color w:val="auto"/>
        </w:rPr>
        <w:t>To the stockholders and the Board of Directors of Avalyn Pharma Inc.</w:t>
      </w:r>
    </w:p>
    <w:p>
      <w:pPr>
        <w:spacing w:after="0" w:line="12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Opinion on the Financial Statements</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We have audited the accompanying consolidated balance sheets of Avalyn Pharma Inc. and subsidiary (the “Company”) as of December 31, 2025 and 2024, the related consolidated statements of comprehensive loss, changes in redeemable convertible preferred stock and stockholders’ deficit, and cash flows, for each of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spacing w:after="0" w:line="22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Basis for Opinion</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4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 Deloitte &amp; Touche LLP</w:t>
      </w:r>
    </w:p>
    <w:p>
      <w:pPr>
        <w:spacing w:after="0" w:line="1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Boston, Massachusetts</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March 18, 2026</w:t>
      </w:r>
    </w:p>
    <w:p>
      <w:pPr>
        <w:spacing w:after="0" w:line="16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We have served as the Company’s auditor since 2022.</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0" w:name="page231"/>
    <w:bookmarkEnd w:id="23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AVALYN PHARMA INC.</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1" w:lineRule="exact"/>
        <w:rPr>
          <w:sz w:val="20"/>
          <w:szCs w:val="20"/>
          <w:color w:val="auto"/>
        </w:rPr>
      </w:pPr>
    </w:p>
    <w:tbl>
      <w:tblPr>
        <w:tblLayout w:type="fixed"/>
        <w:tblInd w:w="122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b w:val="1"/>
                <w:bCs w:val="1"/>
                <w:color w:val="auto"/>
                <w:w w:val="95"/>
              </w:rPr>
              <w:t>December 31,</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0"/>
                <w:szCs w:val="10"/>
                <w:b w:val="1"/>
                <w:bCs w:val="1"/>
                <w:color w:val="auto"/>
                <w:w w:val="99"/>
              </w:rPr>
              <w:t>December 31,</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2024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Borders>
              <w:right w:val="single" w:sz="8" w:color="CFF0FC"/>
            </w:tcBorders>
            <w:shd w:val="clear" w:color="auto" w:fill="CFF0FC"/>
          </w:tcPr>
          <w:p>
            <w:pPr>
              <w:spacing w:after="0" w:line="96" w:lineRule="exact"/>
              <w:rPr>
                <w:sz w:val="20"/>
                <w:szCs w:val="20"/>
                <w:color w:val="auto"/>
              </w:rPr>
            </w:pPr>
            <w:r>
              <w:rPr>
                <w:rFonts w:ascii="Times New Roman" w:cs="Times New Roman" w:eastAsia="Times New Roman" w:hAnsi="Times New Roman"/>
                <w:sz w:val="10"/>
                <w:szCs w:val="10"/>
                <w:b w:val="1"/>
                <w:bCs w:val="1"/>
                <w:color w:val="auto"/>
              </w:rPr>
              <w:t>ASSETS</w:t>
            </w:r>
          </w:p>
        </w:tc>
        <w:tc>
          <w:tcPr>
            <w:tcW w:w="6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CURRENT ASSETS:</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Cash and cash equivalents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52,315</w:t>
            </w:r>
          </w:p>
        </w:tc>
        <w:tc>
          <w:tcPr>
            <w:tcW w:w="120" w:type="dxa"/>
            <w:vAlign w:val="bottom"/>
            <w:shd w:val="clear" w:color="auto" w:fill="CFF0FC"/>
          </w:tcPr>
          <w:p>
            <w:pPr>
              <w:spacing w:after="0"/>
              <w:rPr>
                <w:sz w:val="9"/>
                <w:szCs w:val="9"/>
                <w:color w:val="auto"/>
              </w:rPr>
            </w:pPr>
          </w:p>
        </w:tc>
        <w:tc>
          <w:tcPr>
            <w:tcW w:w="140" w:type="dxa"/>
            <w:vAlign w:val="bottom"/>
            <w:gridSpan w:val="2"/>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23,955</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Marketable securities, current</w:t>
            </w: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86,044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86,671</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bottom w:val="single" w:sz="8" w:color="CFF0FC"/>
              <w:right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Prepaid expenses and other current assets</w:t>
            </w:r>
          </w:p>
        </w:tc>
        <w:tc>
          <w:tcPr>
            <w:tcW w:w="6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5,201</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3,761</w:t>
            </w:r>
          </w:p>
        </w:tc>
        <w:tc>
          <w:tcPr>
            <w:tcW w:w="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Pr>
          <w:p>
            <w:pPr>
              <w:ind w:left="200"/>
              <w:spacing w:after="0" w:line="96" w:lineRule="exact"/>
              <w:rPr>
                <w:sz w:val="20"/>
                <w:szCs w:val="20"/>
                <w:color w:val="auto"/>
              </w:rPr>
            </w:pPr>
            <w:r>
              <w:rPr>
                <w:rFonts w:ascii="Times New Roman" w:cs="Times New Roman" w:eastAsia="Times New Roman" w:hAnsi="Times New Roman"/>
                <w:sz w:val="10"/>
                <w:szCs w:val="10"/>
                <w:color w:val="auto"/>
              </w:rPr>
              <w:t>Total current assets</w:t>
            </w: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143,560</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114,387</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Borders>
              <w:right w:val="single" w:sz="8" w:color="CFF0FC"/>
            </w:tcBorders>
            <w:shd w:val="clear" w:color="auto" w:fill="CFF0FC"/>
          </w:tcPr>
          <w:p>
            <w:pPr>
              <w:spacing w:after="0" w:line="96" w:lineRule="exact"/>
              <w:rPr>
                <w:sz w:val="20"/>
                <w:szCs w:val="20"/>
                <w:color w:val="auto"/>
              </w:rPr>
            </w:pPr>
            <w:r>
              <w:rPr>
                <w:rFonts w:ascii="Times New Roman" w:cs="Times New Roman" w:eastAsia="Times New Roman" w:hAnsi="Times New Roman"/>
                <w:sz w:val="10"/>
                <w:szCs w:val="10"/>
                <w:color w:val="auto"/>
              </w:rPr>
              <w:t>NON-CURRENT ASSETS:</w:t>
            </w:r>
          </w:p>
        </w:tc>
        <w:tc>
          <w:tcPr>
            <w:tcW w:w="6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Property and equipment, net</w:t>
            </w: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792</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94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Operating lease right-of-use asset</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1,530</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Marketable securities, noncurrent</w:t>
            </w:r>
          </w:p>
        </w:tc>
        <w:tc>
          <w:tcPr>
            <w:tcW w:w="60" w:type="dxa"/>
            <w:vAlign w:val="bottom"/>
          </w:tcPr>
          <w:p>
            <w:pPr>
              <w:spacing w:after="0"/>
              <w:rPr>
                <w:sz w:val="9"/>
                <w:szCs w:val="9"/>
                <w:color w:val="auto"/>
              </w:rPr>
            </w:pPr>
          </w:p>
        </w:tc>
        <w:tc>
          <w:tcPr>
            <w:tcW w:w="800" w:type="dxa"/>
            <w:vAlign w:val="bottom"/>
            <w:gridSpan w:val="2"/>
          </w:tcPr>
          <w:p>
            <w:pPr>
              <w:jc w:val="right"/>
              <w:ind w:right="140"/>
              <w:spacing w:after="0" w:line="105" w:lineRule="exact"/>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7,489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bottom w:val="single" w:sz="8" w:color="CFF0FC"/>
              <w:right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Other assets</w:t>
            </w:r>
          </w:p>
        </w:tc>
        <w:tc>
          <w:tcPr>
            <w:tcW w:w="6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2,999</w:t>
            </w: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shd w:val="clear" w:color="auto" w:fill="CFF0FC"/>
          </w:tcPr>
          <w:p>
            <w:pPr>
              <w:spacing w:after="0"/>
              <w:rPr>
                <w:sz w:val="9"/>
                <w:szCs w:val="9"/>
                <w:color w:val="auto"/>
              </w:rPr>
            </w:pPr>
          </w:p>
        </w:tc>
        <w:tc>
          <w:tcPr>
            <w:tcW w:w="680" w:type="dxa"/>
            <w:vAlign w:val="bottom"/>
            <w:tcBorders>
              <w:bottom w:val="single" w:sz="8" w:color="auto"/>
            </w:tcBorders>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2,549</w:t>
            </w:r>
          </w:p>
        </w:tc>
        <w:tc>
          <w:tcPr>
            <w:tcW w:w="6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Pr>
          <w:p>
            <w:pPr>
              <w:ind w:left="200"/>
              <w:spacing w:after="0" w:line="96" w:lineRule="exact"/>
              <w:rPr>
                <w:sz w:val="20"/>
                <w:szCs w:val="20"/>
                <w:color w:val="auto"/>
              </w:rPr>
            </w:pPr>
            <w:r>
              <w:rPr>
                <w:rFonts w:ascii="Times New Roman" w:cs="Times New Roman" w:eastAsia="Times New Roman" w:hAnsi="Times New Roman"/>
                <w:sz w:val="10"/>
                <w:szCs w:val="10"/>
                <w:color w:val="auto"/>
              </w:rPr>
              <w:t>Total noncurrent assets</w:t>
            </w:r>
          </w:p>
        </w:tc>
        <w:tc>
          <w:tcPr>
            <w:tcW w:w="6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5,321</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10,132</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800" w:type="dxa"/>
            <w:vAlign w:val="bottom"/>
            <w:tcBorders>
              <w:right w:val="single" w:sz="8" w:color="CFF0FC"/>
            </w:tcBorders>
            <w:shd w:val="clear" w:color="auto" w:fill="CFF0FC"/>
          </w:tcPr>
          <w:p>
            <w:pPr>
              <w:spacing w:after="0" w:line="96" w:lineRule="exact"/>
              <w:rPr>
                <w:sz w:val="20"/>
                <w:szCs w:val="20"/>
                <w:color w:val="auto"/>
              </w:rPr>
            </w:pPr>
            <w:r>
              <w:rPr>
                <w:rFonts w:ascii="Times New Roman" w:cs="Times New Roman" w:eastAsia="Times New Roman" w:hAnsi="Times New Roman"/>
                <w:sz w:val="10"/>
                <w:szCs w:val="10"/>
                <w:color w:val="auto"/>
              </w:rPr>
              <w:t>TOTAL ASSETS</w:t>
            </w:r>
          </w:p>
        </w:tc>
        <w:tc>
          <w:tcPr>
            <w:tcW w:w="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color w:val="auto"/>
              </w:rPr>
              <w:t>148,881</w:t>
            </w:r>
          </w:p>
        </w:tc>
        <w:tc>
          <w:tcPr>
            <w:tcW w:w="120" w:type="dxa"/>
            <w:vAlign w:val="bottom"/>
            <w:shd w:val="clear" w:color="auto" w:fill="CFF0FC"/>
          </w:tcPr>
          <w:p>
            <w:pPr>
              <w:spacing w:after="0"/>
              <w:rPr>
                <w:sz w:val="11"/>
                <w:szCs w:val="11"/>
                <w:color w:val="auto"/>
              </w:rPr>
            </w:pPr>
          </w:p>
        </w:tc>
        <w:tc>
          <w:tcPr>
            <w:tcW w:w="140" w:type="dxa"/>
            <w:vAlign w:val="bottom"/>
            <w:gridSpan w:val="2"/>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color w:val="auto"/>
              </w:rPr>
              <w:t>124,519</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800" w:type="dxa"/>
            <w:vAlign w:val="bottom"/>
            <w:tcBorders>
              <w:top w:val="single" w:sz="8" w:color="CFF0FC"/>
            </w:tcBorders>
          </w:tcPr>
          <w:p>
            <w:pPr>
              <w:spacing w:after="0" w:line="62" w:lineRule="exact"/>
              <w:rPr>
                <w:sz w:val="20"/>
                <w:szCs w:val="20"/>
                <w:color w:val="auto"/>
              </w:rPr>
            </w:pPr>
            <w:r>
              <w:rPr>
                <w:rFonts w:ascii="Times New Roman" w:cs="Times New Roman" w:eastAsia="Times New Roman" w:hAnsi="Times New Roman"/>
                <w:sz w:val="7"/>
                <w:szCs w:val="7"/>
                <w:b w:val="1"/>
                <w:bCs w:val="1"/>
                <w:color w:val="auto"/>
              </w:rPr>
              <w:t>LIABILITIES, REDEEMABLE CONVERTIBLE PREFERRED STOCK AND STOCKHOLDERS’</w:t>
            </w:r>
          </w:p>
        </w:tc>
        <w:tc>
          <w:tcPr>
            <w:tcW w:w="6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120" w:type="dxa"/>
            <w:vAlign w:val="bottom"/>
            <w:tcBorders>
              <w:top w:val="single" w:sz="8" w:color="CFF0FC"/>
            </w:tcBorders>
          </w:tcPr>
          <w:p>
            <w:pPr>
              <w:spacing w:after="0"/>
              <w:rPr>
                <w:sz w:val="5"/>
                <w:szCs w:val="5"/>
                <w:color w:val="auto"/>
              </w:rPr>
            </w:pPr>
          </w:p>
        </w:tc>
        <w:tc>
          <w:tcPr>
            <w:tcW w:w="100" w:type="dxa"/>
            <w:vAlign w:val="bottom"/>
            <w:tcBorders>
              <w:top w:val="single" w:sz="8" w:color="CFF0FC"/>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680" w:type="dxa"/>
            <w:vAlign w:val="bottom"/>
            <w:tcBorders>
              <w:top w:val="single" w:sz="8" w:color="auto"/>
            </w:tcBorders>
          </w:tcPr>
          <w:p>
            <w:pPr>
              <w:spacing w:after="0"/>
              <w:rPr>
                <w:sz w:val="5"/>
                <w:szCs w:val="5"/>
                <w:color w:val="auto"/>
              </w:rPr>
            </w:pPr>
          </w:p>
        </w:tc>
        <w:tc>
          <w:tcPr>
            <w:tcW w:w="60" w:type="dxa"/>
            <w:vAlign w:val="bottom"/>
            <w:tcBorders>
              <w:top w:val="single" w:sz="8" w:color="CFF0FC"/>
            </w:tcBorders>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4800" w:type="dxa"/>
            <w:vAlign w:val="bottom"/>
          </w:tcPr>
          <w:p>
            <w:pPr>
              <w:ind w:left="6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spacing w:after="0" w:line="105" w:lineRule="exact"/>
              <w:rPr>
                <w:sz w:val="20"/>
                <w:szCs w:val="20"/>
                <w:color w:val="auto"/>
              </w:rPr>
            </w:pPr>
            <w:r>
              <w:rPr>
                <w:rFonts w:ascii="Times New Roman" w:cs="Times New Roman" w:eastAsia="Times New Roman" w:hAnsi="Times New Roman"/>
                <w:sz w:val="10"/>
                <w:szCs w:val="10"/>
                <w:color w:val="auto"/>
              </w:rPr>
              <w:t>CURRENT LIABILITIES:</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Accounts payable</w:t>
            </w:r>
          </w:p>
        </w:tc>
        <w:tc>
          <w:tcPr>
            <w:tcW w:w="60" w:type="dxa"/>
            <w:vAlign w:val="bottom"/>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3,758</w:t>
            </w:r>
          </w:p>
        </w:tc>
        <w:tc>
          <w:tcPr>
            <w:tcW w:w="120" w:type="dxa"/>
            <w:vAlign w:val="bottom"/>
          </w:tcPr>
          <w:p>
            <w:pPr>
              <w:spacing w:after="0"/>
              <w:rPr>
                <w:sz w:val="9"/>
                <w:szCs w:val="9"/>
                <w:color w:val="auto"/>
              </w:rPr>
            </w:pPr>
          </w:p>
        </w:tc>
        <w:tc>
          <w:tcPr>
            <w:tcW w:w="140" w:type="dxa"/>
            <w:vAlign w:val="bottom"/>
            <w:gridSpan w:val="2"/>
          </w:tcPr>
          <w:p>
            <w:pPr>
              <w:jc w:val="right"/>
              <w:spacing w:after="0" w:line="105" w:lineRule="exact"/>
              <w:rPr>
                <w:sz w:val="20"/>
                <w:szCs w:val="20"/>
                <w:color w:val="auto"/>
              </w:rPr>
            </w:pPr>
            <w:r>
              <w:rPr>
                <w:rFonts w:ascii="Times New Roman" w:cs="Times New Roman" w:eastAsia="Times New Roman" w:hAnsi="Times New Roman"/>
                <w:sz w:val="10"/>
                <w:szCs w:val="10"/>
                <w:color w:val="auto"/>
              </w:rPr>
              <w:t>$</w:t>
            </w: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2,277</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Accrued liabilities</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9,889</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6,467</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Operating lease liability</w:t>
            </w: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444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Borders>
              <w:top w:val="single" w:sz="8" w:color="CFF0FC"/>
              <w:right w:val="single" w:sz="8" w:color="CFF0FC"/>
            </w:tcBorders>
            <w:shd w:val="clear" w:color="auto" w:fill="CFF0FC"/>
          </w:tcPr>
          <w:p>
            <w:pPr>
              <w:ind w:left="320"/>
              <w:spacing w:after="0" w:line="96" w:lineRule="exact"/>
              <w:rPr>
                <w:sz w:val="20"/>
                <w:szCs w:val="20"/>
                <w:color w:val="auto"/>
              </w:rPr>
            </w:pPr>
            <w:r>
              <w:rPr>
                <w:rFonts w:ascii="Times New Roman" w:cs="Times New Roman" w:eastAsia="Times New Roman" w:hAnsi="Times New Roman"/>
                <w:sz w:val="10"/>
                <w:szCs w:val="10"/>
                <w:color w:val="auto"/>
              </w:rPr>
              <w:t>Total current liabilities</w:t>
            </w:r>
          </w:p>
        </w:tc>
        <w:tc>
          <w:tcPr>
            <w:tcW w:w="6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color w:val="auto"/>
              </w:rPr>
              <w:t>14,091</w:t>
            </w:r>
          </w:p>
        </w:tc>
        <w:tc>
          <w:tcPr>
            <w:tcW w:w="120" w:type="dxa"/>
            <w:vAlign w:val="bottom"/>
            <w:tcBorders>
              <w:top w:val="single" w:sz="8" w:color="CFF0FC"/>
            </w:tcBorders>
            <w:shd w:val="clear" w:color="auto" w:fill="CFF0FC"/>
          </w:tcPr>
          <w:p>
            <w:pPr>
              <w:spacing w:after="0"/>
              <w:rPr>
                <w:sz w:val="8"/>
                <w:szCs w:val="8"/>
                <w:color w:val="auto"/>
              </w:rPr>
            </w:pPr>
          </w:p>
        </w:tc>
        <w:tc>
          <w:tcPr>
            <w:tcW w:w="100" w:type="dxa"/>
            <w:vAlign w:val="bottom"/>
            <w:tcBorders>
              <w:top w:val="single" w:sz="8" w:color="CFF0FC"/>
            </w:tcBorders>
            <w:shd w:val="clear" w:color="auto" w:fill="CFF0FC"/>
          </w:tcPr>
          <w:p>
            <w:pPr>
              <w:spacing w:after="0"/>
              <w:rPr>
                <w:sz w:val="8"/>
                <w:szCs w:val="8"/>
                <w:color w:val="auto"/>
              </w:rPr>
            </w:pPr>
          </w:p>
        </w:tc>
        <w:tc>
          <w:tcPr>
            <w:tcW w:w="40" w:type="dxa"/>
            <w:vAlign w:val="bottom"/>
            <w:tcBorders>
              <w:top w:val="single" w:sz="8" w:color="auto"/>
            </w:tcBorders>
            <w:shd w:val="clear" w:color="auto" w:fill="CFF0FC"/>
          </w:tcPr>
          <w:p>
            <w:pPr>
              <w:spacing w:after="0"/>
              <w:rPr>
                <w:sz w:val="8"/>
                <w:szCs w:val="8"/>
                <w:color w:val="auto"/>
              </w:rPr>
            </w:pPr>
          </w:p>
        </w:tc>
        <w:tc>
          <w:tcPr>
            <w:tcW w:w="680" w:type="dxa"/>
            <w:vAlign w:val="bottom"/>
            <w:tcBorders>
              <w:top w:val="single" w:sz="8" w:color="auto"/>
            </w:tcBorders>
            <w:shd w:val="clear" w:color="auto" w:fill="CFF0FC"/>
          </w:tcPr>
          <w:p>
            <w:pPr>
              <w:jc w:val="right"/>
              <w:spacing w:after="0" w:line="96" w:lineRule="exact"/>
              <w:rPr>
                <w:sz w:val="20"/>
                <w:szCs w:val="20"/>
                <w:color w:val="auto"/>
              </w:rPr>
            </w:pPr>
            <w:r>
              <w:rPr>
                <w:rFonts w:ascii="Times New Roman" w:cs="Times New Roman" w:eastAsia="Times New Roman" w:hAnsi="Times New Roman"/>
                <w:sz w:val="10"/>
                <w:szCs w:val="10"/>
                <w:color w:val="auto"/>
              </w:rPr>
              <w:t>8,744</w:t>
            </w:r>
          </w:p>
        </w:tc>
        <w:tc>
          <w:tcPr>
            <w:tcW w:w="60" w:type="dxa"/>
            <w:vAlign w:val="bottom"/>
            <w:tcBorders>
              <w:top w:val="single" w:sz="8" w:color="CFF0FC"/>
            </w:tcBorders>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NON-CURRENT LIABILITIES:</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40"/>
              <w:spacing w:after="0" w:line="105" w:lineRule="exact"/>
              <w:rPr>
                <w:sz w:val="20"/>
                <w:szCs w:val="20"/>
                <w:color w:val="auto"/>
              </w:rPr>
            </w:pPr>
            <w:r>
              <w:rPr>
                <w:rFonts w:ascii="Times New Roman" w:cs="Times New Roman" w:eastAsia="Times New Roman" w:hAnsi="Times New Roman"/>
                <w:sz w:val="10"/>
                <w:szCs w:val="10"/>
                <w:color w:val="auto"/>
              </w:rPr>
              <w:t>Operating lease liability, noncurrent</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1,225</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740" w:type="dxa"/>
            <w:vAlign w:val="bottom"/>
            <w:gridSpan w:val="2"/>
            <w:shd w:val="clear" w:color="auto" w:fill="CFF0FC"/>
          </w:tcPr>
          <w:p>
            <w:pPr>
              <w:jc w:val="right"/>
              <w:ind w:right="60"/>
              <w:spacing w:after="0" w:line="105" w:lineRule="exact"/>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Pr>
          <w:p>
            <w:pPr>
              <w:spacing w:after="0" w:line="96" w:lineRule="exact"/>
              <w:rPr>
                <w:sz w:val="20"/>
                <w:szCs w:val="20"/>
                <w:color w:val="auto"/>
              </w:rPr>
            </w:pPr>
            <w:r>
              <w:rPr>
                <w:rFonts w:ascii="Times New Roman" w:cs="Times New Roman" w:eastAsia="Times New Roman" w:hAnsi="Times New Roman"/>
                <w:sz w:val="10"/>
                <w:szCs w:val="10"/>
                <w:color w:val="auto"/>
              </w:rPr>
              <w:t>TOTAL LIABILITIES</w:t>
            </w:r>
          </w:p>
        </w:tc>
        <w:tc>
          <w:tcPr>
            <w:tcW w:w="6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15,316</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680" w:type="dxa"/>
            <w:vAlign w:val="bottom"/>
            <w:tcBorders>
              <w:top w:val="single" w:sz="8" w:color="auto"/>
              <w:bottom w:val="single" w:sz="8" w:color="auto"/>
            </w:tcBorders>
          </w:tcPr>
          <w:p>
            <w:pPr>
              <w:jc w:val="right"/>
              <w:spacing w:after="0" w:line="96" w:lineRule="exact"/>
              <w:rPr>
                <w:sz w:val="20"/>
                <w:szCs w:val="20"/>
                <w:color w:val="auto"/>
              </w:rPr>
            </w:pPr>
            <w:r>
              <w:rPr>
                <w:rFonts w:ascii="Times New Roman" w:cs="Times New Roman" w:eastAsia="Times New Roman" w:hAnsi="Times New Roman"/>
                <w:sz w:val="10"/>
                <w:szCs w:val="10"/>
                <w:color w:val="auto"/>
              </w:rPr>
              <w:t>8,744</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Borders>
              <w:right w:val="single" w:sz="8" w:color="CFF0FC"/>
            </w:tcBorders>
            <w:shd w:val="clear" w:color="auto" w:fill="CFF0FC"/>
          </w:tcPr>
          <w:p>
            <w:pPr>
              <w:spacing w:after="0" w:line="96" w:lineRule="exact"/>
              <w:rPr>
                <w:sz w:val="20"/>
                <w:szCs w:val="20"/>
                <w:color w:val="auto"/>
              </w:rPr>
            </w:pPr>
            <w:r>
              <w:rPr>
                <w:rFonts w:ascii="Times New Roman" w:cs="Times New Roman" w:eastAsia="Times New Roman" w:hAnsi="Times New Roman"/>
                <w:sz w:val="10"/>
                <w:szCs w:val="10"/>
                <w:color w:val="auto"/>
              </w:rPr>
              <w:t>COMMITMENTS AND CONTINGENCIES (Note 8)</w:t>
            </w:r>
          </w:p>
        </w:tc>
        <w:tc>
          <w:tcPr>
            <w:tcW w:w="6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REDEEMABLE CONVERTIBLE PREFERRED STOCK</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800" w:type="dxa"/>
            <w:vAlign w:val="bottom"/>
            <w:tcBorders>
              <w:right w:val="single" w:sz="8" w:color="CFF0FC"/>
            </w:tcBorders>
            <w:shd w:val="clear" w:color="auto" w:fill="CFF0FC"/>
          </w:tcPr>
          <w:p>
            <w:pPr>
              <w:ind w:left="100"/>
              <w:spacing w:after="0" w:line="92" w:lineRule="exact"/>
              <w:rPr>
                <w:sz w:val="20"/>
                <w:szCs w:val="20"/>
                <w:color w:val="auto"/>
              </w:rPr>
            </w:pPr>
            <w:r>
              <w:rPr>
                <w:rFonts w:ascii="Times New Roman" w:cs="Times New Roman" w:eastAsia="Times New Roman" w:hAnsi="Times New Roman"/>
                <w:sz w:val="10"/>
                <w:szCs w:val="10"/>
                <w:color w:val="auto"/>
              </w:rPr>
              <w:t>Series A redeemable convertible preferred stock, $0.001 par value; 51,213,004 and 65,213,004</w:t>
            </w:r>
          </w:p>
        </w:tc>
        <w:tc>
          <w:tcPr>
            <w:tcW w:w="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authorized as of December 31, 2025 and 2024, respectively, 49,651,129 and 65,213,004 shares</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issued and outstanding as of December 31, 2025 and 2024, respectively; liquidation preference of</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$49,651 and $65,213 as of December 31, 2025 and 2024, respectively, net of issuance costs of $475</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49,176</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64,738</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80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auto"/>
              </w:rPr>
              <w:t>Series B redeemable convertible preferred stock, $0.001 par value; 25,210,789 shares authorized as</w:t>
            </w: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of December 31, 2025 and 2024, 25,208,502 and 25,210,789 issued and outstanding as of</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December 31, 2025 and 2024, respectively; liquidation preference of $35,693 and $35,696 as of</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December 31, 2025 and 2024, respectively, net of issuance costs of $317</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35,376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35,379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800" w:type="dxa"/>
            <w:vAlign w:val="bottom"/>
            <w:tcBorders>
              <w:right w:val="single" w:sz="8" w:color="CFF0FC"/>
            </w:tcBorders>
            <w:shd w:val="clear" w:color="auto" w:fill="CFF0FC"/>
          </w:tcPr>
          <w:p>
            <w:pPr>
              <w:ind w:left="100"/>
              <w:spacing w:after="0" w:line="92" w:lineRule="exact"/>
              <w:rPr>
                <w:sz w:val="20"/>
                <w:szCs w:val="20"/>
                <w:color w:val="auto"/>
              </w:rPr>
            </w:pPr>
            <w:r>
              <w:rPr>
                <w:rFonts w:ascii="Times New Roman" w:cs="Times New Roman" w:eastAsia="Times New Roman" w:hAnsi="Times New Roman"/>
                <w:sz w:val="10"/>
                <w:szCs w:val="10"/>
                <w:color w:val="auto"/>
              </w:rPr>
              <w:t>Series C-1 redeemable convertible preferred stock, $0.001 par value; 239,092,424 shares authorized</w:t>
            </w:r>
          </w:p>
        </w:tc>
        <w:tc>
          <w:tcPr>
            <w:tcW w:w="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as of December 31, 2025 and 2024, 239,016,017 shares issued and outstanding as of</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December 31, 2025 and 2024; liquidation preference of $175,041 as of December 31, 2025 and</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2024, net of issuance costs of $547</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174,494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174,494</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800" w:type="dxa"/>
            <w:vAlign w:val="bottom"/>
          </w:tcPr>
          <w:p>
            <w:pPr>
              <w:ind w:left="100"/>
              <w:spacing w:after="0" w:line="92" w:lineRule="exact"/>
              <w:rPr>
                <w:sz w:val="20"/>
                <w:szCs w:val="20"/>
                <w:color w:val="auto"/>
              </w:rPr>
            </w:pPr>
            <w:r>
              <w:rPr>
                <w:rFonts w:ascii="Times New Roman" w:cs="Times New Roman" w:eastAsia="Times New Roman" w:hAnsi="Times New Roman"/>
                <w:sz w:val="10"/>
                <w:szCs w:val="10"/>
                <w:color w:val="auto"/>
              </w:rPr>
              <w:t>Series C-2 redeemable convertible preferred stock, $0.001 par value; 20,316,359 and 24,207,788</w:t>
            </w: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shares authorized as of December 31, 2025 and 2024, respectively, 20,316,359 and 24,207,788</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issued and outstanding as of December 31, 2025 and 2024, respectively; liquidation preference</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60"/>
              <w:spacing w:after="0" w:line="105" w:lineRule="exact"/>
              <w:rPr>
                <w:sz w:val="20"/>
                <w:szCs w:val="20"/>
                <w:color w:val="auto"/>
              </w:rPr>
            </w:pPr>
            <w:r>
              <w:rPr>
                <w:rFonts w:ascii="Times New Roman" w:cs="Times New Roman" w:eastAsia="Times New Roman" w:hAnsi="Times New Roman"/>
                <w:sz w:val="10"/>
                <w:szCs w:val="10"/>
                <w:color w:val="auto"/>
              </w:rPr>
              <w:t>of $11,903 and $14,183 as of December 31, 2025 and 2024, respectively, net of issuance</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costs of $49</w:t>
            </w:r>
          </w:p>
        </w:tc>
        <w:tc>
          <w:tcPr>
            <w:tcW w:w="6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13,406</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15,686</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800" w:type="dxa"/>
            <w:vAlign w:val="bottom"/>
            <w:tcBorders>
              <w:right w:val="single" w:sz="8" w:color="CFF0FC"/>
            </w:tcBorders>
            <w:shd w:val="clear" w:color="auto" w:fill="CFF0FC"/>
          </w:tcPr>
          <w:p>
            <w:pPr>
              <w:ind w:left="100"/>
              <w:spacing w:after="0" w:line="92" w:lineRule="exact"/>
              <w:rPr>
                <w:sz w:val="20"/>
                <w:szCs w:val="20"/>
                <w:color w:val="auto"/>
              </w:rPr>
            </w:pPr>
            <w:r>
              <w:rPr>
                <w:rFonts w:ascii="Times New Roman" w:cs="Times New Roman" w:eastAsia="Times New Roman" w:hAnsi="Times New Roman"/>
                <w:sz w:val="10"/>
                <w:szCs w:val="10"/>
                <w:color w:val="auto"/>
              </w:rPr>
              <w:t>Series D redeemable convertible preferred stock, $0.001 par value; 126,346,412 and 0 shares</w:t>
            </w:r>
          </w:p>
        </w:tc>
        <w:tc>
          <w:tcPr>
            <w:tcW w:w="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authorized as of December 31, 2025 and 2024, respectively, 126,036,334 and</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0 shares issued and outstanding as of December 31, 2025 and 2024, respectively;</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liquidation preference of $100,363 as of December 31, 2025, net of issuance costs of $594</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99,769</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7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spacing w:after="0" w:line="105" w:lineRule="exact"/>
              <w:rPr>
                <w:sz w:val="20"/>
                <w:szCs w:val="20"/>
                <w:color w:val="auto"/>
              </w:rPr>
            </w:pPr>
            <w:r>
              <w:rPr>
                <w:rFonts w:ascii="Times New Roman" w:cs="Times New Roman" w:eastAsia="Times New Roman" w:hAnsi="Times New Roman"/>
                <w:sz w:val="10"/>
                <w:szCs w:val="10"/>
                <w:color w:val="auto"/>
              </w:rPr>
              <w:t>STOCKHOLDERS’ DEFICIT</w:t>
            </w: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800" w:type="dxa"/>
            <w:vAlign w:val="bottom"/>
            <w:tcBorders>
              <w:right w:val="single" w:sz="8" w:color="CFF0FC"/>
            </w:tcBorders>
            <w:shd w:val="clear" w:color="auto" w:fill="CFF0FC"/>
          </w:tcPr>
          <w:p>
            <w:pPr>
              <w:ind w:left="100"/>
              <w:spacing w:after="0" w:line="92" w:lineRule="exact"/>
              <w:rPr>
                <w:sz w:val="20"/>
                <w:szCs w:val="20"/>
                <w:color w:val="auto"/>
              </w:rPr>
            </w:pPr>
            <w:r>
              <w:rPr>
                <w:rFonts w:ascii="Times New Roman" w:cs="Times New Roman" w:eastAsia="Times New Roman" w:hAnsi="Times New Roman"/>
                <w:sz w:val="10"/>
                <w:szCs w:val="10"/>
                <w:color w:val="auto"/>
              </w:rPr>
              <w:t>Common stock, $0.001 par value; 575,000,000 and 438,400,000 shares authorized as of</w:t>
            </w:r>
          </w:p>
        </w:tc>
        <w:tc>
          <w:tcPr>
            <w:tcW w:w="6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68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60"/>
              <w:spacing w:after="0" w:line="105" w:lineRule="exact"/>
              <w:rPr>
                <w:sz w:val="20"/>
                <w:szCs w:val="20"/>
                <w:color w:val="auto"/>
              </w:rPr>
            </w:pPr>
            <w:r>
              <w:rPr>
                <w:rFonts w:ascii="Times New Roman" w:cs="Times New Roman" w:eastAsia="Times New Roman" w:hAnsi="Times New Roman"/>
                <w:sz w:val="10"/>
                <w:szCs w:val="10"/>
                <w:color w:val="auto"/>
              </w:rPr>
              <w:t>December 31, 2025 and 2024, respectively; 23,614,080 and 5,326,439 shares issued</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4800" w:type="dxa"/>
            <w:vAlign w:val="bottom"/>
            <w:tcBorders>
              <w:right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0"/>
                <w:szCs w:val="10"/>
                <w:color w:val="auto"/>
              </w:rPr>
              <w:t>and outstanding as of December 31, 2025 and 2024, respectively</w:t>
            </w:r>
          </w:p>
        </w:tc>
        <w:tc>
          <w:tcPr>
            <w:tcW w:w="6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24</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4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Additional paid-in capital</w:t>
            </w:r>
          </w:p>
        </w:tc>
        <w:tc>
          <w:tcPr>
            <w:tcW w:w="6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26,548</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tcPr>
          <w:p>
            <w:pPr>
              <w:jc w:val="right"/>
              <w:spacing w:after="0" w:line="105" w:lineRule="exact"/>
              <w:rPr>
                <w:sz w:val="20"/>
                <w:szCs w:val="20"/>
                <w:color w:val="auto"/>
              </w:rPr>
            </w:pPr>
            <w:r>
              <w:rPr>
                <w:rFonts w:ascii="Times New Roman" w:cs="Times New Roman" w:eastAsia="Times New Roman" w:hAnsi="Times New Roman"/>
                <w:sz w:val="10"/>
                <w:szCs w:val="10"/>
                <w:color w:val="auto"/>
              </w:rPr>
              <w:t>5,429</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Borders>
              <w:right w:val="single" w:sz="8" w:color="CFF0FC"/>
            </w:tcBorders>
            <w:shd w:val="clear" w:color="auto" w:fill="CFF0FC"/>
          </w:tcPr>
          <w:p>
            <w:pPr>
              <w:ind w:left="100"/>
              <w:spacing w:after="0" w:line="105" w:lineRule="exact"/>
              <w:rPr>
                <w:sz w:val="20"/>
                <w:szCs w:val="20"/>
                <w:color w:val="auto"/>
              </w:rPr>
            </w:pPr>
            <w:r>
              <w:rPr>
                <w:rFonts w:ascii="Times New Roman" w:cs="Times New Roman" w:eastAsia="Times New Roman" w:hAnsi="Times New Roman"/>
                <w:sz w:val="10"/>
                <w:szCs w:val="10"/>
                <w:color w:val="auto"/>
              </w:rPr>
              <w:t>Accumulated other comprehensive income</w:t>
            </w:r>
          </w:p>
        </w:tc>
        <w:tc>
          <w:tcPr>
            <w:tcW w:w="6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134</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5" w:lineRule="exact"/>
              <w:rPr>
                <w:sz w:val="20"/>
                <w:szCs w:val="20"/>
                <w:color w:val="auto"/>
              </w:rPr>
            </w:pPr>
            <w:r>
              <w:rPr>
                <w:rFonts w:ascii="Times New Roman" w:cs="Times New Roman" w:eastAsia="Times New Roman" w:hAnsi="Times New Roman"/>
                <w:sz w:val="10"/>
                <w:szCs w:val="10"/>
                <w:color w:val="auto"/>
              </w:rPr>
              <w:t>202</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00" w:type="dxa"/>
            <w:vAlign w:val="bottom"/>
          </w:tcPr>
          <w:p>
            <w:pPr>
              <w:ind w:left="100"/>
              <w:spacing w:after="0" w:line="105" w:lineRule="exact"/>
              <w:rPr>
                <w:sz w:val="20"/>
                <w:szCs w:val="20"/>
                <w:color w:val="auto"/>
              </w:rPr>
            </w:pPr>
            <w:r>
              <w:rPr>
                <w:rFonts w:ascii="Times New Roman" w:cs="Times New Roman" w:eastAsia="Times New Roman" w:hAnsi="Times New Roman"/>
                <w:sz w:val="10"/>
                <w:szCs w:val="10"/>
                <w:color w:val="auto"/>
              </w:rPr>
              <w:t>Accumulated deficit</w:t>
            </w:r>
          </w:p>
        </w:tc>
        <w:tc>
          <w:tcPr>
            <w:tcW w:w="60" w:type="dxa"/>
            <w:vAlign w:val="bottom"/>
          </w:tcPr>
          <w:p>
            <w:pPr>
              <w:spacing w:after="0"/>
              <w:rPr>
                <w:sz w:val="9"/>
                <w:szCs w:val="9"/>
                <w:color w:val="auto"/>
              </w:rPr>
            </w:pPr>
          </w:p>
        </w:tc>
        <w:tc>
          <w:tcPr>
            <w:tcW w:w="800" w:type="dxa"/>
            <w:vAlign w:val="bottom"/>
            <w:gridSpan w:val="2"/>
          </w:tcPr>
          <w:p>
            <w:pPr>
              <w:jc w:val="right"/>
              <w:ind w:right="100"/>
              <w:spacing w:after="0" w:line="105" w:lineRule="exact"/>
              <w:rPr>
                <w:sz w:val="20"/>
                <w:szCs w:val="20"/>
                <w:color w:val="auto"/>
              </w:rPr>
            </w:pPr>
            <w:r>
              <w:rPr>
                <w:rFonts w:ascii="Times New Roman" w:cs="Times New Roman" w:eastAsia="Times New Roman" w:hAnsi="Times New Roman"/>
                <w:sz w:val="10"/>
                <w:szCs w:val="10"/>
                <w:color w:val="auto"/>
              </w:rPr>
              <w:t>(265,362)</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gridSpan w:val="2"/>
          </w:tcPr>
          <w:p>
            <w:pPr>
              <w:jc w:val="right"/>
              <w:ind w:right="20"/>
              <w:spacing w:after="0" w:line="105" w:lineRule="exact"/>
              <w:rPr>
                <w:sz w:val="20"/>
                <w:szCs w:val="20"/>
                <w:color w:val="auto"/>
              </w:rPr>
            </w:pPr>
            <w:r>
              <w:rPr>
                <w:rFonts w:ascii="Times New Roman" w:cs="Times New Roman" w:eastAsia="Times New Roman" w:hAnsi="Times New Roman"/>
                <w:sz w:val="10"/>
                <w:szCs w:val="10"/>
                <w:color w:val="auto"/>
              </w:rPr>
              <w:t>(180,158)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Pr>
          <w:p>
            <w:pPr>
              <w:spacing w:after="0"/>
              <w:rPr>
                <w:sz w:val="8"/>
                <w:szCs w:val="8"/>
                <w:color w:val="auto"/>
              </w:rPr>
            </w:pPr>
          </w:p>
        </w:tc>
        <w:tc>
          <w:tcPr>
            <w:tcW w:w="4800" w:type="dxa"/>
            <w:vAlign w:val="bottom"/>
            <w:tcBorders>
              <w:right w:val="single" w:sz="8" w:color="CFF0FC"/>
            </w:tcBorders>
            <w:shd w:val="clear" w:color="auto" w:fill="CFF0FC"/>
          </w:tcPr>
          <w:p>
            <w:pPr>
              <w:ind w:left="200"/>
              <w:spacing w:after="0" w:line="96" w:lineRule="exact"/>
              <w:rPr>
                <w:sz w:val="20"/>
                <w:szCs w:val="20"/>
                <w:color w:val="auto"/>
              </w:rPr>
            </w:pPr>
            <w:r>
              <w:rPr>
                <w:rFonts w:ascii="Times New Roman" w:cs="Times New Roman" w:eastAsia="Times New Roman" w:hAnsi="Times New Roman"/>
                <w:sz w:val="10"/>
                <w:szCs w:val="10"/>
                <w:color w:val="auto"/>
              </w:rPr>
              <w:t>Total stockholders’ deficit</w:t>
            </w:r>
          </w:p>
        </w:tc>
        <w:tc>
          <w:tcPr>
            <w:tcW w:w="60" w:type="dxa"/>
            <w:vAlign w:val="bottom"/>
            <w:shd w:val="clear" w:color="auto" w:fill="CFF0FC"/>
          </w:tcPr>
          <w:p>
            <w:pPr>
              <w:spacing w:after="0"/>
              <w:rPr>
                <w:sz w:val="8"/>
                <w:szCs w:val="8"/>
                <w:color w:val="auto"/>
              </w:rPr>
            </w:pPr>
          </w:p>
        </w:tc>
        <w:tc>
          <w:tcPr>
            <w:tcW w:w="800" w:type="dxa"/>
            <w:vAlign w:val="bottom"/>
            <w:gridSpan w:val="2"/>
            <w:shd w:val="clear" w:color="auto" w:fill="CFF0FC"/>
          </w:tcPr>
          <w:p>
            <w:pPr>
              <w:jc w:val="right"/>
              <w:ind w:right="100"/>
              <w:spacing w:after="0" w:line="96" w:lineRule="exact"/>
              <w:rPr>
                <w:sz w:val="20"/>
                <w:szCs w:val="20"/>
                <w:color w:val="auto"/>
              </w:rPr>
            </w:pPr>
            <w:r>
              <w:rPr>
                <w:rFonts w:ascii="Times New Roman" w:cs="Times New Roman" w:eastAsia="Times New Roman" w:hAnsi="Times New Roman"/>
                <w:sz w:val="10"/>
                <w:szCs w:val="10"/>
                <w:color w:val="auto"/>
              </w:rPr>
              <w:t>(238,656)</w:t>
            </w: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740" w:type="dxa"/>
            <w:vAlign w:val="bottom"/>
            <w:gridSpan w:val="2"/>
            <w:shd w:val="clear" w:color="auto" w:fill="CFF0FC"/>
          </w:tcPr>
          <w:p>
            <w:pPr>
              <w:jc w:val="right"/>
              <w:ind w:right="20"/>
              <w:spacing w:after="0" w:line="96" w:lineRule="exact"/>
              <w:rPr>
                <w:sz w:val="20"/>
                <w:szCs w:val="20"/>
                <w:color w:val="auto"/>
              </w:rPr>
            </w:pPr>
            <w:r>
              <w:rPr>
                <w:rFonts w:ascii="Times New Roman" w:cs="Times New Roman" w:eastAsia="Times New Roman" w:hAnsi="Times New Roman"/>
                <w:sz w:val="10"/>
                <w:szCs w:val="10"/>
                <w:color w:val="auto"/>
              </w:rPr>
              <w:t>(174,522)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0" w:type="dxa"/>
            <w:vAlign w:val="bottom"/>
            <w:tcBorders>
              <w:right w:val="single" w:sz="8" w:color="CFF0FC"/>
            </w:tcBorders>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20" w:type="dxa"/>
            <w:vAlign w:val="bottom"/>
            <w:vMerge w:val="continue"/>
          </w:tcPr>
          <w:p>
            <w:pPr>
              <w:spacing w:after="0"/>
              <w:rPr>
                <w:sz w:val="7"/>
                <w:szCs w:val="7"/>
                <w:color w:val="auto"/>
              </w:rPr>
            </w:pPr>
          </w:p>
        </w:tc>
        <w:tc>
          <w:tcPr>
            <w:tcW w:w="4800" w:type="dxa"/>
            <w:vAlign w:val="bottom"/>
          </w:tcPr>
          <w:p>
            <w:pPr>
              <w:spacing w:after="0" w:line="82" w:lineRule="exact"/>
              <w:rPr>
                <w:sz w:val="20"/>
                <w:szCs w:val="20"/>
                <w:color w:val="auto"/>
              </w:rPr>
            </w:pPr>
            <w:r>
              <w:rPr>
                <w:rFonts w:ascii="Times New Roman" w:cs="Times New Roman" w:eastAsia="Times New Roman" w:hAnsi="Times New Roman"/>
                <w:sz w:val="9"/>
                <w:szCs w:val="9"/>
                <w:color w:val="auto"/>
              </w:rPr>
              <w:t>TOTAL LIABILITIES, REDEEMABLE CONVERTIBLE PREFERRED STOCK AND STOCKHOLDERS’</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148,881</w:t>
            </w: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0"/>
                <w:szCs w:val="10"/>
                <w:color w:val="auto"/>
              </w:rPr>
              <w:t>124,519</w:t>
            </w: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4800" w:type="dxa"/>
            <w:vAlign w:val="bottom"/>
          </w:tcPr>
          <w:p>
            <w:pPr>
              <w:ind w:left="60"/>
              <w:spacing w:after="0" w:line="78" w:lineRule="exact"/>
              <w:rPr>
                <w:sz w:val="20"/>
                <w:szCs w:val="20"/>
                <w:color w:val="auto"/>
              </w:rPr>
            </w:pPr>
            <w:r>
              <w:rPr>
                <w:rFonts w:ascii="Times New Roman" w:cs="Times New Roman" w:eastAsia="Times New Roman" w:hAnsi="Times New Roman"/>
                <w:sz w:val="7"/>
                <w:szCs w:val="7"/>
                <w:color w:val="auto"/>
              </w:rPr>
              <w:t>DEFICIT</w:t>
            </w:r>
          </w:p>
        </w:tc>
        <w:tc>
          <w:tcPr>
            <w:tcW w:w="6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Borders>
              <w:bottom w:val="single" w:sz="8" w:color="auto"/>
            </w:tcBorders>
            <w:vMerge w:val="continue"/>
          </w:tcPr>
          <w:p>
            <w:pPr>
              <w:spacing w:after="0"/>
              <w:rPr>
                <w:sz w:val="7"/>
                <w:szCs w:val="7"/>
                <w:color w:val="auto"/>
              </w:rPr>
            </w:pPr>
          </w:p>
        </w:tc>
        <w:tc>
          <w:tcPr>
            <w:tcW w:w="680" w:type="dxa"/>
            <w:vAlign w:val="bottom"/>
            <w:tcBorders>
              <w:bottom w:val="single" w:sz="8" w:color="auto"/>
            </w:tcBorders>
            <w:vMerge w:val="continue"/>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-3483610</wp:posOffset>
            </wp:positionV>
            <wp:extent cx="40005" cy="698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-3483610</wp:posOffset>
            </wp:positionV>
            <wp:extent cx="40005" cy="698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-3070225</wp:posOffset>
            </wp:positionV>
            <wp:extent cx="40005"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-3070225</wp:posOffset>
            </wp:positionV>
            <wp:extent cx="40005" cy="698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-2922905</wp:posOffset>
            </wp:positionV>
            <wp:extent cx="40005" cy="698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-2909570</wp:posOffset>
            </wp:positionV>
            <wp:extent cx="40005" cy="698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-2922905</wp:posOffset>
            </wp:positionV>
            <wp:extent cx="40005" cy="698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-2909570</wp:posOffset>
            </wp:positionV>
            <wp:extent cx="40005" cy="698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-2502535</wp:posOffset>
            </wp:positionV>
            <wp:extent cx="40005" cy="698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-2502535</wp:posOffset>
            </wp:positionV>
            <wp:extent cx="40005"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4292600</wp:posOffset>
            </wp:positionH>
            <wp:positionV relativeFrom="paragraph">
              <wp:posOffset>-2308225</wp:posOffset>
            </wp:positionV>
            <wp:extent cx="65405" cy="10541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5405" cy="105410"/>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-2308225</wp:posOffset>
            </wp:positionV>
            <wp:extent cx="65405" cy="1054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5405" cy="105410"/>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-139700</wp:posOffset>
            </wp:positionV>
            <wp:extent cx="40005"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-139700</wp:posOffset>
            </wp:positionV>
            <wp:extent cx="40005"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1" w:name="page232"/>
    <w:bookmarkEnd w:id="23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AVALYN PHARMA INC.</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CONSOLIDATED STATEMENTS OF COMPREHENSIVE LOSS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amounts)</w:t>
      </w:r>
    </w:p>
    <w:p>
      <w:pPr>
        <w:spacing w:after="0" w:line="17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1"/>
          <w:szCs w:val="11"/>
          <w:b w:val="1"/>
          <w:bCs w:val="1"/>
          <w:color w:val="auto"/>
        </w:rPr>
        <w:t>Year Ended</w:t>
      </w:r>
    </w:p>
    <w:p>
      <w:pPr>
        <w:ind w:left="6300"/>
        <w:spacing w:after="0" w:line="235" w:lineRule="auto"/>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220" w:type="dxa"/>
        <w:tblCellMar>
          <w:top w:w="0" w:type="dxa"/>
          <w:left w:w="0" w:type="dxa"/>
          <w:bottom w:w="0" w:type="dxa"/>
          <w:right w:w="0" w:type="dxa"/>
        </w:tblCellMar>
      </w:tblPr>
      <w:tr>
        <w:trPr>
          <w:trHeight w:val="106"/>
        </w:trPr>
        <w:tc>
          <w:tcPr>
            <w:tcW w:w="4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91"/>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0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700" w:type="dxa"/>
            <w:vAlign w:val="bottom"/>
            <w:tcBorders>
              <w:top w:val="single" w:sz="8" w:color="auto"/>
              <w:bottom w:val="single" w:sz="8" w:color="auto"/>
            </w:tcBorders>
          </w:tcPr>
          <w:p>
            <w:pPr>
              <w:jc w:val="right"/>
              <w:ind w:right="271"/>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EXPENSES: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76,614</w:t>
            </w:r>
          </w:p>
        </w:tc>
        <w:tc>
          <w:tcPr>
            <w:tcW w:w="200" w:type="dxa"/>
            <w:vAlign w:val="bottom"/>
          </w:tcPr>
          <w:p>
            <w:pPr>
              <w:spacing w:after="0"/>
              <w:rPr>
                <w:sz w:val="14"/>
                <w:szCs w:val="14"/>
                <w:color w:val="auto"/>
              </w:rPr>
            </w:pP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45,759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14,678</w:t>
            </w:r>
          </w:p>
        </w:tc>
        <w:tc>
          <w:tcPr>
            <w:tcW w:w="2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11,362</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18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91,292</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57,121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LOSS FROM OPERATIONS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(91,292)</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(57,121)</w:t>
            </w:r>
          </w:p>
        </w:tc>
        <w:tc>
          <w:tcPr>
            <w:tcW w:w="0" w:type="dxa"/>
            <w:vAlign w:val="bottom"/>
          </w:tcPr>
          <w:p>
            <w:pPr>
              <w:spacing w:after="0"/>
              <w:rPr>
                <w:sz w:val="1"/>
                <w:szCs w:val="1"/>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6,177</w:t>
            </w: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7,439</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expense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59"/>
        </w:trPr>
        <w:tc>
          <w:tcPr>
            <w:tcW w:w="4180" w:type="dxa"/>
            <w:vAlign w:val="bottom"/>
            <w:shd w:val="clear" w:color="auto" w:fill="CFF0FC"/>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other income</w:t>
            </w: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6,088</w:t>
            </w: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7,377</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(85,204)</w:t>
            </w: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(49,744)</w:t>
            </w:r>
          </w:p>
        </w:tc>
        <w:tc>
          <w:tcPr>
            <w:tcW w:w="0" w:type="dxa"/>
            <w:vAlign w:val="bottom"/>
          </w:tcPr>
          <w:p>
            <w:pPr>
              <w:spacing w:after="0"/>
              <w:rPr>
                <w:sz w:val="1"/>
                <w:szCs w:val="1"/>
                <w:color w:val="auto"/>
              </w:rPr>
            </w:pPr>
          </w:p>
        </w:tc>
      </w:tr>
      <w:tr>
        <w:trPr>
          <w:trHeight w:val="159"/>
        </w:trPr>
        <w:tc>
          <w:tcPr>
            <w:tcW w:w="41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COMPREHENSIVE LOSS:</w:t>
            </w:r>
          </w:p>
        </w:tc>
        <w:tc>
          <w:tcPr>
            <w:tcW w:w="14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74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spacing w:after="0"/>
              <w:rPr>
                <w:sz w:val="13"/>
                <w:szCs w:val="13"/>
                <w:color w:val="auto"/>
              </w:rPr>
            </w:pPr>
          </w:p>
        </w:tc>
        <w:tc>
          <w:tcPr>
            <w:tcW w:w="700" w:type="dxa"/>
            <w:vAlign w:val="bottom"/>
            <w:tcBorders>
              <w:top w:val="single" w:sz="8" w:color="auto"/>
            </w:tcBorders>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(85,204)</w:t>
            </w:r>
          </w:p>
        </w:tc>
        <w:tc>
          <w:tcPr>
            <w:tcW w:w="380" w:type="dxa"/>
            <w:vAlign w:val="bottom"/>
            <w:gridSpan w:val="2"/>
          </w:tcPr>
          <w:p>
            <w:pPr>
              <w:jc w:val="right"/>
              <w:ind w:right="85"/>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(49,744)</w:t>
            </w:r>
          </w:p>
        </w:tc>
        <w:tc>
          <w:tcPr>
            <w:tcW w:w="0" w:type="dxa"/>
            <w:vAlign w:val="bottom"/>
          </w:tcPr>
          <w:p>
            <w:pPr>
              <w:spacing w:after="0"/>
              <w:rPr>
                <w:sz w:val="1"/>
                <w:szCs w:val="1"/>
                <w:color w:val="auto"/>
              </w:rPr>
            </w:pPr>
          </w:p>
        </w:tc>
      </w:tr>
      <w:tr>
        <w:trPr>
          <w:trHeight w:val="168"/>
        </w:trPr>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Unrealized gains on marketable securities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4180" w:type="dxa"/>
            <w:vAlign w:val="bottom"/>
            <w:shd w:val="clear" w:color="auto" w:fill="CFF0FC"/>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other comprehensive loss</w:t>
            </w:r>
          </w:p>
        </w:tc>
        <w:tc>
          <w:tcPr>
            <w:tcW w:w="1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940" w:type="dxa"/>
            <w:vAlign w:val="bottom"/>
            <w:gridSpan w:val="2"/>
            <w:shd w:val="clear" w:color="auto" w:fill="CFF0FC"/>
          </w:tcPr>
          <w:p>
            <w:pPr>
              <w:jc w:val="right"/>
              <w:ind w:right="160"/>
              <w:spacing w:after="0" w:line="159" w:lineRule="exact"/>
              <w:rPr>
                <w:sz w:val="20"/>
                <w:szCs w:val="20"/>
                <w:color w:val="auto"/>
              </w:rPr>
            </w:pPr>
            <w:r>
              <w:rPr>
                <w:rFonts w:ascii="Times New Roman" w:cs="Times New Roman" w:eastAsia="Times New Roman" w:hAnsi="Times New Roman"/>
                <w:sz w:val="14"/>
                <w:szCs w:val="14"/>
                <w:color w:val="auto"/>
              </w:rPr>
              <w:t>(68)</w:t>
            </w:r>
          </w:p>
        </w:tc>
        <w:tc>
          <w:tcPr>
            <w:tcW w:w="18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202</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tcBorders>
              <w:bottom w:val="single" w:sz="8" w:color="auto"/>
            </w:tcBorders>
            <w:shd w:val="clear" w:color="auto" w:fill="CFF0FC"/>
          </w:tcPr>
          <w:p>
            <w:pPr>
              <w:spacing w:after="0" w:line="20" w:lineRule="exact"/>
              <w:rPr>
                <w:sz w:val="1"/>
                <w:szCs w:val="1"/>
                <w:color w:val="auto"/>
              </w:rPr>
            </w:pPr>
          </w:p>
        </w:tc>
        <w:tc>
          <w:tcPr>
            <w:tcW w:w="700" w:type="dxa"/>
            <w:vAlign w:val="bottom"/>
            <w:tcBorders>
              <w:bottom w:val="single" w:sz="8" w:color="auto"/>
            </w:tcBorders>
            <w:shd w:val="clear" w:color="auto" w:fill="CFF0FC"/>
          </w:tcPr>
          <w:p>
            <w:pPr>
              <w:spacing w:after="0" w:line="20" w:lineRule="exact"/>
              <w:rPr>
                <w:sz w:val="1"/>
                <w:szCs w:val="1"/>
                <w:color w:val="auto"/>
              </w:rPr>
            </w:pPr>
          </w:p>
        </w:tc>
        <w:tc>
          <w:tcPr>
            <w:tcW w:w="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1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COMPREHENSIVE LOSS</w:t>
            </w:r>
          </w:p>
        </w:tc>
        <w:tc>
          <w:tcPr>
            <w:tcW w:w="3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(85,272)</w:t>
            </w:r>
          </w:p>
        </w:tc>
        <w:tc>
          <w:tcPr>
            <w:tcW w:w="180" w:type="dxa"/>
            <w:vAlign w:val="bottom"/>
          </w:tcPr>
          <w:p>
            <w:pPr>
              <w:spacing w:after="0"/>
              <w:rPr>
                <w:sz w:val="12"/>
                <w:szCs w:val="12"/>
                <w:color w:val="auto"/>
              </w:rPr>
            </w:pPr>
          </w:p>
        </w:tc>
        <w:tc>
          <w:tcPr>
            <w:tcW w:w="200" w:type="dxa"/>
            <w:vAlign w:val="bottom"/>
          </w:tcPr>
          <w:p>
            <w:pPr>
              <w:jc w:val="right"/>
              <w:ind w:right="85"/>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8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color w:val="auto"/>
              </w:rPr>
              <w:t>Net loss per share of common stock, basic and diluted</w:t>
            </w:r>
          </w:p>
        </w:tc>
        <w:tc>
          <w:tcPr>
            <w:tcW w:w="300" w:type="dxa"/>
            <w:vAlign w:val="bottom"/>
            <w:gridSpan w:val="2"/>
            <w:shd w:val="clear" w:color="auto" w:fill="CFF0FC"/>
          </w:tcPr>
          <w:p>
            <w:pPr>
              <w:jc w:val="right"/>
              <w:ind w:right="100"/>
              <w:spacing w:after="0" w:line="140"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FF0FC"/>
          </w:tcPr>
          <w:p>
            <w:pPr>
              <w:jc w:val="right"/>
              <w:ind w:right="160"/>
              <w:spacing w:after="0" w:line="140" w:lineRule="exact"/>
              <w:rPr>
                <w:sz w:val="20"/>
                <w:szCs w:val="20"/>
                <w:color w:val="auto"/>
              </w:rPr>
            </w:pPr>
            <w:r>
              <w:rPr>
                <w:rFonts w:ascii="Times New Roman" w:cs="Times New Roman" w:eastAsia="Times New Roman" w:hAnsi="Times New Roman"/>
                <w:sz w:val="14"/>
                <w:szCs w:val="14"/>
                <w:color w:val="auto"/>
              </w:rPr>
              <w:t>(4.56)</w:t>
            </w:r>
          </w:p>
        </w:tc>
        <w:tc>
          <w:tcPr>
            <w:tcW w:w="380" w:type="dxa"/>
            <w:vAlign w:val="bottom"/>
            <w:gridSpan w:val="2"/>
            <w:shd w:val="clear" w:color="auto" w:fill="CFF0FC"/>
          </w:tcPr>
          <w:p>
            <w:pPr>
              <w:jc w:val="right"/>
              <w:ind w:right="85"/>
              <w:spacing w:after="0" w:line="140"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gridSpan w:val="2"/>
            <w:shd w:val="clear" w:color="auto" w:fill="CFF0FC"/>
          </w:tcPr>
          <w:p>
            <w:pPr>
              <w:jc w:val="right"/>
              <w:ind w:right="20"/>
              <w:spacing w:after="0" w:line="140" w:lineRule="exact"/>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125"/>
        </w:trPr>
        <w:tc>
          <w:tcPr>
            <w:tcW w:w="4180" w:type="dxa"/>
            <w:vAlign w:val="bottom"/>
            <w:tcBorders>
              <w:top w:val="single" w:sz="8" w:color="CFF0FC"/>
            </w:tcBorders>
          </w:tcPr>
          <w:p>
            <w:pPr>
              <w:ind w:left="80"/>
              <w:spacing w:after="0" w:line="125" w:lineRule="exact"/>
              <w:rPr>
                <w:sz w:val="20"/>
                <w:szCs w:val="20"/>
                <w:color w:val="auto"/>
              </w:rPr>
            </w:pPr>
            <w:r>
              <w:rPr>
                <w:rFonts w:ascii="Times New Roman" w:cs="Times New Roman" w:eastAsia="Times New Roman" w:hAnsi="Times New Roman"/>
                <w:sz w:val="14"/>
                <w:szCs w:val="14"/>
                <w:color w:val="auto"/>
              </w:rPr>
              <w:t>Weighted-average number of common stock used in net loss per share,</w:t>
            </w:r>
          </w:p>
        </w:tc>
        <w:tc>
          <w:tcPr>
            <w:tcW w:w="140" w:type="dxa"/>
            <w:vAlign w:val="bottom"/>
            <w:tcBorders>
              <w:top w:val="single" w:sz="8" w:color="CFF0FC"/>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18,684,834</w:t>
            </w:r>
          </w:p>
        </w:tc>
        <w:tc>
          <w:tcPr>
            <w:tcW w:w="200" w:type="dxa"/>
            <w:vAlign w:val="bottom"/>
            <w:tcBorders>
              <w:top w:val="single" w:sz="8" w:color="CFF0FC"/>
            </w:tcBorders>
          </w:tcPr>
          <w:p>
            <w:pPr>
              <w:spacing w:after="0"/>
              <w:rPr>
                <w:sz w:val="10"/>
                <w:szCs w:val="10"/>
                <w:color w:val="auto"/>
              </w:rPr>
            </w:pPr>
          </w:p>
        </w:tc>
        <w:tc>
          <w:tcPr>
            <w:tcW w:w="180" w:type="dxa"/>
            <w:vAlign w:val="bottom"/>
            <w:tcBorders>
              <w:top w:val="single" w:sz="8" w:color="CFF0FC"/>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5,197,971</w:t>
            </w:r>
          </w:p>
        </w:tc>
        <w:tc>
          <w:tcPr>
            <w:tcW w:w="6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4180" w:type="dxa"/>
            <w:vAlign w:val="bottom"/>
          </w:tcPr>
          <w:p>
            <w:pPr>
              <w:ind w:left="180"/>
              <w:spacing w:after="0" w:line="151" w:lineRule="exact"/>
              <w:rPr>
                <w:sz w:val="20"/>
                <w:szCs w:val="20"/>
                <w:color w:val="auto"/>
              </w:rPr>
            </w:pPr>
            <w:r>
              <w:rPr>
                <w:rFonts w:ascii="Times New Roman" w:cs="Times New Roman" w:eastAsia="Times New Roman" w:hAnsi="Times New Roman"/>
                <w:sz w:val="14"/>
                <w:szCs w:val="14"/>
                <w:color w:val="auto"/>
              </w:rPr>
              <w:t>basic and diluted</w:t>
            </w:r>
          </w:p>
        </w:tc>
        <w:tc>
          <w:tcPr>
            <w:tcW w:w="1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-1795145</wp:posOffset>
            </wp:positionV>
            <wp:extent cx="40005"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-1795145</wp:posOffset>
            </wp:positionV>
            <wp:extent cx="40005"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-480060</wp:posOffset>
            </wp:positionV>
            <wp:extent cx="40005"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-233045</wp:posOffset>
            </wp:positionV>
            <wp:extent cx="40005" cy="698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4084955</wp:posOffset>
            </wp:positionH>
            <wp:positionV relativeFrom="paragraph">
              <wp:posOffset>-219710</wp:posOffset>
            </wp:positionV>
            <wp:extent cx="40005" cy="698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-233045</wp:posOffset>
            </wp:positionV>
            <wp:extent cx="40005" cy="698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-219710</wp:posOffset>
            </wp:positionV>
            <wp:extent cx="40005" cy="698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2" w:name="page233"/>
    <w:bookmarkEnd w:id="232"/>
    <w:p>
      <w:pPr>
        <w:ind w:left="66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AVALYN PHARMA INC.</w:t>
      </w:r>
    </w:p>
    <w:p>
      <w:pPr>
        <w:spacing w:after="0" w:line="24" w:lineRule="exact"/>
        <w:rPr>
          <w:sz w:val="20"/>
          <w:szCs w:val="20"/>
          <w:color w:val="auto"/>
        </w:rPr>
      </w:pPr>
    </w:p>
    <w:p>
      <w:pPr>
        <w:ind w:right="1880"/>
        <w:spacing w:after="0" w:line="261" w:lineRule="auto"/>
        <w:rPr>
          <w:sz w:val="20"/>
          <w:szCs w:val="20"/>
          <w:color w:val="auto"/>
        </w:rPr>
      </w:pPr>
      <w:r>
        <w:rPr>
          <w:rFonts w:ascii="Times New Roman" w:cs="Times New Roman" w:eastAsia="Times New Roman" w:hAnsi="Times New Roman"/>
          <w:sz w:val="14"/>
          <w:szCs w:val="14"/>
          <w:b w:val="1"/>
          <w:bCs w:val="1"/>
          <w:color w:val="auto"/>
        </w:rPr>
        <w:t>CONSOLIDATED STATEMENTS OF CHANGES IN REDEEMABLE CONVERTIBLE PREFERRED STOCK AND STOCKHOLDERS' DEFICIT (In thousands, except share amounts)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95"/>
        </w:trPr>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8"/>
                <w:szCs w:val="8"/>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Series A</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Series B</w:t>
            </w: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Series C-1</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Series C-2</w:t>
            </w: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8"/>
                <w:szCs w:val="8"/>
                <w:b w:val="1"/>
                <w:bCs w:val="1"/>
                <w:color w:val="auto"/>
              </w:rPr>
              <w:t>Series D</w:t>
            </w: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gridSpan w:val="3"/>
          </w:tcPr>
          <w:p>
            <w:pPr>
              <w:jc w:val="center"/>
              <w:ind w:left="318"/>
              <w:spacing w:after="0"/>
              <w:rPr>
                <w:sz w:val="20"/>
                <w:szCs w:val="20"/>
                <w:color w:val="auto"/>
              </w:rPr>
            </w:pPr>
            <w:r>
              <w:rPr>
                <w:rFonts w:ascii="Times New Roman" w:cs="Times New Roman" w:eastAsia="Times New Roman" w:hAnsi="Times New Roman"/>
                <w:sz w:val="8"/>
                <w:szCs w:val="8"/>
                <w:b w:val="1"/>
                <w:bCs w:val="1"/>
                <w:color w:val="auto"/>
              </w:rPr>
              <w:t>Common</w:t>
            </w: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ind w:left="20"/>
              <w:spacing w:after="0"/>
              <w:rPr>
                <w:sz w:val="20"/>
                <w:szCs w:val="20"/>
                <w:color w:val="auto"/>
              </w:rPr>
            </w:pPr>
            <w:r>
              <w:rPr>
                <w:rFonts w:ascii="Times New Roman" w:cs="Times New Roman" w:eastAsia="Times New Roman" w:hAnsi="Times New Roman"/>
                <w:sz w:val="8"/>
                <w:szCs w:val="8"/>
                <w:b w:val="1"/>
                <w:bCs w:val="1"/>
                <w:color w:val="auto"/>
              </w:rPr>
              <w:t>Additional</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w w:val="97"/>
              </w:rPr>
              <w:t>Other</w:t>
            </w: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106"/>
        </w:trPr>
        <w:tc>
          <w:tcPr>
            <w:tcW w:w="760" w:type="dxa"/>
            <w:vAlign w:val="bottom"/>
          </w:tcPr>
          <w:p>
            <w:pPr>
              <w:spacing w:after="0"/>
              <w:rPr>
                <w:sz w:val="9"/>
                <w:szCs w:val="9"/>
                <w:color w:val="auto"/>
              </w:rPr>
            </w:pPr>
          </w:p>
        </w:tc>
        <w:tc>
          <w:tcPr>
            <w:tcW w:w="1260" w:type="dxa"/>
            <w:vAlign w:val="bottom"/>
            <w:gridSpan w:val="5"/>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200" w:type="dxa"/>
            <w:vAlign w:val="bottom"/>
            <w:gridSpan w:val="5"/>
          </w:tcPr>
          <w:p>
            <w:pPr>
              <w:jc w:val="right"/>
              <w:ind w:right="380"/>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200" w:type="dxa"/>
            <w:vAlign w:val="bottom"/>
            <w:gridSpan w:val="4"/>
          </w:tcPr>
          <w:p>
            <w:pPr>
              <w:jc w:val="right"/>
              <w:ind w:right="278"/>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20" w:type="dxa"/>
            <w:vAlign w:val="bottom"/>
          </w:tcPr>
          <w:p>
            <w:pPr>
              <w:spacing w:after="0"/>
              <w:rPr>
                <w:sz w:val="9"/>
                <w:szCs w:val="9"/>
                <w:color w:val="auto"/>
              </w:rPr>
            </w:pPr>
          </w:p>
        </w:tc>
        <w:tc>
          <w:tcPr>
            <w:tcW w:w="1240" w:type="dxa"/>
            <w:vAlign w:val="bottom"/>
            <w:gridSpan w:val="5"/>
          </w:tcPr>
          <w:p>
            <w:pPr>
              <w:jc w:val="right"/>
              <w:ind w:right="400"/>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040" w:type="dxa"/>
            <w:vAlign w:val="bottom"/>
            <w:gridSpan w:val="4"/>
          </w:tcPr>
          <w:p>
            <w:pPr>
              <w:jc w:val="right"/>
              <w:ind w:right="198"/>
              <w:spacing w:after="0"/>
              <w:rPr>
                <w:sz w:val="20"/>
                <w:szCs w:val="20"/>
                <w:color w:val="auto"/>
              </w:rPr>
            </w:pPr>
            <w:r>
              <w:rPr>
                <w:rFonts w:ascii="Times New Roman" w:cs="Times New Roman" w:eastAsia="Times New Roman" w:hAnsi="Times New Roman"/>
                <w:sz w:val="8"/>
                <w:szCs w:val="8"/>
                <w:b w:val="1"/>
                <w:bCs w:val="1"/>
                <w:color w:val="auto"/>
              </w:rPr>
              <w:t>Preferred Stock</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center"/>
              <w:ind w:left="358"/>
              <w:spacing w:after="0"/>
              <w:rPr>
                <w:sz w:val="20"/>
                <w:szCs w:val="20"/>
                <w:color w:val="auto"/>
              </w:rPr>
            </w:pPr>
            <w:r>
              <w:rPr>
                <w:rFonts w:ascii="Times New Roman" w:cs="Times New Roman" w:eastAsia="Times New Roman" w:hAnsi="Times New Roman"/>
                <w:sz w:val="8"/>
                <w:szCs w:val="8"/>
                <w:b w:val="1"/>
                <w:bCs w:val="1"/>
                <w:color w:val="auto"/>
              </w:rPr>
              <w:t>Stock</w:t>
            </w: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ind w:right="38"/>
              <w:spacing w:after="0"/>
              <w:rPr>
                <w:sz w:val="20"/>
                <w:szCs w:val="20"/>
                <w:color w:val="auto"/>
              </w:rPr>
            </w:pPr>
            <w:r>
              <w:rPr>
                <w:rFonts w:ascii="Times New Roman" w:cs="Times New Roman" w:eastAsia="Times New Roman" w:hAnsi="Times New Roman"/>
                <w:sz w:val="8"/>
                <w:szCs w:val="8"/>
                <w:b w:val="1"/>
                <w:bCs w:val="1"/>
                <w:color w:val="auto"/>
              </w:rPr>
              <w:t>Paid-In</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Comprehensive</w:t>
            </w:r>
          </w:p>
        </w:tc>
        <w:tc>
          <w:tcPr>
            <w:tcW w:w="640" w:type="dxa"/>
            <w:vAlign w:val="bottom"/>
            <w:gridSpan w:val="3"/>
          </w:tcPr>
          <w:p>
            <w:pPr>
              <w:jc w:val="right"/>
              <w:ind w:right="140"/>
              <w:spacing w:after="0"/>
              <w:rPr>
                <w:sz w:val="20"/>
                <w:szCs w:val="20"/>
                <w:color w:val="auto"/>
              </w:rPr>
            </w:pPr>
            <w:r>
              <w:rPr>
                <w:rFonts w:ascii="Times New Roman" w:cs="Times New Roman" w:eastAsia="Times New Roman" w:hAnsi="Times New Roman"/>
                <w:sz w:val="8"/>
                <w:szCs w:val="8"/>
                <w:b w:val="1"/>
                <w:bCs w:val="1"/>
                <w:color w:val="auto"/>
              </w:rPr>
              <w:t>Accumulated</w:t>
            </w:r>
          </w:p>
        </w:tc>
        <w:tc>
          <w:tcPr>
            <w:tcW w:w="60" w:type="dxa"/>
            <w:vAlign w:val="bottom"/>
          </w:tcPr>
          <w:p>
            <w:pPr>
              <w:spacing w:after="0"/>
              <w:rPr>
                <w:sz w:val="9"/>
                <w:szCs w:val="9"/>
                <w:color w:val="auto"/>
              </w:rPr>
            </w:pPr>
          </w:p>
        </w:tc>
        <w:tc>
          <w:tcPr>
            <w:tcW w:w="680" w:type="dxa"/>
            <w:vAlign w:val="bottom"/>
            <w:gridSpan w:val="2"/>
          </w:tcPr>
          <w:p>
            <w:pPr>
              <w:jc w:val="center"/>
              <w:ind w:right="160"/>
              <w:spacing w:after="0"/>
              <w:rPr>
                <w:sz w:val="20"/>
                <w:szCs w:val="20"/>
                <w:color w:val="auto"/>
              </w:rPr>
            </w:pPr>
            <w:r>
              <w:rPr>
                <w:rFonts w:ascii="Times New Roman" w:cs="Times New Roman" w:eastAsia="Times New Roman" w:hAnsi="Times New Roman"/>
                <w:sz w:val="8"/>
                <w:szCs w:val="8"/>
                <w:b w:val="1"/>
                <w:bCs w:val="1"/>
                <w:color w:val="auto"/>
              </w:rPr>
              <w:t>Stockholders’</w:t>
            </w:r>
          </w:p>
        </w:tc>
        <w:tc>
          <w:tcPr>
            <w:tcW w:w="0" w:type="dxa"/>
            <w:vAlign w:val="bottom"/>
          </w:tcPr>
          <w:p>
            <w:pPr>
              <w:spacing w:after="0"/>
              <w:rPr>
                <w:sz w:val="1"/>
                <w:szCs w:val="1"/>
                <w:color w:val="auto"/>
              </w:rPr>
            </w:pPr>
          </w:p>
        </w:tc>
      </w:tr>
      <w:tr>
        <w:trPr>
          <w:trHeight w:val="85"/>
        </w:trPr>
        <w:tc>
          <w:tcPr>
            <w:tcW w:w="760" w:type="dxa"/>
            <w:vAlign w:val="bottom"/>
          </w:tcPr>
          <w:p>
            <w:pPr>
              <w:spacing w:after="0"/>
              <w:rPr>
                <w:sz w:val="7"/>
                <w:szCs w:val="7"/>
                <w:color w:val="auto"/>
              </w:rPr>
            </w:pPr>
          </w:p>
        </w:tc>
        <w:tc>
          <w:tcPr>
            <w:tcW w:w="680" w:type="dxa"/>
            <w:vAlign w:val="bottom"/>
            <w:tcBorders>
              <w:top w:val="single" w:sz="8" w:color="auto"/>
            </w:tcBorders>
            <w:gridSpan w:val="2"/>
          </w:tcPr>
          <w:p>
            <w:pPr>
              <w:jc w:val="right"/>
              <w:ind w:right="280"/>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38"/>
              <w:spacing w:after="0" w:line="86" w:lineRule="exact"/>
              <w:rPr>
                <w:sz w:val="20"/>
                <w:szCs w:val="20"/>
                <w:color w:val="auto"/>
              </w:rPr>
            </w:pPr>
            <w:r>
              <w:rPr>
                <w:rFonts w:ascii="Times New Roman" w:cs="Times New Roman" w:eastAsia="Times New Roman" w:hAnsi="Times New Roman"/>
                <w:sz w:val="8"/>
                <w:szCs w:val="8"/>
                <w:b w:val="1"/>
                <w:bCs w:val="1"/>
                <w:color w:val="auto"/>
              </w:rPr>
              <w:t>Amount</w:t>
            </w:r>
          </w:p>
        </w:tc>
        <w:tc>
          <w:tcPr>
            <w:tcW w:w="120" w:type="dxa"/>
            <w:vAlign w:val="bottom"/>
          </w:tcPr>
          <w:p>
            <w:pPr>
              <w:spacing w:after="0"/>
              <w:rPr>
                <w:sz w:val="7"/>
                <w:szCs w:val="7"/>
                <w:color w:val="auto"/>
              </w:rPr>
            </w:pPr>
          </w:p>
        </w:tc>
        <w:tc>
          <w:tcPr>
            <w:tcW w:w="640" w:type="dxa"/>
            <w:vAlign w:val="bottom"/>
            <w:tcBorders>
              <w:top w:val="single" w:sz="8" w:color="auto"/>
            </w:tcBorders>
            <w:gridSpan w:val="2"/>
          </w:tcPr>
          <w:p>
            <w:pPr>
              <w:jc w:val="right"/>
              <w:ind w:right="260"/>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ind w:right="38"/>
              <w:spacing w:after="0" w:line="86" w:lineRule="exact"/>
              <w:rPr>
                <w:sz w:val="20"/>
                <w:szCs w:val="20"/>
                <w:color w:val="auto"/>
              </w:rPr>
            </w:pPr>
            <w:r>
              <w:rPr>
                <w:rFonts w:ascii="Times New Roman" w:cs="Times New Roman" w:eastAsia="Times New Roman" w:hAnsi="Times New Roman"/>
                <w:sz w:val="8"/>
                <w:szCs w:val="8"/>
                <w:b w:val="1"/>
                <w:bCs w:val="1"/>
                <w:color w:val="auto"/>
                <w:w w:val="99"/>
              </w:rPr>
              <w:t>Amount</w:t>
            </w:r>
          </w:p>
        </w:tc>
        <w:tc>
          <w:tcPr>
            <w:tcW w:w="120" w:type="dxa"/>
            <w:vAlign w:val="bottom"/>
          </w:tcPr>
          <w:p>
            <w:pPr>
              <w:spacing w:after="0"/>
              <w:rPr>
                <w:sz w:val="7"/>
                <w:szCs w:val="7"/>
                <w:color w:val="auto"/>
              </w:rPr>
            </w:pPr>
          </w:p>
        </w:tc>
        <w:tc>
          <w:tcPr>
            <w:tcW w:w="580" w:type="dxa"/>
            <w:vAlign w:val="bottom"/>
            <w:tcBorders>
              <w:top w:val="single" w:sz="8" w:color="auto"/>
            </w:tcBorders>
          </w:tcPr>
          <w:p>
            <w:pPr>
              <w:jc w:val="right"/>
              <w:ind w:right="118"/>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12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jc w:val="right"/>
              <w:ind w:right="58"/>
              <w:spacing w:after="0" w:line="86" w:lineRule="exact"/>
              <w:rPr>
                <w:sz w:val="20"/>
                <w:szCs w:val="20"/>
                <w:color w:val="auto"/>
              </w:rPr>
            </w:pPr>
            <w:r>
              <w:rPr>
                <w:rFonts w:ascii="Times New Roman" w:cs="Times New Roman" w:eastAsia="Times New Roman" w:hAnsi="Times New Roman"/>
                <w:sz w:val="8"/>
                <w:szCs w:val="8"/>
                <w:b w:val="1"/>
                <w:bCs w:val="1"/>
                <w:color w:val="auto"/>
                <w:w w:val="99"/>
              </w:rPr>
              <w:t>Amount</w:t>
            </w:r>
          </w:p>
        </w:tc>
        <w:tc>
          <w:tcPr>
            <w:tcW w:w="120" w:type="dxa"/>
            <w:vAlign w:val="bottom"/>
          </w:tcPr>
          <w:p>
            <w:pPr>
              <w:spacing w:after="0"/>
              <w:rPr>
                <w:sz w:val="7"/>
                <w:szCs w:val="7"/>
                <w:color w:val="auto"/>
              </w:rPr>
            </w:pPr>
          </w:p>
        </w:tc>
        <w:tc>
          <w:tcPr>
            <w:tcW w:w="680" w:type="dxa"/>
            <w:vAlign w:val="bottom"/>
            <w:tcBorders>
              <w:top w:val="single" w:sz="8" w:color="auto"/>
            </w:tcBorders>
            <w:gridSpan w:val="2"/>
          </w:tcPr>
          <w:p>
            <w:pPr>
              <w:jc w:val="right"/>
              <w:ind w:right="260"/>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80" w:type="dxa"/>
            <w:vAlign w:val="bottom"/>
            <w:tcBorders>
              <w:top w:val="single" w:sz="8" w:color="auto"/>
            </w:tcBorders>
          </w:tcPr>
          <w:p>
            <w:pPr>
              <w:spacing w:after="0"/>
              <w:rPr>
                <w:sz w:val="7"/>
                <w:szCs w:val="7"/>
                <w:color w:val="auto"/>
              </w:rPr>
            </w:pPr>
          </w:p>
        </w:tc>
        <w:tc>
          <w:tcPr>
            <w:tcW w:w="380" w:type="dxa"/>
            <w:vAlign w:val="bottom"/>
            <w:tcBorders>
              <w:top w:val="single" w:sz="8" w:color="auto"/>
            </w:tcBorders>
          </w:tcPr>
          <w:p>
            <w:pPr>
              <w:jc w:val="right"/>
              <w:ind w:right="38"/>
              <w:spacing w:after="0" w:line="86" w:lineRule="exact"/>
              <w:rPr>
                <w:sz w:val="20"/>
                <w:szCs w:val="20"/>
                <w:color w:val="auto"/>
              </w:rPr>
            </w:pPr>
            <w:r>
              <w:rPr>
                <w:rFonts w:ascii="Times New Roman" w:cs="Times New Roman" w:eastAsia="Times New Roman" w:hAnsi="Times New Roman"/>
                <w:sz w:val="8"/>
                <w:szCs w:val="8"/>
                <w:b w:val="1"/>
                <w:bCs w:val="1"/>
                <w:color w:val="auto"/>
                <w:w w:val="99"/>
              </w:rPr>
              <w:t>Amount</w:t>
            </w:r>
          </w:p>
        </w:tc>
        <w:tc>
          <w:tcPr>
            <w:tcW w:w="100" w:type="dxa"/>
            <w:vAlign w:val="bottom"/>
          </w:tcPr>
          <w:p>
            <w:pPr>
              <w:spacing w:after="0"/>
              <w:rPr>
                <w:sz w:val="7"/>
                <w:szCs w:val="7"/>
                <w:color w:val="auto"/>
              </w:rPr>
            </w:pPr>
          </w:p>
        </w:tc>
        <w:tc>
          <w:tcPr>
            <w:tcW w:w="540" w:type="dxa"/>
            <w:vAlign w:val="bottom"/>
            <w:tcBorders>
              <w:top w:val="single" w:sz="8" w:color="auto"/>
            </w:tcBorders>
          </w:tcPr>
          <w:p>
            <w:pPr>
              <w:jc w:val="right"/>
              <w:ind w:right="118"/>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100" w:type="dxa"/>
            <w:vAlign w:val="bottom"/>
            <w:tcBorders>
              <w:top w:val="single" w:sz="8" w:color="auto"/>
            </w:tcBorders>
          </w:tcPr>
          <w:p>
            <w:pPr>
              <w:spacing w:after="0"/>
              <w:rPr>
                <w:sz w:val="7"/>
                <w:szCs w:val="7"/>
                <w:color w:val="auto"/>
              </w:rPr>
            </w:pPr>
          </w:p>
        </w:tc>
        <w:tc>
          <w:tcPr>
            <w:tcW w:w="4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ind w:right="18"/>
              <w:spacing w:after="0" w:line="86" w:lineRule="exact"/>
              <w:rPr>
                <w:sz w:val="20"/>
                <w:szCs w:val="20"/>
                <w:color w:val="auto"/>
              </w:rPr>
            </w:pPr>
            <w:r>
              <w:rPr>
                <w:rFonts w:ascii="Times New Roman" w:cs="Times New Roman" w:eastAsia="Times New Roman" w:hAnsi="Times New Roman"/>
                <w:sz w:val="8"/>
                <w:szCs w:val="8"/>
                <w:b w:val="1"/>
                <w:bCs w:val="1"/>
                <w:color w:val="auto"/>
                <w:w w:val="99"/>
              </w:rPr>
              <w:t>Amount</w:t>
            </w: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Borders>
              <w:top w:val="single" w:sz="8" w:color="auto"/>
            </w:tcBorders>
            <w:gridSpan w:val="2"/>
          </w:tcPr>
          <w:p>
            <w:pPr>
              <w:ind w:left="140"/>
              <w:spacing w:after="0" w:line="86" w:lineRule="exact"/>
              <w:rPr>
                <w:sz w:val="20"/>
                <w:szCs w:val="20"/>
                <w:color w:val="auto"/>
              </w:rPr>
            </w:pPr>
            <w:r>
              <w:rPr>
                <w:rFonts w:ascii="Times New Roman" w:cs="Times New Roman" w:eastAsia="Times New Roman" w:hAnsi="Times New Roman"/>
                <w:sz w:val="8"/>
                <w:szCs w:val="8"/>
                <w:b w:val="1"/>
                <w:bCs w:val="1"/>
                <w:color w:val="auto"/>
              </w:rPr>
              <w:t>Shares</w:t>
            </w:r>
          </w:p>
        </w:tc>
        <w:tc>
          <w:tcPr>
            <w:tcW w:w="6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jc w:val="right"/>
              <w:ind w:right="18"/>
              <w:spacing w:after="0" w:line="86" w:lineRule="exact"/>
              <w:rPr>
                <w:sz w:val="20"/>
                <w:szCs w:val="20"/>
                <w:color w:val="auto"/>
              </w:rPr>
            </w:pPr>
            <w:r>
              <w:rPr>
                <w:rFonts w:ascii="Times New Roman" w:cs="Times New Roman" w:eastAsia="Times New Roman" w:hAnsi="Times New Roman"/>
                <w:sz w:val="8"/>
                <w:szCs w:val="8"/>
                <w:b w:val="1"/>
                <w:bCs w:val="1"/>
                <w:color w:val="auto"/>
                <w:w w:val="99"/>
              </w:rPr>
              <w:t>Amount</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jc w:val="right"/>
              <w:ind w:right="38"/>
              <w:spacing w:after="0" w:line="86" w:lineRule="exact"/>
              <w:rPr>
                <w:sz w:val="20"/>
                <w:szCs w:val="20"/>
                <w:color w:val="auto"/>
              </w:rPr>
            </w:pPr>
            <w:r>
              <w:rPr>
                <w:rFonts w:ascii="Times New Roman" w:cs="Times New Roman" w:eastAsia="Times New Roman" w:hAnsi="Times New Roman"/>
                <w:sz w:val="8"/>
                <w:szCs w:val="8"/>
                <w:b w:val="1"/>
                <w:bCs w:val="1"/>
                <w:color w:val="auto"/>
              </w:rPr>
              <w:t>Capital</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gridSpan w:val="2"/>
          </w:tcPr>
          <w:p>
            <w:pPr>
              <w:jc w:val="center"/>
              <w:ind w:right="160"/>
              <w:spacing w:after="0" w:line="86" w:lineRule="exact"/>
              <w:rPr>
                <w:sz w:val="20"/>
                <w:szCs w:val="20"/>
                <w:color w:val="auto"/>
              </w:rPr>
            </w:pPr>
            <w:r>
              <w:rPr>
                <w:rFonts w:ascii="Times New Roman" w:cs="Times New Roman" w:eastAsia="Times New Roman" w:hAnsi="Times New Roman"/>
                <w:sz w:val="8"/>
                <w:szCs w:val="8"/>
                <w:b w:val="1"/>
                <w:bCs w:val="1"/>
                <w:color w:val="auto"/>
              </w:rPr>
              <w:t>Income</w:t>
            </w:r>
          </w:p>
        </w:tc>
        <w:tc>
          <w:tcPr>
            <w:tcW w:w="100" w:type="dxa"/>
            <w:vAlign w:val="bottom"/>
          </w:tcPr>
          <w:p>
            <w:pPr>
              <w:spacing w:after="0"/>
              <w:rPr>
                <w:sz w:val="7"/>
                <w:szCs w:val="7"/>
                <w:color w:val="auto"/>
              </w:rPr>
            </w:pPr>
          </w:p>
        </w:tc>
        <w:tc>
          <w:tcPr>
            <w:tcW w:w="540" w:type="dxa"/>
            <w:vAlign w:val="bottom"/>
            <w:gridSpan w:val="2"/>
          </w:tcPr>
          <w:p>
            <w:pPr>
              <w:jc w:val="right"/>
              <w:ind w:right="260"/>
              <w:spacing w:after="0" w:line="86" w:lineRule="exact"/>
              <w:rPr>
                <w:sz w:val="20"/>
                <w:szCs w:val="20"/>
                <w:color w:val="auto"/>
              </w:rPr>
            </w:pPr>
            <w:r>
              <w:rPr>
                <w:rFonts w:ascii="Times New Roman" w:cs="Times New Roman" w:eastAsia="Times New Roman" w:hAnsi="Times New Roman"/>
                <w:sz w:val="8"/>
                <w:szCs w:val="8"/>
                <w:b w:val="1"/>
                <w:bCs w:val="1"/>
                <w:color w:val="auto"/>
              </w:rPr>
              <w:t>Deficit</w:t>
            </w:r>
          </w:p>
        </w:tc>
        <w:tc>
          <w:tcPr>
            <w:tcW w:w="60" w:type="dxa"/>
            <w:vAlign w:val="bottom"/>
          </w:tcPr>
          <w:p>
            <w:pPr>
              <w:spacing w:after="0"/>
              <w:rPr>
                <w:sz w:val="7"/>
                <w:szCs w:val="7"/>
                <w:color w:val="auto"/>
              </w:rPr>
            </w:pPr>
          </w:p>
        </w:tc>
        <w:tc>
          <w:tcPr>
            <w:tcW w:w="680" w:type="dxa"/>
            <w:vAlign w:val="bottom"/>
            <w:gridSpan w:val="2"/>
          </w:tcPr>
          <w:p>
            <w:pPr>
              <w:jc w:val="center"/>
              <w:ind w:right="160"/>
              <w:spacing w:after="0" w:line="86" w:lineRule="exact"/>
              <w:rPr>
                <w:sz w:val="20"/>
                <w:szCs w:val="20"/>
                <w:color w:val="auto"/>
              </w:rPr>
            </w:pPr>
            <w:r>
              <w:rPr>
                <w:rFonts w:ascii="Times New Roman" w:cs="Times New Roman" w:eastAsia="Times New Roman" w:hAnsi="Times New Roman"/>
                <w:sz w:val="8"/>
                <w:szCs w:val="8"/>
                <w:b w:val="1"/>
                <w:bCs w:val="1"/>
                <w:color w:val="auto"/>
              </w:rPr>
              <w:t>Deficit</w:t>
            </w:r>
          </w:p>
        </w:tc>
        <w:tc>
          <w:tcPr>
            <w:tcW w:w="0" w:type="dxa"/>
            <w:vAlign w:val="bottom"/>
          </w:tcPr>
          <w:p>
            <w:pPr>
              <w:spacing w:after="0"/>
              <w:rPr>
                <w:sz w:val="1"/>
                <w:szCs w:val="1"/>
                <w:color w:val="auto"/>
              </w:rPr>
            </w:pPr>
          </w:p>
        </w:tc>
      </w:tr>
      <w:tr>
        <w:trPr>
          <w:trHeight w:val="74"/>
        </w:trPr>
        <w:tc>
          <w:tcPr>
            <w:tcW w:w="760" w:type="dxa"/>
            <w:vAlign w:val="bottom"/>
            <w:shd w:val="clear" w:color="auto" w:fill="CFF0FC"/>
          </w:tcPr>
          <w:p>
            <w:pPr>
              <w:spacing w:after="0" w:line="74" w:lineRule="exact"/>
              <w:rPr>
                <w:sz w:val="20"/>
                <w:szCs w:val="20"/>
                <w:color w:val="auto"/>
              </w:rPr>
            </w:pPr>
            <w:r>
              <w:rPr>
                <w:rFonts w:ascii="Times New Roman" w:cs="Times New Roman" w:eastAsia="Times New Roman" w:hAnsi="Times New Roman"/>
                <w:sz w:val="8"/>
                <w:szCs w:val="8"/>
                <w:b w:val="1"/>
                <w:bCs w:val="1"/>
                <w:color w:val="auto"/>
              </w:rPr>
              <w:t>BALANCES -</w:t>
            </w: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65,213,004</w:t>
            </w:r>
          </w:p>
        </w:tc>
        <w:tc>
          <w:tcPr>
            <w:tcW w:w="120" w:type="dxa"/>
            <w:vAlign w:val="bottom"/>
            <w:shd w:val="clear" w:color="auto" w:fill="CFF0FC"/>
          </w:tcPr>
          <w:p>
            <w:pPr>
              <w:spacing w:after="0"/>
              <w:rPr>
                <w:sz w:val="6"/>
                <w:szCs w:val="6"/>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64,738</w:t>
            </w:r>
          </w:p>
        </w:tc>
        <w:tc>
          <w:tcPr>
            <w:tcW w:w="120" w:type="dxa"/>
            <w:vAlign w:val="bottom"/>
            <w:shd w:val="clear" w:color="auto" w:fill="CFF0FC"/>
          </w:tcPr>
          <w:p>
            <w:pPr>
              <w:spacing w:after="0"/>
              <w:rPr>
                <w:sz w:val="6"/>
                <w:szCs w:val="6"/>
                <w:color w:val="auto"/>
              </w:rPr>
            </w:pP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25,210,789</w:t>
            </w:r>
          </w:p>
        </w:tc>
        <w:tc>
          <w:tcPr>
            <w:tcW w:w="120" w:type="dxa"/>
            <w:vAlign w:val="bottom"/>
            <w:shd w:val="clear" w:color="auto" w:fill="CFF0FC"/>
          </w:tcPr>
          <w:p>
            <w:pPr>
              <w:spacing w:after="0"/>
              <w:rPr>
                <w:sz w:val="6"/>
                <w:szCs w:val="6"/>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35,379</w:t>
            </w:r>
          </w:p>
        </w:tc>
        <w:tc>
          <w:tcPr>
            <w:tcW w:w="120" w:type="dxa"/>
            <w:vAlign w:val="bottom"/>
            <w:shd w:val="clear" w:color="auto" w:fill="CFF0FC"/>
          </w:tcPr>
          <w:p>
            <w:pPr>
              <w:spacing w:after="0"/>
              <w:rPr>
                <w:sz w:val="6"/>
                <w:szCs w:val="6"/>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238,960,033</w:t>
            </w:r>
          </w:p>
        </w:tc>
        <w:tc>
          <w:tcPr>
            <w:tcW w:w="120" w:type="dxa"/>
            <w:vAlign w:val="bottom"/>
            <w:shd w:val="clear" w:color="auto" w:fill="CFF0FC"/>
          </w:tcPr>
          <w:p>
            <w:pPr>
              <w:spacing w:after="0"/>
              <w:rPr>
                <w:sz w:val="6"/>
                <w:szCs w:val="6"/>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174,456</w:t>
            </w:r>
          </w:p>
        </w:tc>
        <w:tc>
          <w:tcPr>
            <w:tcW w:w="120" w:type="dxa"/>
            <w:vAlign w:val="bottom"/>
            <w:shd w:val="clear" w:color="auto" w:fill="CFF0FC"/>
          </w:tcPr>
          <w:p>
            <w:pPr>
              <w:spacing w:after="0"/>
              <w:rPr>
                <w:sz w:val="6"/>
                <w:szCs w:val="6"/>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24,207,788</w:t>
            </w:r>
          </w:p>
        </w:tc>
        <w:tc>
          <w:tcPr>
            <w:tcW w:w="100" w:type="dxa"/>
            <w:vAlign w:val="bottom"/>
            <w:shd w:val="clear" w:color="auto" w:fill="CFF0FC"/>
          </w:tcPr>
          <w:p>
            <w:pPr>
              <w:spacing w:after="0"/>
              <w:rPr>
                <w:sz w:val="6"/>
                <w:szCs w:val="6"/>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15,686</w:t>
            </w:r>
          </w:p>
        </w:tc>
        <w:tc>
          <w:tcPr>
            <w:tcW w:w="100" w:type="dxa"/>
            <w:vAlign w:val="bottom"/>
            <w:shd w:val="clear" w:color="auto" w:fill="CFF0FC"/>
          </w:tcPr>
          <w:p>
            <w:pPr>
              <w:spacing w:after="0"/>
              <w:rPr>
                <w:sz w:val="6"/>
                <w:szCs w:val="6"/>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6"/>
                <w:szCs w:val="6"/>
                <w:color w:val="auto"/>
              </w:rPr>
            </w:pPr>
          </w:p>
        </w:tc>
        <w:tc>
          <w:tcPr>
            <w:tcW w:w="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5,086,517</w:t>
            </w:r>
          </w:p>
        </w:tc>
        <w:tc>
          <w:tcPr>
            <w:tcW w:w="100" w:type="dxa"/>
            <w:vAlign w:val="bottom"/>
            <w:shd w:val="clear" w:color="auto" w:fill="CFF0FC"/>
          </w:tcPr>
          <w:p>
            <w:pPr>
              <w:spacing w:after="0"/>
              <w:rPr>
                <w:sz w:val="6"/>
                <w:szCs w:val="6"/>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shd w:val="clear" w:color="auto" w:fill="CFF0FC"/>
          </w:tcPr>
          <w:p>
            <w:pPr>
              <w:spacing w:after="0"/>
              <w:rPr>
                <w:sz w:val="6"/>
                <w:szCs w:val="6"/>
                <w:color w:val="auto"/>
              </w:rPr>
            </w:pPr>
          </w:p>
        </w:tc>
        <w:tc>
          <w:tcPr>
            <w:tcW w:w="6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8"/>
                <w:szCs w:val="8"/>
                <w:color w:val="auto"/>
                <w:w w:val="98"/>
              </w:rPr>
              <w:t>$</w:t>
            </w:r>
          </w:p>
        </w:tc>
        <w:tc>
          <w:tcPr>
            <w:tcW w:w="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2,907</w:t>
            </w:r>
          </w:p>
        </w:tc>
        <w:tc>
          <w:tcPr>
            <w:tcW w:w="100" w:type="dxa"/>
            <w:vAlign w:val="bottom"/>
            <w:shd w:val="clear" w:color="auto" w:fill="CFF0FC"/>
          </w:tcPr>
          <w:p>
            <w:pPr>
              <w:spacing w:after="0"/>
              <w:rPr>
                <w:sz w:val="6"/>
                <w:szCs w:val="6"/>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6"/>
                <w:szCs w:val="6"/>
                <w:color w:val="auto"/>
              </w:rPr>
            </w:pPr>
          </w:p>
        </w:tc>
        <w:tc>
          <w:tcPr>
            <w:tcW w:w="10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(130,414)</w:t>
            </w:r>
          </w:p>
        </w:tc>
        <w:tc>
          <w:tcPr>
            <w:tcW w:w="100" w:type="dxa"/>
            <w:vAlign w:val="bottom"/>
            <w:shd w:val="clear" w:color="auto" w:fill="CFF0FC"/>
          </w:tcPr>
          <w:p>
            <w:pPr>
              <w:spacing w:after="0"/>
              <w:rPr>
                <w:sz w:val="6"/>
                <w:szCs w:val="6"/>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(127,502)</w:t>
            </w: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760" w:type="dxa"/>
            <w:vAlign w:val="bottom"/>
            <w:tcBorders>
              <w:bottom w:val="single" w:sz="8" w:color="CFF0FC"/>
            </w:tcBorders>
            <w:shd w:val="clear" w:color="auto" w:fill="CFF0FC"/>
          </w:tcPr>
          <w:p>
            <w:pPr>
              <w:ind w:left="60"/>
              <w:spacing w:after="0" w:line="65" w:lineRule="exact"/>
              <w:rPr>
                <w:sz w:val="20"/>
                <w:szCs w:val="20"/>
                <w:color w:val="auto"/>
              </w:rPr>
            </w:pPr>
            <w:r>
              <w:rPr>
                <w:rFonts w:ascii="Times New Roman" w:cs="Times New Roman" w:eastAsia="Times New Roman" w:hAnsi="Times New Roman"/>
                <w:sz w:val="7"/>
                <w:szCs w:val="7"/>
                <w:b w:val="1"/>
                <w:bCs w:val="1"/>
                <w:color w:val="auto"/>
              </w:rPr>
              <w:t>December 31, 2023</w:t>
            </w:r>
          </w:p>
        </w:tc>
        <w:tc>
          <w:tcPr>
            <w:tcW w:w="56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40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38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vMerge w:val="continue"/>
            <w:shd w:val="clear" w:color="auto" w:fill="CFF0FC"/>
          </w:tcPr>
          <w:p>
            <w:pPr>
              <w:spacing w:after="0"/>
              <w:rPr>
                <w:sz w:val="9"/>
                <w:szCs w:val="9"/>
                <w:color w:val="auto"/>
              </w:rPr>
            </w:pPr>
          </w:p>
        </w:tc>
        <w:tc>
          <w:tcPr>
            <w:tcW w:w="40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auto"/>
            </w:tcBorders>
            <w:vMerge w:val="continue"/>
            <w:shd w:val="clear" w:color="auto" w:fill="CFF0FC"/>
          </w:tcPr>
          <w:p>
            <w:pPr>
              <w:spacing w:after="0"/>
              <w:rPr>
                <w:sz w:val="9"/>
                <w:szCs w:val="9"/>
                <w:color w:val="auto"/>
              </w:rPr>
            </w:pPr>
          </w:p>
        </w:tc>
        <w:tc>
          <w:tcPr>
            <w:tcW w:w="3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vMerge w:val="continue"/>
            <w:shd w:val="clear" w:color="auto" w:fill="CFF0FC"/>
          </w:tcPr>
          <w:p>
            <w:pPr>
              <w:spacing w:after="0"/>
              <w:rPr>
                <w:sz w:val="9"/>
                <w:szCs w:val="9"/>
                <w:color w:val="auto"/>
              </w:rPr>
            </w:pPr>
          </w:p>
        </w:tc>
        <w:tc>
          <w:tcPr>
            <w:tcW w:w="360" w:type="dxa"/>
            <w:vAlign w:val="bottom"/>
            <w:tcBorders>
              <w:bottom w:val="single" w:sz="8" w:color="auto"/>
            </w:tcBorders>
            <w:vMerge w:val="continue"/>
            <w:shd w:val="clear" w:color="auto" w:fill="CFF0FC"/>
          </w:tcPr>
          <w:p>
            <w:pPr>
              <w:spacing w:after="0"/>
              <w:rPr>
                <w:sz w:val="9"/>
                <w:szCs w:val="9"/>
                <w:color w:val="auto"/>
              </w:rPr>
            </w:pPr>
          </w:p>
        </w:tc>
        <w:tc>
          <w:tcPr>
            <w:tcW w:w="140" w:type="dxa"/>
            <w:vAlign w:val="bottom"/>
            <w:tcBorders>
              <w:bottom w:val="single" w:sz="8" w:color="CFF0FC"/>
              <w:right w:val="single" w:sz="8" w:color="auto"/>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36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36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62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vMerge w:val="continue"/>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5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line="57" w:lineRule="exact"/>
              <w:rPr>
                <w:sz w:val="20"/>
                <w:szCs w:val="20"/>
                <w:color w:val="auto"/>
              </w:rPr>
            </w:pPr>
            <w:r>
              <w:rPr>
                <w:rFonts w:ascii="Times New Roman" w:cs="Times New Roman" w:eastAsia="Times New Roman" w:hAnsi="Times New Roman"/>
                <w:sz w:val="6"/>
                <w:szCs w:val="6"/>
                <w:color w:val="auto"/>
              </w:rPr>
              <w:t>Issuance of Series C-1</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preferred stock for</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cash, net issuance</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costs of $2</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55,984</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38</w:t>
            </w: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5"/>
        </w:trPr>
        <w:tc>
          <w:tcPr>
            <w:tcW w:w="760" w:type="dxa"/>
            <w:vAlign w:val="bottom"/>
            <w:shd w:val="clear" w:color="auto" w:fill="CFF0FC"/>
          </w:tcPr>
          <w:p>
            <w:pPr>
              <w:spacing w:after="0" w:line="86" w:lineRule="exact"/>
              <w:rPr>
                <w:sz w:val="20"/>
                <w:szCs w:val="20"/>
                <w:color w:val="auto"/>
              </w:rPr>
            </w:pPr>
            <w:r>
              <w:rPr>
                <w:rFonts w:ascii="Times New Roman" w:cs="Times New Roman" w:eastAsia="Times New Roman" w:hAnsi="Times New Roman"/>
                <w:sz w:val="8"/>
                <w:szCs w:val="8"/>
                <w:color w:val="auto"/>
              </w:rPr>
              <w:t>Stock options</w:t>
            </w: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4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exercised</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shd w:val="clear" w:color="auto" w:fill="CFF0FC"/>
          </w:tcPr>
          <w:p>
            <w:pPr>
              <w:spacing w:after="0"/>
              <w:rPr>
                <w:sz w:val="9"/>
                <w:szCs w:val="9"/>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239,922</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51</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51</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Stock-based</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2,471</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shd w:val="clear" w:color="auto" w:fill="CFF0FC"/>
          </w:tcPr>
          <w:p>
            <w:pPr>
              <w:spacing w:after="0" w:line="86" w:lineRule="exact"/>
              <w:rPr>
                <w:sz w:val="20"/>
                <w:szCs w:val="20"/>
                <w:color w:val="auto"/>
              </w:rPr>
            </w:pPr>
            <w:r>
              <w:rPr>
                <w:rFonts w:ascii="Times New Roman" w:cs="Times New Roman" w:eastAsia="Times New Roman" w:hAnsi="Times New Roman"/>
                <w:sz w:val="8"/>
                <w:szCs w:val="8"/>
                <w:color w:val="auto"/>
              </w:rPr>
              <w:t>Other comprehensive</w:t>
            </w: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4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income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202</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202</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76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(49,744)</w:t>
            </w:r>
          </w:p>
        </w:tc>
        <w:tc>
          <w:tcPr>
            <w:tcW w:w="60" w:type="dxa"/>
            <w:vAlign w:val="bottom"/>
          </w:tcPr>
          <w:p>
            <w:pPr>
              <w:spacing w:after="0"/>
              <w:rPr>
                <w:sz w:val="8"/>
                <w:szCs w:val="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(49,744)</w:t>
            </w:r>
          </w:p>
        </w:tc>
        <w:tc>
          <w:tcPr>
            <w:tcW w:w="0" w:type="dxa"/>
            <w:vAlign w:val="bottom"/>
          </w:tcPr>
          <w:p>
            <w:pPr>
              <w:spacing w:after="0"/>
              <w:rPr>
                <w:sz w:val="1"/>
                <w:szCs w:val="1"/>
                <w:color w:val="auto"/>
              </w:rPr>
            </w:pPr>
          </w:p>
        </w:tc>
      </w:tr>
      <w:tr>
        <w:trPr>
          <w:trHeight w:val="63"/>
        </w:trPr>
        <w:tc>
          <w:tcPr>
            <w:tcW w:w="760" w:type="dxa"/>
            <w:vAlign w:val="bottom"/>
            <w:tcBorders>
              <w:top w:val="single" w:sz="8" w:color="CFF0FC"/>
            </w:tcBorders>
            <w:shd w:val="clear" w:color="auto" w:fill="CFF0FC"/>
          </w:tcPr>
          <w:p>
            <w:pPr>
              <w:spacing w:after="0" w:line="64" w:lineRule="exact"/>
              <w:rPr>
                <w:sz w:val="20"/>
                <w:szCs w:val="20"/>
                <w:color w:val="auto"/>
              </w:rPr>
            </w:pPr>
            <w:r>
              <w:rPr>
                <w:rFonts w:ascii="Times New Roman" w:cs="Times New Roman" w:eastAsia="Times New Roman" w:hAnsi="Times New Roman"/>
                <w:sz w:val="7"/>
                <w:szCs w:val="7"/>
                <w:b w:val="1"/>
                <w:bCs w:val="1"/>
                <w:color w:val="auto"/>
              </w:rPr>
              <w:t>BALANCES -</w:t>
            </w:r>
          </w:p>
        </w:tc>
        <w:tc>
          <w:tcPr>
            <w:tcW w:w="5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65,213,004</w:t>
            </w:r>
          </w:p>
        </w:tc>
        <w:tc>
          <w:tcPr>
            <w:tcW w:w="12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64,738</w:t>
            </w:r>
          </w:p>
        </w:tc>
        <w:tc>
          <w:tcPr>
            <w:tcW w:w="120" w:type="dxa"/>
            <w:vAlign w:val="bottom"/>
            <w:tcBorders>
              <w:top w:val="single" w:sz="8" w:color="CFF0FC"/>
            </w:tcBorders>
            <w:shd w:val="clear" w:color="auto" w:fill="CFF0FC"/>
          </w:tcPr>
          <w:p>
            <w:pPr>
              <w:spacing w:after="0"/>
              <w:rPr>
                <w:sz w:val="5"/>
                <w:szCs w:val="5"/>
                <w:color w:val="auto"/>
              </w:rPr>
            </w:pPr>
          </w:p>
        </w:tc>
        <w:tc>
          <w:tcPr>
            <w:tcW w:w="5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25,210,789</w:t>
            </w:r>
          </w:p>
        </w:tc>
        <w:tc>
          <w:tcPr>
            <w:tcW w:w="12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35,379</w:t>
            </w:r>
          </w:p>
        </w:tc>
        <w:tc>
          <w:tcPr>
            <w:tcW w:w="120" w:type="dxa"/>
            <w:vAlign w:val="bottom"/>
            <w:tcBorders>
              <w:top w:val="single" w:sz="8" w:color="CFF0FC"/>
            </w:tcBorders>
            <w:shd w:val="clear" w:color="auto" w:fill="CFF0FC"/>
          </w:tcPr>
          <w:p>
            <w:pPr>
              <w:spacing w:after="0"/>
              <w:rPr>
                <w:sz w:val="5"/>
                <w:szCs w:val="5"/>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239,016,017</w:t>
            </w:r>
          </w:p>
        </w:tc>
        <w:tc>
          <w:tcPr>
            <w:tcW w:w="12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174,494</w:t>
            </w:r>
          </w:p>
        </w:tc>
        <w:tc>
          <w:tcPr>
            <w:tcW w:w="120" w:type="dxa"/>
            <w:vAlign w:val="bottom"/>
            <w:tcBorders>
              <w:top w:val="single" w:sz="8" w:color="CFF0FC"/>
            </w:tcBorders>
            <w:shd w:val="clear" w:color="auto" w:fill="CFF0FC"/>
          </w:tcPr>
          <w:p>
            <w:pPr>
              <w:spacing w:after="0"/>
              <w:rPr>
                <w:sz w:val="5"/>
                <w:szCs w:val="5"/>
                <w:color w:val="auto"/>
              </w:rPr>
            </w:pP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24,207,788</w:t>
            </w:r>
          </w:p>
        </w:tc>
        <w:tc>
          <w:tcPr>
            <w:tcW w:w="100" w:type="dxa"/>
            <w:vAlign w:val="bottom"/>
            <w:tcBorders>
              <w:top w:val="single" w:sz="8" w:color="CFF0FC"/>
            </w:tcBorders>
            <w:shd w:val="clear" w:color="auto" w:fill="CFF0FC"/>
          </w:tcPr>
          <w:p>
            <w:pPr>
              <w:spacing w:after="0"/>
              <w:rPr>
                <w:sz w:val="5"/>
                <w:szCs w:val="5"/>
                <w:color w:val="auto"/>
              </w:rPr>
            </w:pPr>
          </w:p>
        </w:tc>
        <w:tc>
          <w:tcPr>
            <w:tcW w:w="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15,686</w:t>
            </w:r>
          </w:p>
        </w:tc>
        <w:tc>
          <w:tcPr>
            <w:tcW w:w="10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Borders>
              <w:top w:val="single" w:sz="8" w:color="CFF0FC"/>
            </w:tcBorders>
            <w:shd w:val="clear" w:color="auto" w:fill="CFF0FC"/>
          </w:tcPr>
          <w:p>
            <w:pPr>
              <w:spacing w:after="0"/>
              <w:rPr>
                <w:sz w:val="5"/>
                <w:szCs w:val="5"/>
                <w:color w:val="auto"/>
              </w:rPr>
            </w:pPr>
          </w:p>
        </w:tc>
        <w:tc>
          <w:tcPr>
            <w:tcW w:w="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top w:val="single" w:sz="8" w:color="CFF0FC"/>
              <w:right w:val="single" w:sz="8" w:color="auto"/>
            </w:tcBorders>
            <w:shd w:val="clear" w:color="auto" w:fill="CFF0FC"/>
          </w:tcPr>
          <w:p>
            <w:pPr>
              <w:spacing w:after="0"/>
              <w:rPr>
                <w:sz w:val="5"/>
                <w:szCs w:val="5"/>
                <w:color w:val="auto"/>
              </w:rPr>
            </w:pPr>
          </w:p>
        </w:tc>
        <w:tc>
          <w:tcPr>
            <w:tcW w:w="80" w:type="dxa"/>
            <w:vAlign w:val="bottom"/>
            <w:tcBorders>
              <w:top w:val="single" w:sz="8" w:color="CFF0FC"/>
            </w:tcBorders>
            <w:shd w:val="clear" w:color="auto" w:fill="CFF0FC"/>
          </w:tcPr>
          <w:p>
            <w:pPr>
              <w:spacing w:after="0"/>
              <w:rPr>
                <w:sz w:val="5"/>
                <w:szCs w:val="5"/>
                <w:color w:val="auto"/>
              </w:rPr>
            </w:pPr>
          </w:p>
        </w:tc>
        <w:tc>
          <w:tcPr>
            <w:tcW w:w="5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5,326,439</w:t>
            </w: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w:t>
            </w: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auto"/>
            </w:tcBorders>
            <w:vMerge w:val="restart"/>
            <w:shd w:val="clear" w:color="auto" w:fill="CFF0FC"/>
          </w:tcPr>
          <w:p>
            <w:pPr>
              <w:spacing w:after="0"/>
              <w:rPr>
                <w:sz w:val="20"/>
                <w:szCs w:val="20"/>
                <w:color w:val="auto"/>
              </w:rPr>
            </w:pPr>
            <w:r>
              <w:rPr>
                <w:rFonts w:ascii="Times New Roman" w:cs="Times New Roman" w:eastAsia="Times New Roman" w:hAnsi="Times New Roman"/>
                <w:sz w:val="8"/>
                <w:szCs w:val="8"/>
                <w:color w:val="auto"/>
                <w:w w:val="98"/>
              </w:rPr>
              <w:t>$</w:t>
            </w:r>
          </w:p>
        </w:tc>
        <w:tc>
          <w:tcPr>
            <w:tcW w:w="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5,429</w:t>
            </w: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202</w:t>
            </w:r>
          </w:p>
        </w:tc>
        <w:tc>
          <w:tcPr>
            <w:tcW w:w="100" w:type="dxa"/>
            <w:vAlign w:val="bottom"/>
            <w:tcBorders>
              <w:top w:val="single" w:sz="8" w:color="CFF0FC"/>
            </w:tcBorders>
            <w:shd w:val="clear" w:color="auto" w:fill="CFF0FC"/>
          </w:tcPr>
          <w:p>
            <w:pPr>
              <w:spacing w:after="0"/>
              <w:rPr>
                <w:sz w:val="5"/>
                <w:szCs w:val="5"/>
                <w:color w:val="auto"/>
              </w:rPr>
            </w:pPr>
          </w:p>
        </w:tc>
        <w:tc>
          <w:tcPr>
            <w:tcW w:w="10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4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(180,158)</w:t>
            </w:r>
          </w:p>
        </w:tc>
        <w:tc>
          <w:tcPr>
            <w:tcW w:w="100" w:type="dxa"/>
            <w:vAlign w:val="bottom"/>
            <w:tcBorders>
              <w:top w:val="single" w:sz="8" w:color="CFF0FC"/>
            </w:tcBorders>
            <w:shd w:val="clear" w:color="auto" w:fill="CFF0FC"/>
          </w:tcPr>
          <w:p>
            <w:pPr>
              <w:spacing w:after="0"/>
              <w:rPr>
                <w:sz w:val="5"/>
                <w:szCs w:val="5"/>
                <w:color w:val="auto"/>
              </w:rPr>
            </w:pPr>
          </w:p>
        </w:tc>
        <w:tc>
          <w:tcPr>
            <w:tcW w:w="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5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(174,522)</w:t>
            </w:r>
          </w:p>
        </w:tc>
        <w:tc>
          <w:tcPr>
            <w:tcW w:w="100" w:type="dxa"/>
            <w:vAlign w:val="bottom"/>
            <w:tcBorders>
              <w:top w:val="single" w:sz="8" w:color="CFF0FC"/>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114"/>
        </w:trPr>
        <w:tc>
          <w:tcPr>
            <w:tcW w:w="760" w:type="dxa"/>
            <w:vAlign w:val="bottom"/>
            <w:tcBorders>
              <w:bottom w:val="single" w:sz="8" w:color="CFF0FC"/>
            </w:tcBorders>
            <w:shd w:val="clear" w:color="auto" w:fill="CFF0FC"/>
          </w:tcPr>
          <w:p>
            <w:pPr>
              <w:ind w:left="60"/>
              <w:spacing w:after="0" w:line="65" w:lineRule="exact"/>
              <w:rPr>
                <w:sz w:val="20"/>
                <w:szCs w:val="20"/>
                <w:color w:val="auto"/>
              </w:rPr>
            </w:pPr>
            <w:r>
              <w:rPr>
                <w:rFonts w:ascii="Times New Roman" w:cs="Times New Roman" w:eastAsia="Times New Roman" w:hAnsi="Times New Roman"/>
                <w:sz w:val="7"/>
                <w:szCs w:val="7"/>
                <w:b w:val="1"/>
                <w:bCs w:val="1"/>
                <w:color w:val="auto"/>
              </w:rPr>
              <w:t>December 31, 2024</w:t>
            </w:r>
          </w:p>
        </w:tc>
        <w:tc>
          <w:tcPr>
            <w:tcW w:w="56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40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2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38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vMerge w:val="continue"/>
            <w:shd w:val="clear" w:color="auto" w:fill="CFF0FC"/>
          </w:tcPr>
          <w:p>
            <w:pPr>
              <w:spacing w:after="0"/>
              <w:rPr>
                <w:sz w:val="9"/>
                <w:szCs w:val="9"/>
                <w:color w:val="auto"/>
              </w:rPr>
            </w:pPr>
          </w:p>
        </w:tc>
        <w:tc>
          <w:tcPr>
            <w:tcW w:w="400" w:type="dxa"/>
            <w:vAlign w:val="bottom"/>
            <w:tcBorders>
              <w:bottom w:val="single" w:sz="8" w:color="auto"/>
            </w:tcBorders>
            <w:vMerge w:val="continue"/>
            <w:shd w:val="clear" w:color="auto" w:fill="CFF0FC"/>
          </w:tcPr>
          <w:p>
            <w:pPr>
              <w:spacing w:after="0"/>
              <w:rPr>
                <w:sz w:val="9"/>
                <w:szCs w:val="9"/>
                <w:color w:val="auto"/>
              </w:rPr>
            </w:pPr>
          </w:p>
        </w:tc>
        <w:tc>
          <w:tcPr>
            <w:tcW w:w="120" w:type="dxa"/>
            <w:vAlign w:val="bottom"/>
            <w:tcBorders>
              <w:bottom w:val="single" w:sz="8" w:color="CFF0FC"/>
            </w:tcBorders>
            <w:shd w:val="clear" w:color="auto" w:fill="CFF0FC"/>
          </w:tcPr>
          <w:p>
            <w:pPr>
              <w:spacing w:after="0"/>
              <w:rPr>
                <w:sz w:val="9"/>
                <w:szCs w:val="9"/>
                <w:color w:val="auto"/>
              </w:rPr>
            </w:pPr>
          </w:p>
        </w:tc>
        <w:tc>
          <w:tcPr>
            <w:tcW w:w="5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80" w:type="dxa"/>
            <w:vAlign w:val="bottom"/>
            <w:tcBorders>
              <w:bottom w:val="single" w:sz="8" w:color="auto"/>
            </w:tcBorders>
            <w:vMerge w:val="continue"/>
            <w:shd w:val="clear" w:color="auto" w:fill="CFF0FC"/>
          </w:tcPr>
          <w:p>
            <w:pPr>
              <w:spacing w:after="0"/>
              <w:rPr>
                <w:sz w:val="9"/>
                <w:szCs w:val="9"/>
                <w:color w:val="auto"/>
              </w:rPr>
            </w:pPr>
          </w:p>
        </w:tc>
        <w:tc>
          <w:tcPr>
            <w:tcW w:w="3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40" w:type="dxa"/>
            <w:vAlign w:val="bottom"/>
            <w:tcBorders>
              <w:bottom w:val="single" w:sz="8" w:color="auto"/>
            </w:tcBorders>
            <w:vMerge w:val="continue"/>
            <w:shd w:val="clear" w:color="auto" w:fill="CFF0FC"/>
          </w:tcPr>
          <w:p>
            <w:pPr>
              <w:spacing w:after="0"/>
              <w:rPr>
                <w:sz w:val="9"/>
                <w:szCs w:val="9"/>
                <w:color w:val="auto"/>
              </w:rPr>
            </w:pPr>
          </w:p>
        </w:tc>
        <w:tc>
          <w:tcPr>
            <w:tcW w:w="360" w:type="dxa"/>
            <w:vAlign w:val="bottom"/>
            <w:tcBorders>
              <w:bottom w:val="single" w:sz="8" w:color="auto"/>
            </w:tcBorders>
            <w:vMerge w:val="continue"/>
            <w:shd w:val="clear" w:color="auto" w:fill="CFF0FC"/>
          </w:tcPr>
          <w:p>
            <w:pPr>
              <w:spacing w:after="0"/>
              <w:rPr>
                <w:sz w:val="9"/>
                <w:szCs w:val="9"/>
                <w:color w:val="auto"/>
              </w:rPr>
            </w:pPr>
          </w:p>
        </w:tc>
        <w:tc>
          <w:tcPr>
            <w:tcW w:w="140" w:type="dxa"/>
            <w:vAlign w:val="bottom"/>
            <w:tcBorders>
              <w:bottom w:val="single" w:sz="8" w:color="CFF0FC"/>
              <w:right w:val="single" w:sz="8" w:color="auto"/>
            </w:tcBorders>
            <w:shd w:val="clear" w:color="auto" w:fill="CFF0FC"/>
          </w:tcPr>
          <w:p>
            <w:pPr>
              <w:spacing w:after="0"/>
              <w:rPr>
                <w:sz w:val="9"/>
                <w:szCs w:val="9"/>
                <w:color w:val="auto"/>
              </w:rPr>
            </w:pPr>
          </w:p>
        </w:tc>
        <w:tc>
          <w:tcPr>
            <w:tcW w:w="80" w:type="dxa"/>
            <w:vAlign w:val="bottom"/>
            <w:tcBorders>
              <w:bottom w:val="single" w:sz="8" w:color="CFF0FC"/>
            </w:tcBorders>
            <w:shd w:val="clear" w:color="auto" w:fill="CFF0FC"/>
          </w:tcPr>
          <w:p>
            <w:pPr>
              <w:spacing w:after="0"/>
              <w:rPr>
                <w:sz w:val="9"/>
                <w:szCs w:val="9"/>
                <w:color w:val="auto"/>
              </w:rPr>
            </w:pPr>
          </w:p>
        </w:tc>
        <w:tc>
          <w:tcPr>
            <w:tcW w:w="54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36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36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62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100" w:type="dxa"/>
            <w:vAlign w:val="bottom"/>
            <w:tcBorders>
              <w:bottom w:val="single" w:sz="8" w:color="auto"/>
            </w:tcBorders>
            <w:vMerge w:val="continue"/>
            <w:shd w:val="clear" w:color="auto" w:fill="CFF0FC"/>
          </w:tcPr>
          <w:p>
            <w:pPr>
              <w:spacing w:after="0"/>
              <w:rPr>
                <w:sz w:val="9"/>
                <w:szCs w:val="9"/>
                <w:color w:val="auto"/>
              </w:rPr>
            </w:pPr>
          </w:p>
        </w:tc>
        <w:tc>
          <w:tcPr>
            <w:tcW w:w="44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60" w:type="dxa"/>
            <w:vAlign w:val="bottom"/>
            <w:tcBorders>
              <w:bottom w:val="single" w:sz="8" w:color="auto"/>
            </w:tcBorders>
            <w:vMerge w:val="continue"/>
            <w:shd w:val="clear" w:color="auto" w:fill="CFF0FC"/>
          </w:tcPr>
          <w:p>
            <w:pPr>
              <w:spacing w:after="0"/>
              <w:rPr>
                <w:sz w:val="9"/>
                <w:szCs w:val="9"/>
                <w:color w:val="auto"/>
              </w:rPr>
            </w:pPr>
          </w:p>
        </w:tc>
        <w:tc>
          <w:tcPr>
            <w:tcW w:w="580" w:type="dxa"/>
            <w:vAlign w:val="bottom"/>
            <w:tcBorders>
              <w:bottom w:val="single" w:sz="8" w:color="auto"/>
            </w:tcBorders>
            <w:vMerge w:val="continue"/>
            <w:shd w:val="clear" w:color="auto" w:fill="CFF0FC"/>
          </w:tcPr>
          <w:p>
            <w:pPr>
              <w:spacing w:after="0"/>
              <w:rPr>
                <w:sz w:val="9"/>
                <w:szCs w:val="9"/>
                <w:color w:val="auto"/>
              </w:rPr>
            </w:pPr>
          </w:p>
        </w:tc>
        <w:tc>
          <w:tcPr>
            <w:tcW w:w="100" w:type="dxa"/>
            <w:vAlign w:val="bottom"/>
            <w:tcBorders>
              <w:bottom w:val="single" w:sz="8" w:color="CFF0FC"/>
            </w:tcBorders>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760" w:type="dxa"/>
            <w:vAlign w:val="bottom"/>
          </w:tcPr>
          <w:p>
            <w:pPr>
              <w:spacing w:after="0" w:line="57" w:lineRule="exact"/>
              <w:rPr>
                <w:sz w:val="20"/>
                <w:szCs w:val="20"/>
                <w:color w:val="auto"/>
              </w:rPr>
            </w:pPr>
            <w:r>
              <w:rPr>
                <w:rFonts w:ascii="Times New Roman" w:cs="Times New Roman" w:eastAsia="Times New Roman" w:hAnsi="Times New Roman"/>
                <w:sz w:val="6"/>
                <w:szCs w:val="6"/>
                <w:color w:val="auto"/>
              </w:rPr>
              <w:t>Conversion of</w:t>
            </w: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preferred stock</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to common stock</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(14,000,000)</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(14,000)</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8"/>
                <w:szCs w:val="8"/>
                <w:color w:val="auto"/>
              </w:rPr>
              <w:t>(3,891,429)</w:t>
            </w:r>
          </w:p>
        </w:tc>
        <w:tc>
          <w:tcPr>
            <w:tcW w:w="80" w:type="dxa"/>
            <w:vAlign w:val="bottom"/>
          </w:tcPr>
          <w:p>
            <w:pPr>
              <w:spacing w:after="0"/>
              <w:rPr>
                <w:sz w:val="9"/>
                <w:szCs w:val="9"/>
                <w:color w:val="auto"/>
              </w:rPr>
            </w:pPr>
          </w:p>
        </w:tc>
        <w:tc>
          <w:tcPr>
            <w:tcW w:w="4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(2,280)</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tcPr>
          <w:p>
            <w:pPr>
              <w:spacing w:after="0"/>
              <w:rPr>
                <w:sz w:val="9"/>
                <w:szCs w:val="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17,891,429</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18</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16,262</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16,280</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shd w:val="clear" w:color="auto" w:fill="CFF0FC"/>
          </w:tcPr>
          <w:p>
            <w:pPr>
              <w:spacing w:after="0" w:line="86" w:lineRule="exact"/>
              <w:rPr>
                <w:sz w:val="20"/>
                <w:szCs w:val="20"/>
                <w:color w:val="auto"/>
              </w:rPr>
            </w:pPr>
            <w:r>
              <w:rPr>
                <w:rFonts w:ascii="Times New Roman" w:cs="Times New Roman" w:eastAsia="Times New Roman" w:hAnsi="Times New Roman"/>
                <w:sz w:val="8"/>
                <w:szCs w:val="8"/>
                <w:color w:val="auto"/>
              </w:rPr>
              <w:t>Issuance of Series D</w:t>
            </w: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4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preferred stock for</w:t>
            </w: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4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cash, net issuance</w:t>
            </w:r>
          </w:p>
        </w:tc>
        <w:tc>
          <w:tcPr>
            <w:tcW w:w="56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3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40" w:type="dxa"/>
            <w:vAlign w:val="bottom"/>
            <w:tcBorders>
              <w:right w:val="single" w:sz="8" w:color="auto"/>
            </w:tcBorders>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5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3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44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costs of $594</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126,036,334</w:t>
            </w: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99,769</w:t>
            </w:r>
          </w:p>
        </w:tc>
        <w:tc>
          <w:tcPr>
            <w:tcW w:w="14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0" w:type="dxa"/>
            <w:vAlign w:val="bottom"/>
          </w:tcPr>
          <w:p>
            <w:pPr>
              <w:spacing w:after="0"/>
              <w:rPr>
                <w:sz w:val="1"/>
                <w:szCs w:val="1"/>
                <w:color w:val="auto"/>
              </w:rPr>
            </w:pPr>
          </w:p>
        </w:tc>
      </w:tr>
      <w:tr>
        <w:trPr>
          <w:trHeight w:val="85"/>
        </w:trPr>
        <w:tc>
          <w:tcPr>
            <w:tcW w:w="76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Conversion of</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preferred stock to</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common stock</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upon closing of</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Series D preferred</w:t>
            </w: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stock financing</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(1,561,875)</w:t>
            </w:r>
          </w:p>
        </w:tc>
        <w:tc>
          <w:tcPr>
            <w:tcW w:w="60" w:type="dxa"/>
            <w:vAlign w:val="bottom"/>
          </w:tcPr>
          <w:p>
            <w:pPr>
              <w:spacing w:after="0"/>
              <w:rPr>
                <w:sz w:val="9"/>
                <w:szCs w:val="9"/>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(1,562)</w:t>
            </w:r>
          </w:p>
        </w:tc>
        <w:tc>
          <w:tcPr>
            <w:tcW w:w="6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(2,287)</w:t>
            </w:r>
          </w:p>
        </w:tc>
        <w:tc>
          <w:tcPr>
            <w:tcW w:w="60" w:type="dxa"/>
            <w:vAlign w:val="bottom"/>
          </w:tcPr>
          <w:p>
            <w:pPr>
              <w:spacing w:after="0"/>
              <w:rPr>
                <w:sz w:val="9"/>
                <w:szCs w:val="9"/>
                <w:color w:val="auto"/>
              </w:rPr>
            </w:pPr>
          </w:p>
        </w:tc>
        <w:tc>
          <w:tcPr>
            <w:tcW w:w="50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(3)</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tcPr>
          <w:p>
            <w:pPr>
              <w:spacing w:after="0"/>
              <w:rPr>
                <w:sz w:val="9"/>
                <w:szCs w:val="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rPr>
              <w:t>312,824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1,565</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1,566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shd w:val="clear" w:color="auto" w:fill="CFF0FC"/>
          </w:tcPr>
          <w:p>
            <w:pPr>
              <w:spacing w:after="0" w:line="86" w:lineRule="exact"/>
              <w:rPr>
                <w:sz w:val="20"/>
                <w:szCs w:val="20"/>
                <w:color w:val="auto"/>
              </w:rPr>
            </w:pPr>
            <w:r>
              <w:rPr>
                <w:rFonts w:ascii="Times New Roman" w:cs="Times New Roman" w:eastAsia="Times New Roman" w:hAnsi="Times New Roman"/>
                <w:sz w:val="8"/>
                <w:szCs w:val="8"/>
                <w:color w:val="auto"/>
              </w:rPr>
              <w:t>Stock options</w:t>
            </w: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4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exercised</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shd w:val="clear" w:color="auto" w:fill="CFF0FC"/>
          </w:tcPr>
          <w:p>
            <w:pPr>
              <w:spacing w:after="0"/>
              <w:rPr>
                <w:sz w:val="9"/>
                <w:szCs w:val="9"/>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83,388</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18</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tcPr>
          <w:p>
            <w:pPr>
              <w:spacing w:after="0" w:line="86" w:lineRule="exact"/>
              <w:rPr>
                <w:sz w:val="20"/>
                <w:szCs w:val="20"/>
                <w:color w:val="auto"/>
              </w:rPr>
            </w:pPr>
            <w:r>
              <w:rPr>
                <w:rFonts w:ascii="Times New Roman" w:cs="Times New Roman" w:eastAsia="Times New Roman" w:hAnsi="Times New Roman"/>
                <w:sz w:val="8"/>
                <w:szCs w:val="8"/>
                <w:color w:val="auto"/>
              </w:rPr>
              <w:t>Stock-based</w:t>
            </w:r>
          </w:p>
        </w:tc>
        <w:tc>
          <w:tcPr>
            <w:tcW w:w="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 w:type="dxa"/>
            <w:vAlign w:val="bottom"/>
          </w:tcPr>
          <w:p>
            <w:pPr>
              <w:ind w:left="60"/>
              <w:spacing w:after="0"/>
              <w:rPr>
                <w:sz w:val="20"/>
                <w:szCs w:val="20"/>
                <w:color w:val="auto"/>
              </w:rPr>
            </w:pPr>
            <w:r>
              <w:rPr>
                <w:rFonts w:ascii="Times New Roman" w:cs="Times New Roman" w:eastAsia="Times New Roman" w:hAnsi="Times New Roman"/>
                <w:sz w:val="8"/>
                <w:szCs w:val="8"/>
                <w:color w:val="auto"/>
              </w:rPr>
              <w:t>compensation</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9"/>
                <w:szCs w:val="9"/>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9"/>
                <w:szCs w:val="9"/>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3,274</w:t>
            </w: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9"/>
                <w:szCs w:val="9"/>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3,274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760" w:type="dxa"/>
            <w:vAlign w:val="bottom"/>
            <w:shd w:val="clear" w:color="auto" w:fill="CFF0FC"/>
          </w:tcPr>
          <w:p>
            <w:pPr>
              <w:spacing w:after="0" w:line="86" w:lineRule="exact"/>
              <w:rPr>
                <w:sz w:val="20"/>
                <w:szCs w:val="20"/>
                <w:color w:val="auto"/>
              </w:rPr>
            </w:pPr>
            <w:r>
              <w:rPr>
                <w:rFonts w:ascii="Times New Roman" w:cs="Times New Roman" w:eastAsia="Times New Roman" w:hAnsi="Times New Roman"/>
                <w:sz w:val="8"/>
                <w:szCs w:val="8"/>
                <w:color w:val="auto"/>
              </w:rPr>
              <w:t>Other comprehensive</w:t>
            </w:r>
          </w:p>
        </w:tc>
        <w:tc>
          <w:tcPr>
            <w:tcW w:w="56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0" w:type="dxa"/>
            <w:vAlign w:val="bottom"/>
            <w:shd w:val="clear" w:color="auto" w:fill="CFF0FC"/>
          </w:tcPr>
          <w:p>
            <w:pPr>
              <w:spacing w:after="0"/>
              <w:rPr>
                <w:sz w:val="7"/>
                <w:szCs w:val="7"/>
                <w:color w:val="auto"/>
              </w:rPr>
            </w:pPr>
          </w:p>
        </w:tc>
        <w:tc>
          <w:tcPr>
            <w:tcW w:w="12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3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40" w:type="dxa"/>
            <w:vAlign w:val="bottom"/>
            <w:tcBorders>
              <w:right w:val="single" w:sz="8" w:color="auto"/>
            </w:tcBorders>
            <w:shd w:val="clear" w:color="auto" w:fill="CFF0FC"/>
          </w:tcPr>
          <w:p>
            <w:pPr>
              <w:spacing w:after="0"/>
              <w:rPr>
                <w:sz w:val="7"/>
                <w:szCs w:val="7"/>
                <w:color w:val="auto"/>
              </w:rPr>
            </w:pPr>
          </w:p>
        </w:tc>
        <w:tc>
          <w:tcPr>
            <w:tcW w:w="80" w:type="dxa"/>
            <w:vAlign w:val="bottom"/>
            <w:shd w:val="clear" w:color="auto" w:fill="CFF0FC"/>
          </w:tcPr>
          <w:p>
            <w:pPr>
              <w:spacing w:after="0"/>
              <w:rPr>
                <w:sz w:val="7"/>
                <w:szCs w:val="7"/>
                <w:color w:val="auto"/>
              </w:rPr>
            </w:pPr>
          </w:p>
        </w:tc>
        <w:tc>
          <w:tcPr>
            <w:tcW w:w="5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36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62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44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60" w:type="dxa"/>
            <w:vAlign w:val="bottom"/>
            <w:shd w:val="clear" w:color="auto" w:fill="CFF0FC"/>
          </w:tcPr>
          <w:p>
            <w:pPr>
              <w:spacing w:after="0"/>
              <w:rPr>
                <w:sz w:val="7"/>
                <w:szCs w:val="7"/>
                <w:color w:val="auto"/>
              </w:rPr>
            </w:pPr>
          </w:p>
        </w:tc>
        <w:tc>
          <w:tcPr>
            <w:tcW w:w="58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04"/>
        </w:trPr>
        <w:tc>
          <w:tcPr>
            <w:tcW w:w="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8"/>
                <w:szCs w:val="8"/>
                <w:color w:val="auto"/>
              </w:rPr>
              <w:t>income</w:t>
            </w:r>
          </w:p>
        </w:tc>
        <w:tc>
          <w:tcPr>
            <w:tcW w:w="6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5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shd w:val="clear" w:color="auto" w:fill="CFF0FC"/>
          </w:tcPr>
          <w:p>
            <w:pPr>
              <w:spacing w:after="0"/>
              <w:rPr>
                <w:sz w:val="9"/>
                <w:szCs w:val="9"/>
                <w:color w:val="auto"/>
              </w:rPr>
            </w:pP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4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(68)</w:t>
            </w:r>
          </w:p>
        </w:tc>
        <w:tc>
          <w:tcPr>
            <w:tcW w:w="100" w:type="dxa"/>
            <w:vAlign w:val="bottom"/>
            <w:shd w:val="clear" w:color="auto" w:fill="CFF0FC"/>
          </w:tcPr>
          <w:p>
            <w:pPr>
              <w:spacing w:after="0"/>
              <w:rPr>
                <w:sz w:val="9"/>
                <w:szCs w:val="9"/>
                <w:color w:val="auto"/>
              </w:rPr>
            </w:pPr>
          </w:p>
        </w:tc>
        <w:tc>
          <w:tcPr>
            <w:tcW w:w="5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shd w:val="clear" w:color="auto" w:fill="CFF0FC"/>
          </w:tcPr>
          <w:p>
            <w:pPr>
              <w:spacing w:after="0"/>
              <w:rPr>
                <w:sz w:val="9"/>
                <w:szCs w:val="9"/>
                <w:color w:val="auto"/>
              </w:rPr>
            </w:pPr>
          </w:p>
        </w:tc>
        <w:tc>
          <w:tcPr>
            <w:tcW w:w="6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(68)</w:t>
            </w:r>
          </w:p>
        </w:tc>
        <w:tc>
          <w:tcPr>
            <w:tcW w:w="0" w:type="dxa"/>
            <w:vAlign w:val="bottom"/>
          </w:tcPr>
          <w:p>
            <w:pPr>
              <w:spacing w:after="0"/>
              <w:rPr>
                <w:sz w:val="1"/>
                <w:szCs w:val="1"/>
                <w:color w:val="auto"/>
              </w:rPr>
            </w:pPr>
          </w:p>
        </w:tc>
      </w:tr>
      <w:tr>
        <w:trPr>
          <w:trHeight w:val="95"/>
        </w:trPr>
        <w:tc>
          <w:tcPr>
            <w:tcW w:w="760" w:type="dxa"/>
            <w:vAlign w:val="bottom"/>
          </w:tcPr>
          <w:p>
            <w:pPr>
              <w:spacing w:after="0"/>
              <w:rPr>
                <w:sz w:val="20"/>
                <w:szCs w:val="20"/>
                <w:color w:val="auto"/>
              </w:rPr>
            </w:pPr>
            <w:r>
              <w:rPr>
                <w:rFonts w:ascii="Times New Roman" w:cs="Times New Roman" w:eastAsia="Times New Roman" w:hAnsi="Times New Roman"/>
                <w:sz w:val="8"/>
                <w:szCs w:val="8"/>
                <w:color w:val="auto"/>
              </w:rPr>
              <w:t>Net loss</w:t>
            </w:r>
          </w:p>
        </w:tc>
        <w:tc>
          <w:tcPr>
            <w:tcW w:w="5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500" w:type="dxa"/>
            <w:vAlign w:val="bottom"/>
            <w:gridSpan w:val="2"/>
          </w:tcPr>
          <w:p>
            <w:pPr>
              <w:jc w:val="right"/>
              <w:ind w:right="140"/>
              <w:spacing w:after="0"/>
              <w:rPr>
                <w:sz w:val="20"/>
                <w:szCs w:val="20"/>
                <w:color w:val="auto"/>
              </w:rPr>
            </w:pPr>
            <w:r>
              <w:rPr>
                <w:rFonts w:ascii="Times New Roman" w:cs="Times New Roman" w:eastAsia="Times New Roman" w:hAnsi="Times New Roman"/>
                <w:sz w:val="8"/>
                <w:szCs w:val="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20" w:type="dxa"/>
            <w:vAlign w:val="bottom"/>
          </w:tcPr>
          <w:p>
            <w:pPr>
              <w:spacing w:after="0"/>
              <w:rPr>
                <w:sz w:val="8"/>
                <w:szCs w:val="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8"/>
                <w:szCs w:val="8"/>
                <w:color w:val="auto"/>
              </w:rPr>
              <w:t>—</w:t>
            </w:r>
          </w:p>
        </w:tc>
        <w:tc>
          <w:tcPr>
            <w:tcW w:w="80" w:type="dxa"/>
            <w:vAlign w:val="bottom"/>
          </w:tcPr>
          <w:p>
            <w:pPr>
              <w:spacing w:after="0"/>
              <w:rPr>
                <w:sz w:val="8"/>
                <w:szCs w:val="8"/>
                <w:color w:val="auto"/>
              </w:rPr>
            </w:pP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40" w:type="dxa"/>
            <w:vAlign w:val="bottom"/>
            <w:tcBorders>
              <w:right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8"/>
                <w:szCs w:val="8"/>
                <w:color w:val="auto"/>
              </w:rPr>
              <w:t>—</w:t>
            </w:r>
          </w:p>
        </w:tc>
        <w:tc>
          <w:tcPr>
            <w:tcW w:w="100" w:type="dxa"/>
            <w:vAlign w:val="bottom"/>
          </w:tcPr>
          <w:p>
            <w:pPr>
              <w:spacing w:after="0"/>
              <w:rPr>
                <w:sz w:val="8"/>
                <w:szCs w:val="8"/>
                <w:color w:val="auto"/>
              </w:rPr>
            </w:pPr>
          </w:p>
        </w:tc>
        <w:tc>
          <w:tcPr>
            <w:tcW w:w="540" w:type="dxa"/>
            <w:vAlign w:val="bottom"/>
            <w:gridSpan w:val="2"/>
          </w:tcPr>
          <w:p>
            <w:pPr>
              <w:jc w:val="right"/>
              <w:ind w:right="80"/>
              <w:spacing w:after="0"/>
              <w:rPr>
                <w:sz w:val="20"/>
                <w:szCs w:val="20"/>
                <w:color w:val="auto"/>
              </w:rPr>
            </w:pPr>
            <w:r>
              <w:rPr>
                <w:rFonts w:ascii="Times New Roman" w:cs="Times New Roman" w:eastAsia="Times New Roman" w:hAnsi="Times New Roman"/>
                <w:sz w:val="8"/>
                <w:szCs w:val="8"/>
                <w:color w:val="auto"/>
              </w:rPr>
              <w:t>(85,204)</w:t>
            </w:r>
          </w:p>
        </w:tc>
        <w:tc>
          <w:tcPr>
            <w:tcW w:w="60" w:type="dxa"/>
            <w:vAlign w:val="bottom"/>
          </w:tcPr>
          <w:p>
            <w:pPr>
              <w:spacing w:after="0"/>
              <w:rPr>
                <w:sz w:val="8"/>
                <w:szCs w:val="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rPr>
              <w:t>(85,204)</w:t>
            </w:r>
          </w:p>
        </w:tc>
        <w:tc>
          <w:tcPr>
            <w:tcW w:w="0" w:type="dxa"/>
            <w:vAlign w:val="bottom"/>
          </w:tcPr>
          <w:p>
            <w:pPr>
              <w:spacing w:after="0"/>
              <w:rPr>
                <w:sz w:val="1"/>
                <w:szCs w:val="1"/>
                <w:color w:val="auto"/>
              </w:rPr>
            </w:pPr>
          </w:p>
        </w:tc>
      </w:tr>
      <w:tr>
        <w:trPr>
          <w:trHeight w:val="20"/>
        </w:trPr>
        <w:tc>
          <w:tcPr>
            <w:tcW w:w="760" w:type="dxa"/>
            <w:vAlign w:val="bottom"/>
            <w:vMerge w:val="restart"/>
            <w:shd w:val="clear" w:color="auto" w:fill="CFF0FC"/>
          </w:tcPr>
          <w:p>
            <w:pPr>
              <w:spacing w:after="0" w:line="84" w:lineRule="exact"/>
              <w:rPr>
                <w:sz w:val="20"/>
                <w:szCs w:val="20"/>
                <w:color w:val="auto"/>
              </w:rPr>
            </w:pPr>
            <w:r>
              <w:rPr>
                <w:rFonts w:ascii="Times New Roman" w:cs="Times New Roman" w:eastAsia="Times New Roman" w:hAnsi="Times New Roman"/>
                <w:sz w:val="8"/>
                <w:szCs w:val="8"/>
                <w:b w:val="1"/>
                <w:bCs w:val="1"/>
                <w:color w:val="auto"/>
              </w:rPr>
              <w:t>BALANCES -</w:t>
            </w: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
        </w:trPr>
        <w:tc>
          <w:tcPr>
            <w:tcW w:w="760" w:type="dxa"/>
            <w:vAlign w:val="bottom"/>
            <w:vMerge w:val="continue"/>
            <w:shd w:val="clear" w:color="auto" w:fill="CFF0FC"/>
          </w:tcPr>
          <w:p>
            <w:pPr>
              <w:spacing w:after="0"/>
              <w:rPr>
                <w:sz w:val="5"/>
                <w:szCs w:val="5"/>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49,651,129</w:t>
            </w:r>
          </w:p>
        </w:tc>
        <w:tc>
          <w:tcPr>
            <w:tcW w:w="120" w:type="dxa"/>
            <w:vAlign w:val="bottom"/>
            <w:shd w:val="clear" w:color="auto" w:fill="CFF0FC"/>
          </w:tcPr>
          <w:p>
            <w:pPr>
              <w:spacing w:after="0"/>
              <w:rPr>
                <w:sz w:val="5"/>
                <w:szCs w:val="5"/>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49,176</w:t>
            </w:r>
          </w:p>
        </w:tc>
        <w:tc>
          <w:tcPr>
            <w:tcW w:w="120" w:type="dxa"/>
            <w:vAlign w:val="bottom"/>
            <w:shd w:val="clear" w:color="auto" w:fill="CFF0FC"/>
          </w:tcPr>
          <w:p>
            <w:pPr>
              <w:spacing w:after="0"/>
              <w:rPr>
                <w:sz w:val="5"/>
                <w:szCs w:val="5"/>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25,208,502</w:t>
            </w:r>
          </w:p>
        </w:tc>
        <w:tc>
          <w:tcPr>
            <w:tcW w:w="120" w:type="dxa"/>
            <w:vAlign w:val="bottom"/>
            <w:shd w:val="clear" w:color="auto" w:fill="CFF0FC"/>
          </w:tcPr>
          <w:p>
            <w:pPr>
              <w:spacing w:after="0"/>
              <w:rPr>
                <w:sz w:val="5"/>
                <w:szCs w:val="5"/>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35,376</w:t>
            </w:r>
          </w:p>
        </w:tc>
        <w:tc>
          <w:tcPr>
            <w:tcW w:w="120" w:type="dxa"/>
            <w:vAlign w:val="bottom"/>
            <w:shd w:val="clear" w:color="auto" w:fill="CFF0FC"/>
          </w:tcPr>
          <w:p>
            <w:pPr>
              <w:spacing w:after="0"/>
              <w:rPr>
                <w:sz w:val="5"/>
                <w:szCs w:val="5"/>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239,016,017</w:t>
            </w:r>
          </w:p>
        </w:tc>
        <w:tc>
          <w:tcPr>
            <w:tcW w:w="120" w:type="dxa"/>
            <w:vAlign w:val="bottom"/>
            <w:vMerge w:val="restart"/>
            <w:shd w:val="clear" w:color="auto" w:fill="CFF0FC"/>
          </w:tcPr>
          <w:p>
            <w:pPr>
              <w:spacing w:after="0"/>
              <w:rPr>
                <w:sz w:val="5"/>
                <w:szCs w:val="5"/>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4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174,494</w:t>
            </w:r>
          </w:p>
        </w:tc>
        <w:tc>
          <w:tcPr>
            <w:tcW w:w="120" w:type="dxa"/>
            <w:vAlign w:val="bottom"/>
            <w:vMerge w:val="restart"/>
            <w:shd w:val="clear" w:color="auto" w:fill="CFF0FC"/>
          </w:tcPr>
          <w:p>
            <w:pPr>
              <w:spacing w:after="0"/>
              <w:rPr>
                <w:sz w:val="5"/>
                <w:szCs w:val="5"/>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20,316,359</w:t>
            </w:r>
          </w:p>
        </w:tc>
        <w:tc>
          <w:tcPr>
            <w:tcW w:w="100" w:type="dxa"/>
            <w:vAlign w:val="bottom"/>
            <w:shd w:val="clear" w:color="auto" w:fill="CFF0FC"/>
          </w:tcPr>
          <w:p>
            <w:pPr>
              <w:spacing w:after="0"/>
              <w:rPr>
                <w:sz w:val="5"/>
                <w:szCs w:val="5"/>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13,406</w:t>
            </w:r>
          </w:p>
        </w:tc>
        <w:tc>
          <w:tcPr>
            <w:tcW w:w="100" w:type="dxa"/>
            <w:vAlign w:val="bottom"/>
            <w:shd w:val="clear" w:color="auto" w:fill="CFF0FC"/>
          </w:tcPr>
          <w:p>
            <w:pPr>
              <w:spacing w:after="0"/>
              <w:rPr>
                <w:sz w:val="5"/>
                <w:szCs w:val="5"/>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126,036,334</w:t>
            </w:r>
          </w:p>
        </w:tc>
        <w:tc>
          <w:tcPr>
            <w:tcW w:w="100" w:type="dxa"/>
            <w:vAlign w:val="bottom"/>
            <w:vMerge w:val="restart"/>
            <w:shd w:val="clear" w:color="auto" w:fill="CFF0FC"/>
          </w:tcPr>
          <w:p>
            <w:pPr>
              <w:spacing w:after="0"/>
              <w:rPr>
                <w:sz w:val="5"/>
                <w:szCs w:val="5"/>
                <w:color w:val="auto"/>
              </w:rPr>
            </w:pPr>
          </w:p>
        </w:tc>
        <w:tc>
          <w:tcPr>
            <w:tcW w:w="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99,769</w:t>
            </w:r>
          </w:p>
        </w:tc>
        <w:tc>
          <w:tcPr>
            <w:tcW w:w="140" w:type="dxa"/>
            <w:vAlign w:val="bottom"/>
            <w:tcBorders>
              <w:right w:val="single" w:sz="8" w:color="auto"/>
            </w:tcBorders>
            <w:shd w:val="clear" w:color="auto" w:fill="CFF0FC"/>
          </w:tcPr>
          <w:p>
            <w:pPr>
              <w:spacing w:after="0"/>
              <w:rPr>
                <w:sz w:val="5"/>
                <w:szCs w:val="5"/>
                <w:color w:val="auto"/>
              </w:rPr>
            </w:pPr>
          </w:p>
        </w:tc>
        <w:tc>
          <w:tcPr>
            <w:tcW w:w="80" w:type="dxa"/>
            <w:vAlign w:val="bottom"/>
            <w:vMerge w:val="restart"/>
            <w:shd w:val="clear" w:color="auto" w:fill="CFF0FC"/>
          </w:tcPr>
          <w:p>
            <w:pPr>
              <w:spacing w:after="0"/>
              <w:rPr>
                <w:sz w:val="5"/>
                <w:szCs w:val="5"/>
                <w:color w:val="auto"/>
              </w:rPr>
            </w:pPr>
          </w:p>
        </w:tc>
        <w:tc>
          <w:tcPr>
            <w:tcW w:w="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23,614,080</w:t>
            </w:r>
          </w:p>
        </w:tc>
        <w:tc>
          <w:tcPr>
            <w:tcW w:w="100" w:type="dxa"/>
            <w:vAlign w:val="bottom"/>
            <w:shd w:val="clear" w:color="auto" w:fill="CFF0FC"/>
          </w:tcPr>
          <w:p>
            <w:pPr>
              <w:spacing w:after="0"/>
              <w:rPr>
                <w:sz w:val="5"/>
                <w:szCs w:val="5"/>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24</w:t>
            </w:r>
          </w:p>
        </w:tc>
        <w:tc>
          <w:tcPr>
            <w:tcW w:w="10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8"/>
                <w:szCs w:val="8"/>
                <w:color w:val="auto"/>
                <w:w w:val="98"/>
              </w:rPr>
              <w:t>$</w:t>
            </w:r>
          </w:p>
        </w:tc>
        <w:tc>
          <w:tcPr>
            <w:tcW w:w="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26,548</w:t>
            </w:r>
          </w:p>
        </w:tc>
        <w:tc>
          <w:tcPr>
            <w:tcW w:w="100" w:type="dxa"/>
            <w:vAlign w:val="bottom"/>
            <w:vMerge w:val="restart"/>
            <w:shd w:val="clear" w:color="auto" w:fill="CFF0FC"/>
          </w:tcPr>
          <w:p>
            <w:pPr>
              <w:spacing w:after="0"/>
              <w:rPr>
                <w:sz w:val="5"/>
                <w:szCs w:val="5"/>
                <w:color w:val="auto"/>
              </w:rPr>
            </w:pP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w w:val="98"/>
              </w:rPr>
              <w:t>$</w:t>
            </w: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8"/>
                <w:szCs w:val="8"/>
                <w:color w:val="auto"/>
              </w:rPr>
              <w:t>134</w:t>
            </w:r>
          </w:p>
        </w:tc>
        <w:tc>
          <w:tcPr>
            <w:tcW w:w="100" w:type="dxa"/>
            <w:vAlign w:val="bottom"/>
            <w:shd w:val="clear" w:color="auto" w:fill="CFF0FC"/>
          </w:tcPr>
          <w:p>
            <w:pPr>
              <w:spacing w:after="0"/>
              <w:rPr>
                <w:sz w:val="5"/>
                <w:szCs w:val="5"/>
                <w:color w:val="auto"/>
              </w:rPr>
            </w:pPr>
          </w:p>
        </w:tc>
        <w:tc>
          <w:tcPr>
            <w:tcW w:w="100" w:type="dxa"/>
            <w:vAlign w:val="bottom"/>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5"/>
                <w:szCs w:val="5"/>
                <w:color w:val="auto"/>
                <w:w w:val="78"/>
              </w:rPr>
              <w:t>$</w:t>
            </w:r>
          </w:p>
        </w:tc>
        <w:tc>
          <w:tcPr>
            <w:tcW w:w="540" w:type="dxa"/>
            <w:vAlign w:val="bottom"/>
            <w:gridSpan w:val="2"/>
            <w:vMerge w:val="restart"/>
            <w:shd w:val="clear" w:color="auto" w:fill="CFF0FC"/>
          </w:tcPr>
          <w:p>
            <w:pPr>
              <w:jc w:val="right"/>
              <w:ind w:right="80"/>
              <w:spacing w:after="0"/>
              <w:rPr>
                <w:sz w:val="20"/>
                <w:szCs w:val="20"/>
                <w:color w:val="auto"/>
              </w:rPr>
            </w:pPr>
            <w:r>
              <w:rPr>
                <w:rFonts w:ascii="Times New Roman" w:cs="Times New Roman" w:eastAsia="Times New Roman" w:hAnsi="Times New Roman"/>
                <w:sz w:val="8"/>
                <w:szCs w:val="8"/>
                <w:color w:val="auto"/>
              </w:rPr>
              <w:t>(265,362)</w:t>
            </w:r>
          </w:p>
        </w:tc>
        <w:tc>
          <w:tcPr>
            <w:tcW w:w="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6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8"/>
                <w:szCs w:val="8"/>
                <w:color w:val="auto"/>
              </w:rPr>
              <w:t>(238,656)</w:t>
            </w:r>
          </w:p>
        </w:tc>
        <w:tc>
          <w:tcPr>
            <w:tcW w:w="0" w:type="dxa"/>
            <w:vAlign w:val="bottom"/>
          </w:tcPr>
          <w:p>
            <w:pPr>
              <w:spacing w:after="0"/>
              <w:rPr>
                <w:sz w:val="1"/>
                <w:szCs w:val="1"/>
                <w:color w:val="auto"/>
              </w:rPr>
            </w:pPr>
          </w:p>
        </w:tc>
      </w:tr>
      <w:tr>
        <w:trPr>
          <w:trHeight w:val="94"/>
        </w:trPr>
        <w:tc>
          <w:tcPr>
            <w:tcW w:w="760" w:type="dxa"/>
            <w:vAlign w:val="bottom"/>
            <w:shd w:val="clear" w:color="auto" w:fill="CFF0FC"/>
          </w:tcPr>
          <w:p>
            <w:pPr>
              <w:ind w:left="60"/>
              <w:spacing w:after="0" w:line="65" w:lineRule="exact"/>
              <w:rPr>
                <w:sz w:val="20"/>
                <w:szCs w:val="20"/>
                <w:color w:val="auto"/>
              </w:rPr>
            </w:pPr>
            <w:r>
              <w:rPr>
                <w:rFonts w:ascii="Times New Roman" w:cs="Times New Roman" w:eastAsia="Times New Roman" w:hAnsi="Times New Roman"/>
                <w:sz w:val="7"/>
                <w:szCs w:val="7"/>
                <w:b w:val="1"/>
                <w:bCs w:val="1"/>
                <w:color w:val="auto"/>
              </w:rPr>
              <w:t>December 31, 2025</w:t>
            </w:r>
          </w:p>
        </w:tc>
        <w:tc>
          <w:tcPr>
            <w:tcW w:w="56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40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38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80" w:type="dxa"/>
            <w:vAlign w:val="bottom"/>
            <w:vMerge w:val="continue"/>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400" w:type="dxa"/>
            <w:vAlign w:val="bottom"/>
            <w:vMerge w:val="continue"/>
            <w:shd w:val="clear" w:color="auto" w:fill="CFF0FC"/>
          </w:tcPr>
          <w:p>
            <w:pPr>
              <w:spacing w:after="0"/>
              <w:rPr>
                <w:sz w:val="8"/>
                <w:szCs w:val="8"/>
                <w:color w:val="auto"/>
              </w:rPr>
            </w:pPr>
          </w:p>
        </w:tc>
        <w:tc>
          <w:tcPr>
            <w:tcW w:w="120" w:type="dxa"/>
            <w:vAlign w:val="bottom"/>
            <w:vMerge w:val="continue"/>
            <w:shd w:val="clear" w:color="auto" w:fill="CFF0FC"/>
          </w:tcPr>
          <w:p>
            <w:pPr>
              <w:spacing w:after="0"/>
              <w:rPr>
                <w:sz w:val="8"/>
                <w:szCs w:val="8"/>
                <w:color w:val="auto"/>
              </w:rPr>
            </w:pPr>
          </w:p>
        </w:tc>
        <w:tc>
          <w:tcPr>
            <w:tcW w:w="5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38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540" w:type="dxa"/>
            <w:vAlign w:val="bottom"/>
            <w:vMerge w:val="continue"/>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40" w:type="dxa"/>
            <w:vAlign w:val="bottom"/>
            <w:vMerge w:val="continue"/>
            <w:shd w:val="clear" w:color="auto" w:fill="CFF0FC"/>
          </w:tcPr>
          <w:p>
            <w:pPr>
              <w:spacing w:after="0"/>
              <w:rPr>
                <w:sz w:val="8"/>
                <w:szCs w:val="8"/>
                <w:color w:val="auto"/>
              </w:rPr>
            </w:pPr>
          </w:p>
        </w:tc>
        <w:tc>
          <w:tcPr>
            <w:tcW w:w="360" w:type="dxa"/>
            <w:vAlign w:val="bottom"/>
            <w:vMerge w:val="continue"/>
            <w:shd w:val="clear" w:color="auto" w:fill="CFF0FC"/>
          </w:tcPr>
          <w:p>
            <w:pPr>
              <w:spacing w:after="0"/>
              <w:rPr>
                <w:sz w:val="8"/>
                <w:szCs w:val="8"/>
                <w:color w:val="auto"/>
              </w:rPr>
            </w:pPr>
          </w:p>
        </w:tc>
        <w:tc>
          <w:tcPr>
            <w:tcW w:w="140" w:type="dxa"/>
            <w:vAlign w:val="bottom"/>
            <w:tcBorders>
              <w:right w:val="single" w:sz="8" w:color="auto"/>
            </w:tcBorders>
            <w:shd w:val="clear" w:color="auto" w:fill="CFF0FC"/>
          </w:tcPr>
          <w:p>
            <w:pPr>
              <w:spacing w:after="0"/>
              <w:rPr>
                <w:sz w:val="8"/>
                <w:szCs w:val="8"/>
                <w:color w:val="auto"/>
              </w:rPr>
            </w:pPr>
          </w:p>
        </w:tc>
        <w:tc>
          <w:tcPr>
            <w:tcW w:w="80" w:type="dxa"/>
            <w:vAlign w:val="bottom"/>
            <w:vMerge w:val="continue"/>
            <w:shd w:val="clear" w:color="auto" w:fill="CFF0FC"/>
          </w:tcPr>
          <w:p>
            <w:pPr>
              <w:spacing w:after="0"/>
              <w:rPr>
                <w:sz w:val="8"/>
                <w:szCs w:val="8"/>
                <w:color w:val="auto"/>
              </w:rPr>
            </w:pPr>
          </w:p>
        </w:tc>
        <w:tc>
          <w:tcPr>
            <w:tcW w:w="54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360" w:type="dxa"/>
            <w:vAlign w:val="bottom"/>
            <w:vMerge w:val="continue"/>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360" w:type="dxa"/>
            <w:vAlign w:val="bottom"/>
            <w:vMerge w:val="continue"/>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6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vMerge w:val="continue"/>
            <w:shd w:val="clear" w:color="auto" w:fill="CFF0FC"/>
          </w:tcPr>
          <w:p>
            <w:pPr>
              <w:spacing w:after="0"/>
              <w:rPr>
                <w:sz w:val="8"/>
                <w:szCs w:val="8"/>
                <w:color w:val="auto"/>
              </w:rPr>
            </w:pPr>
          </w:p>
        </w:tc>
        <w:tc>
          <w:tcPr>
            <w:tcW w:w="540" w:type="dxa"/>
            <w:vAlign w:val="bottom"/>
            <w:gridSpan w:val="2"/>
            <w:vMerge w:val="continue"/>
            <w:shd w:val="clear" w:color="auto" w:fill="CFF0FC"/>
          </w:tcPr>
          <w:p>
            <w:pPr>
              <w:spacing w:after="0"/>
              <w:rPr>
                <w:sz w:val="8"/>
                <w:szCs w:val="8"/>
                <w:color w:val="auto"/>
              </w:rPr>
            </w:pPr>
          </w:p>
        </w:tc>
        <w:tc>
          <w:tcPr>
            <w:tcW w:w="60" w:type="dxa"/>
            <w:vAlign w:val="bottom"/>
            <w:vMerge w:val="continue"/>
            <w:shd w:val="clear" w:color="auto" w:fill="CFF0FC"/>
          </w:tcPr>
          <w:p>
            <w:pPr>
              <w:spacing w:after="0"/>
              <w:rPr>
                <w:sz w:val="8"/>
                <w:szCs w:val="8"/>
                <w:color w:val="auto"/>
              </w:rPr>
            </w:pPr>
          </w:p>
        </w:tc>
        <w:tc>
          <w:tcPr>
            <w:tcW w:w="68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76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-2122170</wp:posOffset>
            </wp:positionV>
            <wp:extent cx="73660" cy="698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-2108835</wp:posOffset>
            </wp:positionV>
            <wp:extent cx="73660" cy="698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-2122170</wp:posOffset>
            </wp:positionV>
            <wp:extent cx="73660" cy="698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-2108835</wp:posOffset>
            </wp:positionV>
            <wp:extent cx="73660" cy="698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-2122170</wp:posOffset>
            </wp:positionV>
            <wp:extent cx="73660" cy="698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-2108835</wp:posOffset>
            </wp:positionV>
            <wp:extent cx="73660" cy="69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-2122170</wp:posOffset>
            </wp:positionV>
            <wp:extent cx="73660" cy="698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-2108835</wp:posOffset>
            </wp:positionV>
            <wp:extent cx="73660" cy="69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-2122170</wp:posOffset>
            </wp:positionV>
            <wp:extent cx="73660" cy="698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-2108835</wp:posOffset>
            </wp:positionV>
            <wp:extent cx="73660" cy="69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-2122170</wp:posOffset>
            </wp:positionV>
            <wp:extent cx="73660" cy="698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-2108835</wp:posOffset>
            </wp:positionV>
            <wp:extent cx="7366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-2122170</wp:posOffset>
            </wp:positionV>
            <wp:extent cx="6667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-2108835</wp:posOffset>
            </wp:positionV>
            <wp:extent cx="6667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-2122170</wp:posOffset>
            </wp:positionV>
            <wp:extent cx="6667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-2108835</wp:posOffset>
            </wp:positionV>
            <wp:extent cx="6667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-2122170</wp:posOffset>
            </wp:positionV>
            <wp:extent cx="6667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-2108835</wp:posOffset>
            </wp:positionV>
            <wp:extent cx="66675"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-2122170</wp:posOffset>
            </wp:positionV>
            <wp:extent cx="66675"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-2108835</wp:posOffset>
            </wp:positionV>
            <wp:extent cx="66675"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-2122170</wp:posOffset>
            </wp:positionV>
            <wp:extent cx="66675"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-2108835</wp:posOffset>
            </wp:positionV>
            <wp:extent cx="66675"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-2122170</wp:posOffset>
            </wp:positionV>
            <wp:extent cx="66675"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-2108835</wp:posOffset>
            </wp:positionV>
            <wp:extent cx="66675"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-2122170</wp:posOffset>
            </wp:positionV>
            <wp:extent cx="66675"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-2108835</wp:posOffset>
            </wp:positionV>
            <wp:extent cx="66675"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-2122170</wp:posOffset>
            </wp:positionV>
            <wp:extent cx="66675"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-2108835</wp:posOffset>
            </wp:positionV>
            <wp:extent cx="66675"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-2122170</wp:posOffset>
            </wp:positionV>
            <wp:extent cx="66675"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-2108835</wp:posOffset>
            </wp:positionV>
            <wp:extent cx="66675"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-2122170</wp:posOffset>
            </wp:positionV>
            <wp:extent cx="66675"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-2108835</wp:posOffset>
            </wp:positionV>
            <wp:extent cx="66675"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-1341120</wp:posOffset>
            </wp:positionV>
            <wp:extent cx="7366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-1327785</wp:posOffset>
            </wp:positionV>
            <wp:extent cx="7366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-1441450</wp:posOffset>
            </wp:positionV>
            <wp:extent cx="7366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-1341120</wp:posOffset>
            </wp:positionV>
            <wp:extent cx="7366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-1327785</wp:posOffset>
            </wp:positionV>
            <wp:extent cx="7366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-1441450</wp:posOffset>
            </wp:positionV>
            <wp:extent cx="7366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-1341120</wp:posOffset>
            </wp:positionV>
            <wp:extent cx="73660" cy="698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-1327785</wp:posOffset>
            </wp:positionV>
            <wp:extent cx="73660" cy="698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-1441450</wp:posOffset>
            </wp:positionV>
            <wp:extent cx="73660" cy="698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-1341120</wp:posOffset>
            </wp:positionV>
            <wp:extent cx="73660" cy="698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-1327785</wp:posOffset>
            </wp:positionV>
            <wp:extent cx="73660" cy="698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-1441450</wp:posOffset>
            </wp:positionV>
            <wp:extent cx="73660" cy="698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-1341120</wp:posOffset>
            </wp:positionV>
            <wp:extent cx="73660" cy="698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-1327785</wp:posOffset>
            </wp:positionV>
            <wp:extent cx="73660" cy="698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-1441450</wp:posOffset>
            </wp:positionV>
            <wp:extent cx="73660" cy="698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-1341120</wp:posOffset>
            </wp:positionV>
            <wp:extent cx="73660" cy="698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-1327785</wp:posOffset>
            </wp:positionV>
            <wp:extent cx="73660" cy="698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-1441450</wp:posOffset>
            </wp:positionV>
            <wp:extent cx="73660" cy="698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-1341120</wp:posOffset>
            </wp:positionV>
            <wp:extent cx="66675" cy="698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-1327785</wp:posOffset>
            </wp:positionV>
            <wp:extent cx="66675" cy="698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-1441450</wp:posOffset>
            </wp:positionV>
            <wp:extent cx="66675" cy="698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-1341120</wp:posOffset>
            </wp:positionV>
            <wp:extent cx="66675" cy="698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-1327785</wp:posOffset>
            </wp:positionV>
            <wp:extent cx="66675" cy="698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-1441450</wp:posOffset>
            </wp:positionV>
            <wp:extent cx="66675" cy="698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-1341120</wp:posOffset>
            </wp:positionV>
            <wp:extent cx="66675" cy="698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-1327785</wp:posOffset>
            </wp:positionV>
            <wp:extent cx="66675" cy="698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-1441450</wp:posOffset>
            </wp:positionV>
            <wp:extent cx="66675" cy="698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-1341120</wp:posOffset>
            </wp:positionV>
            <wp:extent cx="66675" cy="698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-1327785</wp:posOffset>
            </wp:positionV>
            <wp:extent cx="66675" cy="698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-1441450</wp:posOffset>
            </wp:positionV>
            <wp:extent cx="66675" cy="698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-1341120</wp:posOffset>
            </wp:positionV>
            <wp:extent cx="66675" cy="698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-1327785</wp:posOffset>
            </wp:positionV>
            <wp:extent cx="66675" cy="698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-1441450</wp:posOffset>
            </wp:positionV>
            <wp:extent cx="66675" cy="698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-1341120</wp:posOffset>
            </wp:positionV>
            <wp:extent cx="66675" cy="698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-1327785</wp:posOffset>
            </wp:positionV>
            <wp:extent cx="66675" cy="698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-1441450</wp:posOffset>
            </wp:positionV>
            <wp:extent cx="66675" cy="698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-1341120</wp:posOffset>
            </wp:positionV>
            <wp:extent cx="66675" cy="698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-1327785</wp:posOffset>
            </wp:positionV>
            <wp:extent cx="66675" cy="698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-1441450</wp:posOffset>
            </wp:positionV>
            <wp:extent cx="66675" cy="698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-1341120</wp:posOffset>
            </wp:positionV>
            <wp:extent cx="66675" cy="698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-1327785</wp:posOffset>
            </wp:positionV>
            <wp:extent cx="66675" cy="698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-1441450</wp:posOffset>
            </wp:positionV>
            <wp:extent cx="66675" cy="698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-1341120</wp:posOffset>
            </wp:positionV>
            <wp:extent cx="66675" cy="698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-1327785</wp:posOffset>
            </wp:positionV>
            <wp:extent cx="66675" cy="698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-1441450</wp:posOffset>
            </wp:positionV>
            <wp:extent cx="66675" cy="698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-1341120</wp:posOffset>
            </wp:positionV>
            <wp:extent cx="66675" cy="698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-1327785</wp:posOffset>
            </wp:positionV>
            <wp:extent cx="66675" cy="698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-1441450</wp:posOffset>
            </wp:positionV>
            <wp:extent cx="66675" cy="698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-19685</wp:posOffset>
            </wp:positionV>
            <wp:extent cx="73660" cy="698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-6350</wp:posOffset>
            </wp:positionV>
            <wp:extent cx="73660" cy="698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-119380</wp:posOffset>
            </wp:positionV>
            <wp:extent cx="73660" cy="698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-19685</wp:posOffset>
            </wp:positionV>
            <wp:extent cx="73660" cy="698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-6350</wp:posOffset>
            </wp:positionV>
            <wp:extent cx="73660" cy="698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1203960</wp:posOffset>
            </wp:positionH>
            <wp:positionV relativeFrom="paragraph">
              <wp:posOffset>-119380</wp:posOffset>
            </wp:positionV>
            <wp:extent cx="73660" cy="698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-19685</wp:posOffset>
            </wp:positionV>
            <wp:extent cx="73660" cy="698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-6350</wp:posOffset>
            </wp:positionV>
            <wp:extent cx="73660" cy="698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1617980</wp:posOffset>
            </wp:positionH>
            <wp:positionV relativeFrom="paragraph">
              <wp:posOffset>-119380</wp:posOffset>
            </wp:positionV>
            <wp:extent cx="73660" cy="698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-19685</wp:posOffset>
            </wp:positionV>
            <wp:extent cx="73660" cy="698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-6350</wp:posOffset>
            </wp:positionV>
            <wp:extent cx="73660" cy="698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1964690</wp:posOffset>
            </wp:positionH>
            <wp:positionV relativeFrom="paragraph">
              <wp:posOffset>-119380</wp:posOffset>
            </wp:positionV>
            <wp:extent cx="73660" cy="698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-19685</wp:posOffset>
            </wp:positionV>
            <wp:extent cx="73660" cy="698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-6350</wp:posOffset>
            </wp:positionV>
            <wp:extent cx="73660" cy="698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2418715</wp:posOffset>
            </wp:positionH>
            <wp:positionV relativeFrom="paragraph">
              <wp:posOffset>-119380</wp:posOffset>
            </wp:positionV>
            <wp:extent cx="73660" cy="698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-19685</wp:posOffset>
            </wp:positionV>
            <wp:extent cx="73660" cy="698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-6350</wp:posOffset>
            </wp:positionV>
            <wp:extent cx="73660" cy="698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2806065</wp:posOffset>
            </wp:positionH>
            <wp:positionV relativeFrom="paragraph">
              <wp:posOffset>-119380</wp:posOffset>
            </wp:positionV>
            <wp:extent cx="73660" cy="698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3660"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-19685</wp:posOffset>
            </wp:positionV>
            <wp:extent cx="66675" cy="698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-6350</wp:posOffset>
            </wp:positionV>
            <wp:extent cx="66675" cy="698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3253105</wp:posOffset>
            </wp:positionH>
            <wp:positionV relativeFrom="paragraph">
              <wp:posOffset>-119380</wp:posOffset>
            </wp:positionV>
            <wp:extent cx="66675" cy="698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-19685</wp:posOffset>
            </wp:positionV>
            <wp:extent cx="66675" cy="698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-6350</wp:posOffset>
            </wp:positionV>
            <wp:extent cx="66675" cy="698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-119380</wp:posOffset>
            </wp:positionV>
            <wp:extent cx="66675" cy="698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-19685</wp:posOffset>
            </wp:positionV>
            <wp:extent cx="66675" cy="698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-6350</wp:posOffset>
            </wp:positionV>
            <wp:extent cx="66675" cy="698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-119380</wp:posOffset>
            </wp:positionV>
            <wp:extent cx="66675" cy="698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-19685</wp:posOffset>
            </wp:positionV>
            <wp:extent cx="66675" cy="698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-6350</wp:posOffset>
            </wp:positionV>
            <wp:extent cx="66675" cy="698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4334510</wp:posOffset>
            </wp:positionH>
            <wp:positionV relativeFrom="paragraph">
              <wp:posOffset>-119380</wp:posOffset>
            </wp:positionV>
            <wp:extent cx="66675" cy="698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-19685</wp:posOffset>
            </wp:positionV>
            <wp:extent cx="66675" cy="698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-6350</wp:posOffset>
            </wp:positionV>
            <wp:extent cx="66675" cy="698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4808855</wp:posOffset>
            </wp:positionH>
            <wp:positionV relativeFrom="paragraph">
              <wp:posOffset>-119380</wp:posOffset>
            </wp:positionV>
            <wp:extent cx="66675" cy="698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-19685</wp:posOffset>
            </wp:positionV>
            <wp:extent cx="66675" cy="698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-6350</wp:posOffset>
            </wp:positionV>
            <wp:extent cx="66675" cy="698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-119380</wp:posOffset>
            </wp:positionV>
            <wp:extent cx="66675" cy="698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-19685</wp:posOffset>
            </wp:positionV>
            <wp:extent cx="66675" cy="698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-6350</wp:posOffset>
            </wp:positionV>
            <wp:extent cx="66675" cy="698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-119380</wp:posOffset>
            </wp:positionV>
            <wp:extent cx="66675" cy="698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-19685</wp:posOffset>
            </wp:positionV>
            <wp:extent cx="66675" cy="698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-6350</wp:posOffset>
            </wp:positionV>
            <wp:extent cx="66675" cy="698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-119380</wp:posOffset>
            </wp:positionV>
            <wp:extent cx="66675" cy="698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-19685</wp:posOffset>
            </wp:positionV>
            <wp:extent cx="66675" cy="69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-6350</wp:posOffset>
            </wp:positionV>
            <wp:extent cx="66675" cy="698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6370955</wp:posOffset>
            </wp:positionH>
            <wp:positionV relativeFrom="paragraph">
              <wp:posOffset>-119380</wp:posOffset>
            </wp:positionV>
            <wp:extent cx="66675" cy="698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-19685</wp:posOffset>
            </wp:positionV>
            <wp:extent cx="66675" cy="698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-6350</wp:posOffset>
            </wp:positionV>
            <wp:extent cx="66675" cy="698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6675" cy="6985"/>
                    </a:xfrm>
                    <a:prstGeom prst="rect">
                      <a:avLst/>
                    </a:prstGeom>
                    <a:noFill/>
                  </pic:spPr>
                </pic:pic>
              </a:graphicData>
            </a:graphic>
          </wp:anchor>
        </w:drawing>
        <w:drawing>
          <wp:anchor simplePos="0" relativeHeight="251657728" behindDoc="1" locked="0" layoutInCell="0" allowOverlap="1">
            <wp:simplePos x="0" y="0"/>
            <wp:positionH relativeFrom="column">
              <wp:posOffset>6844665</wp:posOffset>
            </wp:positionH>
            <wp:positionV relativeFrom="paragraph">
              <wp:posOffset>-119380</wp:posOffset>
            </wp:positionV>
            <wp:extent cx="66675" cy="698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6675" cy="6985"/>
                    </a:xfrm>
                    <a:prstGeom prst="rect">
                      <a:avLst/>
                    </a:prstGeom>
                    <a:noFill/>
                  </pic:spPr>
                </pic:pic>
              </a:graphicData>
            </a:graphic>
          </wp:anchor>
        </w:drawing>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248285</wp:posOffset>
            </wp:positionV>
            <wp:extent cx="7087870"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087870" cy="38735"/>
                    </a:xfrm>
                    <a:prstGeom prst="rect">
                      <a:avLst/>
                    </a:prstGeom>
                    <a:noFill/>
                  </pic:spPr>
                </pic:pic>
              </a:graphicData>
            </a:graphic>
          </wp:anchor>
        </w:drawing>
      </w:r>
    </w:p>
    <w:p>
      <w:pPr>
        <w:sectPr>
          <w:pgSz w:w="11900" w:h="16838" w:orient="portrait"/>
          <w:cols w:equalWidth="0" w:num="1">
            <w:col w:w="10880"/>
          </w:cols>
          <w:pgMar w:left="500" w:top="291" w:right="519" w:bottom="1440" w:gutter="0" w:footer="0" w:header="0"/>
        </w:sectPr>
      </w:pPr>
    </w:p>
    <w:bookmarkStart w:id="233" w:name="page234"/>
    <w:bookmarkEnd w:id="23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AVALYN PHARMA INC.</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66"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80" w:type="dxa"/>
            <w:vAlign w:val="bottom"/>
          </w:tcPr>
          <w:p>
            <w:pPr>
              <w:spacing w:after="0"/>
              <w:rPr>
                <w:sz w:val="11"/>
                <w:szCs w:val="11"/>
                <w:color w:val="auto"/>
              </w:rPr>
            </w:pPr>
          </w:p>
        </w:tc>
        <w:tc>
          <w:tcPr>
            <w:tcW w:w="800" w:type="dxa"/>
            <w:vAlign w:val="bottom"/>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Year Ended</w:t>
            </w:r>
          </w:p>
        </w:tc>
      </w:tr>
      <w:tr>
        <w:trPr>
          <w:trHeight w:val="116"/>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jc w:val="center"/>
              <w:ind w:right="220"/>
              <w:spacing w:after="0" w:line="116" w:lineRule="exact"/>
              <w:rPr>
                <w:sz w:val="20"/>
                <w:szCs w:val="20"/>
                <w:color w:val="auto"/>
              </w:rPr>
            </w:pPr>
            <w:r>
              <w:rPr>
                <w:rFonts w:ascii="Times New Roman" w:cs="Times New Roman" w:eastAsia="Times New Roman" w:hAnsi="Times New Roman"/>
                <w:sz w:val="11"/>
                <w:szCs w:val="11"/>
                <w:b w:val="1"/>
                <w:bCs w:val="1"/>
                <w:color w:val="auto"/>
                <w:w w:val="99"/>
              </w:rPr>
              <w:t>December 31,</w:t>
            </w:r>
          </w:p>
        </w:tc>
        <w:tc>
          <w:tcPr>
            <w:tcW w:w="80" w:type="dxa"/>
            <w:vAlign w:val="bottom"/>
          </w:tcPr>
          <w:p>
            <w:pPr>
              <w:spacing w:after="0"/>
              <w:rPr>
                <w:sz w:val="10"/>
                <w:szCs w:val="10"/>
                <w:color w:val="auto"/>
              </w:rPr>
            </w:pPr>
          </w:p>
        </w:tc>
        <w:tc>
          <w:tcPr>
            <w:tcW w:w="800" w:type="dxa"/>
            <w:vAlign w:val="bottom"/>
          </w:tcPr>
          <w:p>
            <w:pPr>
              <w:jc w:val="center"/>
              <w:ind w:right="71"/>
              <w:spacing w:after="0" w:line="116" w:lineRule="exact"/>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1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w w:val="99"/>
              </w:rPr>
              <w:t>2024</w:t>
            </w:r>
          </w:p>
        </w:tc>
      </w:tr>
      <w:tr>
        <w:trPr>
          <w:trHeight w:val="159"/>
        </w:trPr>
        <w:tc>
          <w:tcPr>
            <w:tcW w:w="20" w:type="dxa"/>
            <w:vAlign w:val="bottom"/>
          </w:tcPr>
          <w:p>
            <w:pPr>
              <w:spacing w:after="0"/>
              <w:rPr>
                <w:sz w:val="13"/>
                <w:szCs w:val="13"/>
                <w:color w:val="auto"/>
              </w:rPr>
            </w:pPr>
          </w:p>
        </w:tc>
        <w:tc>
          <w:tcPr>
            <w:tcW w:w="44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(85,204)</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(49,744)</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168"/>
        </w:trPr>
        <w:tc>
          <w:tcPr>
            <w:tcW w:w="20" w:type="dxa"/>
            <w:vAlign w:val="bottom"/>
          </w:tcPr>
          <w:p>
            <w:pPr>
              <w:spacing w:after="0"/>
              <w:rPr>
                <w:sz w:val="14"/>
                <w:szCs w:val="14"/>
                <w:color w:val="auto"/>
              </w:rPr>
            </w:pPr>
          </w:p>
        </w:tc>
        <w:tc>
          <w:tcPr>
            <w:tcW w:w="44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operating lease expense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2,471</w:t>
            </w:r>
          </w:p>
        </w:tc>
      </w:tr>
      <w:tr>
        <w:trPr>
          <w:trHeight w:val="153"/>
        </w:trPr>
        <w:tc>
          <w:tcPr>
            <w:tcW w:w="20" w:type="dxa"/>
            <w:vAlign w:val="bottom"/>
          </w:tcPr>
          <w:p>
            <w:pPr>
              <w:spacing w:after="0"/>
              <w:rPr>
                <w:sz w:val="13"/>
                <w:szCs w:val="13"/>
                <w:color w:val="auto"/>
              </w:rPr>
            </w:pPr>
          </w:p>
        </w:tc>
        <w:tc>
          <w:tcPr>
            <w:tcW w:w="4420" w:type="dxa"/>
            <w:vAlign w:val="bottom"/>
          </w:tcPr>
          <w:p>
            <w:pPr>
              <w:ind w:left="260"/>
              <w:spacing w:after="0" w:line="153" w:lineRule="exact"/>
              <w:rPr>
                <w:sz w:val="20"/>
                <w:szCs w:val="20"/>
                <w:color w:val="auto"/>
              </w:rPr>
            </w:pPr>
            <w:r>
              <w:rPr>
                <w:rFonts w:ascii="Times New Roman" w:cs="Times New Roman" w:eastAsia="Times New Roman" w:hAnsi="Times New Roman"/>
                <w:sz w:val="14"/>
                <w:szCs w:val="14"/>
                <w:color w:val="auto"/>
              </w:rPr>
              <w:t>Amortization and accretion of premiums/discounts on marketable</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4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securities</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(2,353)</w:t>
            </w: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(1,185)</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3,395</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Other assets</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(450)</w:t>
            </w: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(1,488)</w:t>
            </w:r>
          </w:p>
        </w:tc>
      </w:tr>
      <w:tr>
        <w:trPr>
          <w:trHeight w:val="168"/>
        </w:trPr>
        <w:tc>
          <w:tcPr>
            <w:tcW w:w="20" w:type="dxa"/>
            <w:vAlign w:val="bottom"/>
          </w:tcPr>
          <w:p>
            <w:pPr>
              <w:spacing w:after="0"/>
              <w:rPr>
                <w:sz w:val="14"/>
                <w:szCs w:val="14"/>
                <w:color w:val="auto"/>
              </w:rPr>
            </w:pPr>
          </w:p>
        </w:tc>
        <w:tc>
          <w:tcPr>
            <w:tcW w:w="44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Litigation liability</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(4,000)</w:t>
            </w:r>
          </w:p>
        </w:tc>
      </w:tr>
      <w:tr>
        <w:trPr>
          <w:trHeight w:val="168"/>
        </w:trPr>
        <w:tc>
          <w:tcPr>
            <w:tcW w:w="20" w:type="dxa"/>
            <w:vAlign w:val="bottom"/>
          </w:tcPr>
          <w:p>
            <w:pPr>
              <w:spacing w:after="0"/>
              <w:rPr>
                <w:sz w:val="14"/>
                <w:szCs w:val="14"/>
                <w:color w:val="auto"/>
              </w:rPr>
            </w:pPr>
          </w:p>
        </w:tc>
        <w:tc>
          <w:tcPr>
            <w:tcW w:w="442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Accrued liabilities</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3,279</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Operating lease liability</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20"/>
        </w:trPr>
        <w:tc>
          <w:tcPr>
            <w:tcW w:w="2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tcBorders>
              <w:right w:val="single" w:sz="8" w:color="CFF0FC"/>
            </w:tcBorders>
            <w:shd w:val="clear" w:color="auto" w:fill="000000"/>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4420" w:type="dxa"/>
            <w:vAlign w:val="bottom"/>
          </w:tcPr>
          <w:p>
            <w:pPr>
              <w:ind w:left="540"/>
              <w:spacing w:after="0" w:line="159"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(81,484)</w:t>
            </w: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(48,368)</w:t>
            </w:r>
          </w:p>
        </w:tc>
      </w:tr>
      <w:tr>
        <w:trPr>
          <w:trHeight w:val="159"/>
        </w:trPr>
        <w:tc>
          <w:tcPr>
            <w:tcW w:w="20" w:type="dxa"/>
            <w:vAlign w:val="bottom"/>
          </w:tcPr>
          <w:p>
            <w:pPr>
              <w:spacing w:after="0"/>
              <w:rPr>
                <w:sz w:val="13"/>
                <w:szCs w:val="13"/>
                <w:color w:val="auto"/>
              </w:rPr>
            </w:pPr>
          </w:p>
        </w:tc>
        <w:tc>
          <w:tcPr>
            <w:tcW w:w="44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INVESTING ACTIVITIES:</w:t>
            </w:r>
          </w:p>
        </w:tc>
        <w:tc>
          <w:tcPr>
            <w:tcW w:w="22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800" w:type="dxa"/>
            <w:vAlign w:val="bottom"/>
            <w:tcBorders>
              <w:top w:val="single" w:sz="8" w:color="auto"/>
              <w:right w:val="single" w:sz="8" w:color="CFF0FC"/>
            </w:tcBorders>
            <w:shd w:val="clear" w:color="auto" w:fill="CFF0FC"/>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(344)</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40" w:type="dxa"/>
            <w:vAlign w:val="bottom"/>
            <w:tcBorders>
              <w:right w:val="single" w:sz="8" w:color="CFF0FC"/>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(109,299)</w:t>
            </w: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(131,379)</w:t>
            </w:r>
          </w:p>
        </w:tc>
      </w:tr>
      <w:tr>
        <w:trPr>
          <w:trHeight w:val="168"/>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119,700</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40,000</w:t>
            </w:r>
          </w:p>
        </w:tc>
      </w:tr>
      <w:tr>
        <w:trPr>
          <w:trHeight w:val="159"/>
        </w:trPr>
        <w:tc>
          <w:tcPr>
            <w:tcW w:w="20" w:type="dxa"/>
            <w:vAlign w:val="bottom"/>
          </w:tcPr>
          <w:p>
            <w:pPr>
              <w:spacing w:after="0"/>
              <w:rPr>
                <w:sz w:val="13"/>
                <w:szCs w:val="13"/>
                <w:color w:val="auto"/>
              </w:rPr>
            </w:pPr>
          </w:p>
        </w:tc>
        <w:tc>
          <w:tcPr>
            <w:tcW w:w="4420" w:type="dxa"/>
            <w:vAlign w:val="bottom"/>
            <w:shd w:val="clear" w:color="auto" w:fill="CFF0FC"/>
          </w:tcPr>
          <w:p>
            <w:pPr>
              <w:ind w:left="540"/>
              <w:spacing w:after="0" w:line="159" w:lineRule="exact"/>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10,057</w:t>
            </w: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(91,474)</w:t>
            </w:r>
          </w:p>
        </w:tc>
      </w:tr>
      <w:tr>
        <w:trPr>
          <w:trHeight w:val="159"/>
        </w:trPr>
        <w:tc>
          <w:tcPr>
            <w:tcW w:w="20" w:type="dxa"/>
            <w:vAlign w:val="bottom"/>
          </w:tcPr>
          <w:p>
            <w:pPr>
              <w:spacing w:after="0"/>
              <w:rPr>
                <w:sz w:val="13"/>
                <w:szCs w:val="13"/>
                <w:color w:val="auto"/>
              </w:rPr>
            </w:pPr>
          </w:p>
        </w:tc>
        <w:tc>
          <w:tcPr>
            <w:tcW w:w="4420" w:type="dxa"/>
            <w:vAlign w:val="bottom"/>
            <w:tcBorders>
              <w:top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b w:val="1"/>
                <w:bCs w:val="1"/>
                <w:color w:val="auto"/>
              </w:rPr>
              <w:t>FINANCING ACTIVITIES:</w:t>
            </w:r>
          </w:p>
        </w:tc>
        <w:tc>
          <w:tcPr>
            <w:tcW w:w="2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w:t>
            </w:r>
          </w:p>
        </w:tc>
      </w:tr>
      <w:tr>
        <w:trPr>
          <w:trHeight w:val="168"/>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of issuance costs related to Series C-1 preferred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the issuance of Series D preferred stock</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100,363</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Payments of issuance costs related to Series D preferred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(594)</w:t>
            </w:r>
          </w:p>
        </w:tc>
        <w:tc>
          <w:tcPr>
            <w:tcW w:w="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20" w:type="dxa"/>
            <w:vAlign w:val="bottom"/>
          </w:tcPr>
          <w:p>
            <w:pPr>
              <w:spacing w:after="0"/>
              <w:rPr>
                <w:sz w:val="13"/>
                <w:szCs w:val="13"/>
                <w:color w:val="auto"/>
              </w:rPr>
            </w:pPr>
          </w:p>
        </w:tc>
        <w:tc>
          <w:tcPr>
            <w:tcW w:w="4420" w:type="dxa"/>
            <w:vAlign w:val="bottom"/>
            <w:tcBorders>
              <w:bottom w:val="single" w:sz="8" w:color="CFF0FC"/>
            </w:tcBorders>
            <w:shd w:val="clear" w:color="auto" w:fill="CFF0FC"/>
          </w:tcPr>
          <w:p>
            <w:pPr>
              <w:ind w:left="540"/>
              <w:spacing w:after="0" w:line="159"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2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2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99,787</w:t>
            </w:r>
          </w:p>
        </w:tc>
        <w:tc>
          <w:tcPr>
            <w:tcW w:w="120" w:type="dxa"/>
            <w:vAlign w:val="bottom"/>
            <w:tcBorders>
              <w:bottom w:val="single" w:sz="8" w:color="CFF0FC"/>
              <w:right w:val="single" w:sz="8" w:color="CFF0FC"/>
            </w:tcBorders>
            <w:shd w:val="clear" w:color="auto" w:fill="CFF0FC"/>
          </w:tcPr>
          <w:p>
            <w:pPr>
              <w:spacing w:after="0"/>
              <w:rPr>
                <w:sz w:val="13"/>
                <w:szCs w:val="13"/>
                <w:color w:val="auto"/>
              </w:rPr>
            </w:pPr>
          </w:p>
        </w:tc>
        <w:tc>
          <w:tcPr>
            <w:tcW w:w="80" w:type="dxa"/>
            <w:vAlign w:val="bottom"/>
            <w:tcBorders>
              <w:top w:val="single" w:sz="8" w:color="auto"/>
              <w:bottom w:val="single" w:sz="8" w:color="auto"/>
            </w:tcBorders>
            <w:shd w:val="clear" w:color="auto" w:fill="CFF0FC"/>
          </w:tcPr>
          <w:p>
            <w:pPr>
              <w:spacing w:after="0"/>
              <w:rPr>
                <w:sz w:val="13"/>
                <w:szCs w:val="13"/>
                <w:color w:val="auto"/>
              </w:rPr>
            </w:pPr>
          </w:p>
        </w:tc>
        <w:tc>
          <w:tcPr>
            <w:tcW w:w="800" w:type="dxa"/>
            <w:vAlign w:val="bottom"/>
            <w:tcBorders>
              <w:top w:val="single" w:sz="8" w:color="auto"/>
              <w:bottom w:val="single" w:sz="8" w:color="auto"/>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89</w:t>
            </w:r>
          </w:p>
        </w:tc>
      </w:tr>
      <w:tr>
        <w:trPr>
          <w:trHeight w:val="159"/>
        </w:trPr>
        <w:tc>
          <w:tcPr>
            <w:tcW w:w="20" w:type="dxa"/>
            <w:vAlign w:val="bottom"/>
          </w:tcPr>
          <w:p>
            <w:pPr>
              <w:spacing w:after="0"/>
              <w:rPr>
                <w:sz w:val="13"/>
                <w:szCs w:val="13"/>
                <w:color w:val="auto"/>
              </w:rPr>
            </w:pPr>
          </w:p>
        </w:tc>
        <w:tc>
          <w:tcPr>
            <w:tcW w:w="44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INCREASE (DECREASE) IN CASH AND CASH EQUIVALENTS</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28,360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(139,753)</w:t>
            </w: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0" w:type="dxa"/>
            <w:vAlign w:val="bottom"/>
            <w:tcBorders>
              <w:right w:val="single" w:sz="8" w:color="CFF0FC"/>
            </w:tcBorders>
            <w:shd w:val="clear" w:color="auto" w:fill="CFF0FC"/>
          </w:tcPr>
          <w:p>
            <w:pPr>
              <w:spacing w:after="0"/>
              <w:rPr>
                <w:sz w:val="14"/>
                <w:szCs w:val="14"/>
                <w:color w:val="auto"/>
              </w:rPr>
            </w:pPr>
          </w:p>
        </w:tc>
      </w:tr>
      <w:tr>
        <w:trPr>
          <w:trHeight w:val="168"/>
        </w:trPr>
        <w:tc>
          <w:tcPr>
            <w:tcW w:w="20" w:type="dxa"/>
            <w:vAlign w:val="bottom"/>
          </w:tcPr>
          <w:p>
            <w:pPr>
              <w:spacing w:after="0"/>
              <w:rPr>
                <w:sz w:val="14"/>
                <w:szCs w:val="14"/>
                <w:color w:val="auto"/>
              </w:rPr>
            </w:pPr>
          </w:p>
        </w:tc>
        <w:tc>
          <w:tcPr>
            <w:tcW w:w="44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Beginning of year</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23,955</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163,708</w:t>
            </w:r>
          </w:p>
        </w:tc>
      </w:tr>
      <w:tr>
        <w:trPr>
          <w:trHeight w:val="199"/>
        </w:trPr>
        <w:tc>
          <w:tcPr>
            <w:tcW w:w="20" w:type="dxa"/>
            <w:vAlign w:val="bottom"/>
          </w:tcPr>
          <w:p>
            <w:pPr>
              <w:spacing w:after="0"/>
              <w:rPr>
                <w:sz w:val="17"/>
                <w:szCs w:val="17"/>
                <w:color w:val="auto"/>
              </w:rPr>
            </w:pPr>
          </w:p>
        </w:tc>
        <w:tc>
          <w:tcPr>
            <w:tcW w:w="4420" w:type="dxa"/>
            <w:vAlign w:val="bottom"/>
            <w:shd w:val="clear" w:color="auto" w:fill="CFF0FC"/>
          </w:tcPr>
          <w:p>
            <w:pPr>
              <w:ind w:left="120"/>
              <w:spacing w:after="0" w:line="159" w:lineRule="exact"/>
              <w:rPr>
                <w:sz w:val="20"/>
                <w:szCs w:val="20"/>
                <w:color w:val="auto"/>
              </w:rPr>
            </w:pPr>
            <w:r>
              <w:rPr>
                <w:rFonts w:ascii="Times New Roman" w:cs="Times New Roman" w:eastAsia="Times New Roman" w:hAnsi="Times New Roman"/>
                <w:sz w:val="14"/>
                <w:szCs w:val="14"/>
                <w:color w:val="auto"/>
              </w:rPr>
              <w:t>End of year</w:t>
            </w:r>
          </w:p>
        </w:tc>
        <w:tc>
          <w:tcPr>
            <w:tcW w:w="30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52,315</w:t>
            </w:r>
          </w:p>
        </w:tc>
        <w:tc>
          <w:tcPr>
            <w:tcW w:w="120" w:type="dxa"/>
            <w:vAlign w:val="bottom"/>
            <w:tcBorders>
              <w:right w:val="single" w:sz="8" w:color="CFF0FC"/>
            </w:tcBorders>
            <w:shd w:val="clear" w:color="auto" w:fill="CFF0FC"/>
          </w:tcPr>
          <w:p>
            <w:pPr>
              <w:spacing w:after="0"/>
              <w:rPr>
                <w:sz w:val="17"/>
                <w:szCs w:val="17"/>
                <w:color w:val="auto"/>
              </w:rPr>
            </w:pPr>
          </w:p>
        </w:tc>
        <w:tc>
          <w:tcPr>
            <w:tcW w:w="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23,955</w:t>
            </w:r>
          </w:p>
        </w:tc>
      </w:tr>
      <w:tr>
        <w:trPr>
          <w:trHeight w:val="140"/>
        </w:trPr>
        <w:tc>
          <w:tcPr>
            <w:tcW w:w="20" w:type="dxa"/>
            <w:vAlign w:val="bottom"/>
          </w:tcPr>
          <w:p>
            <w:pPr>
              <w:spacing w:after="0"/>
              <w:rPr>
                <w:sz w:val="12"/>
                <w:szCs w:val="12"/>
                <w:color w:val="auto"/>
              </w:rPr>
            </w:pPr>
          </w:p>
        </w:tc>
        <w:tc>
          <w:tcPr>
            <w:tcW w:w="4420" w:type="dxa"/>
            <w:vAlign w:val="bottom"/>
            <w:tcBorders>
              <w:top w:val="single" w:sz="8" w:color="CFF0FC"/>
            </w:tcBorders>
          </w:tcPr>
          <w:p>
            <w:pPr>
              <w:spacing w:after="0" w:line="140" w:lineRule="exact"/>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4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Right-of use asset obtained in exchange for new operating lease liability</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1,676</w:t>
            </w:r>
          </w:p>
        </w:tc>
        <w:tc>
          <w:tcPr>
            <w:tcW w:w="12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3"/>
        </w:trPr>
        <w:tc>
          <w:tcPr>
            <w:tcW w:w="20" w:type="dxa"/>
            <w:vAlign w:val="bottom"/>
          </w:tcPr>
          <w:p>
            <w:pPr>
              <w:spacing w:after="0"/>
              <w:rPr>
                <w:sz w:val="13"/>
                <w:szCs w:val="13"/>
                <w:color w:val="auto"/>
              </w:rPr>
            </w:pPr>
          </w:p>
        </w:tc>
        <w:tc>
          <w:tcPr>
            <w:tcW w:w="4420" w:type="dxa"/>
            <w:vAlign w:val="bottom"/>
          </w:tcPr>
          <w:p>
            <w:pPr>
              <w:ind w:left="120"/>
              <w:spacing w:after="0" w:line="153" w:lineRule="exact"/>
              <w:rPr>
                <w:sz w:val="20"/>
                <w:szCs w:val="20"/>
                <w:color w:val="auto"/>
              </w:rPr>
            </w:pPr>
            <w:r>
              <w:rPr>
                <w:rFonts w:ascii="Times New Roman" w:cs="Times New Roman" w:eastAsia="Times New Roman" w:hAnsi="Times New Roman"/>
                <w:sz w:val="14"/>
                <w:szCs w:val="14"/>
                <w:color w:val="auto"/>
              </w:rPr>
              <w:t>Deferred offering costs included in accounts payable and accrued</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4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expenses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54"/>
        </w:trPr>
        <w:tc>
          <w:tcPr>
            <w:tcW w:w="20" w:type="dxa"/>
            <w:vAlign w:val="bottom"/>
          </w:tcPr>
          <w:p>
            <w:pPr>
              <w:spacing w:after="0"/>
              <w:rPr>
                <w:sz w:val="13"/>
                <w:szCs w:val="13"/>
                <w:color w:val="auto"/>
              </w:rPr>
            </w:pPr>
          </w:p>
        </w:tc>
        <w:tc>
          <w:tcPr>
            <w:tcW w:w="4420" w:type="dxa"/>
            <w:vAlign w:val="bottom"/>
            <w:shd w:val="clear" w:color="auto" w:fill="CFF0FC"/>
          </w:tcPr>
          <w:p>
            <w:pPr>
              <w:ind w:left="120"/>
              <w:spacing w:after="0" w:line="153"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120" w:type="dxa"/>
            <w:vAlign w:val="bottom"/>
            <w:tcBorders>
              <w:right w:val="single" w:sz="8" w:color="CFF0FC"/>
            </w:tcBorders>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0" w:type="dxa"/>
            <w:vAlign w:val="bottom"/>
            <w:tcBorders>
              <w:right w:val="single" w:sz="8" w:color="CFF0FC"/>
            </w:tcBorders>
            <w:shd w:val="clear" w:color="auto" w:fill="CFF0FC"/>
          </w:tcPr>
          <w:p>
            <w:pPr>
              <w:spacing w:after="0"/>
              <w:rPr>
                <w:sz w:val="13"/>
                <w:szCs w:val="13"/>
                <w:color w:val="auto"/>
              </w:rPr>
            </w:pPr>
          </w:p>
        </w:tc>
      </w:tr>
      <w:tr>
        <w:trPr>
          <w:trHeight w:val="183"/>
        </w:trPr>
        <w:tc>
          <w:tcPr>
            <w:tcW w:w="20" w:type="dxa"/>
            <w:vAlign w:val="bottom"/>
          </w:tcPr>
          <w:p>
            <w:pPr>
              <w:spacing w:after="0"/>
              <w:rPr>
                <w:sz w:val="15"/>
                <w:szCs w:val="15"/>
                <w:color w:val="auto"/>
              </w:rPr>
            </w:pPr>
          </w:p>
        </w:tc>
        <w:tc>
          <w:tcPr>
            <w:tcW w:w="442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accrued expenses</w:t>
            </w:r>
          </w:p>
        </w:tc>
        <w:tc>
          <w:tcPr>
            <w:tcW w:w="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20" w:type="dxa"/>
            <w:vAlign w:val="bottom"/>
            <w:tcBorders>
              <w:right w:val="single" w:sz="8" w:color="CFF0FC"/>
            </w:tcBorders>
            <w:shd w:val="clear" w:color="auto" w:fill="CFF0FC"/>
          </w:tcPr>
          <w:p>
            <w:pPr>
              <w:spacing w:after="0"/>
              <w:rPr>
                <w:sz w:val="15"/>
                <w:szCs w:val="15"/>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-2415540</wp:posOffset>
            </wp:positionV>
            <wp:extent cx="40005" cy="698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-2415540</wp:posOffset>
            </wp:positionV>
            <wp:extent cx="40005" cy="698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-1755140</wp:posOffset>
            </wp:positionV>
            <wp:extent cx="40005" cy="698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-1755140</wp:posOffset>
            </wp:positionV>
            <wp:extent cx="40005" cy="698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-1101090</wp:posOffset>
            </wp:positionV>
            <wp:extent cx="40005" cy="698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-1101090</wp:posOffset>
            </wp:positionV>
            <wp:extent cx="40005" cy="698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-660400</wp:posOffset>
            </wp:positionV>
            <wp:extent cx="40005" cy="698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-647065</wp:posOffset>
            </wp:positionV>
            <wp:extent cx="40005" cy="698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-660400</wp:posOffset>
            </wp:positionV>
            <wp:extent cx="40005" cy="698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4906010</wp:posOffset>
            </wp:positionH>
            <wp:positionV relativeFrom="paragraph">
              <wp:posOffset>-647065</wp:posOffset>
            </wp:positionV>
            <wp:extent cx="40005" cy="698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4" w:name="page235"/>
    <w:bookmarkEnd w:id="23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AVALYN PHARMA INC.</w:t>
      </w:r>
    </w:p>
    <w:p>
      <w:pPr>
        <w:spacing w:after="0" w:line="2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NOTES TO THE CONSOLIDATED FINANCIAL STATEMENTS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AS OF AND FOR THE YEARS ENDED DECEMBER 31, 2025 AND 2024</w:t>
      </w:r>
    </w:p>
    <w:p>
      <w:pPr>
        <w:spacing w:after="0" w:line="159" w:lineRule="exact"/>
        <w:rPr>
          <w:sz w:val="20"/>
          <w:szCs w:val="20"/>
          <w:color w:val="auto"/>
        </w:rPr>
      </w:pPr>
    </w:p>
    <w:p>
      <w:pPr>
        <w:ind w:left="1560" w:hanging="336"/>
        <w:spacing w:after="0"/>
        <w:tabs>
          <w:tab w:leader="none" w:pos="1560" w:val="left"/>
        </w:tabs>
        <w:numPr>
          <w:ilvl w:val="0"/>
          <w:numId w:val="13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Description of Business</w:t>
      </w:r>
    </w:p>
    <w:p>
      <w:pPr>
        <w:spacing w:after="0" w:line="93" w:lineRule="exact"/>
        <w:rPr>
          <w:sz w:val="20"/>
          <w:szCs w:val="20"/>
          <w:color w:val="auto"/>
        </w:rPr>
      </w:pPr>
    </w:p>
    <w:p>
      <w:pPr>
        <w:ind w:left="1220" w:right="1299" w:firstLine="333"/>
        <w:spacing w:after="0" w:line="261" w:lineRule="auto"/>
        <w:rPr>
          <w:sz w:val="20"/>
          <w:szCs w:val="20"/>
          <w:color w:val="auto"/>
        </w:rPr>
      </w:pPr>
      <w:r>
        <w:rPr>
          <w:rFonts w:ascii="Times New Roman" w:cs="Times New Roman" w:eastAsia="Times New Roman" w:hAnsi="Times New Roman"/>
          <w:sz w:val="14"/>
          <w:szCs w:val="14"/>
          <w:color w:val="auto"/>
        </w:rPr>
        <w:t>Avalyn Pharma Inc. (the “Company” or “Avalyn”), is a clinical-stage biopharmaceutical company developing inhaled medicines to treat rare respiratory diseases, including progressive pulmonary fibrosis, idiopathic pulmonary fibrosis, and other interstitial lung diseases. The Company was incorporated in the state of Delaware on May 27, 2011, and has its headquarters in Boston, Massachusetts.</w:t>
      </w:r>
    </w:p>
    <w:p>
      <w:pPr>
        <w:spacing w:after="0" w:line="141" w:lineRule="exact"/>
        <w:rPr>
          <w:sz w:val="20"/>
          <w:szCs w:val="20"/>
          <w:color w:val="auto"/>
        </w:rPr>
      </w:pPr>
    </w:p>
    <w:p>
      <w:pPr>
        <w:ind w:left="1220" w:right="1439" w:firstLine="333"/>
        <w:spacing w:after="0" w:line="283" w:lineRule="auto"/>
        <w:rPr>
          <w:sz w:val="20"/>
          <w:szCs w:val="20"/>
          <w:color w:val="auto"/>
        </w:rPr>
      </w:pPr>
      <w:r>
        <w:rPr>
          <w:rFonts w:ascii="Times New Roman" w:cs="Times New Roman" w:eastAsia="Times New Roman" w:hAnsi="Times New Roman"/>
          <w:sz w:val="14"/>
          <w:szCs w:val="14"/>
          <w:color w:val="auto"/>
        </w:rPr>
        <w:t>As used in these consolidated financial statements, unless the context otherwise requires, references to the “Company” or “Avalyn,” refer to Avalyn Pharma Inc. and its wholly owned subsidiary, Avalyn Pharma Pty. Ltd.</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Risks and Uncertainties</w:t>
      </w:r>
    </w:p>
    <w:p>
      <w:pPr>
        <w:spacing w:after="0" w:line="93" w:lineRule="exact"/>
        <w:rPr>
          <w:sz w:val="20"/>
          <w:szCs w:val="20"/>
          <w:color w:val="auto"/>
        </w:rPr>
      </w:pPr>
    </w:p>
    <w:p>
      <w:pPr>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Company is subject to the risks and challenges associated with other biopharmaceutical companies at a similar stage of development, including dependence on key individuals, successful development of its products and services, dependence on key vendors, compliance with government regulations, protection of proprietary technology, competition from substitute products and services and larger companies which have greater financial resources, technical management, and the ability to secure adequate financing to support future growth. There can be no assurance that any future products or services can be developed or manufactured at an acceptable cost and with appropriate performance characteristics, or that such products or services will be successfully marketed, if at all. These factors could have a material adverse effect on the Company’s future operating results, financial position and cash flow.</w:t>
      </w:r>
    </w:p>
    <w:p>
      <w:pPr>
        <w:spacing w:after="0" w:line="149"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Existing or future products developed by the Company will require approvals or clearances from the U.S. Food and Drug Administration (“the FDA”) or other similar international regulatory agencies prior to commercial sales. If the Company were denied or delayed in receiving such approvals or clearances, it would have a material adverse effect on the Company.</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Going Concern</w:t>
      </w:r>
    </w:p>
    <w:p>
      <w:pPr>
        <w:spacing w:after="0" w:line="93" w:lineRule="exact"/>
        <w:rPr>
          <w:sz w:val="20"/>
          <w:szCs w:val="20"/>
          <w:color w:val="auto"/>
        </w:rPr>
      </w:pPr>
    </w:p>
    <w:p>
      <w:pPr>
        <w:jc w:val="both"/>
        <w:ind w:left="1220" w:right="1339" w:firstLine="368"/>
        <w:spacing w:after="0" w:line="267" w:lineRule="auto"/>
        <w:rPr>
          <w:sz w:val="20"/>
          <w:szCs w:val="20"/>
          <w:color w:val="auto"/>
        </w:rPr>
      </w:pPr>
      <w:r>
        <w:rPr>
          <w:rFonts w:ascii="Times New Roman" w:cs="Times New Roman" w:eastAsia="Times New Roman" w:hAnsi="Times New Roman"/>
          <w:sz w:val="14"/>
          <w:szCs w:val="14"/>
          <w:color w:val="auto"/>
        </w:rPr>
        <w:t>The Company has evaluated whether there are conditions and events, considered in the aggregate, that raise substantial doubt about the Company’s ability to continue as a going concern within one year after the date that the consolidated financial statements are issued.</w:t>
      </w:r>
    </w:p>
    <w:p>
      <w:pPr>
        <w:spacing w:after="0" w:line="13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Since its inception, the Company has funded its operations with proceeds from convertible notes, and with proceeds from the issuance of Series A, Series B, Series C-1, and Series D preferred stock. The Company has incurred net losses, and utilized cash, cash equivalents, and marketable securities in operations since inception, has an accumulated deficit as of December 31, 2025 of $265.4 million, and expects to incur future additional losses. As of December 31, 2025, the Company had cash, cash equivalents, and marketable securities of $138.4 million. We determined that our existing cash, cash equivalents, and marketable securities along with the $15.0 million borrowed under the $30.0 million loan and security agreement (see Note 16) will be sufficient to fund the Company’s operating expenses and capital expenditures requirements for at least 12 months from the issuance date of these consolidated financial statements. The consolidated financial statements do not include any adjustments that might result from the outcome of these uncertainties.</w:t>
      </w:r>
    </w:p>
    <w:p>
      <w:pPr>
        <w:spacing w:after="0" w:line="229" w:lineRule="exact"/>
        <w:rPr>
          <w:sz w:val="20"/>
          <w:szCs w:val="20"/>
          <w:color w:val="auto"/>
        </w:rPr>
      </w:pPr>
    </w:p>
    <w:p>
      <w:pPr>
        <w:ind w:left="1560" w:right="4799" w:hanging="336"/>
        <w:spacing w:after="0" w:line="377" w:lineRule="auto"/>
        <w:tabs>
          <w:tab w:leader="none" w:pos="1560" w:val="left"/>
        </w:tabs>
        <w:numPr>
          <w:ilvl w:val="0"/>
          <w:numId w:val="1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Summary Of Significant Accounting Policies </w:t>
      </w:r>
      <w:r>
        <w:rPr>
          <w:rFonts w:ascii="Times New Roman" w:cs="Times New Roman" w:eastAsia="Times New Roman" w:hAnsi="Times New Roman"/>
          <w:sz w:val="14"/>
          <w:szCs w:val="14"/>
          <w:b w:val="1"/>
          <w:bCs w:val="1"/>
          <w:i w:val="1"/>
          <w:iCs w:val="1"/>
          <w:color w:val="auto"/>
        </w:rPr>
        <w:t>Principles of Consolidation</w:t>
      </w:r>
    </w:p>
    <w:p>
      <w:pPr>
        <w:spacing w:after="0" w:line="1"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consolidated financial statements include the accounts of Avalyn Pharma Inc. and its wholly owned subsidiary, Avalyn Pharma Pty. Ltd. All intercompany accounts and transactions have been eliminated in</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5" w:name="page236"/>
    <w:bookmarkEnd w:id="23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consolidation. The consolidated financial statements have been prepared in conformity with accounting principles generally accepted in the United States of America (“U.S. GAAP”).</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U.S. GAAP requires management to make estimates and assumptions that affect the reported amounts of assets and liabilities and disclosure of contingent assets and liabilities at the date of the financial statements and the reported amounts of income and expense during the reporting period. The Company bases its estimates on historical experience and various other assumptions that management believes to be reasonable under the circumstances. Management evaluates its estimates and assumptions on an ongoing basis. Changes in estimates are recorded in the period in which they become known. Significant estimates and assumptions relied upon in preparing these financial statements include, but are not limited to, research and development expenses and related prepaid or accrued costs, and the valuation of common stock and related stock-based compensation expense. The Company’s actual results may differ from these estimates under different assumptions or conditions.</w:t>
      </w:r>
    </w:p>
    <w:p>
      <w:pPr>
        <w:spacing w:after="0" w:line="22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Loss Contingencies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Company may be involved in legal proceedings, claims and regulatory, tax or governmental inquiries, and investigations that arise in the ordinary course of business resulting in loss contingencies. Loss contingencies are accrued when losses become probable and are reasonably estimable. If the reasonable estimate of the loss is a range and no amount within the range is a better estimate, the minimum amount of the range is recorded as a liability. The Company does not accrue contingent losses that, in its judgment, are considered reasonably possible, but not probable; however, the range of such reasonably possible losses would be disclosed. Loss contingencies considered remote are generally not disclosed.</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Fair Value Measurements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Company determines the fair value of financial and non-financial assets and liabilities that are recognized or disclosed at fair value using the fair value hierarchy, which establishes three levels of inputs that may be used to measure fair value, as follows:</w:t>
      </w:r>
    </w:p>
    <w:p>
      <w:pPr>
        <w:spacing w:after="0" w:line="51" w:lineRule="exact"/>
        <w:rPr>
          <w:sz w:val="20"/>
          <w:szCs w:val="20"/>
          <w:color w:val="auto"/>
        </w:rPr>
      </w:pPr>
    </w:p>
    <w:p>
      <w:pPr>
        <w:ind w:left="1880" w:hanging="323"/>
        <w:spacing w:after="0"/>
        <w:tabs>
          <w:tab w:leader="none" w:pos="18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1: Inputs which include quoted prices in active markets for identical assets and liabilities.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2: Inputs other than Level 1 inputs that are either directly or indirectly observable, such as quoted market prices, interest rates and yield curves.</w:t>
      </w:r>
    </w:p>
    <w:p>
      <w:pPr>
        <w:spacing w:after="0" w:line="40"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3: Unobservable inputs that are supported by little or no market activity and that are significant to the fair value of the assets or liabilities.</w:t>
      </w:r>
    </w:p>
    <w:p>
      <w:pPr>
        <w:spacing w:after="0" w:line="12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Company’s cash, cash equivalents and marketable securities are carried at fair value, determined according to the fair value hierarchy described above. For additional information on the Company’s fair value hierarchy, refer to Note 4, Fair Value Measurements. The carrying amounts of the Company’s prepaid expenses and other current assets, accounts payable, and accrued liabilities approximate their fair values due to their short-term nature.</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Company’s reporting currency is the U.S. dollar. The functional currency of the Company’s foreign subsidiary is the U.S. dollar since the U.S. dollar is the currency of the principal economic environment in which the Company’s foreign subsidiary operates. Consequently, all assets and liabilities of the subsidiary are recorded in U.S. dollars. Foreign currency gains and losses arising from transactions denominated in a currency other than the functional currency of the entity involved are included within other income (expense) as a foreign currency gain (loss) in the consolidated statements of comprehensive loss. Foreign currency transaction gains or losses for the years ended December 31, 2025 and 2024 were immaterial.</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6" w:name="page237"/>
    <w:bookmarkEnd w:id="23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Comprehensive Income (Loss)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Comprehensive loss consists of two components, net loss and other comprehensive income, net of tax. Other comprehensive income, net of tax, refers to revenue, expenses, gains, and losses that, under U.S. GAAP, are recorded as an element of equity but are excluded from net loss. For the years ended December 31, 2025 and 2024, the Company’s only element of other comprehensive income is unrealized gains and losses on its marketable securities.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Cash and Cash Equivalents</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Company considers all highly liquid investments with an original maturity of three months or less when purchased to be cash equivalents. Cash and cash equivalents consist of cash deposited with banks and funds invested in readily available money market accounts. The carrying amount of cash equivalents invested in money market accounts was $16.2 million of the total $52.3 million cash and cash equivalents as of December 31, 2025. The money market accounts are valued using quoted market prices with no valuation adjustments applied and are categorized as a Level 1 financial asset.</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Marketable Securities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As of December 31, 2025, the Company classifies marketable securities with a remaining maturity greater than three months at the time of purchase and less than one year from the balance sheet date as current. Marketable securities would be classified as noncurrent assets on the consolidated balance sheets if the remaining maturity exceeded one year, and the Company did not intend to utilize the marketable securities to fund current operations.</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Company classifies all of its investments in marketable securities as available-for-sale securities. Accordingly, these investments are recorded at fair value. Realized gains and losses and amortization and accretion of discounts and premiums are included in interest income, which is a component of other income (expense) in the consolidated statements of comprehensive loss. Unrealized gain and losses on available-for-sale securities are included in accumulated other comprehensive income as a component of stockholders’ deficit until realized.</w:t>
      </w:r>
    </w:p>
    <w:p>
      <w:pPr>
        <w:spacing w:after="0" w:line="144"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At each balance sheet date, the Company assesses available-for-sale securities in an unrealized loss position to determine whether the unrealized loss or any potential credit losses should be recognized in the consolidated statements of comprehensive loss. The Company evaluates whether it intends to sell, or it is more likely than not that it will be required to sell the security before recovery of its amortized cost basis. The Company also evaluates whether the decline in fair value has resulted from credit losses or other factors. In making this assessment, the Company considers the severity of the impairment, any changes in interest rates, changes to the underlying credit ratings and forecasted recovery, among other factors. The credit-related portion of unrealized losses, and any subsequent improvements, are recorded in other expense in the consolidated statements of comprehensive loss. There have been no impairments or credit losses recognized during 2025 or 2024.</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Credit Risk and Significant Suppliers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Financial instruments that potentially subject the Company to concentrations of credit risk consist principally of cash, cash equivalents, and marketable securities. The balance of the Company’s cash and cash equivalents exceed those that are federally insured. To date, the Company has not recognized any losses caused by uninsured balances.</w:t>
      </w:r>
    </w:p>
    <w:p>
      <w:pPr>
        <w:spacing w:after="0" w:line="57"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Company is dependent on third-party contract research organizations (“CROs”) and contract manufacturing organizations (“CMOs”) to supply certain intellectual property, key raw materials, and services for research activities in its product candidates. In particular, the Company relies and expects to continue to rely on a small number of these organizations to supply it with intellectual property, services, and its requirements for key raw materials related to these research activities. These product candidates could be adversely affected by a significant interruption in the supply of key raw materials.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7" w:name="page238"/>
    <w:bookmarkEnd w:id="23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Property and Equipment</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Property and equipment are stated at cost less accumulated depreciation. Depreciation is calculated using the straight-line method over the estimated useful lives of the assets. The Company uses an estimated useful life of three years for computers and software, five years for office equipment, and seven years for furniture and fixtures. Leasehold improvements are amortized over the shorter of the lease-term or the estimated useful life of the related asset. Maintenance and repairs are charged to expense as incurred. Gains and losses from the disposal of property and equipment are reflected in the consolidated statements of comprehensive loss in the year of disposal.</w:t>
      </w:r>
    </w:p>
    <w:p>
      <w:pPr>
        <w:spacing w:after="0" w:line="2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Company determines if an arrangement is or contains a lease at its inception. The Company has elected not to recognize leases with terms of one year or less on the balance sheet as a practical expedient.</w:t>
      </w:r>
    </w:p>
    <w:p>
      <w:pPr>
        <w:spacing w:after="0" w:line="12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For leases with terms greater than 12 months, the Company records an operating lease right-of-use asset or finance lease asset and related lease liability at the present value of lease payments over the lease term. The implicit rate for individual leases is generally not readily determinable; therefore, the Company uses its incremental borrowing rate at lease commencement to determine the present value of lease payments. Leases with an option to extend the related lease term are reflected in the lease term when it is reasonably certain that the Company will exercise such option. Leases with an option to terminate early are reflected in the lease term when it is reasonably certain that the Company will not exercise such option. The Company recognizes expense for operating leases on a straight-line basis over the lease term plus any variable lease costs.</w:t>
      </w:r>
    </w:p>
    <w:p>
      <w:pPr>
        <w:spacing w:after="0" w:line="14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Company recognizes expense on short-term leases in the consolidated statements of comprehensive loss equal to the payment amount.</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Company has included additional disclosures about its operating leases in Note 8.</w:t>
      </w:r>
    </w:p>
    <w:p>
      <w:pPr>
        <w:spacing w:after="0" w:line="2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Classification of Redeemable Convertible Preferred Stock</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Company has classified redeemable convertible preferred stock (“preferred stock”) outside of stockholders’ deficit in the accompanying consolidated balance sheets due to terms that allow for redemption of the preferred stock in cash upon the occurrence of a Deemed Liquidation Event (see Note 9). The Company determined that the occurrence of a Deemed Liquidation Event, which includes the sale or transfer of control of the Company, is a contingent redemption feature not solely within the control of the Company.</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93"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personnel-related costs, including salaries, payroll tax, bonuses, benefits, and stock-based compensation charges for those individuals in executive, legal, finance, human resources, information technology, and other administrative functions. Other significant costs include professional service fees, including legal fees relating to intellectual property and corporate matters, and auditing, accounting, tax, and consulting services, as well as facilities and depreciation expense, and other general and administrative expenses that are allocated.</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8" w:name="page239"/>
    <w:bookmarkEnd w:id="23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Research and development costs are expensed as incurred. Our research and development expenses include direct costs specifically attributable to our programs including external expenses, including expenses incurred under arrangements with third parties, such as CROs, CMOs, consultants and our scientific advisors, and manufacturing expenditures, including costs for laboratory supplies, research materials and reagents, as well as indirect costs that are not directly attributable to a specific program, including salaries, payroll tax, bonuses, stock-based compensation, and employee benefits. Costs incurred in obtaining technology licenses through asset acquisitions are charged to research and development expense if the licensed technology has not reached technological feasibility and has no alternative future use.</w:t>
      </w:r>
    </w:p>
    <w:p>
      <w:pPr>
        <w:spacing w:after="0" w:line="14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Company has entered into various research and development related contracts with external parties. We recognize research and development costs in the periods in which they are incurred. Most of our research and development expenses have been related to identifying and developing our product candidates. Typically, external expenses are recognized based on an evaluation of the progress to completion of specific tasks using information provided to us by our service providers as of each reporting date. Advance payments that we make for goods or services to be received in the future for use in research and development activities are recorded as prepaid expenses, which are expensed as the related goods are delivered or the services are performed, or when it is no longer expected that the goods will be delivered, or the services rendered. Significant judgments and estimates are made in determining the accrued or prepaid expense balances at the end of any reporting period.</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Impairment of Long-Lived Assets</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Long-lived assets are reviewed for impairment whenever events or changes in circumstances indicate that the carrying amount of the asset may not be recoverable. The carrying amount of a long-lived asset is not recoverable if it exceeds the sum of the undiscounted future cash flows expected to result from the use and eventual disposition of the asset. The amount of impairment loss, if any, is measured as the difference between the carrying value of the asset and its estimated fair value. Fair value is determined through various valuation techniques, including discounted cash flow models, quoted market values, and third-party independent appraisals, as considered necessary. For the years ended December 31, 2025 and 2024, no impairment charge was recorded.</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Income Taxes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Company accounts for income taxes using an asset and liability method. Deferred tax assets and liabilities are determined based on the difference between the financial statements and tax basis of assets and liabilities using enacted tax rates in effect for the year in which the differences are expected to reverse. A valuation allowance is recorded if it is more likely than not that some portion or all of the deferred tax asset will not be realized.</w:t>
      </w:r>
    </w:p>
    <w:p>
      <w:pPr>
        <w:spacing w:after="0" w:line="14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Company recognizes the effect of income tax positions only if those positions are more likely than not to be sustained. Recognized income tax positions are measured at the largest amount that is greater than 50% likely of being realized. Changes in recognition or measurement are reflected in the period in which the change in judgment occurs. The Company recognizes interest and penalties related to unrecognized tax benefits as income tax expense.</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Company recognizes stock-based compensation expense based on the grant date fair value of stock options granted to employees, directors, and certain consultants. The Company recognizes stock-based compensation expense over the requisite service period of the individual grant, generally equal to the vesting period and uses the straight-line method to recognize stock-based compensation expense. Forfeitures are recognized as they occur. The Company also assesses modifications to stock-based compensation awards. For awards that are modified, the Company remeasures the fair value of the modified award on the date of modification and compares it to the fair value of the original award immediately before modification. Any incremental fair value resulting from the modification is recognized as additional stock-based compensation expense if vesting of the award under the modified conditions becomes probable. For equity-classified awards, incremental fair value would be recognized as compensation expense over the remaining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39" w:name="page240"/>
    <w:bookmarkEnd w:id="23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requisite service period, and for modifications that accelerate vesting, stock-based compensation expense may be recognized immediately.</w:t>
      </w:r>
    </w:p>
    <w:p>
      <w:pPr>
        <w:spacing w:after="0" w:line="125" w:lineRule="exact"/>
        <w:rPr>
          <w:sz w:val="20"/>
          <w:szCs w:val="20"/>
          <w:color w:val="auto"/>
        </w:rPr>
      </w:pPr>
    </w:p>
    <w:p>
      <w:pPr>
        <w:jc w:val="both"/>
        <w:ind w:left="1220" w:right="1239" w:firstLine="333"/>
        <w:spacing w:after="0" w:line="169" w:lineRule="exact"/>
        <w:rPr>
          <w:sz w:val="20"/>
          <w:szCs w:val="20"/>
          <w:color w:val="auto"/>
        </w:rPr>
      </w:pPr>
      <w:r>
        <w:rPr>
          <w:rFonts w:ascii="Times New Roman" w:cs="Times New Roman" w:eastAsia="Times New Roman" w:hAnsi="Times New Roman"/>
          <w:sz w:val="14"/>
          <w:szCs w:val="14"/>
          <w:color w:val="auto"/>
        </w:rPr>
        <w:t>The fair value of each stock option grant is estimated on the date of grant using the Black-Scholes option pricing model (“Black-Scholes”), which requires inputs based on certain subjective assumptions, including the fair value of common stock, expected stock price volatility, the expected term of the award, the risk-free interest rate, and expected dividends. As there is no public market for the Company’s common stock, the estimated fair value of common stock was determined by the Company’s Board of Directors (the “Board”) as of the date of each stock option grant, with inputs from management, considering third-party valuations of its common stock as well as the Board’s assessment of additional objective and subjective factors that it believed were relevant and which may have changed from the date of the most recent third-party valuation through the date of the grant. These third-party valuations were performed in accordance with the guidance outlined in the American Institute of Certified Public Accountants’ Accounting and Valuation Guide: Valuation of Privately Held Company Equity Securities Issued as Compensation. The Company’s common stock valuation used either the option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pricing method (“OPM”) or a hybrid method, both based on a market approach. The OPM models common and preferred stock as call options on the Company’s equity value and allocates value to common stock only when proceeds at a liquidity event exceed the preferred stock’s liquidation preferences. The hybrid method incorporates a probability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weighted expected return method (“PWERM”) for scenarios where potential near</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term exits (e.g., IPO scenario using a PWERM), can be reasonably assessed, while relying on the OPM for less predictable outcomes, such as a sale scenario. Under the PWERM, common stock value is estimated by evaluating possible future outcomes, weighting them by probability, and discounting expected returns to present value. A discount for lack of marketability is applied to each scenario, and the results are weighted to determine the final common stock value. The Company estimates its expected stock price volatility based on the historical volatility of publicly traded peer companies. The Company uses the simplified method as prescribed by the Securities and Exchange Commission’s Staff Accounting Bulletin No. 107, Share-Based Payment, to calculate the expected term for stock options granted to employees, directors, and certain consultants as the Company does not have sufficient historical exercise data to provide a reasonable basis upon which to estimate the expected term. The risk-free interest rate is determined by reference to the U.S. Treasury yield curve in effect at the time of grant of the award for time periods approximately equal to the expected term of the award. There is no expected dividend yield since the Company has never paid cash dividends on common stock and does not expect to pay any cash dividends in the foreseeable future.</w:t>
      </w:r>
    </w:p>
    <w:p>
      <w:pPr>
        <w:spacing w:after="0" w:line="2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about which separate discrete information is available for evaluation by the chief operating decision maker (“CODM”) in deciding how to allocate resources and assess performance. The Company has one operating and reportable segment, which is the business of developing and commercializing targeted therapies for rare lung diseases. The Company’s CODM, its chief executive officer, manages the Company’s operations on a consolidated basis for the purpose of allocating resources and assessing performance. All of the Company’s long lived assets are held in the United States. See Note 12 – Segment Information, for further disclosure regarding the Company’s segment information.</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Net Loss Per Share</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Company calculates basic and diluted net loss per share attributable to common stockholders in conformity with the two-class method since the Company has participating securities. The Company considers its preferred stock to be participating securities as in the event a dividend is paid for common stock, the holders of preferred stock would be entitled to receive dividends on a basis consistent with the common stockholder. The two-class method requires income available to common stockholders for the period to be allocated between common stock and participating securities based upon their respective rights to receive dividends as if all income for the period had been distributed. Under the two-class method, the net loss attributable to common stockholders is not allocated to preferred stockholders as the holders of preferred stock do not have a contractual obligation to share in losses.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0" w:name="page241"/>
    <w:bookmarkEnd w:id="24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Under basic net loss per share, net loss attributable to common stockholders is divided by the weighted average number of common stock outstanding during the reporting period, without consideration for participating securities.</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Diluted net loss per share attributable to common stockholders is computed by dividing the net loss attributable to common stockholders by the weighted-average number of common stock and potentially dilutive securities outstanding during the period determined using the treasury-stock and if-converted methods.</w:t>
      </w:r>
    </w:p>
    <w:p>
      <w:pPr>
        <w:spacing w:after="0" w:line="136"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if-converted method is used to calculate the dilutive effect of preferred stock and other convertible securities to the extent they are outstanding. The if-converted method assumes that convertible securities are converted at the later of the issuance date or the beginning of the period. If the hypothetical conversion of the securities, and the consequential avoidance of any deemed or accumulated preferred dividends, would decrease basic net loss per common share, these effects are incorporated in the calculation of diluted net loss per common share, adjusted for the proportion of the period the securities were outstanding.</w:t>
      </w:r>
    </w:p>
    <w:p>
      <w:pPr>
        <w:spacing w:after="0" w:line="14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treasury stock method is used to calculate the dilutive effect of outstanding options, restricted stock awards, and other share-based payments. The treasury stock method assumes that the proceeds from exercise are used to repurchase common shares at the weighted average market price during the period, increasing the denominator for the net effect of shares issued upon exercise less hypothetical shares repurchased.</w:t>
      </w:r>
    </w:p>
    <w:p>
      <w:pPr>
        <w:spacing w:after="0" w:line="141"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For purposes of the diluted net loss per share attributable to common stockholders calculation, preferred stock, and stock options considered to be potentially dilutive securities were excluded from the calculation of diluted net loss per share attributable to common stockholders because their effect would be anti-dilutive and therefore, basic and diluted net loss per share attributable to common stockholders were the same.</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Deferred Offering Costs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Company capitalizes certain legal, professional accounting, and other third-party fees that are incremental costs and directly associated with in-process equity and debt financings as deferred offering costs within non-current assets on the consolidated balance sheets until such time the equity and debt financings are consummated. After consummation of an equity financing, these costs are recorded as a reduction of the proceeds from the offering, either as a reduction to the carrying value of the preferred stock or, for the issuances of common stock, in stockholders’ deficit as a reduction of additional paid-in capital generated as a result of the offering. Should the in-process equity financing be abandoned, the deferred offering costs will be expensed immediately as a charge to operating expenses in the consolidated statements of comprehensive loss. As of December 31, 2025, there were deferred offering costs of $0.3 million. There were no deferred offering costs as of December 31, 2024.</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Emerging Growth Company Status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Company is an emerging growth company (“EGC”), as defined in the Jumpstart Our Business Startups Act of 2012, as amended (the “JOBS Act”) and may take advantage of certain exemptions from various reporting requirements that are applicable to other public companies that are not EGCs. The Company may take advantage of these exemptions until it is no longer an EGC under Section 107 of the JOBS Act and has elected to use the extended transition period for complying with new or revised accounting standards. As a result of this election, the Company’s consolidated financial statements may not be comparable to companies that comply with public company Financial Accounting Standard Board (“FASB”) standards’ effective dates. The Company intends to take advantage of the reduced reporting requirements and exemptions up until the last day of the fiscal year following the fifth anniversary of an offering or such earlier time that it is no longer an EGC.</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December 2023, the FASB issued ASU 2023-09, Income Taxes: Improvements to Income Tax Disclosures which includes amendments that further enhance income tax disclosure, primarily through standardization and disaggregation of rate reconciliation categories and income taxes paid by jurisdiction. The new standard is effective for annual periods beginning after December 15, 2024. The Company adopted ASU 2023-09 during the year</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1" w:name="page242"/>
    <w:bookmarkEnd w:id="24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spacing w:after="0" w:line="283" w:lineRule="auto"/>
        <w:rPr>
          <w:sz w:val="20"/>
          <w:szCs w:val="20"/>
          <w:color w:val="auto"/>
        </w:rPr>
      </w:pPr>
      <w:r>
        <w:rPr>
          <w:rFonts w:ascii="Times New Roman" w:cs="Times New Roman" w:eastAsia="Times New Roman" w:hAnsi="Times New Roman"/>
          <w:sz w:val="14"/>
          <w:szCs w:val="14"/>
          <w:color w:val="auto"/>
        </w:rPr>
        <w:t>ended December 31, 2025 on a prospective basis. See Note 14 Income Taxes in the accompanying notes to the consolidated financial statements for further details.</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 Not Yet Adopted</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 - Reporting Comprehensive Income - Expense Disaggregation Disclosures (Subtopic 220-40): Disaggregation of Income Statement Expenses (“ASU 2024-03”), which requires disclosures about specific types of expenses included in the expense captions presented on the face of the income statement as well as disclosures about selling expenses. The requirements of ASU 2024-03 are effective for annual periods beginning after December 15, 2026, and for interim periods beginning after December 15, 2027, with early adoption permitted. The requirements will be applied prospectively with the option for retrospective application. The Company is currently in the process of evaluating the effects of this pronouncement on its related disclosures.</w:t>
      </w:r>
    </w:p>
    <w:p>
      <w:pPr>
        <w:spacing w:after="0" w:line="228" w:lineRule="exact"/>
        <w:rPr>
          <w:sz w:val="20"/>
          <w:szCs w:val="20"/>
          <w:color w:val="auto"/>
        </w:rPr>
      </w:pPr>
    </w:p>
    <w:p>
      <w:pPr>
        <w:ind w:left="1560" w:hanging="336"/>
        <w:spacing w:after="0"/>
        <w:tabs>
          <w:tab w:leader="none" w:pos="1560" w:val="left"/>
        </w:tabs>
        <w:numPr>
          <w:ilvl w:val="0"/>
          <w:numId w:val="14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Marketable Securities</w:t>
      </w:r>
    </w:p>
    <w:p>
      <w:pPr>
        <w:spacing w:after="0" w:line="17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following tables summarize the amortized cost and estimated fair value of the Company’s marketable securities, which are considered to be available-for-sale investments (in thousands):</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5"/>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r>
      <w:tr>
        <w:trPr>
          <w:trHeight w:val="87"/>
        </w:trPr>
        <w:tc>
          <w:tcPr>
            <w:tcW w:w="29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gridSpan w:val="3"/>
          </w:tcPr>
          <w:p>
            <w:pPr>
              <w:jc w:val="right"/>
              <w:ind w:right="40"/>
              <w:spacing w:after="0" w:line="8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3"/>
          </w:tcPr>
          <w:p>
            <w:pPr>
              <w:jc w:val="right"/>
              <w:ind w:right="40"/>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40" w:type="dxa"/>
            <w:vAlign w:val="bottom"/>
          </w:tcPr>
          <w:p>
            <w:pPr>
              <w:spacing w:after="0"/>
              <w:rPr>
                <w:sz w:val="7"/>
                <w:szCs w:val="7"/>
                <w:color w:val="auto"/>
              </w:rPr>
            </w:pPr>
          </w:p>
        </w:tc>
        <w:tc>
          <w:tcPr>
            <w:tcW w:w="620" w:type="dxa"/>
            <w:vAlign w:val="bottom"/>
            <w:gridSpan w:val="2"/>
          </w:tcPr>
          <w:p>
            <w:pPr>
              <w:jc w:val="right"/>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center"/>
              <w:ind w:right="94"/>
              <w:spacing w:after="0" w:line="87" w:lineRule="exact"/>
              <w:rPr>
                <w:sz w:val="20"/>
                <w:szCs w:val="20"/>
                <w:color w:val="auto"/>
              </w:rPr>
            </w:pPr>
            <w:r>
              <w:rPr>
                <w:rFonts w:ascii="Times New Roman" w:cs="Times New Roman" w:eastAsia="Times New Roman" w:hAnsi="Times New Roman"/>
                <w:sz w:val="10"/>
                <w:szCs w:val="10"/>
                <w:b w:val="1"/>
                <w:bCs w:val="1"/>
                <w:color w:val="auto"/>
              </w:rPr>
              <w:t>Fair</w:t>
            </w: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rPr>
              <w:t>Gain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32"/>
              <w:spacing w:after="0"/>
              <w:rPr>
                <w:sz w:val="20"/>
                <w:szCs w:val="20"/>
                <w:color w:val="auto"/>
              </w:rPr>
            </w:pPr>
            <w:r>
              <w:rPr>
                <w:rFonts w:ascii="Times New Roman" w:cs="Times New Roman" w:eastAsia="Times New Roman" w:hAnsi="Times New Roman"/>
                <w:sz w:val="11"/>
                <w:szCs w:val="11"/>
                <w:b w:val="1"/>
                <w:bCs w:val="1"/>
                <w:color w:val="auto"/>
              </w:rPr>
              <w:t>Loss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59"/>
        </w:trPr>
        <w:tc>
          <w:tcPr>
            <w:tcW w:w="29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Marketable securities, current:</w:t>
            </w:r>
          </w:p>
        </w:tc>
        <w:tc>
          <w:tcPr>
            <w:tcW w:w="12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360" w:type="dxa"/>
            <w:vAlign w:val="bottom"/>
            <w:tcBorders>
              <w:top w:val="single" w:sz="8" w:color="auto"/>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42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240" w:type="dxa"/>
            <w:vAlign w:val="bottom"/>
            <w:tcBorders>
              <w:right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right w:val="single" w:sz="8" w:color="CFF0FC"/>
            </w:tcBorders>
            <w:shd w:val="clear" w:color="auto" w:fill="CFF0FC"/>
          </w:tcPr>
          <w:p>
            <w:pPr>
              <w:spacing w:after="0"/>
              <w:rPr>
                <w:sz w:val="13"/>
                <w:szCs w:val="13"/>
                <w:color w:val="auto"/>
              </w:rPr>
            </w:pPr>
          </w:p>
        </w:tc>
        <w:tc>
          <w:tcPr>
            <w:tcW w:w="260" w:type="dxa"/>
            <w:vAlign w:val="bottom"/>
            <w:tcBorders>
              <w:right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520" w:type="dxa"/>
            <w:vAlign w:val="bottom"/>
            <w:tcBorders>
              <w:top w:val="single" w:sz="8" w:color="auto"/>
              <w:right w:val="single" w:sz="8" w:color="CFF0FC"/>
            </w:tcBorders>
            <w:shd w:val="clear" w:color="auto" w:fill="CFF0FC"/>
          </w:tcPr>
          <w:p>
            <w:pPr>
              <w:spacing w:after="0"/>
              <w:rPr>
                <w:sz w:val="13"/>
                <w:szCs w:val="13"/>
                <w:color w:val="auto"/>
              </w:rPr>
            </w:pPr>
          </w:p>
        </w:tc>
      </w:tr>
      <w:tr>
        <w:trPr>
          <w:trHeight w:val="168"/>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Treasury securities</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30,049</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36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30,124</w:t>
            </w:r>
          </w:p>
        </w:tc>
      </w:tr>
      <w:tr>
        <w:trPr>
          <w:trHeight w:val="168"/>
        </w:trPr>
        <w:tc>
          <w:tcPr>
            <w:tcW w:w="2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30,699</w:t>
            </w:r>
          </w:p>
        </w:tc>
        <w:tc>
          <w:tcPr>
            <w:tcW w:w="1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240" w:type="dxa"/>
            <w:vAlign w:val="bottom"/>
            <w:tcBorders>
              <w:righ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right w:val="single" w:sz="8" w:color="CFF0FC"/>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5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30,725</w:t>
            </w:r>
          </w:p>
        </w:tc>
      </w:tr>
      <w:tr>
        <w:trPr>
          <w:trHeight w:val="168"/>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25,162</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25,195</w:t>
            </w:r>
          </w:p>
        </w:tc>
      </w:tr>
      <w:tr>
        <w:trPr>
          <w:trHeight w:val="179"/>
        </w:trPr>
        <w:tc>
          <w:tcPr>
            <w:tcW w:w="2920" w:type="dxa"/>
            <w:vAlign w:val="bottom"/>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 marketable securities</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85,910</w:t>
            </w:r>
          </w:p>
        </w:tc>
        <w:tc>
          <w:tcPr>
            <w:tcW w:w="240" w:type="dxa"/>
            <w:vAlign w:val="bottom"/>
            <w:gridSpan w:val="2"/>
            <w:shd w:val="clear" w:color="auto" w:fill="CFF0FC"/>
          </w:tcPr>
          <w:p>
            <w:pPr>
              <w:spacing w:after="0"/>
              <w:rPr>
                <w:sz w:val="15"/>
                <w:szCs w:val="15"/>
                <w:color w:val="auto"/>
              </w:rPr>
            </w:pPr>
          </w:p>
        </w:tc>
        <w:tc>
          <w:tcPr>
            <w:tcW w:w="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134</w:t>
            </w:r>
          </w:p>
        </w:tc>
        <w:tc>
          <w:tcPr>
            <w:tcW w:w="240" w:type="dxa"/>
            <w:vAlign w:val="bottom"/>
            <w:tcBorders>
              <w:righ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86,044</w:t>
            </w:r>
          </w:p>
        </w:tc>
      </w:tr>
      <w:tr>
        <w:trPr>
          <w:trHeight w:val="20"/>
        </w:trPr>
        <w:tc>
          <w:tcPr>
            <w:tcW w:w="29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right w:val="single" w:sz="8" w:color="CFF0FC"/>
            </w:tcBorders>
            <w:shd w:val="clear" w:color="auto" w:fill="000000"/>
          </w:tcPr>
          <w:p>
            <w:pPr>
              <w:spacing w:after="0" w:line="20" w:lineRule="exact"/>
              <w:rPr>
                <w:sz w:val="1"/>
                <w:szCs w:val="1"/>
                <w:color w:val="auto"/>
              </w:rPr>
            </w:pPr>
          </w:p>
        </w:tc>
      </w:tr>
      <w:tr>
        <w:trPr>
          <w:trHeight w:val="466"/>
        </w:trPr>
        <w:tc>
          <w:tcPr>
            <w:tcW w:w="29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5"/>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r>
        <w:trPr>
          <w:trHeight w:val="87"/>
        </w:trPr>
        <w:tc>
          <w:tcPr>
            <w:tcW w:w="2920" w:type="dxa"/>
            <w:vAlign w:val="bottom"/>
          </w:tcPr>
          <w:p>
            <w:pPr>
              <w:spacing w:after="0"/>
              <w:rPr>
                <w:sz w:val="7"/>
                <w:szCs w:val="7"/>
                <w:color w:val="auto"/>
              </w:rPr>
            </w:pPr>
          </w:p>
        </w:tc>
        <w:tc>
          <w:tcPr>
            <w:tcW w:w="720" w:type="dxa"/>
            <w:vAlign w:val="bottom"/>
            <w:gridSpan w:val="4"/>
          </w:tcPr>
          <w:p>
            <w:pPr>
              <w:jc w:val="right"/>
              <w:ind w:right="180"/>
              <w:spacing w:after="0" w:line="87" w:lineRule="exact"/>
              <w:rPr>
                <w:sz w:val="20"/>
                <w:szCs w:val="20"/>
                <w:color w:val="auto"/>
              </w:rPr>
            </w:pPr>
            <w:r>
              <w:rPr>
                <w:rFonts w:ascii="Times New Roman" w:cs="Times New Roman" w:eastAsia="Times New Roman" w:hAnsi="Times New Roman"/>
                <w:sz w:val="10"/>
                <w:szCs w:val="10"/>
                <w:b w:val="1"/>
                <w:bCs w:val="1"/>
                <w:color w:val="auto"/>
              </w:rPr>
              <w:t>Amortized</w:t>
            </w:r>
          </w:p>
        </w:tc>
        <w:tc>
          <w:tcPr>
            <w:tcW w:w="160" w:type="dxa"/>
            <w:vAlign w:val="bottom"/>
          </w:tcPr>
          <w:p>
            <w:pPr>
              <w:spacing w:after="0"/>
              <w:rPr>
                <w:sz w:val="7"/>
                <w:szCs w:val="7"/>
                <w:color w:val="auto"/>
              </w:rPr>
            </w:pPr>
          </w:p>
        </w:tc>
        <w:tc>
          <w:tcPr>
            <w:tcW w:w="680" w:type="dxa"/>
            <w:vAlign w:val="bottom"/>
            <w:gridSpan w:val="4"/>
          </w:tcPr>
          <w:p>
            <w:pPr>
              <w:jc w:val="right"/>
              <w:ind w:right="120"/>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40" w:type="dxa"/>
            <w:vAlign w:val="bottom"/>
          </w:tcPr>
          <w:p>
            <w:pPr>
              <w:spacing w:after="0"/>
              <w:rPr>
                <w:sz w:val="7"/>
                <w:szCs w:val="7"/>
                <w:color w:val="auto"/>
              </w:rPr>
            </w:pPr>
          </w:p>
        </w:tc>
        <w:tc>
          <w:tcPr>
            <w:tcW w:w="620" w:type="dxa"/>
            <w:vAlign w:val="bottom"/>
            <w:gridSpan w:val="2"/>
          </w:tcPr>
          <w:p>
            <w:pPr>
              <w:spacing w:after="0" w:line="87" w:lineRule="exact"/>
              <w:rPr>
                <w:sz w:val="20"/>
                <w:szCs w:val="20"/>
                <w:color w:val="auto"/>
              </w:rPr>
            </w:pPr>
            <w:r>
              <w:rPr>
                <w:rFonts w:ascii="Times New Roman" w:cs="Times New Roman" w:eastAsia="Times New Roman" w:hAnsi="Times New Roman"/>
                <w:sz w:val="10"/>
                <w:szCs w:val="10"/>
                <w:b w:val="1"/>
                <w:bCs w:val="1"/>
                <w:color w:val="auto"/>
              </w:rPr>
              <w:t>Unrealized</w:t>
            </w:r>
          </w:p>
        </w:tc>
        <w:tc>
          <w:tcPr>
            <w:tcW w:w="2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jc w:val="center"/>
              <w:ind w:right="74"/>
              <w:spacing w:after="0" w:line="87" w:lineRule="exact"/>
              <w:rPr>
                <w:sz w:val="20"/>
                <w:szCs w:val="20"/>
                <w:color w:val="auto"/>
              </w:rPr>
            </w:pPr>
            <w:r>
              <w:rPr>
                <w:rFonts w:ascii="Times New Roman" w:cs="Times New Roman" w:eastAsia="Times New Roman" w:hAnsi="Times New Roman"/>
                <w:sz w:val="10"/>
                <w:szCs w:val="10"/>
                <w:b w:val="1"/>
                <w:bCs w:val="1"/>
                <w:color w:val="auto"/>
              </w:rPr>
              <w:t>Fair</w:t>
            </w:r>
          </w:p>
        </w:tc>
      </w:tr>
      <w:tr>
        <w:trPr>
          <w:trHeight w:val="135"/>
        </w:trPr>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w w:val="94"/>
              </w:rPr>
              <w:t>Gain</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jc w:val="right"/>
              <w:ind w:right="172"/>
              <w:spacing w:after="0"/>
              <w:rPr>
                <w:sz w:val="20"/>
                <w:szCs w:val="20"/>
                <w:color w:val="auto"/>
              </w:rPr>
            </w:pPr>
            <w:r>
              <w:rPr>
                <w:rFonts w:ascii="Times New Roman" w:cs="Times New Roman" w:eastAsia="Times New Roman" w:hAnsi="Times New Roman"/>
                <w:sz w:val="11"/>
                <w:szCs w:val="11"/>
                <w:b w:val="1"/>
                <w:bCs w:val="1"/>
                <w:color w:val="auto"/>
              </w:rPr>
              <w:t>Loss</w:t>
            </w: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center"/>
              <w:ind w:right="94"/>
              <w:spacing w:after="0"/>
              <w:rPr>
                <w:sz w:val="20"/>
                <w:szCs w:val="20"/>
                <w:color w:val="auto"/>
              </w:rPr>
            </w:pPr>
            <w:r>
              <w:rPr>
                <w:rFonts w:ascii="Times New Roman" w:cs="Times New Roman" w:eastAsia="Times New Roman" w:hAnsi="Times New Roman"/>
                <w:sz w:val="11"/>
                <w:szCs w:val="11"/>
                <w:b w:val="1"/>
                <w:bCs w:val="1"/>
                <w:color w:val="auto"/>
              </w:rPr>
              <w:t>Value</w:t>
            </w:r>
          </w:p>
        </w:tc>
      </w:tr>
      <w:tr>
        <w:trPr>
          <w:trHeight w:val="159"/>
        </w:trPr>
        <w:tc>
          <w:tcPr>
            <w:tcW w:w="2920" w:type="dxa"/>
            <w:vAlign w:val="bottom"/>
            <w:shd w:val="clear" w:color="auto" w:fill="CAEEFB"/>
          </w:tcPr>
          <w:p>
            <w:pPr>
              <w:spacing w:after="0" w:line="159" w:lineRule="exact"/>
              <w:rPr>
                <w:sz w:val="20"/>
                <w:szCs w:val="20"/>
                <w:color w:val="auto"/>
              </w:rPr>
            </w:pPr>
            <w:r>
              <w:rPr>
                <w:rFonts w:ascii="Times New Roman" w:cs="Times New Roman" w:eastAsia="Times New Roman" w:hAnsi="Times New Roman"/>
                <w:sz w:val="14"/>
                <w:szCs w:val="14"/>
                <w:color w:val="auto"/>
              </w:rPr>
              <w:t>Marketable securities, current:</w:t>
            </w:r>
          </w:p>
        </w:tc>
        <w:tc>
          <w:tcPr>
            <w:tcW w:w="120" w:type="dxa"/>
            <w:vAlign w:val="bottom"/>
            <w:tcBorders>
              <w:top w:val="single" w:sz="8" w:color="auto"/>
            </w:tcBorders>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360" w:type="dxa"/>
            <w:vAlign w:val="bottom"/>
            <w:tcBorders>
              <w:top w:val="single" w:sz="8" w:color="auto"/>
            </w:tcBorders>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160" w:type="dxa"/>
            <w:vAlign w:val="bottom"/>
            <w:shd w:val="clear" w:color="auto" w:fill="CAEEFB"/>
          </w:tcPr>
          <w:p>
            <w:pPr>
              <w:spacing w:after="0"/>
              <w:rPr>
                <w:sz w:val="13"/>
                <w:szCs w:val="13"/>
                <w:color w:val="auto"/>
              </w:rPr>
            </w:pPr>
          </w:p>
        </w:tc>
        <w:tc>
          <w:tcPr>
            <w:tcW w:w="80" w:type="dxa"/>
            <w:vAlign w:val="bottom"/>
            <w:tcBorders>
              <w:top w:val="single" w:sz="8" w:color="auto"/>
            </w:tcBorders>
            <w:shd w:val="clear" w:color="auto" w:fill="CAEEFB"/>
          </w:tcPr>
          <w:p>
            <w:pPr>
              <w:spacing w:after="0"/>
              <w:rPr>
                <w:sz w:val="13"/>
                <w:szCs w:val="13"/>
                <w:color w:val="auto"/>
              </w:rPr>
            </w:pPr>
          </w:p>
        </w:tc>
        <w:tc>
          <w:tcPr>
            <w:tcW w:w="80" w:type="dxa"/>
            <w:vAlign w:val="bottom"/>
            <w:tcBorders>
              <w:top w:val="single" w:sz="8" w:color="auto"/>
            </w:tcBorders>
            <w:shd w:val="clear" w:color="auto" w:fill="CAEEFB"/>
          </w:tcPr>
          <w:p>
            <w:pPr>
              <w:spacing w:after="0"/>
              <w:rPr>
                <w:sz w:val="13"/>
                <w:szCs w:val="13"/>
                <w:color w:val="auto"/>
              </w:rPr>
            </w:pPr>
          </w:p>
        </w:tc>
        <w:tc>
          <w:tcPr>
            <w:tcW w:w="42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240" w:type="dxa"/>
            <w:vAlign w:val="bottom"/>
            <w:tcBorders>
              <w:right w:val="single" w:sz="8" w:color="CAEEFB"/>
            </w:tcBorders>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500" w:type="dxa"/>
            <w:vAlign w:val="bottom"/>
            <w:tcBorders>
              <w:top w:val="single" w:sz="8" w:color="auto"/>
              <w:right w:val="single" w:sz="8" w:color="CAEEFB"/>
            </w:tcBorders>
            <w:shd w:val="clear" w:color="auto" w:fill="CAEEFB"/>
          </w:tcPr>
          <w:p>
            <w:pPr>
              <w:spacing w:after="0"/>
              <w:rPr>
                <w:sz w:val="13"/>
                <w:szCs w:val="13"/>
                <w:color w:val="auto"/>
              </w:rPr>
            </w:pPr>
          </w:p>
        </w:tc>
        <w:tc>
          <w:tcPr>
            <w:tcW w:w="260" w:type="dxa"/>
            <w:vAlign w:val="bottom"/>
            <w:tcBorders>
              <w:right w:val="single" w:sz="8" w:color="CAEEFB"/>
            </w:tcBorders>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20" w:type="dxa"/>
            <w:vAlign w:val="bottom"/>
            <w:tcBorders>
              <w:top w:val="single" w:sz="8" w:color="auto"/>
              <w:right w:val="single" w:sz="8" w:color="CAEEFB"/>
            </w:tcBorders>
            <w:shd w:val="clear" w:color="auto" w:fill="CAEEFB"/>
          </w:tcPr>
          <w:p>
            <w:pPr>
              <w:spacing w:after="0"/>
              <w:rPr>
                <w:sz w:val="13"/>
                <w:szCs w:val="13"/>
                <w:color w:val="auto"/>
              </w:rPr>
            </w:pPr>
          </w:p>
        </w:tc>
      </w:tr>
      <w:tr>
        <w:trPr>
          <w:trHeight w:val="168"/>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Treasury securities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19,362</w:t>
            </w:r>
          </w:p>
        </w:tc>
        <w:tc>
          <w:tcPr>
            <w:tcW w:w="140" w:type="dxa"/>
            <w:vAlign w:val="bottom"/>
          </w:tcPr>
          <w:p>
            <w:pPr>
              <w:spacing w:after="0"/>
              <w:rPr>
                <w:sz w:val="14"/>
                <w:szCs w:val="14"/>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4"/>
                <w:szCs w:val="14"/>
                <w:color w:val="auto"/>
              </w:rPr>
            </w:pPr>
          </w:p>
        </w:tc>
        <w:tc>
          <w:tcPr>
            <w:tcW w:w="36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19,418</w:t>
            </w:r>
          </w:p>
        </w:tc>
      </w:tr>
      <w:tr>
        <w:trPr>
          <w:trHeight w:val="168"/>
        </w:trPr>
        <w:tc>
          <w:tcPr>
            <w:tcW w:w="2920" w:type="dxa"/>
            <w:vAlign w:val="bottom"/>
            <w:shd w:val="clear" w:color="auto" w:fill="CAEEFB"/>
          </w:tcPr>
          <w:p>
            <w:pPr>
              <w:ind w:left="140"/>
              <w:spacing w:after="0"/>
              <w:rPr>
                <w:sz w:val="20"/>
                <w:szCs w:val="20"/>
                <w:color w:val="auto"/>
              </w:rPr>
            </w:pPr>
            <w:r>
              <w:rPr>
                <w:rFonts w:ascii="Times New Roman" w:cs="Times New Roman" w:eastAsia="Times New Roman" w:hAnsi="Times New Roman"/>
                <w:sz w:val="14"/>
                <w:szCs w:val="14"/>
                <w:color w:val="auto"/>
              </w:rPr>
              <w:t>Commercial paper</w:t>
            </w:r>
          </w:p>
        </w:tc>
        <w:tc>
          <w:tcPr>
            <w:tcW w:w="120" w:type="dxa"/>
            <w:vAlign w:val="bottom"/>
            <w:shd w:val="clear" w:color="auto" w:fill="CAEEFB"/>
          </w:tcPr>
          <w:p>
            <w:pPr>
              <w:spacing w:after="0"/>
              <w:rPr>
                <w:sz w:val="14"/>
                <w:szCs w:val="14"/>
                <w:color w:val="auto"/>
              </w:rPr>
            </w:pPr>
          </w:p>
        </w:tc>
        <w:tc>
          <w:tcPr>
            <w:tcW w:w="4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30,416</w:t>
            </w:r>
          </w:p>
        </w:tc>
        <w:tc>
          <w:tcPr>
            <w:tcW w:w="140" w:type="dxa"/>
            <w:vAlign w:val="bottom"/>
            <w:shd w:val="clear" w:color="auto" w:fill="CAEEFB"/>
          </w:tcPr>
          <w:p>
            <w:pPr>
              <w:spacing w:after="0"/>
              <w:rPr>
                <w:sz w:val="14"/>
                <w:szCs w:val="14"/>
                <w:color w:val="auto"/>
              </w:rPr>
            </w:pPr>
          </w:p>
        </w:tc>
        <w:tc>
          <w:tcPr>
            <w:tcW w:w="16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80" w:type="dxa"/>
            <w:vAlign w:val="bottom"/>
            <w:shd w:val="clear" w:color="auto" w:fill="CAEEFB"/>
          </w:tcPr>
          <w:p>
            <w:pPr>
              <w:spacing w:after="0"/>
              <w:rPr>
                <w:sz w:val="14"/>
                <w:szCs w:val="14"/>
                <w:color w:val="auto"/>
              </w:rPr>
            </w:pPr>
          </w:p>
        </w:tc>
        <w:tc>
          <w:tcPr>
            <w:tcW w:w="4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shd w:val="clear" w:color="auto" w:fill="CAEEFB"/>
          </w:tcPr>
          <w:p>
            <w:pPr>
              <w:spacing w:after="0"/>
              <w:rPr>
                <w:sz w:val="14"/>
                <w:szCs w:val="14"/>
                <w:color w:val="auto"/>
              </w:rPr>
            </w:pPr>
          </w:p>
        </w:tc>
        <w:tc>
          <w:tcPr>
            <w:tcW w:w="240" w:type="dxa"/>
            <w:vAlign w:val="bottom"/>
            <w:tcBorders>
              <w:right w:val="single" w:sz="8" w:color="CAEEFB"/>
            </w:tcBorders>
            <w:shd w:val="clear" w:color="auto" w:fill="CAEEFB"/>
          </w:tcPr>
          <w:p>
            <w:pPr>
              <w:spacing w:after="0"/>
              <w:rPr>
                <w:sz w:val="14"/>
                <w:szCs w:val="14"/>
                <w:color w:val="auto"/>
              </w:rPr>
            </w:pPr>
          </w:p>
        </w:tc>
        <w:tc>
          <w:tcPr>
            <w:tcW w:w="120" w:type="dxa"/>
            <w:vAlign w:val="bottom"/>
            <w:shd w:val="clear" w:color="auto" w:fill="CAEEFB"/>
          </w:tcPr>
          <w:p>
            <w:pPr>
              <w:spacing w:after="0"/>
              <w:rPr>
                <w:sz w:val="14"/>
                <w:szCs w:val="14"/>
                <w:color w:val="auto"/>
              </w:rPr>
            </w:pPr>
          </w:p>
        </w:tc>
        <w:tc>
          <w:tcPr>
            <w:tcW w:w="500" w:type="dxa"/>
            <w:vAlign w:val="bottom"/>
            <w:tcBorders>
              <w:right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260" w:type="dxa"/>
            <w:vAlign w:val="bottom"/>
            <w:tcBorders>
              <w:right w:val="single" w:sz="8" w:color="CAEEFB"/>
            </w:tcBorders>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20" w:type="dxa"/>
            <w:vAlign w:val="bottom"/>
            <w:tcBorders>
              <w:right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30,438</w:t>
            </w:r>
          </w:p>
        </w:tc>
      </w:tr>
      <w:tr>
        <w:trPr>
          <w:trHeight w:val="168"/>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24,379</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24,443</w:t>
            </w:r>
          </w:p>
        </w:tc>
      </w:tr>
      <w:tr>
        <w:trPr>
          <w:trHeight w:val="168"/>
        </w:trPr>
        <w:tc>
          <w:tcPr>
            <w:tcW w:w="29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U.S. government agency debt securities</w:t>
            </w:r>
          </w:p>
        </w:tc>
        <w:tc>
          <w:tcPr>
            <w:tcW w:w="12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12,350</w:t>
            </w:r>
          </w:p>
        </w:tc>
        <w:tc>
          <w:tcPr>
            <w:tcW w:w="14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CFF0FC"/>
              <w:right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right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12,372</w:t>
            </w:r>
          </w:p>
        </w:tc>
      </w:tr>
      <w:tr>
        <w:trPr>
          <w:trHeight w:val="159"/>
        </w:trPr>
        <w:tc>
          <w:tcPr>
            <w:tcW w:w="292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marketable securities, current</w:t>
            </w:r>
          </w:p>
        </w:tc>
        <w:tc>
          <w:tcPr>
            <w:tcW w:w="120" w:type="dxa"/>
            <w:vAlign w:val="bottom"/>
          </w:tcPr>
          <w:p>
            <w:pPr>
              <w:spacing w:after="0"/>
              <w:rPr>
                <w:sz w:val="13"/>
                <w:szCs w:val="13"/>
                <w:color w:val="auto"/>
              </w:rPr>
            </w:pPr>
          </w:p>
        </w:tc>
        <w:tc>
          <w:tcPr>
            <w:tcW w:w="4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86,507</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182</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86,671</w:t>
            </w:r>
          </w:p>
        </w:tc>
      </w:tr>
      <w:tr>
        <w:trPr>
          <w:trHeight w:val="159"/>
        </w:trPr>
        <w:tc>
          <w:tcPr>
            <w:tcW w:w="2920" w:type="dxa"/>
            <w:vAlign w:val="bottom"/>
            <w:shd w:val="clear" w:color="auto" w:fill="CAEEFB"/>
          </w:tcPr>
          <w:p>
            <w:pPr>
              <w:spacing w:after="0" w:line="159" w:lineRule="exact"/>
              <w:rPr>
                <w:sz w:val="20"/>
                <w:szCs w:val="20"/>
                <w:color w:val="auto"/>
              </w:rPr>
            </w:pPr>
            <w:r>
              <w:rPr>
                <w:rFonts w:ascii="Times New Roman" w:cs="Times New Roman" w:eastAsia="Times New Roman" w:hAnsi="Times New Roman"/>
                <w:sz w:val="14"/>
                <w:szCs w:val="14"/>
                <w:color w:val="auto"/>
              </w:rPr>
              <w:t>Marketable securities, noncurrent:</w:t>
            </w:r>
          </w:p>
        </w:tc>
        <w:tc>
          <w:tcPr>
            <w:tcW w:w="120" w:type="dxa"/>
            <w:vAlign w:val="bottom"/>
            <w:tcBorders>
              <w:top w:val="single" w:sz="8" w:color="auto"/>
            </w:tcBorders>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360" w:type="dxa"/>
            <w:vAlign w:val="bottom"/>
            <w:tcBorders>
              <w:top w:val="single" w:sz="8" w:color="auto"/>
            </w:tcBorders>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160" w:type="dxa"/>
            <w:vAlign w:val="bottom"/>
            <w:shd w:val="clear" w:color="auto" w:fill="CAEEFB"/>
          </w:tcPr>
          <w:p>
            <w:pPr>
              <w:spacing w:after="0"/>
              <w:rPr>
                <w:sz w:val="13"/>
                <w:szCs w:val="13"/>
                <w:color w:val="auto"/>
              </w:rPr>
            </w:pPr>
          </w:p>
        </w:tc>
        <w:tc>
          <w:tcPr>
            <w:tcW w:w="80" w:type="dxa"/>
            <w:vAlign w:val="bottom"/>
            <w:tcBorders>
              <w:top w:val="single" w:sz="8" w:color="auto"/>
            </w:tcBorders>
            <w:shd w:val="clear" w:color="auto" w:fill="CAEEFB"/>
          </w:tcPr>
          <w:p>
            <w:pPr>
              <w:spacing w:after="0"/>
              <w:rPr>
                <w:sz w:val="13"/>
                <w:szCs w:val="13"/>
                <w:color w:val="auto"/>
              </w:rPr>
            </w:pPr>
          </w:p>
        </w:tc>
        <w:tc>
          <w:tcPr>
            <w:tcW w:w="80" w:type="dxa"/>
            <w:vAlign w:val="bottom"/>
            <w:tcBorders>
              <w:top w:val="single" w:sz="8" w:color="auto"/>
            </w:tcBorders>
            <w:shd w:val="clear" w:color="auto" w:fill="CAEEFB"/>
          </w:tcPr>
          <w:p>
            <w:pPr>
              <w:spacing w:after="0"/>
              <w:rPr>
                <w:sz w:val="13"/>
                <w:szCs w:val="13"/>
                <w:color w:val="auto"/>
              </w:rPr>
            </w:pPr>
          </w:p>
        </w:tc>
        <w:tc>
          <w:tcPr>
            <w:tcW w:w="420" w:type="dxa"/>
            <w:vAlign w:val="bottom"/>
            <w:tcBorders>
              <w:top w:val="single" w:sz="8" w:color="auto"/>
            </w:tcBorders>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240" w:type="dxa"/>
            <w:vAlign w:val="bottom"/>
            <w:tcBorders>
              <w:right w:val="single" w:sz="8" w:color="CAEEFB"/>
            </w:tcBorders>
            <w:shd w:val="clear" w:color="auto" w:fill="CAEEFB"/>
          </w:tcPr>
          <w:p>
            <w:pPr>
              <w:spacing w:after="0"/>
              <w:rPr>
                <w:sz w:val="13"/>
                <w:szCs w:val="13"/>
                <w:color w:val="auto"/>
              </w:rPr>
            </w:pPr>
          </w:p>
        </w:tc>
        <w:tc>
          <w:tcPr>
            <w:tcW w:w="120" w:type="dxa"/>
            <w:vAlign w:val="bottom"/>
            <w:tcBorders>
              <w:top w:val="single" w:sz="8" w:color="auto"/>
            </w:tcBorders>
            <w:shd w:val="clear" w:color="auto" w:fill="CAEEFB"/>
          </w:tcPr>
          <w:p>
            <w:pPr>
              <w:spacing w:after="0"/>
              <w:rPr>
                <w:sz w:val="13"/>
                <w:szCs w:val="13"/>
                <w:color w:val="auto"/>
              </w:rPr>
            </w:pPr>
          </w:p>
        </w:tc>
        <w:tc>
          <w:tcPr>
            <w:tcW w:w="500" w:type="dxa"/>
            <w:vAlign w:val="bottom"/>
            <w:tcBorders>
              <w:top w:val="single" w:sz="8" w:color="auto"/>
              <w:right w:val="single" w:sz="8" w:color="CAEEFB"/>
            </w:tcBorders>
            <w:shd w:val="clear" w:color="auto" w:fill="CAEEFB"/>
          </w:tcPr>
          <w:p>
            <w:pPr>
              <w:spacing w:after="0"/>
              <w:rPr>
                <w:sz w:val="13"/>
                <w:szCs w:val="13"/>
                <w:color w:val="auto"/>
              </w:rPr>
            </w:pPr>
          </w:p>
        </w:tc>
        <w:tc>
          <w:tcPr>
            <w:tcW w:w="260" w:type="dxa"/>
            <w:vAlign w:val="bottom"/>
            <w:tcBorders>
              <w:right w:val="single" w:sz="8" w:color="CAEEFB"/>
            </w:tcBorders>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20" w:type="dxa"/>
            <w:vAlign w:val="bottom"/>
            <w:tcBorders>
              <w:top w:val="single" w:sz="8" w:color="auto"/>
              <w:right w:val="single" w:sz="8" w:color="CAEEFB"/>
            </w:tcBorders>
            <w:shd w:val="clear" w:color="auto" w:fill="CAEEFB"/>
          </w:tcPr>
          <w:p>
            <w:pPr>
              <w:spacing w:after="0"/>
              <w:rPr>
                <w:sz w:val="13"/>
                <w:szCs w:val="13"/>
                <w:color w:val="auto"/>
              </w:rPr>
            </w:pPr>
          </w:p>
        </w:tc>
      </w:tr>
      <w:tr>
        <w:trPr>
          <w:trHeight w:val="168"/>
        </w:trPr>
        <w:tc>
          <w:tcPr>
            <w:tcW w:w="29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Treasury securities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7,489</w:t>
            </w:r>
          </w:p>
        </w:tc>
      </w:tr>
      <w:tr>
        <w:trPr>
          <w:trHeight w:val="168"/>
        </w:trPr>
        <w:tc>
          <w:tcPr>
            <w:tcW w:w="2920" w:type="dxa"/>
            <w:vAlign w:val="bottom"/>
            <w:tcBorders>
              <w:bottom w:val="single" w:sz="8" w:color="CAEEFB"/>
            </w:tcBorders>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Total marketable securities, noncurrent</w:t>
            </w:r>
          </w:p>
        </w:tc>
        <w:tc>
          <w:tcPr>
            <w:tcW w:w="120" w:type="dxa"/>
            <w:vAlign w:val="bottom"/>
            <w:tcBorders>
              <w:bottom w:val="single" w:sz="8" w:color="auto"/>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36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7,451</w:t>
            </w:r>
          </w:p>
        </w:tc>
        <w:tc>
          <w:tcPr>
            <w:tcW w:w="140" w:type="dxa"/>
            <w:vAlign w:val="bottom"/>
            <w:tcBorders>
              <w:bottom w:val="single" w:sz="8" w:color="CAEEFB"/>
            </w:tcBorders>
            <w:shd w:val="clear" w:color="auto" w:fill="CAEEFB"/>
          </w:tcPr>
          <w:p>
            <w:pPr>
              <w:spacing w:after="0"/>
              <w:rPr>
                <w:sz w:val="14"/>
                <w:szCs w:val="14"/>
                <w:color w:val="auto"/>
              </w:rPr>
            </w:pPr>
          </w:p>
        </w:tc>
        <w:tc>
          <w:tcPr>
            <w:tcW w:w="160" w:type="dxa"/>
            <w:vAlign w:val="bottom"/>
            <w:tcBorders>
              <w:bottom w:val="single" w:sz="8" w:color="CAEEFB"/>
            </w:tcBorders>
            <w:shd w:val="clear" w:color="auto" w:fill="CAEEFB"/>
          </w:tcPr>
          <w:p>
            <w:pPr>
              <w:spacing w:after="0"/>
              <w:rPr>
                <w:sz w:val="14"/>
                <w:szCs w:val="14"/>
                <w:color w:val="auto"/>
              </w:rPr>
            </w:pPr>
          </w:p>
        </w:tc>
        <w:tc>
          <w:tcPr>
            <w:tcW w:w="80" w:type="dxa"/>
            <w:vAlign w:val="bottom"/>
            <w:tcBorders>
              <w:bottom w:val="single" w:sz="8" w:color="auto"/>
            </w:tcBorders>
            <w:shd w:val="clear" w:color="auto" w:fill="CAEEFB"/>
          </w:tcPr>
          <w:p>
            <w:pPr>
              <w:spacing w:after="0"/>
              <w:rPr>
                <w:sz w:val="14"/>
                <w:szCs w:val="14"/>
                <w:color w:val="auto"/>
              </w:rPr>
            </w:pPr>
          </w:p>
        </w:tc>
        <w:tc>
          <w:tcPr>
            <w:tcW w:w="80" w:type="dxa"/>
            <w:vAlign w:val="bottom"/>
            <w:tcBorders>
              <w:bottom w:val="single" w:sz="8" w:color="auto"/>
            </w:tcBorders>
            <w:shd w:val="clear" w:color="auto" w:fill="CAEEFB"/>
          </w:tcPr>
          <w:p>
            <w:pPr>
              <w:spacing w:after="0"/>
              <w:rPr>
                <w:sz w:val="14"/>
                <w:szCs w:val="14"/>
                <w:color w:val="auto"/>
              </w:rPr>
            </w:pPr>
          </w:p>
        </w:tc>
        <w:tc>
          <w:tcPr>
            <w:tcW w:w="42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00" w:type="dxa"/>
            <w:vAlign w:val="bottom"/>
            <w:tcBorders>
              <w:bottom w:val="single" w:sz="8" w:color="CAEEFB"/>
            </w:tcBorders>
            <w:shd w:val="clear" w:color="auto" w:fill="CAEEFB"/>
          </w:tcPr>
          <w:p>
            <w:pPr>
              <w:spacing w:after="0"/>
              <w:rPr>
                <w:sz w:val="14"/>
                <w:szCs w:val="14"/>
                <w:color w:val="auto"/>
              </w:rPr>
            </w:pPr>
          </w:p>
        </w:tc>
        <w:tc>
          <w:tcPr>
            <w:tcW w:w="240" w:type="dxa"/>
            <w:vAlign w:val="bottom"/>
            <w:tcBorders>
              <w:bottom w:val="single" w:sz="8" w:color="CAEEFB"/>
              <w:right w:val="single" w:sz="8" w:color="CAEEFB"/>
            </w:tcBorders>
            <w:shd w:val="clear" w:color="auto" w:fill="CAEEFB"/>
          </w:tcPr>
          <w:p>
            <w:pPr>
              <w:spacing w:after="0"/>
              <w:rPr>
                <w:sz w:val="14"/>
                <w:szCs w:val="14"/>
                <w:color w:val="auto"/>
              </w:rPr>
            </w:pPr>
          </w:p>
        </w:tc>
        <w:tc>
          <w:tcPr>
            <w:tcW w:w="120" w:type="dxa"/>
            <w:vAlign w:val="bottom"/>
            <w:tcBorders>
              <w:bottom w:val="single" w:sz="8" w:color="auto"/>
            </w:tcBorders>
            <w:shd w:val="clear" w:color="auto" w:fill="CAEEFB"/>
          </w:tcPr>
          <w:p>
            <w:pPr>
              <w:spacing w:after="0"/>
              <w:rPr>
                <w:sz w:val="14"/>
                <w:szCs w:val="14"/>
                <w:color w:val="auto"/>
              </w:rPr>
            </w:pPr>
          </w:p>
        </w:tc>
        <w:tc>
          <w:tcPr>
            <w:tcW w:w="500" w:type="dxa"/>
            <w:vAlign w:val="bottom"/>
            <w:tcBorders>
              <w:bottom w:val="single" w:sz="8" w:color="auto"/>
              <w:right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AEEFB"/>
              <w:right w:val="single" w:sz="8" w:color="CAEEFB"/>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520" w:type="dxa"/>
            <w:vAlign w:val="bottom"/>
            <w:tcBorders>
              <w:bottom w:val="single" w:sz="8" w:color="auto"/>
              <w:right w:val="single" w:sz="8" w:color="CAEEFB"/>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7,489</w:t>
            </w:r>
          </w:p>
        </w:tc>
      </w:tr>
      <w:tr>
        <w:trPr>
          <w:trHeight w:val="159"/>
        </w:trPr>
        <w:tc>
          <w:tcPr>
            <w:tcW w:w="2920" w:type="dxa"/>
            <w:vAlign w:val="bottom"/>
          </w:tcPr>
          <w:p>
            <w:pPr>
              <w:ind w:left="280"/>
              <w:spacing w:after="0" w:line="159" w:lineRule="exact"/>
              <w:rPr>
                <w:sz w:val="20"/>
                <w:szCs w:val="20"/>
                <w:color w:val="auto"/>
              </w:rPr>
            </w:pPr>
            <w:r>
              <w:rPr>
                <w:rFonts w:ascii="Times New Roman" w:cs="Times New Roman" w:eastAsia="Times New Roman" w:hAnsi="Times New Roman"/>
                <w:sz w:val="14"/>
                <w:szCs w:val="14"/>
                <w:color w:val="auto"/>
              </w:rPr>
              <w:t>Total marketable securities</w:t>
            </w:r>
          </w:p>
        </w:tc>
        <w:tc>
          <w:tcPr>
            <w:tcW w:w="1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93,958</w:t>
            </w:r>
          </w:p>
        </w:tc>
        <w:tc>
          <w:tcPr>
            <w:tcW w:w="140" w:type="dxa"/>
            <w:vAlign w:val="bottom"/>
          </w:tcPr>
          <w:p>
            <w:pPr>
              <w:spacing w:after="0"/>
              <w:rPr>
                <w:sz w:val="13"/>
                <w:szCs w:val="13"/>
                <w:color w:val="auto"/>
              </w:rPr>
            </w:pPr>
          </w:p>
        </w:tc>
        <w:tc>
          <w:tcPr>
            <w:tcW w:w="2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220</w:t>
            </w:r>
          </w:p>
        </w:tc>
        <w:tc>
          <w:tcPr>
            <w:tcW w:w="100" w:type="dxa"/>
            <w:vAlign w:val="bottom"/>
          </w:tcPr>
          <w:p>
            <w:pPr>
              <w:spacing w:after="0"/>
              <w:rPr>
                <w:sz w:val="13"/>
                <w:szCs w:val="13"/>
                <w:color w:val="auto"/>
              </w:rPr>
            </w:pPr>
          </w:p>
        </w:tc>
        <w:tc>
          <w:tcPr>
            <w:tcW w:w="360" w:type="dxa"/>
            <w:vAlign w:val="bottom"/>
            <w:gridSpan w:val="2"/>
          </w:tcPr>
          <w:p>
            <w:pPr>
              <w:jc w:val="right"/>
              <w:ind w:right="23"/>
              <w:spacing w:after="0" w:line="15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(18)</w:t>
            </w:r>
          </w:p>
        </w:tc>
        <w:tc>
          <w:tcPr>
            <w:tcW w:w="36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94,160</w:t>
            </w: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3277235</wp:posOffset>
            </wp:positionH>
            <wp:positionV relativeFrom="paragraph">
              <wp:posOffset>-1601470</wp:posOffset>
            </wp:positionV>
            <wp:extent cx="33655" cy="698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3277235</wp:posOffset>
            </wp:positionH>
            <wp:positionV relativeFrom="paragraph">
              <wp:posOffset>-1588135</wp:posOffset>
            </wp:positionV>
            <wp:extent cx="33655" cy="698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-1601470</wp:posOffset>
            </wp:positionV>
            <wp:extent cx="33655" cy="698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3811270</wp:posOffset>
            </wp:positionH>
            <wp:positionV relativeFrom="paragraph">
              <wp:posOffset>-1588135</wp:posOffset>
            </wp:positionV>
            <wp:extent cx="33655" cy="698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-1601470</wp:posOffset>
            </wp:positionV>
            <wp:extent cx="33655" cy="698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-1588135</wp:posOffset>
            </wp:positionV>
            <wp:extent cx="33655" cy="698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-1601470</wp:posOffset>
            </wp:positionV>
            <wp:extent cx="33655" cy="698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-1588135</wp:posOffset>
            </wp:positionV>
            <wp:extent cx="33655" cy="698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-573405</wp:posOffset>
            </wp:positionV>
            <wp:extent cx="33655" cy="698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-573405</wp:posOffset>
            </wp:positionV>
            <wp:extent cx="33655" cy="698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-573405</wp:posOffset>
            </wp:positionV>
            <wp:extent cx="40005" cy="698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-573405</wp:posOffset>
            </wp:positionV>
            <wp:extent cx="33655" cy="698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-132715</wp:posOffset>
            </wp:positionV>
            <wp:extent cx="33655" cy="698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3744595</wp:posOffset>
            </wp:positionH>
            <wp:positionV relativeFrom="paragraph">
              <wp:posOffset>-132715</wp:posOffset>
            </wp:positionV>
            <wp:extent cx="33655" cy="698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-132715</wp:posOffset>
            </wp:positionV>
            <wp:extent cx="40005" cy="698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-132715</wp:posOffset>
            </wp:positionV>
            <wp:extent cx="33655" cy="698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13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As of December 31, 2025 and 2024, all marketable securities held by the Company had remaining contractual maturities of one year or less, except for certain U.S. Treasury securities that had maturities of two years or less as of December 31, 2024.</w:t>
      </w:r>
    </w:p>
    <w:p>
      <w:pPr>
        <w:spacing w:after="0" w:line="136"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Company has determined that there were no material changes in the credit risk, and, therefore, no impairment was recognized on its debt securities.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2" w:name="page243"/>
    <w:bookmarkEnd w:id="24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hanging="336"/>
        <w:spacing w:after="0"/>
        <w:tabs>
          <w:tab w:leader="none" w:pos="1560" w:val="left"/>
        </w:tabs>
        <w:numPr>
          <w:ilvl w:val="0"/>
          <w:numId w:val="14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following tables present information about the Company’s financial instruments that are measured at fair value on a recurring basis and indicates the fair value hierarchy of the inputs the Company utilized to determine such fair value (in thousands):</w:t>
      </w:r>
    </w:p>
    <w:p>
      <w:pPr>
        <w:spacing w:after="0" w:line="152" w:lineRule="exact"/>
        <w:rPr>
          <w:sz w:val="20"/>
          <w:szCs w:val="20"/>
          <w:color w:val="auto"/>
        </w:rPr>
      </w:pPr>
    </w:p>
    <w:tbl>
      <w:tblPr>
        <w:tblLayout w:type="fixed"/>
        <w:tblInd w:w="1520" w:type="dxa"/>
        <w:tblCellMar>
          <w:top w:w="0" w:type="dxa"/>
          <w:left w:w="0" w:type="dxa"/>
          <w:bottom w:w="0" w:type="dxa"/>
          <w:right w:w="0" w:type="dxa"/>
        </w:tblCellMar>
      </w:tblPr>
      <w:tr>
        <w:trPr>
          <w:trHeight w:val="135"/>
        </w:trPr>
        <w:tc>
          <w:tcPr>
            <w:tcW w:w="3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06"/>
        </w:trPr>
        <w:tc>
          <w:tcPr>
            <w:tcW w:w="3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jc w:val="right"/>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gridSpan w:val="2"/>
          </w:tcPr>
          <w:p>
            <w:pPr>
              <w:jc w:val="right"/>
              <w:ind w:right="160"/>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1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jc w:val="right"/>
              <w:ind w:right="132"/>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9"/>
                <w:szCs w:val="9"/>
                <w:color w:val="auto"/>
              </w:rPr>
            </w:pPr>
          </w:p>
        </w:tc>
      </w:tr>
      <w:tr>
        <w:trPr>
          <w:trHeight w:val="159"/>
        </w:trPr>
        <w:tc>
          <w:tcPr>
            <w:tcW w:w="3180" w:type="dxa"/>
            <w:vAlign w:val="bottom"/>
            <w:shd w:val="clear" w:color="auto" w:fill="CAEEFB"/>
          </w:tcPr>
          <w:p>
            <w:pPr>
              <w:spacing w:after="0" w:line="159" w:lineRule="exact"/>
              <w:rPr>
                <w:sz w:val="20"/>
                <w:szCs w:val="20"/>
                <w:color w:val="auto"/>
              </w:rPr>
            </w:pPr>
            <w:r>
              <w:rPr>
                <w:rFonts w:ascii="Times New Roman" w:cs="Times New Roman" w:eastAsia="Times New Roman" w:hAnsi="Times New Roman"/>
                <w:sz w:val="14"/>
                <w:szCs w:val="14"/>
                <w:color w:val="auto"/>
              </w:rPr>
              <w:t>Assets</w:t>
            </w:r>
          </w:p>
        </w:tc>
        <w:tc>
          <w:tcPr>
            <w:tcW w:w="4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520" w:type="dxa"/>
            <w:vAlign w:val="bottom"/>
            <w:shd w:val="clear" w:color="auto" w:fill="CAEEFB"/>
          </w:tcPr>
          <w:p>
            <w:pPr>
              <w:spacing w:after="0"/>
              <w:rPr>
                <w:sz w:val="13"/>
                <w:szCs w:val="13"/>
                <w:color w:val="auto"/>
              </w:rPr>
            </w:pPr>
          </w:p>
        </w:tc>
        <w:tc>
          <w:tcPr>
            <w:tcW w:w="40" w:type="dxa"/>
            <w:vAlign w:val="bottom"/>
            <w:shd w:val="clear" w:color="auto" w:fill="CAEEFB"/>
          </w:tcPr>
          <w:p>
            <w:pPr>
              <w:spacing w:after="0"/>
              <w:rPr>
                <w:sz w:val="13"/>
                <w:szCs w:val="13"/>
                <w:color w:val="auto"/>
              </w:rPr>
            </w:pPr>
          </w:p>
        </w:tc>
        <w:tc>
          <w:tcPr>
            <w:tcW w:w="80" w:type="dxa"/>
            <w:vAlign w:val="bottom"/>
            <w:shd w:val="clear" w:color="auto" w:fill="CAEEFB"/>
          </w:tcPr>
          <w:p>
            <w:pPr>
              <w:spacing w:after="0"/>
              <w:rPr>
                <w:sz w:val="13"/>
                <w:szCs w:val="13"/>
                <w:color w:val="auto"/>
              </w:rPr>
            </w:pPr>
          </w:p>
        </w:tc>
        <w:tc>
          <w:tcPr>
            <w:tcW w:w="2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540" w:type="dxa"/>
            <w:vAlign w:val="bottom"/>
            <w:shd w:val="clear" w:color="auto" w:fill="CAEEFB"/>
          </w:tcPr>
          <w:p>
            <w:pPr>
              <w:spacing w:after="0"/>
              <w:rPr>
                <w:sz w:val="13"/>
                <w:szCs w:val="13"/>
                <w:color w:val="auto"/>
              </w:rPr>
            </w:pPr>
          </w:p>
        </w:tc>
        <w:tc>
          <w:tcPr>
            <w:tcW w:w="2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2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540" w:type="dxa"/>
            <w:vAlign w:val="bottom"/>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140" w:type="dxa"/>
            <w:vAlign w:val="bottom"/>
            <w:shd w:val="clear" w:color="auto" w:fill="CAEEFB"/>
          </w:tcPr>
          <w:p>
            <w:pPr>
              <w:spacing w:after="0"/>
              <w:rPr>
                <w:sz w:val="13"/>
                <w:szCs w:val="13"/>
                <w:color w:val="auto"/>
              </w:rPr>
            </w:pPr>
          </w:p>
        </w:tc>
        <w:tc>
          <w:tcPr>
            <w:tcW w:w="520" w:type="dxa"/>
            <w:vAlign w:val="bottom"/>
            <w:shd w:val="clear" w:color="auto" w:fill="CAEEFB"/>
          </w:tcPr>
          <w:p>
            <w:pPr>
              <w:spacing w:after="0"/>
              <w:rPr>
                <w:sz w:val="13"/>
                <w:szCs w:val="13"/>
                <w:color w:val="auto"/>
              </w:rPr>
            </w:pPr>
          </w:p>
        </w:tc>
        <w:tc>
          <w:tcPr>
            <w:tcW w:w="40" w:type="dxa"/>
            <w:vAlign w:val="bottom"/>
            <w:shd w:val="clear" w:color="auto" w:fill="CAEEFB"/>
          </w:tcPr>
          <w:p>
            <w:pPr>
              <w:spacing w:after="0"/>
              <w:rPr>
                <w:sz w:val="13"/>
                <w:szCs w:val="13"/>
                <w:color w:val="auto"/>
              </w:rPr>
            </w:pPr>
          </w:p>
        </w:tc>
      </w:tr>
      <w:tr>
        <w:trPr>
          <w:trHeight w:val="168"/>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3180" w:type="dxa"/>
            <w:vAlign w:val="bottom"/>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Money market accounts</w:t>
            </w:r>
          </w:p>
        </w:tc>
        <w:tc>
          <w:tcPr>
            <w:tcW w:w="1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16,245</w:t>
            </w:r>
          </w:p>
        </w:tc>
        <w:tc>
          <w:tcPr>
            <w:tcW w:w="200" w:type="dxa"/>
            <w:vAlign w:val="bottom"/>
            <w:gridSpan w:val="3"/>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AEEFB"/>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AEEFB"/>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16,245</w:t>
            </w:r>
          </w:p>
        </w:tc>
        <w:tc>
          <w:tcPr>
            <w:tcW w:w="40" w:type="dxa"/>
            <w:vAlign w:val="bottom"/>
            <w:shd w:val="clear" w:color="auto" w:fill="CAEEFB"/>
          </w:tcPr>
          <w:p>
            <w:pPr>
              <w:spacing w:after="0"/>
              <w:rPr>
                <w:sz w:val="14"/>
                <w:szCs w:val="14"/>
                <w:color w:val="auto"/>
              </w:rPr>
            </w:pPr>
          </w:p>
        </w:tc>
      </w:tr>
      <w:tr>
        <w:trPr>
          <w:trHeight w:val="168"/>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3180" w:type="dxa"/>
            <w:vAlign w:val="bottom"/>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U.S. Treasury securities</w:t>
            </w:r>
          </w:p>
        </w:tc>
        <w:tc>
          <w:tcPr>
            <w:tcW w:w="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30,124</w:t>
            </w:r>
          </w:p>
        </w:tc>
        <w:tc>
          <w:tcPr>
            <w:tcW w:w="10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40" w:type="dxa"/>
            <w:vAlign w:val="bottom"/>
            <w:shd w:val="clear" w:color="auto" w:fill="CAEEFB"/>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5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30,124</w:t>
            </w:r>
          </w:p>
        </w:tc>
        <w:tc>
          <w:tcPr>
            <w:tcW w:w="40" w:type="dxa"/>
            <w:vAlign w:val="bottom"/>
            <w:shd w:val="clear" w:color="auto" w:fill="CAEEFB"/>
          </w:tcPr>
          <w:p>
            <w:pPr>
              <w:spacing w:after="0"/>
              <w:rPr>
                <w:sz w:val="14"/>
                <w:szCs w:val="14"/>
                <w:color w:val="auto"/>
              </w:rPr>
            </w:pPr>
          </w:p>
        </w:tc>
      </w:tr>
      <w:tr>
        <w:trPr>
          <w:trHeight w:val="168"/>
        </w:trPr>
        <w:tc>
          <w:tcPr>
            <w:tcW w:w="3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 paper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30,725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30,725</w:t>
            </w:r>
          </w:p>
        </w:tc>
        <w:tc>
          <w:tcPr>
            <w:tcW w:w="40" w:type="dxa"/>
            <w:vAlign w:val="bottom"/>
          </w:tcPr>
          <w:p>
            <w:pPr>
              <w:spacing w:after="0"/>
              <w:rPr>
                <w:sz w:val="14"/>
                <w:szCs w:val="14"/>
                <w:color w:val="auto"/>
              </w:rPr>
            </w:pPr>
          </w:p>
        </w:tc>
      </w:tr>
      <w:tr>
        <w:trPr>
          <w:trHeight w:val="168"/>
        </w:trPr>
        <w:tc>
          <w:tcPr>
            <w:tcW w:w="3180" w:type="dxa"/>
            <w:vAlign w:val="bottom"/>
            <w:tcBorders>
              <w:bottom w:val="single" w:sz="8" w:color="CAEEFB"/>
            </w:tcBorders>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560" w:type="dxa"/>
            <w:vAlign w:val="bottom"/>
            <w:tcBorders>
              <w:bottom w:val="single" w:sz="8" w:color="auto"/>
            </w:tcBorders>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AEEFB"/>
            </w:tcBorders>
            <w:shd w:val="clear" w:color="auto" w:fill="CAEEFB"/>
          </w:tcPr>
          <w:p>
            <w:pPr>
              <w:spacing w:after="0"/>
              <w:rPr>
                <w:sz w:val="14"/>
                <w:szCs w:val="14"/>
                <w:color w:val="auto"/>
              </w:rPr>
            </w:pPr>
          </w:p>
        </w:tc>
        <w:tc>
          <w:tcPr>
            <w:tcW w:w="2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560" w:type="dxa"/>
            <w:vAlign w:val="bottom"/>
            <w:tcBorders>
              <w:bottom w:val="single" w:sz="8" w:color="auto"/>
            </w:tcBorders>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25,195</w:t>
            </w:r>
          </w:p>
        </w:tc>
        <w:tc>
          <w:tcPr>
            <w:tcW w:w="100" w:type="dxa"/>
            <w:vAlign w:val="bottom"/>
            <w:tcBorders>
              <w:bottom w:val="single" w:sz="8" w:color="CAEEFB"/>
            </w:tcBorders>
            <w:shd w:val="clear" w:color="auto" w:fill="CAEEFB"/>
          </w:tcPr>
          <w:p>
            <w:pPr>
              <w:spacing w:after="0"/>
              <w:rPr>
                <w:sz w:val="14"/>
                <w:szCs w:val="14"/>
                <w:color w:val="auto"/>
              </w:rPr>
            </w:pPr>
          </w:p>
        </w:tc>
        <w:tc>
          <w:tcPr>
            <w:tcW w:w="20" w:type="dxa"/>
            <w:vAlign w:val="bottom"/>
            <w:tcBorders>
              <w:bottom w:val="single" w:sz="8" w:color="CAEEFB"/>
            </w:tcBorders>
            <w:shd w:val="clear" w:color="auto" w:fill="CAEEFB"/>
          </w:tcPr>
          <w:p>
            <w:pPr>
              <w:spacing w:after="0"/>
              <w:rPr>
                <w:sz w:val="14"/>
                <w:szCs w:val="14"/>
                <w:color w:val="auto"/>
              </w:rPr>
            </w:pPr>
          </w:p>
        </w:tc>
        <w:tc>
          <w:tcPr>
            <w:tcW w:w="100" w:type="dxa"/>
            <w:vAlign w:val="bottom"/>
            <w:tcBorders>
              <w:bottom w:val="single" w:sz="8" w:color="auto"/>
            </w:tcBorders>
            <w:shd w:val="clear" w:color="auto" w:fill="CAEEFB"/>
          </w:tcPr>
          <w:p>
            <w:pPr>
              <w:spacing w:after="0"/>
              <w:rPr>
                <w:sz w:val="14"/>
                <w:szCs w:val="14"/>
                <w:color w:val="auto"/>
              </w:rPr>
            </w:pPr>
          </w:p>
        </w:tc>
        <w:tc>
          <w:tcPr>
            <w:tcW w:w="540" w:type="dxa"/>
            <w:vAlign w:val="bottom"/>
            <w:tcBorders>
              <w:bottom w:val="single" w:sz="8" w:color="auto"/>
            </w:tcBorders>
            <w:shd w:val="clear" w:color="auto" w:fill="CAEEFB"/>
          </w:tcPr>
          <w:p>
            <w:pPr>
              <w:ind w:left="400"/>
              <w:spacing w:after="0"/>
              <w:rPr>
                <w:sz w:val="20"/>
                <w:szCs w:val="20"/>
                <w:color w:val="auto"/>
              </w:rPr>
            </w:pPr>
            <w:r>
              <w:rPr>
                <w:rFonts w:ascii="Times New Roman" w:cs="Times New Roman" w:eastAsia="Times New Roman" w:hAnsi="Times New Roman"/>
                <w:sz w:val="14"/>
                <w:szCs w:val="14"/>
                <w:color w:val="auto"/>
                <w:w w:val="85"/>
              </w:rPr>
              <w:t>—</w:t>
            </w:r>
          </w:p>
        </w:tc>
        <w:tc>
          <w:tcPr>
            <w:tcW w:w="120" w:type="dxa"/>
            <w:vAlign w:val="bottom"/>
            <w:tcBorders>
              <w:bottom w:val="single" w:sz="8" w:color="CAEEFB"/>
            </w:tcBorders>
            <w:shd w:val="clear" w:color="auto" w:fill="CAEEFB"/>
          </w:tcPr>
          <w:p>
            <w:pPr>
              <w:spacing w:after="0"/>
              <w:rPr>
                <w:sz w:val="14"/>
                <w:szCs w:val="14"/>
                <w:color w:val="auto"/>
              </w:rPr>
            </w:pPr>
          </w:p>
        </w:tc>
        <w:tc>
          <w:tcPr>
            <w:tcW w:w="140" w:type="dxa"/>
            <w:vAlign w:val="bottom"/>
            <w:tcBorders>
              <w:bottom w:val="single" w:sz="8" w:color="auto"/>
            </w:tcBorders>
            <w:shd w:val="clear" w:color="auto" w:fill="CAEEFB"/>
          </w:tcPr>
          <w:p>
            <w:pPr>
              <w:spacing w:after="0"/>
              <w:rPr>
                <w:sz w:val="14"/>
                <w:szCs w:val="14"/>
                <w:color w:val="auto"/>
              </w:rPr>
            </w:pPr>
          </w:p>
        </w:tc>
        <w:tc>
          <w:tcPr>
            <w:tcW w:w="520" w:type="dxa"/>
            <w:vAlign w:val="bottom"/>
            <w:tcBorders>
              <w:bottom w:val="single" w:sz="8" w:color="auto"/>
            </w:tcBorders>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25,195</w:t>
            </w:r>
          </w:p>
        </w:tc>
        <w:tc>
          <w:tcPr>
            <w:tcW w:w="40" w:type="dxa"/>
            <w:vAlign w:val="bottom"/>
            <w:tcBorders>
              <w:bottom w:val="single" w:sz="8" w:color="CAEEFB"/>
            </w:tcBorders>
            <w:shd w:val="clear" w:color="auto" w:fill="CAEEFB"/>
          </w:tcPr>
          <w:p>
            <w:pPr>
              <w:spacing w:after="0"/>
              <w:rPr>
                <w:sz w:val="14"/>
                <w:szCs w:val="14"/>
                <w:color w:val="auto"/>
              </w:rPr>
            </w:pPr>
          </w:p>
        </w:tc>
      </w:tr>
      <w:tr>
        <w:trPr>
          <w:trHeight w:val="159"/>
        </w:trPr>
        <w:tc>
          <w:tcPr>
            <w:tcW w:w="3180" w:type="dxa"/>
            <w:vAlign w:val="bottom"/>
          </w:tcPr>
          <w:p>
            <w:pPr>
              <w:ind w:left="4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40" w:type="dxa"/>
            <w:vAlign w:val="bottom"/>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16,245</w:t>
            </w:r>
          </w:p>
        </w:tc>
        <w:tc>
          <w:tcPr>
            <w:tcW w:w="100" w:type="dxa"/>
            <w:vAlign w:val="bottom"/>
            <w:gridSpan w:val="2"/>
          </w:tcPr>
          <w:p>
            <w:pPr>
              <w:spacing w:after="0"/>
              <w:rPr>
                <w:sz w:val="13"/>
                <w:szCs w:val="13"/>
                <w:color w:val="auto"/>
              </w:rPr>
            </w:pP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86,044</w:t>
            </w:r>
          </w:p>
        </w:tc>
        <w:tc>
          <w:tcPr>
            <w:tcW w:w="220" w:type="dxa"/>
            <w:vAlign w:val="bottom"/>
            <w:gridSpan w:val="3"/>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ind w:left="40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102,289</w:t>
            </w:r>
          </w:p>
        </w:tc>
        <w:tc>
          <w:tcPr>
            <w:tcW w:w="40" w:type="dxa"/>
            <w:vAlign w:val="bottom"/>
          </w:tcPr>
          <w:p>
            <w:pPr>
              <w:spacing w:after="0"/>
              <w:rPr>
                <w:sz w:val="13"/>
                <w:szCs w:val="13"/>
                <w:color w:val="auto"/>
              </w:rPr>
            </w:pPr>
          </w:p>
        </w:tc>
      </w:tr>
      <w:tr>
        <w:trPr>
          <w:trHeight w:val="20"/>
        </w:trPr>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6"/>
        </w:trPr>
        <w:tc>
          <w:tcPr>
            <w:tcW w:w="31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6"/>
          </w:tcPr>
          <w:p>
            <w:pPr>
              <w:ind w:left="14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106"/>
        </w:trPr>
        <w:tc>
          <w:tcPr>
            <w:tcW w:w="318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200"/>
              <w:spacing w:after="0" w:line="106" w:lineRule="exact"/>
              <w:rPr>
                <w:sz w:val="20"/>
                <w:szCs w:val="20"/>
                <w:color w:val="auto"/>
              </w:rPr>
            </w:pPr>
            <w:r>
              <w:rPr>
                <w:rFonts w:ascii="Times New Roman" w:cs="Times New Roman" w:eastAsia="Times New Roman" w:hAnsi="Times New Roman"/>
                <w:sz w:val="11"/>
                <w:szCs w:val="11"/>
                <w:b w:val="1"/>
                <w:bCs w:val="1"/>
                <w:color w:val="auto"/>
              </w:rPr>
              <w:t>Level 1</w:t>
            </w: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gridSpan w:val="2"/>
          </w:tcPr>
          <w:p>
            <w:pPr>
              <w:jc w:val="right"/>
              <w:ind w:right="180"/>
              <w:spacing w:after="0" w:line="106" w:lineRule="exact"/>
              <w:rPr>
                <w:sz w:val="20"/>
                <w:szCs w:val="20"/>
                <w:color w:val="auto"/>
              </w:rPr>
            </w:pPr>
            <w:r>
              <w:rPr>
                <w:rFonts w:ascii="Times New Roman" w:cs="Times New Roman" w:eastAsia="Times New Roman" w:hAnsi="Times New Roman"/>
                <w:sz w:val="11"/>
                <w:szCs w:val="11"/>
                <w:b w:val="1"/>
                <w:bCs w:val="1"/>
                <w:color w:val="auto"/>
              </w:rPr>
              <w:t>Level 2</w:t>
            </w: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ind w:left="40"/>
              <w:spacing w:after="0" w:line="106" w:lineRule="exact"/>
              <w:rPr>
                <w:sz w:val="20"/>
                <w:szCs w:val="20"/>
                <w:color w:val="auto"/>
              </w:rPr>
            </w:pPr>
            <w:r>
              <w:rPr>
                <w:rFonts w:ascii="Times New Roman" w:cs="Times New Roman" w:eastAsia="Times New Roman" w:hAnsi="Times New Roman"/>
                <w:sz w:val="11"/>
                <w:szCs w:val="11"/>
                <w:b w:val="1"/>
                <w:bCs w:val="1"/>
                <w:color w:val="auto"/>
              </w:rPr>
              <w:t>Level 3</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jc w:val="right"/>
              <w:ind w:right="132"/>
              <w:spacing w:after="0" w:line="106" w:lineRule="exact"/>
              <w:rPr>
                <w:sz w:val="20"/>
                <w:szCs w:val="20"/>
                <w:color w:val="auto"/>
              </w:rPr>
            </w:pPr>
            <w:r>
              <w:rPr>
                <w:rFonts w:ascii="Times New Roman" w:cs="Times New Roman" w:eastAsia="Times New Roman" w:hAnsi="Times New Roman"/>
                <w:sz w:val="11"/>
                <w:szCs w:val="11"/>
                <w:b w:val="1"/>
                <w:bCs w:val="1"/>
                <w:color w:val="auto"/>
              </w:rPr>
              <w:t>Total</w:t>
            </w:r>
          </w:p>
        </w:tc>
        <w:tc>
          <w:tcPr>
            <w:tcW w:w="40" w:type="dxa"/>
            <w:vAlign w:val="bottom"/>
          </w:tcPr>
          <w:p>
            <w:pPr>
              <w:spacing w:after="0"/>
              <w:rPr>
                <w:sz w:val="9"/>
                <w:szCs w:val="9"/>
                <w:color w:val="auto"/>
              </w:rPr>
            </w:pPr>
          </w:p>
        </w:tc>
      </w:tr>
      <w:tr>
        <w:trPr>
          <w:trHeight w:val="159"/>
        </w:trPr>
        <w:tc>
          <w:tcPr>
            <w:tcW w:w="3180" w:type="dxa"/>
            <w:vAlign w:val="bottom"/>
            <w:shd w:val="clear" w:color="auto" w:fill="CAEEFB"/>
          </w:tcPr>
          <w:p>
            <w:pPr>
              <w:spacing w:after="0" w:line="159" w:lineRule="exact"/>
              <w:rPr>
                <w:sz w:val="20"/>
                <w:szCs w:val="20"/>
                <w:color w:val="auto"/>
              </w:rPr>
            </w:pPr>
            <w:r>
              <w:rPr>
                <w:rFonts w:ascii="Times New Roman" w:cs="Times New Roman" w:eastAsia="Times New Roman" w:hAnsi="Times New Roman"/>
                <w:sz w:val="14"/>
                <w:szCs w:val="14"/>
                <w:color w:val="auto"/>
              </w:rPr>
              <w:t>Assets</w:t>
            </w:r>
          </w:p>
        </w:tc>
        <w:tc>
          <w:tcPr>
            <w:tcW w:w="40" w:type="dxa"/>
            <w:vAlign w:val="bottom"/>
            <w:tcBorders>
              <w:top w:val="single" w:sz="8" w:color="auto"/>
            </w:tcBorders>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20" w:type="dxa"/>
            <w:vAlign w:val="bottom"/>
            <w:tcBorders>
              <w:top w:val="single" w:sz="8" w:color="auto"/>
            </w:tcBorders>
            <w:shd w:val="clear" w:color="auto" w:fill="CAEEFB"/>
          </w:tcPr>
          <w:p>
            <w:pPr>
              <w:spacing w:after="0"/>
              <w:rPr>
                <w:sz w:val="13"/>
                <w:szCs w:val="13"/>
                <w:color w:val="auto"/>
              </w:rPr>
            </w:pPr>
          </w:p>
        </w:tc>
        <w:tc>
          <w:tcPr>
            <w:tcW w:w="40" w:type="dxa"/>
            <w:vAlign w:val="bottom"/>
            <w:shd w:val="clear" w:color="auto" w:fill="CAEEFB"/>
          </w:tcPr>
          <w:p>
            <w:pPr>
              <w:spacing w:after="0"/>
              <w:rPr>
                <w:sz w:val="13"/>
                <w:szCs w:val="13"/>
                <w:color w:val="auto"/>
              </w:rPr>
            </w:pPr>
          </w:p>
        </w:tc>
        <w:tc>
          <w:tcPr>
            <w:tcW w:w="80" w:type="dxa"/>
            <w:vAlign w:val="bottom"/>
            <w:shd w:val="clear" w:color="auto" w:fill="CAEEFB"/>
          </w:tcPr>
          <w:p>
            <w:pPr>
              <w:spacing w:after="0"/>
              <w:rPr>
                <w:sz w:val="13"/>
                <w:szCs w:val="13"/>
                <w:color w:val="auto"/>
              </w:rPr>
            </w:pPr>
          </w:p>
        </w:tc>
        <w:tc>
          <w:tcPr>
            <w:tcW w:w="20" w:type="dxa"/>
            <w:vAlign w:val="bottom"/>
            <w:tcBorders>
              <w:top w:val="single" w:sz="8" w:color="auto"/>
            </w:tcBorders>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40" w:type="dxa"/>
            <w:vAlign w:val="bottom"/>
            <w:tcBorders>
              <w:top w:val="single" w:sz="8" w:color="auto"/>
            </w:tcBorders>
            <w:shd w:val="clear" w:color="auto" w:fill="CAEEFB"/>
          </w:tcPr>
          <w:p>
            <w:pPr>
              <w:spacing w:after="0"/>
              <w:rPr>
                <w:sz w:val="13"/>
                <w:szCs w:val="13"/>
                <w:color w:val="auto"/>
              </w:rPr>
            </w:pPr>
          </w:p>
        </w:tc>
        <w:tc>
          <w:tcPr>
            <w:tcW w:w="20" w:type="dxa"/>
            <w:vAlign w:val="bottom"/>
            <w:shd w:val="clear" w:color="auto" w:fill="CAEEFB"/>
          </w:tcPr>
          <w:p>
            <w:pPr>
              <w:spacing w:after="0"/>
              <w:rPr>
                <w:sz w:val="13"/>
                <w:szCs w:val="13"/>
                <w:color w:val="auto"/>
              </w:rPr>
            </w:pPr>
          </w:p>
        </w:tc>
        <w:tc>
          <w:tcPr>
            <w:tcW w:w="100" w:type="dxa"/>
            <w:vAlign w:val="bottom"/>
            <w:shd w:val="clear" w:color="auto" w:fill="CAEEFB"/>
          </w:tcPr>
          <w:p>
            <w:pPr>
              <w:spacing w:after="0"/>
              <w:rPr>
                <w:sz w:val="13"/>
                <w:szCs w:val="13"/>
                <w:color w:val="auto"/>
              </w:rPr>
            </w:pPr>
          </w:p>
        </w:tc>
        <w:tc>
          <w:tcPr>
            <w:tcW w:w="20" w:type="dxa"/>
            <w:vAlign w:val="bottom"/>
            <w:tcBorders>
              <w:top w:val="single" w:sz="8" w:color="auto"/>
            </w:tcBorders>
            <w:shd w:val="clear" w:color="auto" w:fill="CAEEFB"/>
          </w:tcPr>
          <w:p>
            <w:pPr>
              <w:spacing w:after="0"/>
              <w:rPr>
                <w:sz w:val="13"/>
                <w:szCs w:val="13"/>
                <w:color w:val="auto"/>
              </w:rPr>
            </w:pPr>
          </w:p>
        </w:tc>
        <w:tc>
          <w:tcPr>
            <w:tcW w:w="100" w:type="dxa"/>
            <w:vAlign w:val="bottom"/>
            <w:tcBorders>
              <w:top w:val="single" w:sz="8" w:color="auto"/>
            </w:tcBorders>
            <w:shd w:val="clear" w:color="auto" w:fill="CAEEFB"/>
          </w:tcPr>
          <w:p>
            <w:pPr>
              <w:spacing w:after="0"/>
              <w:rPr>
                <w:sz w:val="13"/>
                <w:szCs w:val="13"/>
                <w:color w:val="auto"/>
              </w:rPr>
            </w:pPr>
          </w:p>
        </w:tc>
        <w:tc>
          <w:tcPr>
            <w:tcW w:w="540" w:type="dxa"/>
            <w:vAlign w:val="bottom"/>
            <w:tcBorders>
              <w:top w:val="single" w:sz="8" w:color="auto"/>
            </w:tcBorders>
            <w:shd w:val="clear" w:color="auto" w:fill="CAEEFB"/>
          </w:tcPr>
          <w:p>
            <w:pPr>
              <w:spacing w:after="0"/>
              <w:rPr>
                <w:sz w:val="13"/>
                <w:szCs w:val="13"/>
                <w:color w:val="auto"/>
              </w:rPr>
            </w:pPr>
          </w:p>
        </w:tc>
        <w:tc>
          <w:tcPr>
            <w:tcW w:w="120" w:type="dxa"/>
            <w:vAlign w:val="bottom"/>
            <w:shd w:val="clear" w:color="auto" w:fill="CAEEFB"/>
          </w:tcPr>
          <w:p>
            <w:pPr>
              <w:spacing w:after="0"/>
              <w:rPr>
                <w:sz w:val="13"/>
                <w:szCs w:val="13"/>
                <w:color w:val="auto"/>
              </w:rPr>
            </w:pPr>
          </w:p>
        </w:tc>
        <w:tc>
          <w:tcPr>
            <w:tcW w:w="140" w:type="dxa"/>
            <w:vAlign w:val="bottom"/>
            <w:tcBorders>
              <w:top w:val="single" w:sz="8" w:color="auto"/>
            </w:tcBorders>
            <w:shd w:val="clear" w:color="auto" w:fill="CAEEFB"/>
          </w:tcPr>
          <w:p>
            <w:pPr>
              <w:spacing w:after="0"/>
              <w:rPr>
                <w:sz w:val="13"/>
                <w:szCs w:val="13"/>
                <w:color w:val="auto"/>
              </w:rPr>
            </w:pPr>
          </w:p>
        </w:tc>
        <w:tc>
          <w:tcPr>
            <w:tcW w:w="520" w:type="dxa"/>
            <w:vAlign w:val="bottom"/>
            <w:tcBorders>
              <w:top w:val="single" w:sz="8" w:color="auto"/>
            </w:tcBorders>
            <w:shd w:val="clear" w:color="auto" w:fill="CAEEFB"/>
          </w:tcPr>
          <w:p>
            <w:pPr>
              <w:spacing w:after="0"/>
              <w:rPr>
                <w:sz w:val="13"/>
                <w:szCs w:val="13"/>
                <w:color w:val="auto"/>
              </w:rPr>
            </w:pPr>
          </w:p>
        </w:tc>
        <w:tc>
          <w:tcPr>
            <w:tcW w:w="40" w:type="dxa"/>
            <w:vAlign w:val="bottom"/>
            <w:shd w:val="clear" w:color="auto" w:fill="CAEEFB"/>
          </w:tcPr>
          <w:p>
            <w:pPr>
              <w:spacing w:after="0"/>
              <w:rPr>
                <w:sz w:val="13"/>
                <w:szCs w:val="13"/>
                <w:color w:val="auto"/>
              </w:rPr>
            </w:pPr>
          </w:p>
        </w:tc>
      </w:tr>
      <w:tr>
        <w:trPr>
          <w:trHeight w:val="168"/>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Cash equivalents: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3180" w:type="dxa"/>
            <w:vAlign w:val="bottom"/>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Money market accounts</w:t>
            </w:r>
          </w:p>
        </w:tc>
        <w:tc>
          <w:tcPr>
            <w:tcW w:w="14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19,893</w:t>
            </w:r>
          </w:p>
        </w:tc>
        <w:tc>
          <w:tcPr>
            <w:tcW w:w="40" w:type="dxa"/>
            <w:vAlign w:val="bottom"/>
            <w:shd w:val="clear" w:color="auto" w:fill="CAEEFB"/>
          </w:tcPr>
          <w:p>
            <w:pPr>
              <w:spacing w:after="0"/>
              <w:rPr>
                <w:sz w:val="14"/>
                <w:szCs w:val="14"/>
                <w:color w:val="auto"/>
              </w:rPr>
            </w:pPr>
          </w:p>
        </w:tc>
        <w:tc>
          <w:tcPr>
            <w:tcW w:w="200" w:type="dxa"/>
            <w:vAlign w:val="bottom"/>
            <w:gridSpan w:val="3"/>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shd w:val="clear" w:color="auto" w:fill="CAEEFB"/>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3"/>
            <w:shd w:val="clear" w:color="auto" w:fill="CAEEFB"/>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AEEFB"/>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gridSpan w:val="2"/>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19,893</w:t>
            </w:r>
          </w:p>
        </w:tc>
        <w:tc>
          <w:tcPr>
            <w:tcW w:w="40" w:type="dxa"/>
            <w:vAlign w:val="bottom"/>
            <w:shd w:val="clear" w:color="auto" w:fill="CAEEFB"/>
          </w:tcPr>
          <w:p>
            <w:pPr>
              <w:spacing w:after="0"/>
              <w:rPr>
                <w:sz w:val="14"/>
                <w:szCs w:val="14"/>
                <w:color w:val="auto"/>
              </w:rPr>
            </w:pPr>
          </w:p>
        </w:tc>
      </w:tr>
      <w:tr>
        <w:trPr>
          <w:trHeight w:val="168"/>
        </w:trPr>
        <w:tc>
          <w:tcPr>
            <w:tcW w:w="31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Marketable securities: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8"/>
        </w:trPr>
        <w:tc>
          <w:tcPr>
            <w:tcW w:w="3180" w:type="dxa"/>
            <w:vAlign w:val="bottom"/>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U.S. Treasury securities</w:t>
            </w:r>
          </w:p>
        </w:tc>
        <w:tc>
          <w:tcPr>
            <w:tcW w:w="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gridSpan w:val="2"/>
            <w:shd w:val="clear" w:color="auto" w:fill="CAEEFB"/>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26,907</w:t>
            </w: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40" w:type="dxa"/>
            <w:vAlign w:val="bottom"/>
            <w:shd w:val="clear" w:color="auto" w:fill="CAEEFB"/>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5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26,907</w:t>
            </w:r>
          </w:p>
        </w:tc>
        <w:tc>
          <w:tcPr>
            <w:tcW w:w="40" w:type="dxa"/>
            <w:vAlign w:val="bottom"/>
            <w:shd w:val="clear" w:color="auto" w:fill="CAEEFB"/>
          </w:tcPr>
          <w:p>
            <w:pPr>
              <w:spacing w:after="0"/>
              <w:rPr>
                <w:sz w:val="14"/>
                <w:szCs w:val="14"/>
                <w:color w:val="auto"/>
              </w:rPr>
            </w:pPr>
          </w:p>
        </w:tc>
      </w:tr>
      <w:tr>
        <w:trPr>
          <w:trHeight w:val="168"/>
        </w:trPr>
        <w:tc>
          <w:tcPr>
            <w:tcW w:w="3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Commercial paper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30,438</w:t>
            </w:r>
          </w:p>
        </w:tc>
        <w:tc>
          <w:tcPr>
            <w:tcW w:w="40" w:type="dxa"/>
            <w:vAlign w:val="bottom"/>
          </w:tcPr>
          <w:p>
            <w:pPr>
              <w:spacing w:after="0"/>
              <w:rPr>
                <w:sz w:val="14"/>
                <w:szCs w:val="14"/>
                <w:color w:val="auto"/>
              </w:rPr>
            </w:pPr>
          </w:p>
        </w:tc>
      </w:tr>
      <w:tr>
        <w:trPr>
          <w:trHeight w:val="168"/>
        </w:trPr>
        <w:tc>
          <w:tcPr>
            <w:tcW w:w="3180" w:type="dxa"/>
            <w:vAlign w:val="bottom"/>
            <w:shd w:val="clear" w:color="auto" w:fill="CAEEFB"/>
          </w:tcPr>
          <w:p>
            <w:pPr>
              <w:ind w:left="28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4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60" w:type="dxa"/>
            <w:vAlign w:val="bottom"/>
            <w:gridSpan w:val="2"/>
            <w:shd w:val="clear" w:color="auto" w:fill="CAEEFB"/>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4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24,443</w:t>
            </w: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20" w:type="dxa"/>
            <w:vAlign w:val="bottom"/>
            <w:shd w:val="clear" w:color="auto" w:fill="CAEEFB"/>
          </w:tcPr>
          <w:p>
            <w:pPr>
              <w:spacing w:after="0"/>
              <w:rPr>
                <w:sz w:val="14"/>
                <w:szCs w:val="14"/>
                <w:color w:val="auto"/>
              </w:rPr>
            </w:pPr>
          </w:p>
        </w:tc>
        <w:tc>
          <w:tcPr>
            <w:tcW w:w="100" w:type="dxa"/>
            <w:vAlign w:val="bottom"/>
            <w:shd w:val="clear" w:color="auto" w:fill="CAEEFB"/>
          </w:tcPr>
          <w:p>
            <w:pPr>
              <w:spacing w:after="0"/>
              <w:rPr>
                <w:sz w:val="14"/>
                <w:szCs w:val="14"/>
                <w:color w:val="auto"/>
              </w:rPr>
            </w:pPr>
          </w:p>
        </w:tc>
        <w:tc>
          <w:tcPr>
            <w:tcW w:w="540" w:type="dxa"/>
            <w:vAlign w:val="bottom"/>
            <w:shd w:val="clear" w:color="auto" w:fill="CAEEFB"/>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AEEFB"/>
          </w:tcPr>
          <w:p>
            <w:pPr>
              <w:spacing w:after="0"/>
              <w:rPr>
                <w:sz w:val="14"/>
                <w:szCs w:val="14"/>
                <w:color w:val="auto"/>
              </w:rPr>
            </w:pPr>
          </w:p>
        </w:tc>
        <w:tc>
          <w:tcPr>
            <w:tcW w:w="140" w:type="dxa"/>
            <w:vAlign w:val="bottom"/>
            <w:shd w:val="clear" w:color="auto" w:fill="CAEEFB"/>
          </w:tcPr>
          <w:p>
            <w:pPr>
              <w:spacing w:after="0"/>
              <w:rPr>
                <w:sz w:val="14"/>
                <w:szCs w:val="14"/>
                <w:color w:val="auto"/>
              </w:rPr>
            </w:pPr>
          </w:p>
        </w:tc>
        <w:tc>
          <w:tcPr>
            <w:tcW w:w="520" w:type="dxa"/>
            <w:vAlign w:val="bottom"/>
            <w:shd w:val="clear" w:color="auto" w:fill="CAEEFB"/>
          </w:tcPr>
          <w:p>
            <w:pPr>
              <w:jc w:val="right"/>
              <w:spacing w:after="0"/>
              <w:rPr>
                <w:sz w:val="20"/>
                <w:szCs w:val="20"/>
                <w:color w:val="auto"/>
              </w:rPr>
            </w:pPr>
            <w:r>
              <w:rPr>
                <w:rFonts w:ascii="Times New Roman" w:cs="Times New Roman" w:eastAsia="Times New Roman" w:hAnsi="Times New Roman"/>
                <w:sz w:val="14"/>
                <w:szCs w:val="14"/>
                <w:color w:val="auto"/>
              </w:rPr>
              <w:t>24,443</w:t>
            </w:r>
          </w:p>
        </w:tc>
        <w:tc>
          <w:tcPr>
            <w:tcW w:w="40" w:type="dxa"/>
            <w:vAlign w:val="bottom"/>
            <w:shd w:val="clear" w:color="auto" w:fill="CAEEFB"/>
          </w:tcPr>
          <w:p>
            <w:pPr>
              <w:spacing w:after="0"/>
              <w:rPr>
                <w:sz w:val="14"/>
                <w:szCs w:val="14"/>
                <w:color w:val="auto"/>
              </w:rPr>
            </w:pPr>
          </w:p>
        </w:tc>
      </w:tr>
      <w:tr>
        <w:trPr>
          <w:trHeight w:val="168"/>
        </w:trPr>
        <w:tc>
          <w:tcPr>
            <w:tcW w:w="31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U.S. government agency debt securities</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12,372</w:t>
            </w:r>
          </w:p>
        </w:tc>
        <w:tc>
          <w:tcPr>
            <w:tcW w:w="40" w:type="dxa"/>
            <w:vAlign w:val="bottom"/>
          </w:tcPr>
          <w:p>
            <w:pPr>
              <w:spacing w:after="0"/>
              <w:rPr>
                <w:sz w:val="14"/>
                <w:szCs w:val="14"/>
                <w:color w:val="auto"/>
              </w:rPr>
            </w:pPr>
          </w:p>
        </w:tc>
      </w:tr>
      <w:tr>
        <w:trPr>
          <w:trHeight w:val="199"/>
        </w:trPr>
        <w:tc>
          <w:tcPr>
            <w:tcW w:w="3180" w:type="dxa"/>
            <w:vAlign w:val="bottom"/>
            <w:tcBorders>
              <w:bottom w:val="single" w:sz="8" w:color="CAEEFB"/>
            </w:tcBorders>
            <w:shd w:val="clear" w:color="auto" w:fill="CAEEFB"/>
          </w:tcPr>
          <w:p>
            <w:pPr>
              <w:ind w:left="42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bottom w:val="single" w:sz="8" w:color="auto"/>
            </w:tcBorders>
            <w:gridSpan w:val="2"/>
            <w:shd w:val="clear" w:color="auto" w:fill="CAEEFB"/>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AEEFB"/>
          </w:tcPr>
          <w:p>
            <w:pPr>
              <w:jc w:val="right"/>
              <w:spacing w:after="0" w:line="159" w:lineRule="exact"/>
              <w:rPr>
                <w:sz w:val="20"/>
                <w:szCs w:val="20"/>
                <w:color w:val="auto"/>
              </w:rPr>
            </w:pPr>
            <w:r>
              <w:rPr>
                <w:rFonts w:ascii="Times New Roman" w:cs="Times New Roman" w:eastAsia="Times New Roman" w:hAnsi="Times New Roman"/>
                <w:sz w:val="14"/>
                <w:szCs w:val="14"/>
                <w:color w:val="auto"/>
              </w:rPr>
              <w:t>19,893</w:t>
            </w:r>
          </w:p>
        </w:tc>
        <w:tc>
          <w:tcPr>
            <w:tcW w:w="40" w:type="dxa"/>
            <w:vAlign w:val="bottom"/>
            <w:tcBorders>
              <w:bottom w:val="single" w:sz="8" w:color="CAEEFB"/>
            </w:tcBorders>
            <w:shd w:val="clear" w:color="auto" w:fill="CAEEFB"/>
          </w:tcPr>
          <w:p>
            <w:pPr>
              <w:spacing w:after="0"/>
              <w:rPr>
                <w:sz w:val="17"/>
                <w:szCs w:val="17"/>
                <w:color w:val="auto"/>
              </w:rPr>
            </w:pPr>
          </w:p>
        </w:tc>
        <w:tc>
          <w:tcPr>
            <w:tcW w:w="80" w:type="dxa"/>
            <w:vAlign w:val="bottom"/>
            <w:tcBorders>
              <w:bottom w:val="single" w:sz="8" w:color="CAEEFB"/>
            </w:tcBorders>
            <w:shd w:val="clear" w:color="auto" w:fill="CAEEFB"/>
          </w:tcPr>
          <w:p>
            <w:pPr>
              <w:spacing w:after="0"/>
              <w:rPr>
                <w:sz w:val="17"/>
                <w:szCs w:val="17"/>
                <w:color w:val="auto"/>
              </w:rPr>
            </w:pPr>
          </w:p>
        </w:tc>
        <w:tc>
          <w:tcPr>
            <w:tcW w:w="120" w:type="dxa"/>
            <w:vAlign w:val="bottom"/>
            <w:tcBorders>
              <w:bottom w:val="single" w:sz="8" w:color="auto"/>
            </w:tcBorders>
            <w:gridSpan w:val="2"/>
            <w:shd w:val="clear" w:color="auto" w:fill="CAEEFB"/>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AEEFB"/>
          </w:tcPr>
          <w:p>
            <w:pPr>
              <w:jc w:val="right"/>
              <w:spacing w:after="0" w:line="159" w:lineRule="exact"/>
              <w:rPr>
                <w:sz w:val="20"/>
                <w:szCs w:val="20"/>
                <w:color w:val="auto"/>
              </w:rPr>
            </w:pPr>
            <w:r>
              <w:rPr>
                <w:rFonts w:ascii="Times New Roman" w:cs="Times New Roman" w:eastAsia="Times New Roman" w:hAnsi="Times New Roman"/>
                <w:sz w:val="14"/>
                <w:szCs w:val="14"/>
                <w:color w:val="auto"/>
              </w:rPr>
              <w:t>94,160</w:t>
            </w:r>
          </w:p>
        </w:tc>
        <w:tc>
          <w:tcPr>
            <w:tcW w:w="20" w:type="dxa"/>
            <w:vAlign w:val="bottom"/>
            <w:tcBorders>
              <w:bottom w:val="single" w:sz="8" w:color="CAEEFB"/>
            </w:tcBorders>
            <w:shd w:val="clear" w:color="auto" w:fill="CAEEFB"/>
          </w:tcPr>
          <w:p>
            <w:pPr>
              <w:spacing w:after="0"/>
              <w:rPr>
                <w:sz w:val="17"/>
                <w:szCs w:val="17"/>
                <w:color w:val="auto"/>
              </w:rPr>
            </w:pPr>
          </w:p>
        </w:tc>
        <w:tc>
          <w:tcPr>
            <w:tcW w:w="100" w:type="dxa"/>
            <w:vAlign w:val="bottom"/>
            <w:tcBorders>
              <w:bottom w:val="single" w:sz="8" w:color="CAEEFB"/>
            </w:tcBorders>
            <w:shd w:val="clear" w:color="auto" w:fill="CAEEFB"/>
          </w:tcPr>
          <w:p>
            <w:pPr>
              <w:spacing w:after="0"/>
              <w:rPr>
                <w:sz w:val="17"/>
                <w:szCs w:val="17"/>
                <w:color w:val="auto"/>
              </w:rPr>
            </w:pPr>
          </w:p>
        </w:tc>
        <w:tc>
          <w:tcPr>
            <w:tcW w:w="120" w:type="dxa"/>
            <w:vAlign w:val="bottom"/>
            <w:tcBorders>
              <w:bottom w:val="single" w:sz="8" w:color="auto"/>
            </w:tcBorders>
            <w:gridSpan w:val="2"/>
            <w:shd w:val="clear" w:color="auto" w:fill="CAEEFB"/>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AEEFB"/>
          </w:tcPr>
          <w:p>
            <w:pPr>
              <w:ind w:left="380"/>
              <w:spacing w:after="0" w:line="159" w:lineRule="exact"/>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Borders>
              <w:bottom w:val="single" w:sz="8" w:color="CAEEFB"/>
            </w:tcBorders>
            <w:shd w:val="clear" w:color="auto" w:fill="CAEEFB"/>
          </w:tcPr>
          <w:p>
            <w:pPr>
              <w:spacing w:after="0"/>
              <w:rPr>
                <w:sz w:val="17"/>
                <w:szCs w:val="17"/>
                <w:color w:val="auto"/>
              </w:rPr>
            </w:pPr>
          </w:p>
        </w:tc>
        <w:tc>
          <w:tcPr>
            <w:tcW w:w="140" w:type="dxa"/>
            <w:vAlign w:val="bottom"/>
            <w:tcBorders>
              <w:bottom w:val="single" w:sz="8" w:color="auto"/>
            </w:tcBorders>
            <w:shd w:val="clear" w:color="auto" w:fill="CAEEFB"/>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shd w:val="clear" w:color="auto" w:fill="CAEEFB"/>
          </w:tcPr>
          <w:p>
            <w:pPr>
              <w:jc w:val="right"/>
              <w:spacing w:after="0" w:line="159" w:lineRule="exact"/>
              <w:rPr>
                <w:sz w:val="20"/>
                <w:szCs w:val="20"/>
                <w:color w:val="auto"/>
              </w:rPr>
            </w:pPr>
            <w:r>
              <w:rPr>
                <w:rFonts w:ascii="Times New Roman" w:cs="Times New Roman" w:eastAsia="Times New Roman" w:hAnsi="Times New Roman"/>
                <w:sz w:val="14"/>
                <w:szCs w:val="14"/>
                <w:color w:val="auto"/>
              </w:rPr>
              <w:t>114,053</w:t>
            </w:r>
          </w:p>
        </w:tc>
        <w:tc>
          <w:tcPr>
            <w:tcW w:w="40" w:type="dxa"/>
            <w:vAlign w:val="bottom"/>
            <w:tcBorders>
              <w:bottom w:val="single" w:sz="8" w:color="CAEEFB"/>
            </w:tcBorders>
            <w:shd w:val="clear" w:color="auto" w:fill="CAEEFB"/>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3423920</wp:posOffset>
            </wp:positionH>
            <wp:positionV relativeFrom="paragraph">
              <wp:posOffset>-1401445</wp:posOffset>
            </wp:positionV>
            <wp:extent cx="33655" cy="698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3911600</wp:posOffset>
            </wp:positionH>
            <wp:positionV relativeFrom="paragraph">
              <wp:posOffset>-1401445</wp:posOffset>
            </wp:positionV>
            <wp:extent cx="33655" cy="698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4398645</wp:posOffset>
            </wp:positionH>
            <wp:positionV relativeFrom="paragraph">
              <wp:posOffset>-1401445</wp:posOffset>
            </wp:positionV>
            <wp:extent cx="33655" cy="698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-1401445</wp:posOffset>
            </wp:positionV>
            <wp:extent cx="33655" cy="698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-19685</wp:posOffset>
            </wp:positionV>
            <wp:extent cx="33655" cy="698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3404235</wp:posOffset>
            </wp:positionH>
            <wp:positionV relativeFrom="paragraph">
              <wp:posOffset>-6350</wp:posOffset>
            </wp:positionV>
            <wp:extent cx="33655" cy="698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-19685</wp:posOffset>
            </wp:positionV>
            <wp:extent cx="33655" cy="698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-6350</wp:posOffset>
            </wp:positionV>
            <wp:extent cx="33655" cy="698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-19685</wp:posOffset>
            </wp:positionV>
            <wp:extent cx="33655" cy="698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4392295</wp:posOffset>
            </wp:positionH>
            <wp:positionV relativeFrom="paragraph">
              <wp:posOffset>-6350</wp:posOffset>
            </wp:positionV>
            <wp:extent cx="33655" cy="698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-19685</wp:posOffset>
            </wp:positionV>
            <wp:extent cx="33655" cy="698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-6350</wp:posOffset>
            </wp:positionV>
            <wp:extent cx="33655" cy="698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13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As of December 31, 2025 and 2024, the Company had cash equivalents consisting of money market accounts classified as Level 1 financial assets, as these assets are valued using quoted market prices in active markets without any valuation adjustments. The Company classifies its investments in U.S. Treasury securities (Treasury bills, Treasury notes, and Treasury bonds), U.S. government agency debt, commercial paper, and corporate debt securities as Level 2 instruments. The Company estimates the fair value of these marketable securities by taking into consideration valuations obtained from third-party pricing sources. These pricing sources utilize standard industry valuation models, including both income and market-based approaches, for which all significant inputs are observable, either directly or indirectly to estimate fair value. These inputs include market pricing based on real time trade data for the same or similar securities, issuer credit spreads, benchmark yields, and other observable inputs.</w:t>
      </w:r>
    </w:p>
    <w:p>
      <w:pPr>
        <w:spacing w:after="0" w:line="149"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During the years ended December 31, 2025 and 2024, there were no transfers or reclassifications between fair value measurement levels of financial assets or liabilities.</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3" w:name="page244"/>
    <w:bookmarkEnd w:id="24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560" w:hanging="336"/>
        <w:spacing w:after="0"/>
        <w:tabs>
          <w:tab w:leader="none" w:pos="1560" w:val="left"/>
        </w:tabs>
        <w:numPr>
          <w:ilvl w:val="0"/>
          <w:numId w:val="14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Prepaid Expenses and Other Current Assets</w:t>
      </w:r>
    </w:p>
    <w:p>
      <w:pPr>
        <w:spacing w:after="0" w:line="93" w:lineRule="exact"/>
        <w:rPr>
          <w:rFonts w:ascii="Times New Roman" w:cs="Times New Roman" w:eastAsia="Times New Roman" w:hAnsi="Times New Roman"/>
          <w:sz w:val="14"/>
          <w:szCs w:val="14"/>
          <w:b w:val="1"/>
          <w:bCs w:val="1"/>
          <w:color w:val="auto"/>
        </w:rPr>
      </w:pPr>
    </w:p>
    <w:p>
      <w:pPr>
        <w:ind w:left="1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Prepaid expenses and other current assets consist of the following (in thousands):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4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r>
      <w:tr>
        <w:trPr>
          <w:trHeight w:val="159"/>
        </w:trPr>
        <w:tc>
          <w:tcPr>
            <w:tcW w:w="42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Prepaid research and development expenses</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3,908</w:t>
            </w:r>
          </w:p>
        </w:tc>
        <w:tc>
          <w:tcPr>
            <w:tcW w:w="26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2,857</w:t>
            </w:r>
          </w:p>
        </w:tc>
        <w:tc>
          <w:tcPr>
            <w:tcW w:w="40" w:type="dxa"/>
            <w:vAlign w:val="bottom"/>
            <w:shd w:val="clear" w:color="auto" w:fill="CFF0FC"/>
          </w:tcPr>
          <w:p>
            <w:pPr>
              <w:spacing w:after="0"/>
              <w:rPr>
                <w:sz w:val="13"/>
                <w:szCs w:val="13"/>
                <w:color w:val="auto"/>
              </w:rPr>
            </w:pP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Interest receivable</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w:t>
            </w:r>
          </w:p>
        </w:tc>
        <w:tc>
          <w:tcPr>
            <w:tcW w:w="40" w:type="dxa"/>
            <w:vAlign w:val="bottom"/>
          </w:tcPr>
          <w:p>
            <w:pPr>
              <w:spacing w:after="0"/>
              <w:rPr>
                <w:sz w:val="14"/>
                <w:szCs w:val="14"/>
                <w:color w:val="auto"/>
              </w:rPr>
            </w:pPr>
          </w:p>
        </w:tc>
      </w:tr>
      <w:tr>
        <w:trPr>
          <w:trHeight w:val="16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insurance</w:t>
            </w:r>
          </w:p>
        </w:tc>
        <w:tc>
          <w:tcPr>
            <w:tcW w:w="8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40" w:type="dxa"/>
            <w:vAlign w:val="bottom"/>
            <w:shd w:val="clear" w:color="auto" w:fill="CFF0FC"/>
          </w:tcPr>
          <w:p>
            <w:pPr>
              <w:spacing w:after="0"/>
              <w:rPr>
                <w:sz w:val="14"/>
                <w:szCs w:val="14"/>
                <w:color w:val="auto"/>
              </w:rPr>
            </w:pP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Deposits</w:t>
            </w: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40" w:type="dxa"/>
            <w:vAlign w:val="bottom"/>
          </w:tcPr>
          <w:p>
            <w:pPr>
              <w:spacing w:after="0"/>
              <w:rPr>
                <w:sz w:val="14"/>
                <w:szCs w:val="14"/>
                <w:color w:val="auto"/>
              </w:rPr>
            </w:pPr>
          </w:p>
        </w:tc>
      </w:tr>
      <w:tr>
        <w:trPr>
          <w:trHeight w:val="168"/>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prepaid expenses</w:t>
            </w:r>
          </w:p>
        </w:tc>
        <w:tc>
          <w:tcPr>
            <w:tcW w:w="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40" w:type="dxa"/>
            <w:vAlign w:val="bottom"/>
            <w:tcBorders>
              <w:bottom w:val="single" w:sz="8" w:color="CFF0FC"/>
            </w:tcBorders>
            <w:shd w:val="clear" w:color="auto" w:fill="CFF0FC"/>
          </w:tcPr>
          <w:p>
            <w:pPr>
              <w:spacing w:after="0"/>
              <w:rPr>
                <w:sz w:val="14"/>
                <w:szCs w:val="14"/>
                <w:color w:val="auto"/>
              </w:rPr>
            </w:pPr>
          </w:p>
        </w:tc>
      </w:tr>
      <w:tr>
        <w:trPr>
          <w:trHeight w:val="159"/>
        </w:trPr>
        <w:tc>
          <w:tcPr>
            <w:tcW w:w="428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 prepaid expenses and other current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5,201</w:t>
            </w:r>
          </w:p>
        </w:tc>
        <w:tc>
          <w:tcPr>
            <w:tcW w:w="26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3,761</w:t>
            </w:r>
          </w:p>
        </w:tc>
        <w:tc>
          <w:tcPr>
            <w:tcW w:w="40" w:type="dxa"/>
            <w:vAlign w:val="bottom"/>
          </w:tcPr>
          <w:p>
            <w:pPr>
              <w:spacing w:after="0"/>
              <w:rPr>
                <w:sz w:val="13"/>
                <w:szCs w:val="13"/>
                <w:color w:val="auto"/>
              </w:rPr>
            </w:pPr>
          </w:p>
        </w:tc>
      </w:tr>
      <w:tr>
        <w:trPr>
          <w:trHeight w:val="20"/>
        </w:trPr>
        <w:tc>
          <w:tcPr>
            <w:tcW w:w="4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4231640</wp:posOffset>
            </wp:positionH>
            <wp:positionV relativeFrom="paragraph">
              <wp:posOffset>-132715</wp:posOffset>
            </wp:positionV>
            <wp:extent cx="33655" cy="698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-132715</wp:posOffset>
            </wp:positionV>
            <wp:extent cx="33655" cy="698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237" w:lineRule="exact"/>
        <w:rPr>
          <w:sz w:val="20"/>
          <w:szCs w:val="20"/>
          <w:color w:val="auto"/>
        </w:rPr>
      </w:pPr>
    </w:p>
    <w:p>
      <w:pPr>
        <w:ind w:left="1560" w:hanging="336"/>
        <w:spacing w:after="0"/>
        <w:tabs>
          <w:tab w:leader="none" w:pos="1560" w:val="left"/>
        </w:tabs>
        <w:numPr>
          <w:ilvl w:val="0"/>
          <w:numId w:val="14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Property and Equipment</w:t>
      </w:r>
    </w:p>
    <w:p>
      <w:pPr>
        <w:spacing w:after="0" w:line="93" w:lineRule="exact"/>
        <w:rPr>
          <w:rFonts w:ascii="Times New Roman" w:cs="Times New Roman" w:eastAsia="Times New Roman" w:hAnsi="Times New Roman"/>
          <w:sz w:val="14"/>
          <w:szCs w:val="14"/>
          <w:b w:val="1"/>
          <w:bCs w:val="1"/>
          <w:color w:val="auto"/>
        </w:rPr>
      </w:pPr>
    </w:p>
    <w:p>
      <w:pPr>
        <w:ind w:left="1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Property and equipment consist of the following (in thousands):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5"/>
        </w:trPr>
        <w:tc>
          <w:tcPr>
            <w:tcW w:w="4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r>
      <w:tr>
        <w:trPr>
          <w:trHeight w:val="159"/>
        </w:trPr>
        <w:tc>
          <w:tcPr>
            <w:tcW w:w="42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Computers, software, and office equipment</w:t>
            </w:r>
          </w:p>
        </w:tc>
        <w:tc>
          <w:tcPr>
            <w:tcW w:w="1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154</w:t>
            </w: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96</w:t>
            </w:r>
          </w:p>
        </w:tc>
        <w:tc>
          <w:tcPr>
            <w:tcW w:w="60" w:type="dxa"/>
            <w:vAlign w:val="bottom"/>
            <w:shd w:val="clear" w:color="auto" w:fill="CFF0FC"/>
          </w:tcPr>
          <w:p>
            <w:pPr>
              <w:spacing w:after="0"/>
              <w:rPr>
                <w:sz w:val="13"/>
                <w:szCs w:val="13"/>
                <w:color w:val="auto"/>
              </w:rPr>
            </w:pPr>
          </w:p>
        </w:tc>
      </w:tr>
      <w:tr>
        <w:trPr>
          <w:trHeight w:val="16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Lab equipment</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tcPr>
          <w:p>
            <w:pPr>
              <w:spacing w:after="0"/>
              <w:rPr>
                <w:sz w:val="14"/>
                <w:szCs w:val="14"/>
                <w:color w:val="auto"/>
              </w:rPr>
            </w:pPr>
          </w:p>
        </w:tc>
      </w:tr>
      <w:tr>
        <w:trPr>
          <w:trHeight w:val="168"/>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Construction in progress</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4220" w:type="dxa"/>
            <w:vAlign w:val="bottom"/>
            <w:tcBorders>
              <w:top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color w:val="auto"/>
              </w:rPr>
              <w:t>Total property and equipment</w:t>
            </w:r>
          </w:p>
        </w:tc>
        <w:tc>
          <w:tcPr>
            <w:tcW w:w="10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846</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106</w:t>
            </w:r>
          </w:p>
        </w:tc>
        <w:tc>
          <w:tcPr>
            <w:tcW w:w="60" w:type="dxa"/>
            <w:vAlign w:val="bottom"/>
            <w:tcBorders>
              <w:top w:val="single" w:sz="8" w:color="CFF0FC"/>
            </w:tcBorders>
          </w:tcPr>
          <w:p>
            <w:pPr>
              <w:spacing w:after="0"/>
              <w:rPr>
                <w:sz w:val="13"/>
                <w:szCs w:val="13"/>
                <w:color w:val="auto"/>
              </w:rPr>
            </w:pPr>
          </w:p>
        </w:tc>
      </w:tr>
      <w:tr>
        <w:trPr>
          <w:trHeight w:val="168"/>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159"/>
        </w:trPr>
        <w:tc>
          <w:tcPr>
            <w:tcW w:w="4220" w:type="dxa"/>
            <w:vAlign w:val="bottom"/>
            <w:tcBorders>
              <w:top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792</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94</w:t>
            </w:r>
          </w:p>
        </w:tc>
        <w:tc>
          <w:tcPr>
            <w:tcW w:w="60" w:type="dxa"/>
            <w:vAlign w:val="bottom"/>
            <w:tcBorders>
              <w:top w:val="single" w:sz="8" w:color="CFF0FC"/>
            </w:tcBorders>
          </w:tcPr>
          <w:p>
            <w:pPr>
              <w:spacing w:after="0"/>
              <w:rPr>
                <w:sz w:val="13"/>
                <w:szCs w:val="13"/>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-353060</wp:posOffset>
            </wp:positionV>
            <wp:extent cx="40005" cy="698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-353060</wp:posOffset>
            </wp:positionV>
            <wp:extent cx="40005" cy="698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-132715</wp:posOffset>
            </wp:positionV>
            <wp:extent cx="40005" cy="698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-132715</wp:posOffset>
            </wp:positionV>
            <wp:extent cx="40005" cy="698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Total depreciation expense for the years ended December 31, 2025 and 2024 was $42 thousand and $29 thousand, respectively.</w:t>
      </w:r>
    </w:p>
    <w:p>
      <w:pPr>
        <w:spacing w:after="0" w:line="207" w:lineRule="exact"/>
        <w:rPr>
          <w:sz w:val="20"/>
          <w:szCs w:val="20"/>
          <w:color w:val="auto"/>
        </w:rPr>
      </w:pPr>
    </w:p>
    <w:p>
      <w:pPr>
        <w:ind w:left="1560" w:hanging="336"/>
        <w:spacing w:after="0"/>
        <w:tabs>
          <w:tab w:leader="none" w:pos="1560" w:val="left"/>
        </w:tabs>
        <w:numPr>
          <w:ilvl w:val="0"/>
          <w:numId w:val="14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Accrued Liabilities</w:t>
      </w:r>
    </w:p>
    <w:p>
      <w:pPr>
        <w:spacing w:after="0" w:line="93" w:lineRule="exact"/>
        <w:rPr>
          <w:rFonts w:ascii="Times New Roman" w:cs="Times New Roman" w:eastAsia="Times New Roman" w:hAnsi="Times New Roman"/>
          <w:sz w:val="14"/>
          <w:szCs w:val="14"/>
          <w:b w:val="1"/>
          <w:bCs w:val="1"/>
          <w:color w:val="auto"/>
        </w:rPr>
      </w:pPr>
    </w:p>
    <w:p>
      <w:pPr>
        <w:ind w:left="156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Accrued liabilities consist of the following (in thousands):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jc w:val="right"/>
              <w:ind w:right="55"/>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4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r>
      <w:tr>
        <w:trPr>
          <w:trHeight w:val="159"/>
        </w:trPr>
        <w:tc>
          <w:tcPr>
            <w:tcW w:w="42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Employee compensation and vacation accrual</w:t>
            </w:r>
          </w:p>
        </w:tc>
        <w:tc>
          <w:tcPr>
            <w:tcW w:w="1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4,292</w:t>
            </w:r>
          </w:p>
        </w:tc>
        <w:tc>
          <w:tcPr>
            <w:tcW w:w="3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2,751</w:t>
            </w:r>
          </w:p>
        </w:tc>
        <w:tc>
          <w:tcPr>
            <w:tcW w:w="40" w:type="dxa"/>
            <w:vAlign w:val="bottom"/>
            <w:shd w:val="clear" w:color="auto" w:fill="CFF0FC"/>
          </w:tcPr>
          <w:p>
            <w:pPr>
              <w:spacing w:after="0"/>
              <w:rPr>
                <w:sz w:val="13"/>
                <w:szCs w:val="13"/>
                <w:color w:val="auto"/>
              </w:rPr>
            </w:pPr>
          </w:p>
        </w:tc>
      </w:tr>
      <w:tr>
        <w:trPr>
          <w:trHeight w:val="168"/>
        </w:trPr>
        <w:tc>
          <w:tcPr>
            <w:tcW w:w="4200" w:type="dxa"/>
            <w:vAlign w:val="bottom"/>
          </w:tcPr>
          <w:p>
            <w:pPr>
              <w:spacing w:after="0"/>
              <w:rPr>
                <w:sz w:val="20"/>
                <w:szCs w:val="20"/>
                <w:color w:val="auto"/>
              </w:rPr>
            </w:pPr>
            <w:r>
              <w:rPr>
                <w:rFonts w:ascii="Times New Roman" w:cs="Times New Roman" w:eastAsia="Times New Roman" w:hAnsi="Times New Roman"/>
                <w:sz w:val="14"/>
                <w:szCs w:val="14"/>
                <w:color w:val="auto"/>
              </w:rPr>
              <w:t>Accrued legal and professional fees</w:t>
            </w: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40" w:type="dxa"/>
            <w:vAlign w:val="bottom"/>
          </w:tcPr>
          <w:p>
            <w:pPr>
              <w:spacing w:after="0"/>
              <w:rPr>
                <w:sz w:val="14"/>
                <w:szCs w:val="14"/>
                <w:color w:val="auto"/>
              </w:rPr>
            </w:pPr>
          </w:p>
        </w:tc>
      </w:tr>
      <w:tr>
        <w:trPr>
          <w:trHeight w:val="168"/>
        </w:trPr>
        <w:tc>
          <w:tcPr>
            <w:tcW w:w="4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research and development costs</w:t>
            </w:r>
          </w:p>
        </w:tc>
        <w:tc>
          <w:tcPr>
            <w:tcW w:w="10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4,397</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3,392</w:t>
            </w:r>
          </w:p>
        </w:tc>
        <w:tc>
          <w:tcPr>
            <w:tcW w:w="40" w:type="dxa"/>
            <w:vAlign w:val="bottom"/>
            <w:tcBorders>
              <w:bottom w:val="single" w:sz="8" w:color="CFF0FC"/>
            </w:tcBorders>
            <w:shd w:val="clear" w:color="auto" w:fill="CFF0FC"/>
          </w:tcPr>
          <w:p>
            <w:pPr>
              <w:spacing w:after="0"/>
              <w:rPr>
                <w:sz w:val="14"/>
                <w:szCs w:val="14"/>
                <w:color w:val="auto"/>
              </w:rPr>
            </w:pPr>
          </w:p>
        </w:tc>
      </w:tr>
      <w:tr>
        <w:trPr>
          <w:trHeight w:val="159"/>
        </w:trPr>
        <w:tc>
          <w:tcPr>
            <w:tcW w:w="420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 accrued liabilities</w:t>
            </w:r>
          </w:p>
        </w:tc>
        <w:tc>
          <w:tcPr>
            <w:tcW w:w="10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9,889</w:t>
            </w:r>
          </w:p>
        </w:tc>
        <w:tc>
          <w:tcPr>
            <w:tcW w:w="3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6,467</w:t>
            </w:r>
          </w:p>
        </w:tc>
        <w:tc>
          <w:tcPr>
            <w:tcW w:w="40" w:type="dxa"/>
            <w:vAlign w:val="bottom"/>
          </w:tcPr>
          <w:p>
            <w:pPr>
              <w:spacing w:after="0"/>
              <w:rPr>
                <w:sz w:val="13"/>
                <w:szCs w:val="13"/>
                <w:color w:val="auto"/>
              </w:rPr>
            </w:pPr>
          </w:p>
        </w:tc>
      </w:tr>
      <w:tr>
        <w:trPr>
          <w:trHeight w:val="20"/>
        </w:trPr>
        <w:tc>
          <w:tcPr>
            <w:tcW w:w="4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-132715</wp:posOffset>
            </wp:positionV>
            <wp:extent cx="33655" cy="698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-132715</wp:posOffset>
            </wp:positionV>
            <wp:extent cx="33655" cy="698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237" w:lineRule="exact"/>
        <w:rPr>
          <w:sz w:val="20"/>
          <w:szCs w:val="20"/>
          <w:color w:val="auto"/>
        </w:rPr>
      </w:pPr>
    </w:p>
    <w:p>
      <w:pPr>
        <w:ind w:left="1220" w:right="5439" w:firstLine="4"/>
        <w:spacing w:after="0" w:line="377" w:lineRule="auto"/>
        <w:tabs>
          <w:tab w:leader="none" w:pos="1553" w:val="left"/>
        </w:tabs>
        <w:numPr>
          <w:ilvl w:val="0"/>
          <w:numId w:val="14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Leases</w:t>
      </w:r>
    </w:p>
    <w:p>
      <w:pPr>
        <w:spacing w:after="0" w:line="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September 2025, the Company entered into a non-cancelable operating sublease in Boston, Massachusetts (the “Boston Sublease”) to rent out 8,774 square feet of office space and relocated its headquarters to Boston in September 2025. The lease commenced on September 2, 2025, at which time the Company recognized a right-of-use (“ROU”) asset and corresponding lease liability of $1.7 million. The lease term is 41 months with rental payments beginning four months after the lease commencement. In addition to base rent, the Company will reimburse the landlord for certain operating expenses under the terms of the lease. The Company has the option to extend the lease one time for an additional 3-year period, subject to the terms therein; however, the exercise of the option to extend the lease term was not determined to be reasonably certain, and the Company will therefore recognize lease expense through the expiration of the initial lease term ending in January 2029.</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4" w:name="page245"/>
    <w:bookmarkEnd w:id="24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During the year ended December 31, 2024, the Company had operating leases for two office facilities. The Seattle office lease was a month-to-month lease that was terminated and vacated in March 2024. The San Diego office lease term expired and the property was vacated in November 2024.</w:t>
      </w:r>
    </w:p>
    <w:p>
      <w:pPr>
        <w:spacing w:after="0" w:line="136"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Lease liabilities are measured by calculating the present value of remaining lease payments under the lease arrangement. Since the rates implicit in our leases are not readily determinable, the Company uses estimated incremental borrowing rates in determining the discount rate used to calculate the present value of remaining lease payments. The incremental borrowing rate is the rate of interest that the Company would have to pay to borrow, on a collateralized basis, an amount equal to the lease payments over a similar term equal to the lease term in a similar economic environment. The incremental borrowing rate is based on the information available at commencement date. As the Company has no recent external borrowings, the incremental borrowing is a hypothetical rate based on our understanding of what our credit rating would be and adjusted to reflect a collateralized borrowing.</w:t>
      </w:r>
    </w:p>
    <w:p>
      <w:pPr>
        <w:spacing w:after="0" w:line="14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following table summarizes the presentation in the Company’s consolidated balance sheets of its operating leases (in thousands):</w:t>
      </w:r>
    </w:p>
    <w:p>
      <w:pPr>
        <w:spacing w:after="0" w:line="13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5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5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0" w:type="dxa"/>
            <w:vAlign w:val="bottom"/>
          </w:tcPr>
          <w:p>
            <w:pPr>
              <w:spacing w:after="0"/>
              <w:rPr>
                <w:sz w:val="11"/>
                <w:szCs w:val="11"/>
                <w:color w:val="auto"/>
              </w:rPr>
            </w:pPr>
          </w:p>
        </w:tc>
      </w:tr>
      <w:tr>
        <w:trPr>
          <w:trHeight w:val="159"/>
        </w:trPr>
        <w:tc>
          <w:tcPr>
            <w:tcW w:w="51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Operating lease right-of-use asset, noncurrent</w:t>
            </w:r>
          </w:p>
        </w:tc>
        <w:tc>
          <w:tcPr>
            <w:tcW w:w="1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1,530</w:t>
            </w:r>
          </w:p>
        </w:tc>
        <w:tc>
          <w:tcPr>
            <w:tcW w:w="40" w:type="dxa"/>
            <w:vAlign w:val="bottom"/>
            <w:shd w:val="clear" w:color="auto" w:fill="CFF0FC"/>
          </w:tcPr>
          <w:p>
            <w:pPr>
              <w:spacing w:after="0"/>
              <w:rPr>
                <w:sz w:val="13"/>
                <w:szCs w:val="13"/>
                <w:color w:val="auto"/>
              </w:rPr>
            </w:pPr>
          </w:p>
        </w:tc>
      </w:tr>
      <w:tr>
        <w:trPr>
          <w:trHeight w:val="168"/>
        </w:trPr>
        <w:tc>
          <w:tcPr>
            <w:tcW w:w="5100" w:type="dxa"/>
            <w:vAlign w:val="bottom"/>
          </w:tcPr>
          <w:p>
            <w:pPr>
              <w:spacing w:after="0"/>
              <w:rPr>
                <w:sz w:val="20"/>
                <w:szCs w:val="20"/>
                <w:color w:val="auto"/>
              </w:rPr>
            </w:pPr>
            <w:r>
              <w:rPr>
                <w:rFonts w:ascii="Times New Roman" w:cs="Times New Roman" w:eastAsia="Times New Roman" w:hAnsi="Times New Roman"/>
                <w:sz w:val="14"/>
                <w:szCs w:val="14"/>
                <w:color w:val="auto"/>
              </w:rPr>
              <w:t>Operating lease liability, current</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c>
          <w:tcPr>
            <w:tcW w:w="40" w:type="dxa"/>
            <w:vAlign w:val="bottom"/>
          </w:tcPr>
          <w:p>
            <w:pPr>
              <w:spacing w:after="0"/>
              <w:rPr>
                <w:sz w:val="14"/>
                <w:szCs w:val="14"/>
                <w:color w:val="auto"/>
              </w:rPr>
            </w:pPr>
          </w:p>
        </w:tc>
      </w:tr>
      <w:tr>
        <w:trPr>
          <w:trHeight w:val="168"/>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liability, noncurrent</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1,225</w:t>
            </w:r>
          </w:p>
        </w:tc>
        <w:tc>
          <w:tcPr>
            <w:tcW w:w="40" w:type="dxa"/>
            <w:vAlign w:val="bottom"/>
            <w:shd w:val="clear" w:color="auto" w:fill="CFF0FC"/>
          </w:tcPr>
          <w:p>
            <w:pPr>
              <w:spacing w:after="0"/>
              <w:rPr>
                <w:sz w:val="14"/>
                <w:szCs w:val="14"/>
                <w:color w:val="auto"/>
              </w:rPr>
            </w:pPr>
          </w:p>
        </w:tc>
      </w:tr>
    </w:tbl>
    <w:p>
      <w:pPr>
        <w:spacing w:after="0" w:line="17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incurred total operating lease expenses of $190 thousand and $101 thousand, respectively. The Company incurred an immaterial amount of expense related to variable lease costs during the years ended December 31, 2025 and 2024.</w:t>
      </w:r>
    </w:p>
    <w:p>
      <w:pPr>
        <w:spacing w:after="0" w:line="13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Future minimum lease payments under non-cancelable leases were as detailed below (in thousands):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gridSpan w:val="2"/>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50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1"/>
                <w:szCs w:val="11"/>
                <w:color w:val="auto"/>
              </w:rPr>
            </w:pPr>
          </w:p>
        </w:tc>
      </w:tr>
      <w:tr>
        <w:trPr>
          <w:trHeight w:val="159"/>
        </w:trPr>
        <w:tc>
          <w:tcPr>
            <w:tcW w:w="50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2026</w:t>
            </w:r>
          </w:p>
        </w:tc>
        <w:tc>
          <w:tcPr>
            <w:tcW w:w="1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563</w:t>
            </w:r>
          </w:p>
        </w:tc>
        <w:tc>
          <w:tcPr>
            <w:tcW w:w="120" w:type="dxa"/>
            <w:vAlign w:val="bottom"/>
            <w:shd w:val="clear" w:color="auto" w:fill="CFF0FC"/>
          </w:tcPr>
          <w:p>
            <w:pPr>
              <w:spacing w:after="0"/>
              <w:rPr>
                <w:sz w:val="13"/>
                <w:szCs w:val="13"/>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1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w:t>
            </w:r>
          </w:p>
        </w:tc>
        <w:tc>
          <w:tcPr>
            <w:tcW w:w="120" w:type="dxa"/>
            <w:vAlign w:val="bottom"/>
          </w:tcPr>
          <w:p>
            <w:pPr>
              <w:spacing w:after="0"/>
              <w:rPr>
                <w:sz w:val="14"/>
                <w:szCs w:val="14"/>
                <w:color w:val="auto"/>
              </w:rPr>
            </w:pPr>
          </w:p>
        </w:tc>
      </w:tr>
      <w:tr>
        <w:trPr>
          <w:trHeight w:val="168"/>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2028</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650</w:t>
            </w:r>
          </w:p>
        </w:tc>
        <w:tc>
          <w:tcPr>
            <w:tcW w:w="120" w:type="dxa"/>
            <w:vAlign w:val="bottom"/>
            <w:shd w:val="clear" w:color="auto" w:fill="CFF0FC"/>
          </w:tcPr>
          <w:p>
            <w:pPr>
              <w:spacing w:after="0"/>
              <w:rPr>
                <w:sz w:val="14"/>
                <w:szCs w:val="14"/>
                <w:color w:val="auto"/>
              </w:rPr>
            </w:pPr>
          </w:p>
        </w:tc>
      </w:tr>
      <w:tr>
        <w:trPr>
          <w:trHeight w:val="168"/>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tcPr>
          <w:p>
            <w:pPr>
              <w:spacing w:after="0"/>
              <w:rPr>
                <w:sz w:val="14"/>
                <w:szCs w:val="14"/>
                <w:color w:val="auto"/>
              </w:rPr>
            </w:pPr>
          </w:p>
        </w:tc>
      </w:tr>
      <w:tr>
        <w:trPr>
          <w:trHeight w:val="159"/>
        </w:trPr>
        <w:tc>
          <w:tcPr>
            <w:tcW w:w="502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undiscounted future minimum lease payments</w:t>
            </w:r>
          </w:p>
        </w:tc>
        <w:tc>
          <w:tcPr>
            <w:tcW w:w="140" w:type="dxa"/>
            <w:vAlign w:val="bottom"/>
            <w:tcBorders>
              <w:bottom w:val="single" w:sz="8" w:color="auto"/>
            </w:tcBorders>
            <w:shd w:val="clear" w:color="auto" w:fill="CFF0FC"/>
          </w:tcPr>
          <w:p>
            <w:pPr>
              <w:spacing w:after="0"/>
              <w:rPr>
                <w:sz w:val="13"/>
                <w:szCs w:val="13"/>
                <w:color w:val="auto"/>
              </w:rPr>
            </w:pPr>
          </w:p>
        </w:tc>
        <w:tc>
          <w:tcPr>
            <w:tcW w:w="94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1,898</w:t>
            </w:r>
          </w:p>
        </w:tc>
        <w:tc>
          <w:tcPr>
            <w:tcW w:w="120" w:type="dxa"/>
            <w:vAlign w:val="bottom"/>
            <w:tcBorders>
              <w:bottom w:val="single" w:sz="8" w:color="CFF0FC"/>
            </w:tcBorders>
            <w:shd w:val="clear" w:color="auto" w:fill="CFF0FC"/>
          </w:tcPr>
          <w:p>
            <w:pPr>
              <w:spacing w:after="0"/>
              <w:rPr>
                <w:sz w:val="13"/>
                <w:szCs w:val="13"/>
                <w:color w:val="auto"/>
              </w:rPr>
            </w:pPr>
          </w:p>
        </w:tc>
      </w:tr>
      <w:tr>
        <w:trPr>
          <w:trHeight w:val="159"/>
        </w:trPr>
        <w:tc>
          <w:tcPr>
            <w:tcW w:w="50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Less: Imputed interest</w:t>
            </w:r>
          </w:p>
        </w:tc>
        <w:tc>
          <w:tcPr>
            <w:tcW w:w="140" w:type="dxa"/>
            <w:vAlign w:val="bottom"/>
          </w:tcPr>
          <w:p>
            <w:pPr>
              <w:spacing w:after="0"/>
              <w:rPr>
                <w:sz w:val="13"/>
                <w:szCs w:val="13"/>
                <w:color w:val="auto"/>
              </w:rPr>
            </w:pPr>
          </w:p>
        </w:tc>
        <w:tc>
          <w:tcPr>
            <w:tcW w:w="1060" w:type="dxa"/>
            <w:vAlign w:val="bottom"/>
            <w:gridSpan w:val="2"/>
          </w:tcPr>
          <w:p>
            <w:pPr>
              <w:jc w:val="right"/>
              <w:ind w:right="80"/>
              <w:spacing w:after="0" w:line="159" w:lineRule="exact"/>
              <w:rPr>
                <w:sz w:val="20"/>
                <w:szCs w:val="20"/>
                <w:color w:val="auto"/>
              </w:rPr>
            </w:pPr>
            <w:r>
              <w:rPr>
                <w:rFonts w:ascii="Times New Roman" w:cs="Times New Roman" w:eastAsia="Times New Roman" w:hAnsi="Times New Roman"/>
                <w:sz w:val="14"/>
                <w:szCs w:val="14"/>
                <w:color w:val="auto"/>
              </w:rPr>
              <w:t>(229)</w:t>
            </w:r>
          </w:p>
        </w:tc>
      </w:tr>
      <w:tr>
        <w:trPr>
          <w:trHeight w:val="199"/>
        </w:trPr>
        <w:tc>
          <w:tcPr>
            <w:tcW w:w="502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 operating lease liabilities</w:t>
            </w:r>
          </w:p>
        </w:tc>
        <w:tc>
          <w:tcPr>
            <w:tcW w:w="14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1,669</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40"/>
        </w:trPr>
        <w:tc>
          <w:tcPr>
            <w:tcW w:w="5020" w:type="dxa"/>
            <w:vAlign w:val="bottom"/>
          </w:tcPr>
          <w:p>
            <w:pPr>
              <w:spacing w:after="0" w:line="140" w:lineRule="exact"/>
              <w:rPr>
                <w:sz w:val="20"/>
                <w:szCs w:val="20"/>
                <w:color w:val="auto"/>
              </w:rPr>
            </w:pPr>
            <w:r>
              <w:rPr>
                <w:rFonts w:ascii="Times New Roman" w:cs="Times New Roman" w:eastAsia="Times New Roman" w:hAnsi="Times New Roman"/>
                <w:sz w:val="14"/>
                <w:szCs w:val="14"/>
                <w:color w:val="auto"/>
              </w:rPr>
              <w:t>Weighted average discount rate</w:t>
            </w:r>
          </w:p>
        </w:tc>
        <w:tc>
          <w:tcPr>
            <w:tcW w:w="140" w:type="dxa"/>
            <w:vAlign w:val="bottom"/>
          </w:tcPr>
          <w:p>
            <w:pPr>
              <w:spacing w:after="0"/>
              <w:rPr>
                <w:sz w:val="12"/>
                <w:szCs w:val="12"/>
                <w:color w:val="auto"/>
              </w:rPr>
            </w:pPr>
          </w:p>
        </w:tc>
        <w:tc>
          <w:tcPr>
            <w:tcW w:w="1060" w:type="dxa"/>
            <w:vAlign w:val="bottom"/>
            <w:gridSpan w:val="2"/>
          </w:tcPr>
          <w:p>
            <w:pPr>
              <w:jc w:val="right"/>
              <w:spacing w:after="0" w:line="140" w:lineRule="exact"/>
              <w:rPr>
                <w:sz w:val="20"/>
                <w:szCs w:val="20"/>
                <w:color w:val="auto"/>
              </w:rPr>
            </w:pPr>
            <w:r>
              <w:rPr>
                <w:rFonts w:ascii="Times New Roman" w:cs="Times New Roman" w:eastAsia="Times New Roman" w:hAnsi="Times New Roman"/>
                <w:sz w:val="14"/>
                <w:szCs w:val="14"/>
                <w:color w:val="auto"/>
              </w:rPr>
              <w:t>12.08%</w:t>
            </w:r>
          </w:p>
        </w:tc>
      </w:tr>
      <w:tr>
        <w:trPr>
          <w:trHeight w:val="168"/>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 average remaining lease term</w:t>
            </w:r>
          </w:p>
        </w:tc>
        <w:tc>
          <w:tcPr>
            <w:tcW w:w="1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FF0FC"/>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-459740</wp:posOffset>
            </wp:positionV>
            <wp:extent cx="86995" cy="698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-233045</wp:posOffset>
            </wp:positionV>
            <wp:extent cx="86995" cy="698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86995" cy="6985"/>
                    </a:xfrm>
                    <a:prstGeom prst="rect">
                      <a:avLst/>
                    </a:prstGeom>
                    <a:noFill/>
                  </pic:spPr>
                </pic:pic>
              </a:graphicData>
            </a:graphic>
          </wp:anchor>
        </w:drawing>
        <w:drawing>
          <wp:anchor simplePos="0" relativeHeight="251657728" behindDoc="1" locked="0" layoutInCell="0" allowOverlap="1">
            <wp:simplePos x="0" y="0"/>
            <wp:positionH relativeFrom="column">
              <wp:posOffset>4832350</wp:posOffset>
            </wp:positionH>
            <wp:positionV relativeFrom="paragraph">
              <wp:posOffset>-219710</wp:posOffset>
            </wp:positionV>
            <wp:extent cx="86995" cy="698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86995" cy="6985"/>
                    </a:xfrm>
                    <a:prstGeom prst="rect">
                      <a:avLst/>
                    </a:prstGeom>
                    <a:noFill/>
                  </pic:spPr>
                </pic:pic>
              </a:graphicData>
            </a:graphic>
          </wp:anchor>
        </w:drawing>
      </w:r>
    </w:p>
    <w:p>
      <w:pPr>
        <w:spacing w:after="0" w:line="15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There were no lease liabilities or future minimum lease payments as of December 31, 2024.</w:t>
      </w:r>
    </w:p>
    <w:p>
      <w:pPr>
        <w:spacing w:after="0" w:line="17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Cash paid for amounts included in the measurement of operating lease liabilities for the years ended December 31, 2025 and 2024 were $51 thousand and $57 thousand, respectively.</w:t>
      </w:r>
    </w:p>
    <w:p>
      <w:pPr>
        <w:spacing w:after="0" w:line="1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4"/>
          <w:szCs w:val="14"/>
          <w:color w:val="auto"/>
        </w:rPr>
        <w:t>During the periods presented, the Company did not recognize any impairment losses on its ROU assets.</w:t>
      </w:r>
    </w:p>
    <w:p>
      <w:pPr>
        <w:spacing w:after="0" w:line="2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Legal Proceedings</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From time to time, the Company is subject to various claims that arise in the ordinary course of business. Management believes that any liability of the Company that may arise out of or with respect to these matters will not materially adversely affect the financial position, results of operations, or cash flows of the Company.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5" w:name="page246"/>
    <w:bookmarkEnd w:id="24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The Company was a party to a lawsuit filed in November 2020, in which the counterparty alleges that the Company has not used commercially reasonable efforts to investigate certain patent rights and develop a compound covered by certain patent rights that were sold to the Company in March 2017 through a Stock Purchase Agreement (“SPA”). In May 2024, the Company and the counterparty agreed to a final and binding term sheet to resolve the dispute. The settlement required the Company to pay the counterparty $4 million within 15 days of the parties’ execution of a definitive agreement, which occurred in July 2024 and was previously included in litigation liability as of December 31, 2023. In addition, the Company agrees to pay the representative royalties (less than 1%) on net sales of the monotherapy assets AP01 (inhaled pirfenidone) and AP02 (inhaled nintedanib). As part of the agreement, the parties released all claims related to the litigation, the SPA, or any other agreement related to counterparty and the Company. To date, the Company has incurred a total of $9.6 million of legal expenses related to the lawsuit, including $1.4 million during the year ended December 31, 2024. The expenses are included in general and administrative expenses in the consolidated statements of comprehensive loss.</w:t>
      </w:r>
    </w:p>
    <w:p>
      <w:pPr>
        <w:spacing w:after="0" w:line="232" w:lineRule="exact"/>
        <w:rPr>
          <w:sz w:val="20"/>
          <w:szCs w:val="20"/>
          <w:color w:val="auto"/>
        </w:rPr>
      </w:pPr>
    </w:p>
    <w:p>
      <w:pPr>
        <w:ind w:left="1560" w:hanging="336"/>
        <w:spacing w:after="0"/>
        <w:tabs>
          <w:tab w:leader="none" w:pos="1560" w:val="left"/>
        </w:tabs>
        <w:numPr>
          <w:ilvl w:val="0"/>
          <w:numId w:val="14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Redeemable Convertible Preferred Stock</w:t>
      </w:r>
    </w:p>
    <w:p>
      <w:pPr>
        <w:spacing w:after="0" w:line="93"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The Company amended and restated its Certificate of Incorporation in April 2025, in order to, among other things, (i) increase the total authorized shares of common stock to 575,000,000, (ii) increase the total authorized shares of preferred stock to 462,178,988 shares, (iii) designate 51,213,004 shares of the authorized preferred stock as “Series A Preferred Stock,” designate 25,210,789 shares of the authorized preferred stock as “Series B Preferred Stock,” designate 239,092,424 shares of the authorized preferred stock as “Series C-1 Preferred Stock,” designate 20,316,359 shares of the authorized preferred stock as “Series C-2 Preferred Stock,” and designate 126,346,412 shares of the authorized preferred stock as “Series D Preferred Stock,” and (iv) the addition of a special mandatory conversion provision as described below.</w:t>
      </w:r>
    </w:p>
    <w:p>
      <w:pPr>
        <w:spacing w:after="0" w:line="14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April 2025, certain investors voluntarily converted shares of Series A and Series C-2 preferred stock into common stock. Pursuant to the voluntary conversion terms of the associated preferred stock agreements, the investors received one (1) share of common stock for every one (1) share of preferred stock converted. As a result of the voluntary conversion, 17,891,429 shares of preferred stock were converted into 17,891,429 shares of common stock. As these investors converted on a one-to-one basis, pursuant to the original terms of the associated preferred stock agreements, the common stock issued is recognized at an amount equal to the net carrying amount of the preferred stock, as such, no gain or loss was recognized upon conversion.</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Also, in April 2025, the Company entered into the Series D Preferred Stock Purchase Agreement with multiple investors, pursuant to which it agreed to issue up to 126,346,412 shares of Series D Preferred Stock at a price of $0.7963 per share, for aggregate gross proceeds of $100.4 million (the “Series D Financing”). The Company incurred $0.6 million of issuance costs in connection with the Series D Financing.</w:t>
      </w:r>
    </w:p>
    <w:p>
      <w:pPr>
        <w:spacing w:after="0" w:line="141"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the event that any existing holder of shares of preferred stock did not participate in the Series D Financing by purchasing such holder’s pro rata share, the portion of the shares of preferred stock held by such holder were mandatorily converted into shares of common stock. Upon such conversion, five (5) shares of preferred stock were converted into one (1) share of common stock. Upon the closing of the Series D Financing, 1,564,162 shares of Series A and Series B preferred stock were mandatorily converted into 312,824 shares of common stock.</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Company determined that the mandatory preferred stock conversion was an extinguishment of the preferred stock through issuance of common stock. As such, the Company has recorded the difference of $1.6 million between the fair value of the common stock issued and the carrying value of the extinguished preferred stock to additional paid-in capital (“APIC”). The amount recognized in APIC was not included as a deemed contribution within basic loss per share given the transaction resulted in a transfer of value between preferred shareholder groups.</w:t>
      </w:r>
    </w:p>
    <w:p>
      <w:pPr>
        <w:spacing w:after="0" w:line="144"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connection with the issuance of the Series D Preferred Stock, the requisite holders of the Series A Preferred Stock and Series B Preferred Stock waived the application of their anti-dilution provisions with respect to such issuance and any common stock issued upon conversion. Accordingly, the issuance of the Series D Preferred Stock did not result in any adjustment to the conversion prices of the Series A and Series B Preferred Stock.</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6" w:name="page247"/>
    <w:bookmarkEnd w:id="24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As of December 31, 2025, the Company’s preferred stock, consisted of the following (in thousands, except share amounts):</w:t>
      </w:r>
    </w:p>
    <w:p>
      <w:pPr>
        <w:spacing w:after="0" w:line="13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3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40" w:type="dxa"/>
            <w:vAlign w:val="bottom"/>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Issued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restart"/>
          </w:tcPr>
          <w:p>
            <w:pPr>
              <w:jc w:val="right"/>
              <w:ind w:right="113"/>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16"/>
        </w:trPr>
        <w:tc>
          <w:tcPr>
            <w:tcW w:w="2360" w:type="dxa"/>
            <w:vAlign w:val="bottom"/>
          </w:tcPr>
          <w:p>
            <w:pPr>
              <w:spacing w:after="0"/>
              <w:rPr>
                <w:sz w:val="10"/>
                <w:szCs w:val="10"/>
                <w:color w:val="auto"/>
              </w:rPr>
            </w:pPr>
          </w:p>
        </w:tc>
        <w:tc>
          <w:tcPr>
            <w:tcW w:w="9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4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1"/>
                <w:szCs w:val="11"/>
                <w:b w:val="1"/>
                <w:bCs w:val="1"/>
                <w:color w:val="auto"/>
              </w:rPr>
              <w:t>Value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w:t>
            </w:r>
          </w:p>
        </w:tc>
        <w:tc>
          <w:tcPr>
            <w:tcW w:w="9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51,213,004</w:t>
            </w:r>
          </w:p>
        </w:tc>
        <w:tc>
          <w:tcPr>
            <w:tcW w:w="100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49,651,129</w:t>
            </w:r>
          </w:p>
        </w:tc>
        <w:tc>
          <w:tcPr>
            <w:tcW w:w="260" w:type="dxa"/>
            <w:vAlign w:val="bottom"/>
            <w:gridSpan w:val="2"/>
            <w:shd w:val="clear" w:color="auto" w:fill="CFF0FC"/>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49,176</w:t>
            </w:r>
          </w:p>
        </w:tc>
        <w:tc>
          <w:tcPr>
            <w:tcW w:w="22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49,651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Series B</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25,210,789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25,208,502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C-1</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239,092,424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239,016,017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174,494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175,041</w:t>
            </w: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Pr>
          <w:p>
            <w:pPr>
              <w:spacing w:after="0"/>
              <w:rPr>
                <w:sz w:val="20"/>
                <w:szCs w:val="20"/>
                <w:color w:val="auto"/>
              </w:rPr>
            </w:pPr>
            <w:r>
              <w:rPr>
                <w:rFonts w:ascii="Times New Roman" w:cs="Times New Roman" w:eastAsia="Times New Roman" w:hAnsi="Times New Roman"/>
                <w:sz w:val="14"/>
                <w:szCs w:val="14"/>
                <w:color w:val="auto"/>
              </w:rPr>
              <w:t>Series C-2</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20,316,359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20,316,359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D</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126,346,412</w:t>
            </w:r>
          </w:p>
        </w:tc>
        <w:tc>
          <w:tcPr>
            <w:tcW w:w="140" w:type="dxa"/>
            <w:vAlign w:val="bottom"/>
            <w:tcBorders>
              <w:bottom w:val="single" w:sz="8" w:color="CFF0FC"/>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126,036,334</w:t>
            </w:r>
          </w:p>
        </w:tc>
        <w:tc>
          <w:tcPr>
            <w:tcW w:w="1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99,769</w:t>
            </w:r>
          </w:p>
        </w:tc>
        <w:tc>
          <w:tcPr>
            <w:tcW w:w="1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100,363</w:t>
            </w: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36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96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462,178,988</w:t>
            </w:r>
          </w:p>
        </w:tc>
        <w:tc>
          <w:tcPr>
            <w:tcW w:w="100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460,228,341</w:t>
            </w:r>
          </w:p>
        </w:tc>
        <w:tc>
          <w:tcPr>
            <w:tcW w:w="260" w:type="dxa"/>
            <w:vAlign w:val="bottom"/>
            <w:gridSpan w:val="2"/>
          </w:tcPr>
          <w:p>
            <w:pPr>
              <w:jc w:val="right"/>
              <w:ind w:right="4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372,221</w:t>
            </w:r>
          </w:p>
        </w:tc>
        <w:tc>
          <w:tcPr>
            <w:tcW w:w="220" w:type="dxa"/>
            <w:vAlign w:val="bottom"/>
            <w:gridSpan w:val="2"/>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372,651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3070225</wp:posOffset>
            </wp:positionH>
            <wp:positionV relativeFrom="paragraph">
              <wp:posOffset>-132715</wp:posOffset>
            </wp:positionV>
            <wp:extent cx="33655" cy="698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3710940</wp:posOffset>
            </wp:positionH>
            <wp:positionV relativeFrom="paragraph">
              <wp:posOffset>-132715</wp:posOffset>
            </wp:positionV>
            <wp:extent cx="33655" cy="698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4305300</wp:posOffset>
            </wp:positionH>
            <wp:positionV relativeFrom="paragraph">
              <wp:posOffset>-132715</wp:posOffset>
            </wp:positionV>
            <wp:extent cx="33655" cy="698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-132715</wp:posOffset>
            </wp:positionV>
            <wp:extent cx="40005" cy="69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As of December 31, 2024, the preferred stock consisted of the following (in thousands, except share amounts):</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4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440" w:type="dxa"/>
            <w:vAlign w:val="bottom"/>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Preferred</w:t>
            </w:r>
          </w:p>
        </w:tc>
        <w:tc>
          <w:tcPr>
            <w:tcW w:w="160" w:type="dxa"/>
            <w:vAlign w:val="bottom"/>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Stock</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4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9"/>
              </w:rPr>
              <w:t>Issued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restart"/>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rPr>
              <w:t>Carrying</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Liquidation</w:t>
            </w:r>
          </w:p>
        </w:tc>
        <w:tc>
          <w:tcPr>
            <w:tcW w:w="0" w:type="dxa"/>
            <w:vAlign w:val="bottom"/>
          </w:tcPr>
          <w:p>
            <w:pPr>
              <w:spacing w:after="0"/>
              <w:rPr>
                <w:sz w:val="1"/>
                <w:szCs w:val="1"/>
                <w:color w:val="auto"/>
              </w:rPr>
            </w:pPr>
          </w:p>
        </w:tc>
      </w:tr>
      <w:tr>
        <w:trPr>
          <w:trHeight w:val="116"/>
        </w:trPr>
        <w:tc>
          <w:tcPr>
            <w:tcW w:w="2440" w:type="dxa"/>
            <w:vAlign w:val="bottom"/>
          </w:tcPr>
          <w:p>
            <w:pPr>
              <w:spacing w:after="0"/>
              <w:rPr>
                <w:sz w:val="10"/>
                <w:szCs w:val="10"/>
                <w:color w:val="auto"/>
              </w:rPr>
            </w:pPr>
          </w:p>
        </w:tc>
        <w:tc>
          <w:tcPr>
            <w:tcW w:w="90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160" w:type="dxa"/>
            <w:vAlign w:val="bottom"/>
          </w:tcPr>
          <w:p>
            <w:pPr>
              <w:spacing w:after="0"/>
              <w:rPr>
                <w:sz w:val="10"/>
                <w:szCs w:val="10"/>
                <w:color w:val="auto"/>
              </w:rPr>
            </w:pPr>
          </w:p>
        </w:tc>
        <w:tc>
          <w:tcPr>
            <w:tcW w:w="86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and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44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Authorized</w:t>
            </w:r>
          </w:p>
        </w:tc>
        <w:tc>
          <w:tcPr>
            <w:tcW w:w="16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Outstanding</w:t>
            </w: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14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59"/>
        </w:trPr>
        <w:tc>
          <w:tcPr>
            <w:tcW w:w="24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Series A</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65,213,004</w:t>
            </w:r>
          </w:p>
        </w:tc>
        <w:tc>
          <w:tcPr>
            <w:tcW w:w="10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65,213,004</w:t>
            </w:r>
          </w:p>
        </w:tc>
        <w:tc>
          <w:tcPr>
            <w:tcW w:w="2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64,738</w:t>
            </w:r>
          </w:p>
        </w:tc>
        <w:tc>
          <w:tcPr>
            <w:tcW w:w="2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65,213</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Series B</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25,210,789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25,210,789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35,379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35,696</w:t>
            </w:r>
          </w:p>
        </w:tc>
        <w:tc>
          <w:tcPr>
            <w:tcW w:w="0" w:type="dxa"/>
            <w:vAlign w:val="bottom"/>
          </w:tcPr>
          <w:p>
            <w:pPr>
              <w:spacing w:after="0"/>
              <w:rPr>
                <w:sz w:val="1"/>
                <w:szCs w:val="1"/>
                <w:color w:val="auto"/>
              </w:rPr>
            </w:pPr>
          </w:p>
        </w:tc>
      </w:tr>
      <w:tr>
        <w:trPr>
          <w:trHeight w:val="168"/>
        </w:trPr>
        <w:tc>
          <w:tcPr>
            <w:tcW w:w="24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Series C-1</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239,092,424</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239,016,017</w:t>
            </w: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174,494</w:t>
            </w:r>
          </w:p>
        </w:tc>
        <w:tc>
          <w:tcPr>
            <w:tcW w:w="1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175,041</w:t>
            </w:r>
          </w:p>
        </w:tc>
        <w:tc>
          <w:tcPr>
            <w:tcW w:w="0" w:type="dxa"/>
            <w:vAlign w:val="bottom"/>
          </w:tcPr>
          <w:p>
            <w:pPr>
              <w:spacing w:after="0"/>
              <w:rPr>
                <w:sz w:val="1"/>
                <w:szCs w:val="1"/>
                <w:color w:val="auto"/>
              </w:rPr>
            </w:pPr>
          </w:p>
        </w:tc>
      </w:tr>
      <w:tr>
        <w:trPr>
          <w:trHeight w:val="168"/>
        </w:trPr>
        <w:tc>
          <w:tcPr>
            <w:tcW w:w="2440" w:type="dxa"/>
            <w:vAlign w:val="bottom"/>
          </w:tcPr>
          <w:p>
            <w:pPr>
              <w:spacing w:after="0"/>
              <w:rPr>
                <w:sz w:val="20"/>
                <w:szCs w:val="20"/>
                <w:color w:val="auto"/>
              </w:rPr>
            </w:pPr>
            <w:r>
              <w:rPr>
                <w:rFonts w:ascii="Times New Roman" w:cs="Times New Roman" w:eastAsia="Times New Roman" w:hAnsi="Times New Roman"/>
                <w:sz w:val="14"/>
                <w:szCs w:val="14"/>
                <w:color w:val="auto"/>
              </w:rPr>
              <w:t>Series C-2</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24,207,788</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24,207,788</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15,686</w:t>
            </w: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14,183</w:t>
            </w:r>
          </w:p>
        </w:tc>
        <w:tc>
          <w:tcPr>
            <w:tcW w:w="0" w:type="dxa"/>
            <w:vAlign w:val="bottom"/>
          </w:tcPr>
          <w:p>
            <w:pPr>
              <w:spacing w:after="0"/>
              <w:rPr>
                <w:sz w:val="1"/>
                <w:szCs w:val="1"/>
                <w:color w:val="auto"/>
              </w:rPr>
            </w:pPr>
          </w:p>
        </w:tc>
      </w:tr>
      <w:tr>
        <w:trPr>
          <w:trHeight w:val="179"/>
        </w:trPr>
        <w:tc>
          <w:tcPr>
            <w:tcW w:w="24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90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353,724,005</w:t>
            </w:r>
          </w:p>
        </w:tc>
        <w:tc>
          <w:tcPr>
            <w:tcW w:w="16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353,647,598</w:t>
            </w:r>
          </w:p>
        </w:tc>
        <w:tc>
          <w:tcPr>
            <w:tcW w:w="26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290,297</w:t>
            </w:r>
          </w:p>
        </w:tc>
        <w:tc>
          <w:tcPr>
            <w:tcW w:w="2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290,133</w:t>
            </w:r>
          </w:p>
        </w:tc>
        <w:tc>
          <w:tcPr>
            <w:tcW w:w="0" w:type="dxa"/>
            <w:vAlign w:val="bottom"/>
          </w:tcPr>
          <w:p>
            <w:pPr>
              <w:spacing w:after="0"/>
              <w:rPr>
                <w:sz w:val="1"/>
                <w:szCs w:val="1"/>
                <w:color w:val="auto"/>
              </w:rPr>
            </w:pPr>
          </w:p>
        </w:tc>
      </w:tr>
      <w:tr>
        <w:trPr>
          <w:trHeight w:val="20"/>
        </w:trPr>
        <w:tc>
          <w:tcPr>
            <w:tcW w:w="24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3090545</wp:posOffset>
            </wp:positionH>
            <wp:positionV relativeFrom="paragraph">
              <wp:posOffset>-19685</wp:posOffset>
            </wp:positionV>
            <wp:extent cx="40005" cy="698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3090545</wp:posOffset>
            </wp:positionH>
            <wp:positionV relativeFrom="paragraph">
              <wp:posOffset>-6350</wp:posOffset>
            </wp:positionV>
            <wp:extent cx="40005" cy="698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-19685</wp:posOffset>
            </wp:positionV>
            <wp:extent cx="33655" cy="698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3731260</wp:posOffset>
            </wp:positionH>
            <wp:positionV relativeFrom="paragraph">
              <wp:posOffset>-6350</wp:posOffset>
            </wp:positionV>
            <wp:extent cx="33655" cy="698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-19685</wp:posOffset>
            </wp:positionV>
            <wp:extent cx="33655" cy="698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4318635</wp:posOffset>
            </wp:positionH>
            <wp:positionV relativeFrom="paragraph">
              <wp:posOffset>-6350</wp:posOffset>
            </wp:positionV>
            <wp:extent cx="33655" cy="698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-19685</wp:posOffset>
            </wp:positionV>
            <wp:extent cx="33655" cy="698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-6350</wp:posOffset>
            </wp:positionV>
            <wp:extent cx="33655" cy="698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13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is a summary of terms for the preferred stock:</w:t>
      </w:r>
    </w:p>
    <w:p>
      <w:pPr>
        <w:spacing w:after="0" w:line="25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Voting</w:t>
      </w:r>
    </w:p>
    <w:p>
      <w:pPr>
        <w:spacing w:after="0" w:line="9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Each share of preferred stock has voting rights equal to an equivalent number of shares of common stock into which it is convertible and votes together as one class with the common stock, except as below:</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holders of record of the shares of Series A preferred stock and Series B preferred stock, voting together as a single separate class, are entitled to elect three directors of the Company.</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holders of record of the shares of Series C preferred stock, exclusively and as a single separate class, are entitled to elect two directors of the Company.</w:t>
      </w:r>
    </w:p>
    <w:p>
      <w:pPr>
        <w:spacing w:after="0" w:line="12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holders of record of the shares of Series D preferred stock, exclusively and as a single separate class, are entitled to elect one director of the Company.</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Dividends</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holders of preferred stock are entitled to receive, when, as and if declared by the Board, out of funds legally available, noncumulative dividends prior and in preference to any dividends paid on the common stock, at the rate of 8% per annum for each share of preferred stock at the original issue price, as adjusted for stock splits, stock dividends, combinations, or other similar recapitalizations. To date, no dividends have been declared or paid on the Company’s preferred stock.</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7" w:name="page248"/>
    <w:bookmarkEnd w:id="24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Liquidation Preference</w:t>
      </w:r>
    </w:p>
    <w:p>
      <w:pPr>
        <w:spacing w:after="0" w:line="93"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In the event of any voluntary or involuntary liquidation, dissolution, or winding up of the corporation, or upon the occurrence of a Deemed Liquidation Event (defined below), the holders of preferred stock are entitled to be paid out of the assets of the Company available for distribution to its stockholders before any payment is made to holders of common stock, an amount per share equal to the issuance price of $1.00 with respect to the Series A, $1.4159 for Series B, $0.7323 for Series C-1, and $0.5859 for Series C-2, and $0.7963 per share for Series D, plus any dividends declared but unpaid. If upon any such liquidation, dissolution, or winding-up of the Company, the assets of the Company available for distribution to its stockholders is insufficient to pay the preferred stockholders the full amount they are entitled, the holders of preferred stock shall share ratably in any distribution of the assets available for distribution in proportion to the respective amounts which would otherwise be entitled to receive. After the payment of all preferential amounts required to be paid to holders of shares of preferred stock, the remaining assets available for distribution shall be distributed among the holders of shares of preferred stock and common stock, pro rata based on the number of common stock (on an as converted basis) held by each such holder.</w:t>
      </w:r>
    </w:p>
    <w:p>
      <w:pPr>
        <w:spacing w:after="0" w:line="150"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Unless the holders of a majority in voting power of the then outstanding shares of preferred stock elect otherwise, a Deemed Liquidation Event shall include a merger or consolidation (other than one in which stockholders of the Company own a majority by voting power of the outstanding shares of the surviving or acquiring corporation) or sale, lease, transfer, exclusive license or other disposition of all or substantially all of the Company’s assets.</w:t>
      </w:r>
    </w:p>
    <w:p>
      <w:pPr>
        <w:spacing w:after="0" w:line="22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Redemption</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preferred stock does not contain any mandatory redemption features and the preferred stock is not currently redeemable. In accordance with ASC Topic 480, Distinguishing Liabilities from Equity (“ASC 480”), preferred stock issued with redemption provisions that are outside of the control of the Company, including a deemed liquidation event, is required to be presented outside of stockholders’ deficit on the face of the consolidated balance sheet. The Company’s preferred stock contains redemption provisions that require it to be presented outside of stockholders’ deficit in temporary equity. The Company did not accrete the carrying values of the preferred stock to the redemption values since a Deemed Liquidation Event was not considered probable during the years ended December 31, 2025 and 2024. Subsequent adjustments of the carrying values to the ultimate redemption values will be made only when it becomes probable that such a Deemed Liquidation Event will occur.</w:t>
      </w:r>
    </w:p>
    <w:p>
      <w:pPr>
        <w:spacing w:after="0" w:line="231"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Conversion</w:t>
      </w:r>
    </w:p>
    <w:p>
      <w:pPr>
        <w:spacing w:after="0" w:line="93"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Each share of preferred stock is convertible at the option of the holder, at any time and from time to time, and without the payment of additional consideration by the holder, into shares of common stock as is determined by dividing the original purchase issue price of preferred stock by the conversion price in effect at the time of conversion. The conversion price per share shall be $1.00 with respect to the Series A, $1.4159 for Series B, $0.7323 for Series C-1, and $0.5859 for Series C-2, and $0.7963 for Series D, as defined by the Company’s certificate of incorporation, as amended. As of December 31, 2025, the conversion ratio for preferred stock was one-to-one basis.</w:t>
      </w:r>
    </w:p>
    <w:p>
      <w:pPr>
        <w:spacing w:after="0" w:line="315"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All outstanding shares of preferred stock shall automatically be converted into shares of common stock on a one-to-one basis, at the then-effective conversion rate upon either (a) the closing of the sale of shares of common stock to the public at a price at least equal to $2.39 per share in a firm-commitment underwritten public offering pursuant to an effective registration statement under the Securities Act of 1933, as amended, resulting in at least $50 million of net proceeds to the Company or (b) the date and time, or the occurrence of an event specified by vote or written consent of (i) the holders of a majority of the outstanding shares of preferred stock voting together as a single separate class and on as-converted to common stock basis and (ii) the holders of a majority of the outstanding shares of Series C and Series D preferred stock voting together as a single separate class and on as-converted to common stock basis.</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bookmarkStart w:id="248" w:name="page249"/>
    <w:bookmarkEnd w:id="24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1560" w:right="6539" w:hanging="336"/>
        <w:spacing w:after="0" w:line="406" w:lineRule="auto"/>
        <w:tabs>
          <w:tab w:leader="none" w:pos="1560" w:val="left"/>
        </w:tabs>
        <w:numPr>
          <w:ilvl w:val="0"/>
          <w:numId w:val="147"/>
        </w:numPr>
        <w:rPr>
          <w:rFonts w:ascii="Times New Roman" w:cs="Times New Roman" w:eastAsia="Times New Roman" w:hAnsi="Times New Roman"/>
          <w:sz w:val="13"/>
          <w:szCs w:val="13"/>
          <w:b w:val="1"/>
          <w:bCs w:val="1"/>
          <w:color w:val="auto"/>
        </w:rPr>
      </w:pPr>
      <w:r>
        <w:rPr>
          <w:rFonts w:ascii="Times New Roman" w:cs="Times New Roman" w:eastAsia="Times New Roman" w:hAnsi="Times New Roman"/>
          <w:sz w:val="13"/>
          <w:szCs w:val="13"/>
          <w:b w:val="1"/>
          <w:bCs w:val="1"/>
          <w:color w:val="auto"/>
        </w:rPr>
        <w:t xml:space="preserve">Common Stock </w:t>
      </w:r>
      <w:r>
        <w:rPr>
          <w:rFonts w:ascii="Times New Roman" w:cs="Times New Roman" w:eastAsia="Times New Roman" w:hAnsi="Times New Roman"/>
          <w:sz w:val="13"/>
          <w:szCs w:val="13"/>
          <w:b w:val="1"/>
          <w:bCs w:val="1"/>
          <w:i w:val="1"/>
          <w:iCs w:val="1"/>
          <w:color w:val="auto"/>
        </w:rPr>
        <w:t>Common Stock</w:t>
      </w:r>
    </w:p>
    <w:p>
      <w:pPr>
        <w:spacing w:after="0" w:line="1"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Company’s certificate of incorporation, as amended and restated, authorizes the Company to issue 575,000,000 shares of common stock, par value $0.001, as of December 31, 2025. The holders of common stock are entitled to one vote for each share of common stock held.</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number of shares of common stock that have been reserved for the potential conversion of preferred stock, outstanding stock options granted, warrants, and stock options available for grant under the Company’s 2022 Equity Incentive Plan (the “Plan”) as of December 31, 2025 and 2024, are as follows:</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80" w:type="dxa"/>
            <w:vAlign w:val="bottom"/>
          </w:tcPr>
          <w:p>
            <w:pPr>
              <w:spacing w:after="0"/>
              <w:rPr>
                <w:sz w:val="11"/>
                <w:szCs w:val="11"/>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December 31,</w:t>
            </w:r>
          </w:p>
        </w:tc>
      </w:tr>
      <w:tr>
        <w:trPr>
          <w:trHeight w:val="135"/>
        </w:trPr>
        <w:tc>
          <w:tcPr>
            <w:tcW w:w="4280" w:type="dxa"/>
            <w:vAlign w:val="bottom"/>
          </w:tcPr>
          <w:p>
            <w:pPr>
              <w:spacing w:after="0"/>
              <w:rPr>
                <w:sz w:val="11"/>
                <w:szCs w:val="11"/>
                <w:color w:val="auto"/>
              </w:rPr>
            </w:pPr>
          </w:p>
        </w:tc>
        <w:tc>
          <w:tcPr>
            <w:tcW w:w="8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1"/>
                <w:szCs w:val="11"/>
                <w:color w:val="auto"/>
              </w:rPr>
            </w:pPr>
          </w:p>
        </w:tc>
        <w:tc>
          <w:tcPr>
            <w:tcW w:w="90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11"/>
                <w:szCs w:val="11"/>
                <w:color w:val="auto"/>
              </w:rPr>
            </w:pPr>
          </w:p>
        </w:tc>
      </w:tr>
      <w:tr>
        <w:trPr>
          <w:trHeight w:val="159"/>
        </w:trPr>
        <w:tc>
          <w:tcPr>
            <w:tcW w:w="42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Conversion of Series A</w:t>
            </w:r>
          </w:p>
        </w:tc>
        <w:tc>
          <w:tcPr>
            <w:tcW w:w="8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49,651,129</w:t>
            </w:r>
          </w:p>
        </w:tc>
        <w:tc>
          <w:tcPr>
            <w:tcW w:w="10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65,213,004</w:t>
            </w:r>
          </w:p>
        </w:tc>
        <w:tc>
          <w:tcPr>
            <w:tcW w:w="40" w:type="dxa"/>
            <w:vAlign w:val="bottom"/>
            <w:shd w:val="clear" w:color="auto" w:fill="CFF0FC"/>
          </w:tcPr>
          <w:p>
            <w:pPr>
              <w:spacing w:after="0"/>
              <w:rPr>
                <w:sz w:val="13"/>
                <w:szCs w:val="13"/>
                <w:color w:val="auto"/>
              </w:rPr>
            </w:pP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Series B</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25,208,502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25,210,789</w:t>
            </w:r>
          </w:p>
        </w:tc>
        <w:tc>
          <w:tcPr>
            <w:tcW w:w="40" w:type="dxa"/>
            <w:vAlign w:val="bottom"/>
          </w:tcPr>
          <w:p>
            <w:pPr>
              <w:spacing w:after="0"/>
              <w:rPr>
                <w:sz w:val="14"/>
                <w:szCs w:val="14"/>
                <w:color w:val="auto"/>
              </w:rPr>
            </w:pPr>
          </w:p>
        </w:tc>
      </w:tr>
      <w:tr>
        <w:trPr>
          <w:trHeight w:val="16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Conversion of Series C-1</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239,016,017</w:t>
            </w:r>
          </w:p>
        </w:tc>
        <w:tc>
          <w:tcPr>
            <w:tcW w:w="10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239,092,424</w:t>
            </w:r>
          </w:p>
        </w:tc>
        <w:tc>
          <w:tcPr>
            <w:tcW w:w="40" w:type="dxa"/>
            <w:vAlign w:val="bottom"/>
            <w:shd w:val="clear" w:color="auto" w:fill="CFF0FC"/>
          </w:tcPr>
          <w:p>
            <w:pPr>
              <w:spacing w:after="0"/>
              <w:rPr>
                <w:sz w:val="14"/>
                <w:szCs w:val="14"/>
                <w:color w:val="auto"/>
              </w:rPr>
            </w:pP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Conversion of Series C-2</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20,316,359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24,207,788</w:t>
            </w:r>
          </w:p>
        </w:tc>
        <w:tc>
          <w:tcPr>
            <w:tcW w:w="40" w:type="dxa"/>
            <w:vAlign w:val="bottom"/>
          </w:tcPr>
          <w:p>
            <w:pPr>
              <w:spacing w:after="0"/>
              <w:rPr>
                <w:sz w:val="14"/>
                <w:szCs w:val="14"/>
                <w:color w:val="auto"/>
              </w:rPr>
            </w:pPr>
          </w:p>
        </w:tc>
      </w:tr>
      <w:tr>
        <w:trPr>
          <w:trHeight w:val="16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Conversion of Series D</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126,036,334</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Outstanding common 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78,679,105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53,124,653</w:t>
            </w:r>
          </w:p>
        </w:tc>
        <w:tc>
          <w:tcPr>
            <w:tcW w:w="40" w:type="dxa"/>
            <w:vAlign w:val="bottom"/>
          </w:tcPr>
          <w:p>
            <w:pPr>
              <w:spacing w:after="0"/>
              <w:rPr>
                <w:sz w:val="14"/>
                <w:szCs w:val="14"/>
                <w:color w:val="auto"/>
              </w:rPr>
            </w:pPr>
          </w:p>
        </w:tc>
      </w:tr>
      <w:tr>
        <w:trPr>
          <w:trHeight w:val="168"/>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Outstanding common stock warrants</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4,287,641</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options available for grant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941,150</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4,289,036</w:t>
            </w:r>
          </w:p>
        </w:tc>
        <w:tc>
          <w:tcPr>
            <w:tcW w:w="40" w:type="dxa"/>
            <w:vAlign w:val="bottom"/>
          </w:tcPr>
          <w:p>
            <w:pPr>
              <w:spacing w:after="0"/>
              <w:rPr>
                <w:sz w:val="14"/>
                <w:szCs w:val="14"/>
                <w:color w:val="auto"/>
              </w:rPr>
            </w:pPr>
          </w:p>
        </w:tc>
      </w:tr>
      <w:tr>
        <w:trPr>
          <w:trHeight w:val="199"/>
        </w:trPr>
        <w:tc>
          <w:tcPr>
            <w:tcW w:w="4280" w:type="dxa"/>
            <w:vAlign w:val="bottom"/>
            <w:tcBorders>
              <w:bottom w:val="single" w:sz="8" w:color="CFF0FC"/>
            </w:tcBorders>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544,136,237</w:t>
            </w:r>
          </w:p>
        </w:tc>
        <w:tc>
          <w:tcPr>
            <w:tcW w:w="120" w:type="dxa"/>
            <w:vAlign w:val="bottom"/>
            <w:tcBorders>
              <w:bottom w:val="single" w:sz="8" w:color="CFF0FC"/>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411,137,694</w:t>
            </w:r>
          </w:p>
        </w:tc>
        <w:tc>
          <w:tcPr>
            <w:tcW w:w="4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-19685</wp:posOffset>
            </wp:positionV>
            <wp:extent cx="33655" cy="698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4238625</wp:posOffset>
            </wp:positionH>
            <wp:positionV relativeFrom="paragraph">
              <wp:posOffset>-6350</wp:posOffset>
            </wp:positionV>
            <wp:extent cx="33655" cy="698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-19685</wp:posOffset>
            </wp:positionV>
            <wp:extent cx="33655" cy="698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-6350</wp:posOffset>
            </wp:positionV>
            <wp:extent cx="33655" cy="698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237" w:lineRule="exact"/>
        <w:rPr>
          <w:sz w:val="20"/>
          <w:szCs w:val="20"/>
          <w:color w:val="auto"/>
        </w:rPr>
      </w:pPr>
    </w:p>
    <w:p>
      <w:pPr>
        <w:jc w:val="both"/>
        <w:ind w:left="1560" w:right="6339" w:hanging="336"/>
        <w:spacing w:after="0" w:line="377" w:lineRule="auto"/>
        <w:tabs>
          <w:tab w:leader="none" w:pos="1560" w:val="left"/>
        </w:tabs>
        <w:numPr>
          <w:ilvl w:val="0"/>
          <w:numId w:val="14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Stock Option Plan </w:t>
      </w:r>
      <w:r>
        <w:rPr>
          <w:rFonts w:ascii="Times New Roman" w:cs="Times New Roman" w:eastAsia="Times New Roman" w:hAnsi="Times New Roman"/>
          <w:sz w:val="14"/>
          <w:szCs w:val="14"/>
          <w:b w:val="1"/>
          <w:bCs w:val="1"/>
          <w:i w:val="1"/>
          <w:iCs w:val="1"/>
          <w:color w:val="auto"/>
        </w:rPr>
        <w:t>Stock Option Plans</w:t>
      </w:r>
    </w:p>
    <w:p>
      <w:pPr>
        <w:spacing w:after="0" w:line="1"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On February 10, 2022, the Company adopted the Plan, which has been subsequently amended (the “Plan”). The Plan provides for the issuance of incentive and nonqualified common stock options to employees, directors, and certain consultants. The Plan is administered by the Board which determines the awards to be granted, including the number of common shares subject to the awards, the exercise price and the vesting schedule. The total number of common shares reserved and available for grant and issuance under the Plan is 65,771,251 shares plus (a) shares that are subject to issuance under the Company’s 2012 Equity Incentive Plan (the “Prior Plan”) but cease to be subject to an award for any reason other than exercise of stock option or settlement of such award and (b) shares that were issued under the Prior Plan which are repurchased or which are forfeited, used to pay withholding obligations with respect to any award granted under the Prior Plan or pay the exercise price of a stock option granted under the Prior Plan.</w:t>
      </w:r>
    </w:p>
    <w:p>
      <w:pPr>
        <w:spacing w:after="0" w:line="146"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Stock options must be granted with an exercise price equal to the common stock’s fair market value at the date of grant. Stock options generally have 10-year terms and vest over a four-year period starting from the date specified in each agreement. Certain stock options are subject to accelerated vesting upon a change in control, as defined in the respective grant agreements. As of December 31, 2025, there were 941,150 common stock options available for the Company to grant under the Plan.</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49" w:name="page250"/>
    <w:bookmarkEnd w:id="24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Employee Stock Options Valuation</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Company estimates the fair value of stock options on the date of grant using the Black-Scholes option-pricing model. The Black-Scholes option-pricing model requires estimates of highly subjective assumptions, which affect the fair value of each stock option. The assumptions used to determine the fair values of stock options granted to employees, directors, and certain consultants are as follows:</w:t>
      </w:r>
    </w:p>
    <w:p>
      <w:pPr>
        <w:spacing w:after="0" w:line="157" w:lineRule="exact"/>
        <w:rPr>
          <w:sz w:val="20"/>
          <w:szCs w:val="20"/>
          <w:color w:val="auto"/>
        </w:rPr>
      </w:pPr>
    </w:p>
    <w:tbl>
      <w:tblPr>
        <w:tblLayout w:type="fixed"/>
        <w:tblInd w:w="1520" w:type="dxa"/>
        <w:tblCellMar>
          <w:top w:w="0" w:type="dxa"/>
          <w:left w:w="0" w:type="dxa"/>
          <w:bottom w:w="0" w:type="dxa"/>
          <w:right w:w="0" w:type="dxa"/>
        </w:tblCellMar>
      </w:tblPr>
      <w:tr>
        <w:trPr>
          <w:trHeight w:val="135"/>
        </w:trPr>
        <w:tc>
          <w:tcPr>
            <w:tcW w:w="3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00" w:type="dxa"/>
            <w:vAlign w:val="bottom"/>
            <w:gridSpan w:val="4"/>
          </w:tcPr>
          <w:p>
            <w:pPr>
              <w:ind w:left="4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352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jc w:val="right"/>
              <w:ind w:right="41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top w:val="single" w:sz="8" w:color="auto"/>
            </w:tcBorders>
          </w:tcPr>
          <w:p>
            <w:pPr>
              <w:spacing w:after="0"/>
              <w:rPr>
                <w:sz w:val="9"/>
                <w:szCs w:val="9"/>
                <w:color w:val="auto"/>
              </w:rPr>
            </w:pPr>
          </w:p>
        </w:tc>
        <w:tc>
          <w:tcPr>
            <w:tcW w:w="1180" w:type="dxa"/>
            <w:vAlign w:val="bottom"/>
            <w:tcBorders>
              <w:top w:val="single" w:sz="8" w:color="auto"/>
              <w:bottom w:val="single" w:sz="8" w:color="auto"/>
            </w:tcBorders>
          </w:tcPr>
          <w:p>
            <w:pPr>
              <w:jc w:val="right"/>
              <w:ind w:right="41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r>
      <w:tr>
        <w:trPr>
          <w:trHeight w:val="159"/>
        </w:trPr>
        <w:tc>
          <w:tcPr>
            <w:tcW w:w="35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3.7 - 4.1%</w:t>
            </w:r>
          </w:p>
        </w:tc>
        <w:tc>
          <w:tcPr>
            <w:tcW w:w="220" w:type="dxa"/>
            <w:vAlign w:val="bottom"/>
            <w:shd w:val="clear" w:color="auto" w:fill="CFF0FC"/>
          </w:tcPr>
          <w:p>
            <w:pPr>
              <w:spacing w:after="0"/>
              <w:rPr>
                <w:sz w:val="13"/>
                <w:szCs w:val="13"/>
                <w:color w:val="auto"/>
              </w:rPr>
            </w:pPr>
          </w:p>
        </w:tc>
        <w:tc>
          <w:tcPr>
            <w:tcW w:w="11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3.7% - 4.4%</w:t>
            </w:r>
          </w:p>
        </w:tc>
        <w:tc>
          <w:tcPr>
            <w:tcW w:w="120" w:type="dxa"/>
            <w:vAlign w:val="bottom"/>
            <w:shd w:val="clear" w:color="auto" w:fill="CFF0FC"/>
          </w:tcPr>
          <w:p>
            <w:pPr>
              <w:spacing w:after="0"/>
              <w:rPr>
                <w:sz w:val="13"/>
                <w:szCs w:val="13"/>
                <w:color w:val="auto"/>
              </w:rPr>
            </w:pPr>
          </w:p>
        </w:tc>
      </w:tr>
      <w:tr>
        <w:trPr>
          <w:trHeight w:val="16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of options (in years)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5.9 - 6.1</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5.4 - 6.1</w:t>
            </w:r>
          </w:p>
        </w:tc>
        <w:tc>
          <w:tcPr>
            <w:tcW w:w="120" w:type="dxa"/>
            <w:vAlign w:val="bottom"/>
          </w:tcPr>
          <w:p>
            <w:pPr>
              <w:spacing w:after="0"/>
              <w:rPr>
                <w:sz w:val="14"/>
                <w:szCs w:val="14"/>
                <w:color w:val="auto"/>
              </w:rPr>
            </w:pPr>
          </w:p>
        </w:tc>
      </w:tr>
      <w:tr>
        <w:trPr>
          <w:trHeight w:val="168"/>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of underlying stock</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65.1% - 66.6%</w:t>
            </w:r>
          </w:p>
        </w:tc>
        <w:tc>
          <w:tcPr>
            <w:tcW w:w="2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81.7% - 84.6%</w:t>
            </w:r>
          </w:p>
        </w:tc>
        <w:tc>
          <w:tcPr>
            <w:tcW w:w="120" w:type="dxa"/>
            <w:vAlign w:val="bottom"/>
            <w:shd w:val="clear" w:color="auto" w:fill="CFF0FC"/>
          </w:tcPr>
          <w:p>
            <w:pPr>
              <w:spacing w:after="0"/>
              <w:rPr>
                <w:sz w:val="14"/>
                <w:szCs w:val="14"/>
                <w:color w:val="auto"/>
              </w:rPr>
            </w:pPr>
          </w:p>
        </w:tc>
      </w:tr>
      <w:tr>
        <w:trPr>
          <w:trHeight w:val="168"/>
        </w:trPr>
        <w:tc>
          <w:tcPr>
            <w:tcW w:w="352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underlying common stock</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$0.24 - 0.29</w:t>
            </w:r>
          </w:p>
        </w:tc>
        <w:tc>
          <w:tcPr>
            <w:tcW w:w="120" w:type="dxa"/>
            <w:vAlign w:val="bottom"/>
          </w:tcPr>
          <w:p>
            <w:pPr>
              <w:spacing w:after="0"/>
              <w:rPr>
                <w:sz w:val="14"/>
                <w:szCs w:val="14"/>
                <w:color w:val="auto"/>
              </w:rPr>
            </w:pPr>
          </w:p>
        </w:tc>
      </w:tr>
      <w:tr>
        <w:trPr>
          <w:trHeight w:val="168"/>
        </w:trPr>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0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4"/>
                <w:szCs w:val="14"/>
                <w:color w:val="auto"/>
              </w:rPr>
              <w:t>—%</w:t>
            </w:r>
          </w:p>
        </w:tc>
      </w:tr>
    </w:tbl>
    <w:p>
      <w:pPr>
        <w:spacing w:after="0" w:line="175"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During the years ended December 31, 2025 and 2024, the Company modified the terms of certain outstanding stock options upon the termination of certain employees to immediately vest any unvested options upon separation and extend the exercise period of the stock options to three years. For the years ended December 31, 2025 and 2024, the Company recognized additional stock-based compensation expense of $61 thousand and $99 thousand, respectively, as a result of the stock option modifications.</w:t>
      </w:r>
    </w:p>
    <w:p>
      <w:pPr>
        <w:spacing w:after="0" w:line="144"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assumptions used to estimate the fair value of the stock options modified are as follows:</w:t>
      </w:r>
    </w:p>
    <w:p>
      <w:pPr>
        <w:spacing w:after="0" w:line="192" w:lineRule="exact"/>
        <w:rPr>
          <w:sz w:val="20"/>
          <w:szCs w:val="20"/>
          <w:color w:val="auto"/>
        </w:rPr>
      </w:pPr>
    </w:p>
    <w:tbl>
      <w:tblPr>
        <w:tblLayout w:type="fixed"/>
        <w:tblInd w:w="1520" w:type="dxa"/>
        <w:tblCellMar>
          <w:top w:w="0" w:type="dxa"/>
          <w:left w:w="0" w:type="dxa"/>
          <w:bottom w:w="0" w:type="dxa"/>
          <w:right w:w="0" w:type="dxa"/>
        </w:tblCellMar>
      </w:tblPr>
      <w:tr>
        <w:trPr>
          <w:trHeight w:val="135"/>
        </w:trPr>
        <w:tc>
          <w:tcPr>
            <w:tcW w:w="3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20" w:type="dxa"/>
            <w:vAlign w:val="bottom"/>
            <w:gridSpan w:val="5"/>
          </w:tcPr>
          <w:p>
            <w:pPr>
              <w:ind w:left="4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06"/>
        </w:trPr>
        <w:tc>
          <w:tcPr>
            <w:tcW w:w="3500" w:type="dxa"/>
            <w:vAlign w:val="bottom"/>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60" w:type="dxa"/>
            <w:vAlign w:val="bottom"/>
            <w:tcBorders>
              <w:top w:val="single" w:sz="8" w:color="auto"/>
              <w:bottom w:val="single" w:sz="8" w:color="auto"/>
            </w:tcBorders>
          </w:tcPr>
          <w:p>
            <w:pPr>
              <w:jc w:val="right"/>
              <w:ind w:right="394"/>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980" w:type="dxa"/>
            <w:vAlign w:val="bottom"/>
            <w:tcBorders>
              <w:top w:val="single" w:sz="8" w:color="auto"/>
              <w:bottom w:val="single" w:sz="8" w:color="auto"/>
            </w:tcBorders>
          </w:tcPr>
          <w:p>
            <w:pPr>
              <w:jc w:val="right"/>
              <w:ind w:right="412"/>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9"/>
                <w:szCs w:val="9"/>
                <w:color w:val="auto"/>
              </w:rPr>
            </w:pPr>
          </w:p>
        </w:tc>
      </w:tr>
      <w:tr>
        <w:trPr>
          <w:trHeight w:val="159"/>
        </w:trPr>
        <w:tc>
          <w:tcPr>
            <w:tcW w:w="350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Risk-free interest rate</w:t>
            </w:r>
          </w:p>
        </w:tc>
        <w:tc>
          <w:tcPr>
            <w:tcW w:w="200" w:type="dxa"/>
            <w:vAlign w:val="bottom"/>
            <w:shd w:val="clear" w:color="auto" w:fill="CFF0FC"/>
          </w:tcPr>
          <w:p>
            <w:pPr>
              <w:spacing w:after="0"/>
              <w:rPr>
                <w:sz w:val="13"/>
                <w:szCs w:val="13"/>
                <w:color w:val="auto"/>
              </w:rPr>
            </w:pPr>
          </w:p>
        </w:tc>
        <w:tc>
          <w:tcPr>
            <w:tcW w:w="96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4.0% - 4.3%</w:t>
            </w:r>
          </w:p>
        </w:tc>
        <w:tc>
          <w:tcPr>
            <w:tcW w:w="2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4.5% - 5.5%</w:t>
            </w:r>
          </w:p>
        </w:tc>
        <w:tc>
          <w:tcPr>
            <w:tcW w:w="120" w:type="dxa"/>
            <w:vAlign w:val="bottom"/>
            <w:shd w:val="clear" w:color="auto" w:fill="CFF0FC"/>
          </w:tcPr>
          <w:p>
            <w:pPr>
              <w:spacing w:after="0"/>
              <w:rPr>
                <w:sz w:val="13"/>
                <w:szCs w:val="13"/>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Expected life of options (in years)</w:t>
            </w:r>
          </w:p>
        </w:tc>
        <w:tc>
          <w:tcPr>
            <w:tcW w:w="2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0.3 - 1</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0.3 - 3</w:t>
            </w:r>
          </w:p>
        </w:tc>
        <w:tc>
          <w:tcPr>
            <w:tcW w:w="120" w:type="dxa"/>
            <w:vAlign w:val="bottom"/>
          </w:tcPr>
          <w:p>
            <w:pPr>
              <w:spacing w:after="0"/>
              <w:rPr>
                <w:sz w:val="14"/>
                <w:szCs w:val="14"/>
                <w:color w:val="auto"/>
              </w:rPr>
            </w:pPr>
          </w:p>
        </w:tc>
      </w:tr>
      <w:tr>
        <w:trPr>
          <w:trHeight w:val="16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volatility of underlying stock</w:t>
            </w:r>
          </w:p>
        </w:tc>
        <w:tc>
          <w:tcPr>
            <w:tcW w:w="20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46.4% - 62.8%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52.9% - 63.1%</w:t>
            </w:r>
          </w:p>
        </w:tc>
        <w:tc>
          <w:tcPr>
            <w:tcW w:w="120" w:type="dxa"/>
            <w:vAlign w:val="bottom"/>
            <w:shd w:val="clear" w:color="auto" w:fill="CFF0FC"/>
          </w:tcPr>
          <w:p>
            <w:pPr>
              <w:spacing w:after="0"/>
              <w:rPr>
                <w:sz w:val="14"/>
                <w:szCs w:val="14"/>
                <w:color w:val="auto"/>
              </w:rPr>
            </w:pPr>
          </w:p>
        </w:tc>
      </w:tr>
      <w:tr>
        <w:trPr>
          <w:trHeight w:val="168"/>
        </w:trPr>
        <w:tc>
          <w:tcPr>
            <w:tcW w:w="3500" w:type="dxa"/>
            <w:vAlign w:val="bottom"/>
          </w:tcPr>
          <w:p>
            <w:pPr>
              <w:spacing w:after="0"/>
              <w:rPr>
                <w:sz w:val="20"/>
                <w:szCs w:val="20"/>
                <w:color w:val="auto"/>
              </w:rPr>
            </w:pPr>
            <w:r>
              <w:rPr>
                <w:rFonts w:ascii="Times New Roman" w:cs="Times New Roman" w:eastAsia="Times New Roman" w:hAnsi="Times New Roman"/>
                <w:sz w:val="14"/>
                <w:szCs w:val="14"/>
                <w:color w:val="auto"/>
              </w:rPr>
              <w:t>Fair value of underlying common stock</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60" w:type="dxa"/>
            <w:vAlign w:val="bottom"/>
          </w:tcPr>
          <w:p>
            <w:pPr>
              <w:spacing w:after="0"/>
              <w:rPr>
                <w:sz w:val="14"/>
                <w:szCs w:val="14"/>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20" w:type="dxa"/>
            <w:vAlign w:val="bottom"/>
          </w:tcPr>
          <w:p>
            <w:pPr>
              <w:spacing w:after="0"/>
              <w:rPr>
                <w:sz w:val="14"/>
                <w:szCs w:val="14"/>
                <w:color w:val="auto"/>
              </w:rPr>
            </w:pPr>
          </w:p>
        </w:tc>
      </w:tr>
      <w:tr>
        <w:trPr>
          <w:trHeight w:val="168"/>
        </w:trPr>
        <w:tc>
          <w:tcPr>
            <w:tcW w:w="35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Expected dividend yield</w:t>
            </w:r>
          </w:p>
        </w:tc>
        <w:tc>
          <w:tcPr>
            <w:tcW w:w="200" w:type="dxa"/>
            <w:vAlign w:val="bottom"/>
            <w:shd w:val="clear" w:color="auto" w:fill="CFF0FC"/>
          </w:tcPr>
          <w:p>
            <w:pPr>
              <w:spacing w:after="0"/>
              <w:rPr>
                <w:sz w:val="14"/>
                <w:szCs w:val="14"/>
                <w:color w:val="auto"/>
              </w:rPr>
            </w:pPr>
          </w:p>
        </w:tc>
        <w:tc>
          <w:tcPr>
            <w:tcW w:w="122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ind w:left="820"/>
              <w:spacing w:after="0"/>
              <w:rPr>
                <w:sz w:val="20"/>
                <w:szCs w:val="20"/>
                <w:color w:val="auto"/>
              </w:rPr>
            </w:pPr>
            <w:r>
              <w:rPr>
                <w:rFonts w:ascii="Times New Roman" w:cs="Times New Roman" w:eastAsia="Times New Roman" w:hAnsi="Times New Roman"/>
                <w:sz w:val="14"/>
                <w:szCs w:val="14"/>
                <w:color w:val="auto"/>
              </w:rPr>
              <w:t>—%</w:t>
            </w:r>
          </w:p>
        </w:tc>
      </w:tr>
    </w:tbl>
    <w:p>
      <w:pPr>
        <w:spacing w:after="0" w:line="17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In January 2025, the Company canceled 4,935,717 vested stock options previously granted to its former Chief Executive Officer under the Plan. Concurrently, the Company issued a warrant to purchase 4,287,641 shares of common stock at an exercise price of $0.29 per share (the “Warrant”). The Warrant becomes exercisable, in whole or in part, upon the earliest to occur of (i) the Company’s initial public offering (an “IPO”), (ii) a special purpose acquisition company (SPAC) transaction, or (iii) a change of control, and expires upon the earliest to occur of January 13, 2030, one year following an IPO, one year following a SPAC transaction, or a change of control (as defined).</w:t>
      </w:r>
    </w:p>
    <w:p>
      <w:pPr>
        <w:spacing w:after="0" w:line="144"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Warrant was issued as a replacement award in consideration of prior service and is accounted for as a share-based payment award under ASC 718 to a nonemployee. The Company accounted for the transaction as a modification of the canceled stock options. The fair value of the Warrant on the modification date was less than the fair value of the canceled stock options immediately before cancellation; accordingly, the Company recognized no incremental compensation cost in connection with the cancellation of the stock options and issuance of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0" w:name="page251"/>
    <w:bookmarkEnd w:id="25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following table summarizes the stock option activity:</w:t>
      </w:r>
    </w:p>
    <w:p>
      <w:pPr>
        <w:spacing w:after="0" w:line="18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25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76"/>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100" w:type="dxa"/>
            <w:vAlign w:val="bottom"/>
          </w:tcPr>
          <w:p>
            <w:pPr>
              <w:spacing w:after="0"/>
              <w:rPr>
                <w:sz w:val="11"/>
                <w:szCs w:val="11"/>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Remaining</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6"/>
        </w:trPr>
        <w:tc>
          <w:tcPr>
            <w:tcW w:w="25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rPr>
              <w:t>Average</w:t>
            </w: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2580" w:type="dxa"/>
            <w:vAlign w:val="bottom"/>
          </w:tcPr>
          <w:p>
            <w:pPr>
              <w:spacing w:after="0"/>
              <w:rPr>
                <w:sz w:val="10"/>
                <w:szCs w:val="10"/>
                <w:color w:val="auto"/>
              </w:rPr>
            </w:pPr>
          </w:p>
        </w:tc>
        <w:tc>
          <w:tcPr>
            <w:tcW w:w="10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20" w:type="dxa"/>
            <w:vAlign w:val="bottom"/>
          </w:tcPr>
          <w:p>
            <w:pPr>
              <w:spacing w:after="0"/>
              <w:rPr>
                <w:sz w:val="10"/>
                <w:szCs w:val="10"/>
                <w:color w:val="auto"/>
              </w:rPr>
            </w:pPr>
          </w:p>
        </w:tc>
        <w:tc>
          <w:tcPr>
            <w:tcW w:w="72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10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80"/>
              <w:spacing w:after="0" w:line="116"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16"/>
        </w:trPr>
        <w:tc>
          <w:tcPr>
            <w:tcW w:w="25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ind w:right="56"/>
              <w:spacing w:after="0" w:line="116" w:lineRule="exact"/>
              <w:rPr>
                <w:sz w:val="20"/>
                <w:szCs w:val="20"/>
                <w:color w:val="auto"/>
              </w:rPr>
            </w:pPr>
            <w:r>
              <w:rPr>
                <w:rFonts w:ascii="Times New Roman" w:cs="Times New Roman" w:eastAsia="Times New Roman" w:hAnsi="Times New Roman"/>
                <w:sz w:val="11"/>
                <w:szCs w:val="11"/>
                <w:b w:val="1"/>
                <w:bCs w:val="1"/>
                <w:color w:val="auto"/>
                <w:w w:val="98"/>
              </w:rPr>
              <w:t>Price</w:t>
            </w:r>
          </w:p>
        </w:tc>
        <w:tc>
          <w:tcPr>
            <w:tcW w:w="10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w w:val="94"/>
              </w:rPr>
              <w:t>Life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tcPr>
          <w:p>
            <w:pPr>
              <w:jc w:val="center"/>
              <w:ind w:right="160"/>
              <w:spacing w:after="0" w:line="116" w:lineRule="exact"/>
              <w:rPr>
                <w:sz w:val="20"/>
                <w:szCs w:val="20"/>
                <w:color w:val="auto"/>
              </w:rPr>
            </w:pPr>
            <w:r>
              <w:rPr>
                <w:rFonts w:ascii="Times New Roman" w:cs="Times New Roman" w:eastAsia="Times New Roman" w:hAnsi="Times New Roman"/>
                <w:sz w:val="11"/>
                <w:szCs w:val="11"/>
                <w:b w:val="1"/>
                <w:bCs w:val="1"/>
                <w:color w:val="auto"/>
              </w:rPr>
              <w:t>Value</w:t>
            </w:r>
          </w:p>
        </w:tc>
        <w:tc>
          <w:tcPr>
            <w:tcW w:w="0" w:type="dxa"/>
            <w:vAlign w:val="bottom"/>
          </w:tcPr>
          <w:p>
            <w:pPr>
              <w:spacing w:after="0"/>
              <w:rPr>
                <w:sz w:val="1"/>
                <w:szCs w:val="1"/>
                <w:color w:val="auto"/>
              </w:rPr>
            </w:pPr>
          </w:p>
        </w:tc>
      </w:tr>
      <w:tr>
        <w:trPr>
          <w:trHeight w:val="135"/>
        </w:trPr>
        <w:tc>
          <w:tcPr>
            <w:tcW w:w="2580" w:type="dxa"/>
            <w:vAlign w:val="bottom"/>
          </w:tcPr>
          <w:p>
            <w:pPr>
              <w:spacing w:after="0"/>
              <w:rPr>
                <w:sz w:val="11"/>
                <w:szCs w:val="11"/>
                <w:color w:val="auto"/>
              </w:rPr>
            </w:pPr>
          </w:p>
        </w:tc>
        <w:tc>
          <w:tcPr>
            <w:tcW w:w="88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1"/>
                <w:szCs w:val="11"/>
                <w:b w:val="1"/>
                <w:bCs w:val="1"/>
                <w:color w:val="auto"/>
              </w:rPr>
              <w:t>Stock Options</w:t>
            </w: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1"/>
                <w:szCs w:val="11"/>
                <w:b w:val="1"/>
                <w:bCs w:val="1"/>
                <w:color w:val="auto"/>
              </w:rPr>
              <w:t>(per share)</w:t>
            </w:r>
          </w:p>
        </w:tc>
        <w:tc>
          <w:tcPr>
            <w:tcW w:w="10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(in years)</w:t>
            </w:r>
          </w:p>
        </w:tc>
        <w:tc>
          <w:tcPr>
            <w:tcW w:w="140" w:type="dxa"/>
            <w:vAlign w:val="bottom"/>
          </w:tcPr>
          <w:p>
            <w:pPr>
              <w:spacing w:after="0"/>
              <w:rPr>
                <w:sz w:val="11"/>
                <w:szCs w:val="11"/>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5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December 31, 2024</w:t>
            </w:r>
          </w:p>
        </w:tc>
        <w:tc>
          <w:tcPr>
            <w:tcW w:w="8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53,124,653</w:t>
            </w:r>
          </w:p>
        </w:tc>
        <w:tc>
          <w:tcPr>
            <w:tcW w:w="160" w:type="dxa"/>
            <w:vAlign w:val="bottom"/>
            <w:shd w:val="clear" w:color="auto" w:fill="CFF0FC"/>
          </w:tcPr>
          <w:p>
            <w:pPr>
              <w:spacing w:after="0"/>
              <w:rPr>
                <w:sz w:val="13"/>
                <w:szCs w:val="13"/>
                <w:color w:val="auto"/>
              </w:rPr>
            </w:pPr>
          </w:p>
        </w:tc>
        <w:tc>
          <w:tcPr>
            <w:tcW w:w="1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0.26</w:t>
            </w:r>
          </w:p>
        </w:tc>
        <w:tc>
          <w:tcPr>
            <w:tcW w:w="8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8.09</w:t>
            </w:r>
          </w:p>
        </w:tc>
        <w:tc>
          <w:tcPr>
            <w:tcW w:w="2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2,233</w:t>
            </w:r>
          </w:p>
        </w:tc>
        <w:tc>
          <w:tcPr>
            <w:tcW w:w="4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Options 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32,577,741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Options exercised</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(83,388)</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tcPr>
          <w:p>
            <w:pPr>
              <w:spacing w:after="0"/>
              <w:rPr>
                <w:sz w:val="20"/>
                <w:szCs w:val="20"/>
                <w:color w:val="auto"/>
              </w:rPr>
            </w:pPr>
            <w:r>
              <w:rPr>
                <w:rFonts w:ascii="Times New Roman" w:cs="Times New Roman" w:eastAsia="Times New Roman" w:hAnsi="Times New Roman"/>
                <w:sz w:val="14"/>
                <w:szCs w:val="14"/>
                <w:color w:val="auto"/>
              </w:rPr>
              <w:t>Options forfeited or cancelled</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(6,920,386)</w:t>
            </w: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5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Options expired</w:t>
            </w:r>
          </w:p>
        </w:tc>
        <w:tc>
          <w:tcPr>
            <w:tcW w:w="10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(19,515)</w:t>
            </w: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0.24</w:t>
            </w:r>
          </w:p>
        </w:tc>
        <w:tc>
          <w:tcPr>
            <w:tcW w:w="1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2580" w:type="dxa"/>
            <w:vAlign w:val="bottom"/>
            <w:tcBorders>
              <w:top w:val="single" w:sz="8" w:color="CFF0FC"/>
            </w:tcBorders>
          </w:tcPr>
          <w:p>
            <w:pPr>
              <w:spacing w:after="0" w:line="159" w:lineRule="exact"/>
              <w:rPr>
                <w:sz w:val="20"/>
                <w:szCs w:val="20"/>
                <w:color w:val="auto"/>
              </w:rPr>
            </w:pPr>
            <w:r>
              <w:rPr>
                <w:rFonts w:ascii="Times New Roman" w:cs="Times New Roman" w:eastAsia="Times New Roman" w:hAnsi="Times New Roman"/>
                <w:sz w:val="14"/>
                <w:szCs w:val="14"/>
                <w:color w:val="auto"/>
              </w:rPr>
              <w:t>Outstanding as of December 31, 2025</w:t>
            </w:r>
          </w:p>
        </w:tc>
        <w:tc>
          <w:tcPr>
            <w:tcW w:w="88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78,679,105</w:t>
            </w: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0.26</w:t>
            </w:r>
          </w:p>
        </w:tc>
        <w:tc>
          <w:tcPr>
            <w:tcW w:w="840" w:type="dxa"/>
            <w:vAlign w:val="bottom"/>
            <w:tcBorders>
              <w:top w:val="single" w:sz="8" w:color="CFF0FC"/>
            </w:tcBorders>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8.20</w:t>
            </w:r>
          </w:p>
        </w:tc>
        <w:tc>
          <w:tcPr>
            <w:tcW w:w="140" w:type="dxa"/>
            <w:vAlign w:val="bottom"/>
            <w:tcBorders>
              <w:top w:val="single" w:sz="8" w:color="CFF0FC"/>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40" w:type="dxa"/>
            <w:vAlign w:val="bottom"/>
            <w:tcBorders>
              <w:top w:val="single" w:sz="8" w:color="CFF0FC"/>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444</w:t>
            </w:r>
          </w:p>
        </w:tc>
        <w:tc>
          <w:tcPr>
            <w:tcW w:w="4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2580" w:type="dxa"/>
            <w:vAlign w:val="bottom"/>
            <w:shd w:val="clear" w:color="auto" w:fill="CFF0FC"/>
          </w:tcPr>
          <w:p>
            <w:pPr>
              <w:spacing w:after="0" w:line="125" w:lineRule="exact"/>
              <w:rPr>
                <w:sz w:val="20"/>
                <w:szCs w:val="20"/>
                <w:color w:val="auto"/>
              </w:rPr>
            </w:pPr>
            <w:r>
              <w:rPr>
                <w:rFonts w:ascii="Times New Roman" w:cs="Times New Roman" w:eastAsia="Times New Roman" w:hAnsi="Times New Roman"/>
                <w:sz w:val="14"/>
                <w:szCs w:val="14"/>
                <w:color w:val="auto"/>
              </w:rPr>
              <w:t>Options exercisable as of December 31,</w:t>
            </w: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32,532,565</w:t>
            </w:r>
          </w:p>
        </w:tc>
        <w:tc>
          <w:tcPr>
            <w:tcW w:w="16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0.26</w:t>
            </w:r>
          </w:p>
        </w:tc>
        <w:tc>
          <w:tcPr>
            <w:tcW w:w="100" w:type="dxa"/>
            <w:vAlign w:val="bottom"/>
            <w:vMerge w:val="restart"/>
            <w:shd w:val="clear" w:color="auto" w:fill="CFF0FC"/>
          </w:tcPr>
          <w:p>
            <w:pPr>
              <w:spacing w:after="0"/>
              <w:rPr>
                <w:sz w:val="10"/>
                <w:szCs w:val="10"/>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140" w:type="dxa"/>
            <w:vAlign w:val="bottom"/>
            <w:vMerge w:val="restart"/>
            <w:shd w:val="clear" w:color="auto" w:fill="CFF0FC"/>
          </w:tcPr>
          <w:p>
            <w:pPr>
              <w:spacing w:after="0"/>
              <w:rPr>
                <w:sz w:val="10"/>
                <w:szCs w:val="10"/>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w:t>
            </w:r>
          </w:p>
        </w:tc>
        <w:tc>
          <w:tcPr>
            <w:tcW w:w="4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2580" w:type="dxa"/>
            <w:vAlign w:val="bottom"/>
            <w:tcBorders>
              <w:bottom w:val="single" w:sz="8" w:color="CFF0FC"/>
            </w:tcBorders>
            <w:shd w:val="clear" w:color="auto" w:fill="CFF0FC"/>
          </w:tcPr>
          <w:p>
            <w:pPr>
              <w:spacing w:after="0" w:line="151" w:lineRule="exact"/>
              <w:rPr>
                <w:sz w:val="20"/>
                <w:szCs w:val="20"/>
                <w:color w:val="auto"/>
              </w:rPr>
            </w:pPr>
            <w:r>
              <w:rPr>
                <w:rFonts w:ascii="Times New Roman" w:cs="Times New Roman" w:eastAsia="Times New Roman" w:hAnsi="Times New Roman"/>
                <w:sz w:val="14"/>
                <w:szCs w:val="14"/>
                <w:color w:val="auto"/>
              </w:rPr>
              <w:t>2025</w:t>
            </w:r>
          </w:p>
        </w:tc>
        <w:tc>
          <w:tcPr>
            <w:tcW w:w="880" w:type="dxa"/>
            <w:vAlign w:val="bottom"/>
            <w:tcBorders>
              <w:bottom w:val="single" w:sz="8" w:color="auto"/>
            </w:tcBorders>
            <w:vMerge w:val="continue"/>
            <w:shd w:val="clear" w:color="auto" w:fill="CFF0FC"/>
          </w:tcPr>
          <w:p>
            <w:pPr>
              <w:spacing w:after="0"/>
              <w:rPr>
                <w:sz w:val="16"/>
                <w:szCs w:val="16"/>
                <w:color w:val="auto"/>
              </w:rPr>
            </w:pPr>
          </w:p>
        </w:tc>
        <w:tc>
          <w:tcPr>
            <w:tcW w:w="16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vMerge w:val="continue"/>
            <w:shd w:val="clear" w:color="auto" w:fill="CFF0FC"/>
          </w:tcPr>
          <w:p>
            <w:pPr>
              <w:spacing w:after="0"/>
              <w:rPr>
                <w:sz w:val="16"/>
                <w:szCs w:val="16"/>
                <w:color w:val="auto"/>
              </w:rPr>
            </w:pPr>
          </w:p>
        </w:tc>
        <w:tc>
          <w:tcPr>
            <w:tcW w:w="72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vMerge w:val="continue"/>
            <w:shd w:val="clear" w:color="auto" w:fill="CFF0FC"/>
          </w:tcPr>
          <w:p>
            <w:pPr>
              <w:spacing w:after="0"/>
              <w:rPr>
                <w:sz w:val="16"/>
                <w:szCs w:val="16"/>
                <w:color w:val="auto"/>
              </w:rPr>
            </w:pPr>
          </w:p>
        </w:tc>
        <w:tc>
          <w:tcPr>
            <w:tcW w:w="740" w:type="dxa"/>
            <w:vAlign w:val="bottom"/>
            <w:tcBorders>
              <w:bottom w:val="single" w:sz="8" w:color="auto"/>
            </w:tcBorders>
            <w:vMerge w:val="continue"/>
            <w:shd w:val="clear" w:color="auto" w:fill="CFF0FC"/>
          </w:tcPr>
          <w:p>
            <w:pPr>
              <w:spacing w:after="0"/>
              <w:rPr>
                <w:sz w:val="16"/>
                <w:szCs w:val="16"/>
                <w:color w:val="auto"/>
              </w:rPr>
            </w:pPr>
          </w:p>
        </w:tc>
        <w:tc>
          <w:tcPr>
            <w:tcW w:w="140" w:type="dxa"/>
            <w:vAlign w:val="bottom"/>
            <w:tcBorders>
              <w:bottom w:val="single" w:sz="8" w:color="CFF0FC"/>
            </w:tcBorders>
            <w:vMerge w:val="continue"/>
            <w:shd w:val="clear" w:color="auto" w:fill="CFF0FC"/>
          </w:tcPr>
          <w:p>
            <w:pPr>
              <w:spacing w:after="0"/>
              <w:rPr>
                <w:sz w:val="16"/>
                <w:szCs w:val="16"/>
                <w:color w:val="auto"/>
              </w:rPr>
            </w:pPr>
          </w:p>
        </w:tc>
        <w:tc>
          <w:tcPr>
            <w:tcW w:w="100" w:type="dxa"/>
            <w:vAlign w:val="bottom"/>
            <w:tcBorders>
              <w:bottom w:val="single" w:sz="8" w:color="auto"/>
            </w:tcBorders>
            <w:vMerge w:val="continue"/>
            <w:shd w:val="clear" w:color="auto" w:fill="CFF0FC"/>
          </w:tcPr>
          <w:p>
            <w:pPr>
              <w:spacing w:after="0"/>
              <w:rPr>
                <w:sz w:val="16"/>
                <w:szCs w:val="16"/>
                <w:color w:val="auto"/>
              </w:rPr>
            </w:pPr>
          </w:p>
        </w:tc>
        <w:tc>
          <w:tcPr>
            <w:tcW w:w="640" w:type="dxa"/>
            <w:vAlign w:val="bottom"/>
            <w:tcBorders>
              <w:bottom w:val="single" w:sz="8" w:color="auto"/>
            </w:tcBorders>
            <w:vMerge w:val="continue"/>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-346710</wp:posOffset>
            </wp:positionV>
            <wp:extent cx="46990" cy="698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-346710</wp:posOffset>
            </wp:positionV>
            <wp:extent cx="33655" cy="698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-19685</wp:posOffset>
            </wp:positionV>
            <wp:extent cx="46990" cy="698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3157220</wp:posOffset>
            </wp:positionH>
            <wp:positionV relativeFrom="paragraph">
              <wp:posOffset>-6350</wp:posOffset>
            </wp:positionV>
            <wp:extent cx="46990" cy="698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-19685</wp:posOffset>
            </wp:positionV>
            <wp:extent cx="33655" cy="698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3797935</wp:posOffset>
            </wp:positionH>
            <wp:positionV relativeFrom="paragraph">
              <wp:posOffset>-6350</wp:posOffset>
            </wp:positionV>
            <wp:extent cx="33655" cy="698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-19685</wp:posOffset>
            </wp:positionV>
            <wp:extent cx="33655" cy="698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4331970</wp:posOffset>
            </wp:positionH>
            <wp:positionV relativeFrom="paragraph">
              <wp:posOffset>-6350</wp:posOffset>
            </wp:positionV>
            <wp:extent cx="33655" cy="698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-19685</wp:posOffset>
            </wp:positionV>
            <wp:extent cx="33655" cy="698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-6350</wp:posOffset>
            </wp:positionV>
            <wp:extent cx="33655" cy="698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15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weighted-average grant date fair value of stock options granted in the years ended December 31, 2025 and 2024 was $0.16 and $0.17, respectively. The total intrinsic value of stock options exercised during the years ended December 31, 2025 and 2024 was $1 thousand and $18 thousand, respectively. As of December 31, 2025 and 2024, total stock-based compensation cost not yet recognized related to unvested stock options was $6.9 million and $5.3 million, respectively, which is expected to be recognized over a weighted-average period of 2.83 years and 2.67 years, respectively. Stock-based compensation expense recognized in the accompanying consolidated statements of comprehensive loss for the years ended December 31, 2025 and 2024, included the following (in thousands):</w:t>
      </w:r>
    </w:p>
    <w:p>
      <w:pPr>
        <w:spacing w:after="0" w:line="160" w:lineRule="exact"/>
        <w:rPr>
          <w:sz w:val="20"/>
          <w:szCs w:val="20"/>
          <w:color w:val="auto"/>
        </w:rPr>
      </w:pPr>
    </w:p>
    <w:tbl>
      <w:tblPr>
        <w:tblLayout w:type="fixed"/>
        <w:tblInd w:w="1520" w:type="dxa"/>
        <w:tblCellMar>
          <w:top w:w="0" w:type="dxa"/>
          <w:left w:w="0" w:type="dxa"/>
          <w:bottom w:w="0" w:type="dxa"/>
          <w:right w:w="0" w:type="dxa"/>
        </w:tblCellMar>
      </w:tblPr>
      <w:tr>
        <w:trPr>
          <w:trHeight w:val="135"/>
        </w:trPr>
        <w:tc>
          <w:tcPr>
            <w:tcW w:w="4260" w:type="dxa"/>
            <w:vAlign w:val="bottom"/>
          </w:tcPr>
          <w:p>
            <w:pPr>
              <w:spacing w:after="0"/>
              <w:rPr>
                <w:sz w:val="11"/>
                <w:szCs w:val="11"/>
                <w:color w:val="auto"/>
              </w:rPr>
            </w:pPr>
          </w:p>
        </w:tc>
        <w:tc>
          <w:tcPr>
            <w:tcW w:w="1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1"/>
                <w:szCs w:val="11"/>
                <w:color w:val="auto"/>
              </w:rPr>
            </w:pPr>
          </w:p>
        </w:tc>
      </w:tr>
      <w:tr>
        <w:trPr>
          <w:trHeight w:val="106"/>
        </w:trPr>
        <w:tc>
          <w:tcPr>
            <w:tcW w:w="4260" w:type="dxa"/>
            <w:vAlign w:val="bottom"/>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3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Borders>
              <w:bottom w:val="single" w:sz="8" w:color="auto"/>
            </w:tcBorders>
          </w:tcPr>
          <w:p>
            <w:pPr>
              <w:jc w:val="right"/>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380" w:type="dxa"/>
            <w:vAlign w:val="bottom"/>
            <w:tcBorders>
              <w:bottom w:val="single" w:sz="8" w:color="auto"/>
            </w:tcBorders>
          </w:tcPr>
          <w:p>
            <w:pPr>
              <w:spacing w:after="0"/>
              <w:rPr>
                <w:sz w:val="9"/>
                <w:szCs w:val="9"/>
                <w:color w:val="auto"/>
              </w:rPr>
            </w:pPr>
          </w:p>
        </w:tc>
      </w:tr>
      <w:tr>
        <w:trPr>
          <w:trHeight w:val="159"/>
        </w:trPr>
        <w:tc>
          <w:tcPr>
            <w:tcW w:w="42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General and administrative</w:t>
            </w:r>
          </w:p>
        </w:tc>
        <w:tc>
          <w:tcPr>
            <w:tcW w:w="5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2,390</w:t>
            </w:r>
          </w:p>
        </w:tc>
        <w:tc>
          <w:tcPr>
            <w:tcW w:w="700" w:type="dxa"/>
            <w:vAlign w:val="bottom"/>
            <w:gridSpan w:val="2"/>
            <w:shd w:val="clear" w:color="auto" w:fill="CFF0FC"/>
          </w:tcPr>
          <w:p>
            <w:pPr>
              <w:jc w:val="right"/>
              <w:ind w:right="4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1,528</w:t>
            </w:r>
          </w:p>
        </w:tc>
      </w:tr>
      <w:tr>
        <w:trPr>
          <w:trHeight w:val="168"/>
        </w:trPr>
        <w:tc>
          <w:tcPr>
            <w:tcW w:w="42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5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884</w:t>
            </w:r>
          </w:p>
        </w:tc>
        <w:tc>
          <w:tcPr>
            <w:tcW w:w="1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943</w:t>
            </w:r>
          </w:p>
        </w:tc>
      </w:tr>
      <w:tr>
        <w:trPr>
          <w:trHeight w:val="179"/>
        </w:trPr>
        <w:tc>
          <w:tcPr>
            <w:tcW w:w="426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540" w:type="dxa"/>
            <w:vAlign w:val="bottom"/>
            <w:shd w:val="clear" w:color="auto" w:fill="CFF0FC"/>
          </w:tcPr>
          <w:p>
            <w:pPr>
              <w:jc w:val="right"/>
              <w:ind w:right="424"/>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3,274</w:t>
            </w:r>
          </w:p>
        </w:tc>
        <w:tc>
          <w:tcPr>
            <w:tcW w:w="700" w:type="dxa"/>
            <w:vAlign w:val="bottom"/>
            <w:gridSpan w:val="2"/>
            <w:shd w:val="clear" w:color="auto" w:fill="CFF0FC"/>
          </w:tcPr>
          <w:p>
            <w:pPr>
              <w:jc w:val="right"/>
              <w:ind w:right="424"/>
              <w:spacing w:after="0" w:line="159"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95"/>
              </w:rPr>
              <w:t>2,471</w:t>
            </w:r>
          </w:p>
        </w:tc>
      </w:tr>
      <w:tr>
        <w:trPr>
          <w:trHeight w:val="20"/>
        </w:trPr>
        <w:tc>
          <w:tcPr>
            <w:tcW w:w="42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-19685</wp:posOffset>
            </wp:positionV>
            <wp:extent cx="33655" cy="698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4225290</wp:posOffset>
            </wp:positionH>
            <wp:positionV relativeFrom="paragraph">
              <wp:posOffset>-6350</wp:posOffset>
            </wp:positionV>
            <wp:extent cx="33655" cy="698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-19685</wp:posOffset>
            </wp:positionV>
            <wp:extent cx="33655" cy="698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-6350</wp:posOffset>
            </wp:positionV>
            <wp:extent cx="33655" cy="698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237" w:lineRule="exact"/>
        <w:rPr>
          <w:sz w:val="20"/>
          <w:szCs w:val="20"/>
          <w:color w:val="auto"/>
        </w:rPr>
      </w:pPr>
    </w:p>
    <w:p>
      <w:pPr>
        <w:ind w:left="1560" w:hanging="336"/>
        <w:spacing w:after="0"/>
        <w:tabs>
          <w:tab w:leader="none" w:pos="1560" w:val="left"/>
        </w:tabs>
        <w:numPr>
          <w:ilvl w:val="0"/>
          <w:numId w:val="14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Segment Information</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The Company operates and manages its business as one operating segment and one reportable segment, which is focused on developing targeted therapies to treat rare lung diseases. The CODM manages the Company’s operations on a consolidated basis, assesses performance for the operating segment and decides how to allocate resources based on consolidated operating results, which is reported on the consolidated statements of comprehensive loss.</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monitoring of budgeted versus actual results is used in assessing the performance of the operating segment and in establishing resource allocation across the organization. Depreciation expense, amortization expense, stock-based compensation expense, and non-cash lease expense are significant noncash items included in net loss and reported on the consolidated statements of cash flows. The measure of segment assets is reported on the consolidated balance sheets as total assets. Expenditures for additions to long-lived assets, which include purchases of property and equipment, are included in total assets, reviewed by the CODM, and are reported on the consolidated statements of cash flows.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1" w:name="page252"/>
    <w:bookmarkEnd w:id="25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following table represents information about segment loss and significant segment expenses (in thousands):</w:t>
      </w:r>
    </w:p>
    <w:p>
      <w:pPr>
        <w:spacing w:after="0" w:line="131"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78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35"/>
        </w:trPr>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r>
      <w:tr>
        <w:trPr>
          <w:trHeight w:val="159"/>
        </w:trPr>
        <w:tc>
          <w:tcPr>
            <w:tcW w:w="300" w:type="dxa"/>
            <w:vAlign w:val="bottom"/>
          </w:tcPr>
          <w:p>
            <w:pPr>
              <w:spacing w:after="0"/>
              <w:rPr>
                <w:sz w:val="13"/>
                <w:szCs w:val="13"/>
                <w:color w:val="auto"/>
              </w:rPr>
            </w:pPr>
          </w:p>
        </w:tc>
        <w:tc>
          <w:tcPr>
            <w:tcW w:w="4220" w:type="dxa"/>
            <w:vAlign w:val="bottom"/>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Direct research and development expenses by program:</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AP01</w:t>
            </w:r>
          </w:p>
        </w:tc>
        <w:tc>
          <w:tcPr>
            <w:tcW w:w="2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50,171</w:t>
            </w:r>
          </w:p>
        </w:tc>
        <w:tc>
          <w:tcPr>
            <w:tcW w:w="160" w:type="dxa"/>
            <w:vAlign w:val="bottom"/>
          </w:tcPr>
          <w:p>
            <w:pPr>
              <w:spacing w:after="0"/>
              <w:rPr>
                <w:sz w:val="14"/>
                <w:szCs w:val="14"/>
                <w:color w:val="auto"/>
              </w:rPr>
            </w:pP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30,781</w:t>
            </w:r>
          </w:p>
        </w:tc>
        <w:tc>
          <w:tcPr>
            <w:tcW w:w="60" w:type="dxa"/>
            <w:vAlign w:val="bottom"/>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AP02</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8,941</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4,223</w:t>
            </w:r>
          </w:p>
        </w:tc>
        <w:tc>
          <w:tcPr>
            <w:tcW w:w="60" w:type="dxa"/>
            <w:vAlign w:val="bottom"/>
            <w:shd w:val="clear" w:color="auto" w:fill="CFF0FC"/>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AP03</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60" w:type="dxa"/>
            <w:vAlign w:val="bottom"/>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Unallocated research and development expenses:</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Personnel-related (excluding stock-based compensation)</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9,113</w:t>
            </w:r>
          </w:p>
        </w:tc>
        <w:tc>
          <w:tcPr>
            <w:tcW w:w="60" w:type="dxa"/>
            <w:vAlign w:val="bottom"/>
          </w:tcPr>
          <w:p>
            <w:pPr>
              <w:spacing w:after="0"/>
              <w:rPr>
                <w:sz w:val="14"/>
                <w:szCs w:val="14"/>
                <w:color w:val="auto"/>
              </w:rPr>
            </w:pPr>
          </w:p>
        </w:tc>
      </w:tr>
      <w:tr>
        <w:trPr>
          <w:trHeight w:val="153"/>
        </w:trPr>
        <w:tc>
          <w:tcPr>
            <w:tcW w:w="300" w:type="dxa"/>
            <w:vAlign w:val="bottom"/>
          </w:tcPr>
          <w:p>
            <w:pPr>
              <w:spacing w:after="0"/>
              <w:rPr>
                <w:sz w:val="13"/>
                <w:szCs w:val="13"/>
                <w:color w:val="auto"/>
              </w:rPr>
            </w:pPr>
          </w:p>
        </w:tc>
        <w:tc>
          <w:tcPr>
            <w:tcW w:w="4220" w:type="dxa"/>
            <w:vAlign w:val="bottom"/>
            <w:gridSpan w:val="2"/>
            <w:shd w:val="clear" w:color="auto" w:fill="CFF0FC"/>
          </w:tcPr>
          <w:p>
            <w:pPr>
              <w:ind w:left="140"/>
              <w:spacing w:after="0" w:line="153" w:lineRule="exact"/>
              <w:rPr>
                <w:sz w:val="20"/>
                <w:szCs w:val="20"/>
                <w:color w:val="auto"/>
              </w:rPr>
            </w:pPr>
            <w:r>
              <w:rPr>
                <w:rFonts w:ascii="Times New Roman" w:cs="Times New Roman" w:eastAsia="Times New Roman" w:hAnsi="Times New Roman"/>
                <w:sz w:val="14"/>
                <w:szCs w:val="14"/>
                <w:color w:val="auto"/>
              </w:rPr>
              <w:t>Facility and information technology allocated expenses and</w:t>
            </w:r>
          </w:p>
        </w:tc>
        <w:tc>
          <w:tcPr>
            <w:tcW w:w="22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83"/>
        </w:trPr>
        <w:tc>
          <w:tcPr>
            <w:tcW w:w="300" w:type="dxa"/>
            <w:vAlign w:val="bottom"/>
          </w:tcPr>
          <w:p>
            <w:pPr>
              <w:spacing w:after="0"/>
              <w:rPr>
                <w:sz w:val="15"/>
                <w:szCs w:val="15"/>
                <w:color w:val="auto"/>
              </w:rPr>
            </w:pPr>
          </w:p>
        </w:tc>
        <w:tc>
          <w:tcPr>
            <w:tcW w:w="422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 research and development costs</w:t>
            </w:r>
          </w:p>
        </w:tc>
        <w:tc>
          <w:tcPr>
            <w:tcW w:w="2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366</w:t>
            </w:r>
          </w:p>
        </w:tc>
        <w:tc>
          <w:tcPr>
            <w:tcW w:w="60" w:type="dxa"/>
            <w:vAlign w:val="bottom"/>
            <w:shd w:val="clear" w:color="auto" w:fill="CFF0FC"/>
          </w:tcPr>
          <w:p>
            <w:pPr>
              <w:spacing w:after="0"/>
              <w:rPr>
                <w:sz w:val="15"/>
                <w:szCs w:val="15"/>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Personnel-related (excluding stock-based compensation)</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6,560</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60" w:type="dxa"/>
            <w:vAlign w:val="bottom"/>
            <w:shd w:val="clear" w:color="auto" w:fill="CFF0FC"/>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Facility expenses and information technology</w:t>
            </w:r>
          </w:p>
        </w:tc>
        <w:tc>
          <w:tcPr>
            <w:tcW w:w="2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60" w:type="dxa"/>
            <w:vAlign w:val="bottom"/>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corporate expenses and professional fees</w:t>
            </w:r>
          </w:p>
        </w:tc>
        <w:tc>
          <w:tcPr>
            <w:tcW w:w="2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4,822</w:t>
            </w:r>
          </w:p>
        </w:tc>
        <w:tc>
          <w:tcPr>
            <w:tcW w:w="1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5,462</w:t>
            </w:r>
          </w:p>
        </w:tc>
        <w:tc>
          <w:tcPr>
            <w:tcW w:w="60" w:type="dxa"/>
            <w:vAlign w:val="bottom"/>
            <w:shd w:val="clear" w:color="auto" w:fill="CFF0FC"/>
          </w:tcPr>
          <w:p>
            <w:pPr>
              <w:spacing w:after="0"/>
              <w:rPr>
                <w:sz w:val="14"/>
                <w:szCs w:val="14"/>
                <w:color w:val="auto"/>
              </w:rPr>
            </w:pPr>
          </w:p>
        </w:tc>
      </w:tr>
      <w:tr>
        <w:trPr>
          <w:trHeight w:val="168"/>
        </w:trPr>
        <w:tc>
          <w:tcPr>
            <w:tcW w:w="300" w:type="dxa"/>
            <w:vAlign w:val="bottom"/>
          </w:tcPr>
          <w:p>
            <w:pPr>
              <w:spacing w:after="0"/>
              <w:rPr>
                <w:sz w:val="14"/>
                <w:szCs w:val="14"/>
                <w:color w:val="auto"/>
              </w:rPr>
            </w:pPr>
          </w:p>
        </w:tc>
        <w:tc>
          <w:tcPr>
            <w:tcW w:w="4220" w:type="dxa"/>
            <w:vAlign w:val="bottom"/>
            <w:gridSpan w:val="2"/>
          </w:tcPr>
          <w:p>
            <w:pPr>
              <w:spacing w:after="0" w:line="169"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18"/>
                <w:szCs w:val="18"/>
                <w:color w:val="auto"/>
                <w:vertAlign w:val="superscript"/>
              </w:rPr>
              <w:t>(1)</w:t>
            </w:r>
          </w:p>
        </w:tc>
        <w:tc>
          <w:tcPr>
            <w:tcW w:w="220" w:type="dxa"/>
            <w:vAlign w:val="bottom"/>
          </w:tcPr>
          <w:p>
            <w:pPr>
              <w:spacing w:after="0"/>
              <w:rPr>
                <w:sz w:val="14"/>
                <w:szCs w:val="14"/>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(2,771)</w:t>
            </w:r>
          </w:p>
        </w:tc>
        <w:tc>
          <w:tcPr>
            <w:tcW w:w="200" w:type="dxa"/>
            <w:vAlign w:val="bottom"/>
          </w:tcPr>
          <w:p>
            <w:pPr>
              <w:spacing w:after="0"/>
              <w:rPr>
                <w:sz w:val="14"/>
                <w:szCs w:val="1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(4,877)</w:t>
            </w:r>
          </w:p>
        </w:tc>
      </w:tr>
      <w:tr>
        <w:trPr>
          <w:trHeight w:val="199"/>
        </w:trPr>
        <w:tc>
          <w:tcPr>
            <w:tcW w:w="300" w:type="dxa"/>
            <w:vAlign w:val="bottom"/>
          </w:tcPr>
          <w:p>
            <w:pPr>
              <w:spacing w:after="0"/>
              <w:rPr>
                <w:sz w:val="17"/>
                <w:szCs w:val="17"/>
                <w:color w:val="auto"/>
              </w:rPr>
            </w:pPr>
          </w:p>
        </w:tc>
        <w:tc>
          <w:tcPr>
            <w:tcW w:w="4220" w:type="dxa"/>
            <w:vAlign w:val="bottom"/>
            <w:tcBorders>
              <w:bottom w:val="single" w:sz="8" w:color="CFF0FC"/>
            </w:tcBorders>
            <w:gridSpan w:val="2"/>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Borders>
              <w:top w:val="single" w:sz="8" w:color="auto"/>
              <w:bottom w:val="single" w:sz="8" w:color="auto"/>
            </w:tcBorders>
            <w:shd w:val="clear" w:color="auto" w:fill="CFF0FC"/>
          </w:tcPr>
          <w:p>
            <w:pPr>
              <w:jc w:val="right"/>
              <w:ind w:right="7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85,204</w:t>
            </w:r>
          </w:p>
        </w:tc>
        <w:tc>
          <w:tcPr>
            <w:tcW w:w="16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top w:val="single" w:sz="8" w:color="auto"/>
              <w:bottom w:val="single" w:sz="8" w:color="auto"/>
            </w:tcBorders>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49,744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77"/>
        </w:trPr>
        <w:tc>
          <w:tcPr>
            <w:tcW w:w="3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3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2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-92710</wp:posOffset>
            </wp:positionV>
            <wp:extent cx="40005" cy="698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-79375</wp:posOffset>
            </wp:positionV>
            <wp:extent cx="40005" cy="698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-92710</wp:posOffset>
            </wp:positionV>
            <wp:extent cx="40005" cy="698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-79375</wp:posOffset>
            </wp:positionV>
            <wp:extent cx="40005" cy="698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jc w:val="both"/>
        <w:ind w:left="1560" w:right="1239" w:hanging="336"/>
        <w:spacing w:after="0" w:line="258" w:lineRule="auto"/>
        <w:tabs>
          <w:tab w:leader="none" w:pos="1560" w:val="left"/>
        </w:tabs>
        <w:numPr>
          <w:ilvl w:val="0"/>
          <w:numId w:val="1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year ended December 31, 2025, other segment items consist of $6.1 million of interest income, $3.3 million of stock-based compensation expense, and less than $0.1 million of depreciation expense and other expenses. For the year ended December 31, 2024, other segment items consist of $7.4 million of interest income, $2.5 million of stock-based compensation expense, and less than $0.1 million of depreciation expense and other expenses.</w:t>
      </w:r>
    </w:p>
    <w:p>
      <w:pPr>
        <w:spacing w:after="0" w:line="144"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Direct research and development expenses by program consist primarily of costs paid to third-parties including CROs, CMOs, consultants, advisors, and other clinical study-related vendors.</w:t>
      </w:r>
    </w:p>
    <w:p>
      <w:pPr>
        <w:spacing w:after="0" w:line="12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Unallocated research and development expenses consist primarily of personnel-rated expenses and allocated information technology and facility expenses and other research and development related costs, excluding non-cash items, such as stock-based compensation and depreciation.</w:t>
      </w:r>
    </w:p>
    <w:p>
      <w:pPr>
        <w:spacing w:after="0" w:line="136"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personnel-rated expenses, including salaries, payroll tax, bonuses, and benefits, and professional services fees for legal, finance, human resources, in addition to information technology expenses, rent expense, and other administrative functions, excluding non-cash expenses such as stock-based compensation and depreciation.</w:t>
      </w:r>
    </w:p>
    <w:p>
      <w:pPr>
        <w:spacing w:after="0" w:line="141"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Other segment items consist primarily of interest income on cash and cash equivalents, partially offset by non-cash expenses, such as stock-based compensation and depreciation, and amortization of discounts and premiums on marketable securities.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2" w:name="page253"/>
    <w:bookmarkEnd w:id="25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hanging="336"/>
        <w:spacing w:after="0"/>
        <w:tabs>
          <w:tab w:leader="none" w:pos="1560" w:val="left"/>
        </w:tabs>
        <w:numPr>
          <w:ilvl w:val="0"/>
          <w:numId w:val="151"/>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Loss Per Share</w:t>
      </w:r>
    </w:p>
    <w:p>
      <w:pPr>
        <w:spacing w:after="0" w:line="17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Basic and diluted net loss per share attributable to common stockholders was calculated as follows (in thousands, except share and per share amounts):</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35"/>
        </w:trPr>
        <w:tc>
          <w:tcPr>
            <w:tcW w:w="4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40" w:type="dxa"/>
            <w:vAlign w:val="bottom"/>
            <w:gridSpan w:val="5"/>
          </w:tcPr>
          <w:p>
            <w:pPr>
              <w:jc w:val="right"/>
              <w:ind w:right="4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0" w:type="dxa"/>
            <w:vAlign w:val="bottom"/>
          </w:tcPr>
          <w:p>
            <w:pPr>
              <w:spacing w:after="0"/>
              <w:rPr>
                <w:sz w:val="1"/>
                <w:szCs w:val="1"/>
                <w:color w:val="auto"/>
              </w:rPr>
            </w:pPr>
          </w:p>
        </w:tc>
      </w:tr>
      <w:tr>
        <w:trPr>
          <w:trHeight w:val="106"/>
        </w:trPr>
        <w:tc>
          <w:tcPr>
            <w:tcW w:w="4220" w:type="dxa"/>
            <w:vAlign w:val="bottom"/>
          </w:tcPr>
          <w:p>
            <w:pPr>
              <w:spacing w:after="0"/>
              <w:rPr>
                <w:sz w:val="9"/>
                <w:szCs w:val="9"/>
                <w:color w:val="auto"/>
              </w:rPr>
            </w:pPr>
          </w:p>
        </w:tc>
        <w:tc>
          <w:tcPr>
            <w:tcW w:w="160" w:type="dxa"/>
            <w:vAlign w:val="bottom"/>
            <w:tcBorders>
              <w:top w:val="single" w:sz="8" w:color="auto"/>
              <w:bottom w:val="single" w:sz="8" w:color="auto"/>
            </w:tcBorders>
          </w:tcPr>
          <w:p>
            <w:pPr>
              <w:spacing w:after="0"/>
              <w:rPr>
                <w:sz w:val="9"/>
                <w:szCs w:val="9"/>
                <w:color w:val="auto"/>
              </w:rPr>
            </w:pPr>
          </w:p>
        </w:tc>
        <w:tc>
          <w:tcPr>
            <w:tcW w:w="740" w:type="dxa"/>
            <w:vAlign w:val="bottom"/>
            <w:tcBorders>
              <w:top w:val="single" w:sz="8" w:color="auto"/>
              <w:bottom w:val="single" w:sz="8" w:color="auto"/>
            </w:tcBorders>
          </w:tcPr>
          <w:p>
            <w:pPr>
              <w:jc w:val="right"/>
              <w:ind w:right="275"/>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top w:val="single" w:sz="8" w:color="auto"/>
            </w:tcBorders>
          </w:tcPr>
          <w:p>
            <w:pPr>
              <w:spacing w:after="0"/>
              <w:rPr>
                <w:sz w:val="9"/>
                <w:szCs w:val="9"/>
                <w:color w:val="auto"/>
              </w:rPr>
            </w:pPr>
          </w:p>
        </w:tc>
        <w:tc>
          <w:tcPr>
            <w:tcW w:w="200" w:type="dxa"/>
            <w:vAlign w:val="bottom"/>
            <w:tcBorders>
              <w:top w:val="single" w:sz="8" w:color="auto"/>
              <w:bottom w:val="single" w:sz="8" w:color="auto"/>
            </w:tcBorders>
          </w:tcPr>
          <w:p>
            <w:pPr>
              <w:spacing w:after="0"/>
              <w:rPr>
                <w:sz w:val="9"/>
                <w:szCs w:val="9"/>
                <w:color w:val="auto"/>
              </w:rPr>
            </w:pPr>
          </w:p>
        </w:tc>
        <w:tc>
          <w:tcPr>
            <w:tcW w:w="680" w:type="dxa"/>
            <w:vAlign w:val="bottom"/>
            <w:tcBorders>
              <w:top w:val="single" w:sz="8" w:color="auto"/>
              <w:bottom w:val="single" w:sz="8" w:color="auto"/>
            </w:tcBorders>
          </w:tcPr>
          <w:p>
            <w:pPr>
              <w:jc w:val="right"/>
              <w:ind w:right="253"/>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9"/>
        </w:trPr>
        <w:tc>
          <w:tcPr>
            <w:tcW w:w="42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Numerator:</w:t>
            </w:r>
          </w:p>
        </w:tc>
        <w:tc>
          <w:tcPr>
            <w:tcW w:w="16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(85,204)</w:t>
            </w:r>
          </w:p>
        </w:tc>
        <w:tc>
          <w:tcPr>
            <w:tcW w:w="200" w:type="dxa"/>
            <w:vAlign w:val="bottom"/>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(49,744)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42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Net loss attributable to common stockholders, basic and diluted</w:t>
            </w:r>
          </w:p>
        </w:tc>
        <w:tc>
          <w:tcPr>
            <w:tcW w:w="160" w:type="dxa"/>
            <w:vAlign w:val="bottom"/>
            <w:shd w:val="clear" w:color="auto" w:fill="CFF0FC"/>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(85,204)</w:t>
            </w:r>
          </w:p>
        </w:tc>
        <w:tc>
          <w:tcPr>
            <w:tcW w:w="200" w:type="dxa"/>
            <w:vAlign w:val="bottom"/>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(49,744)</w:t>
            </w:r>
          </w:p>
        </w:tc>
        <w:tc>
          <w:tcPr>
            <w:tcW w:w="0" w:type="dxa"/>
            <w:vAlign w:val="bottom"/>
          </w:tcPr>
          <w:p>
            <w:pPr>
              <w:spacing w:after="0"/>
              <w:rPr>
                <w:sz w:val="1"/>
                <w:szCs w:val="1"/>
                <w:color w:val="auto"/>
              </w:rPr>
            </w:pPr>
          </w:p>
        </w:tc>
      </w:tr>
      <w:tr>
        <w:trPr>
          <w:trHeight w:val="140"/>
        </w:trPr>
        <w:tc>
          <w:tcPr>
            <w:tcW w:w="4220" w:type="dxa"/>
            <w:vAlign w:val="bottom"/>
            <w:tcBorders>
              <w:top w:val="single" w:sz="8" w:color="CFF0FC"/>
            </w:tcBorders>
          </w:tcPr>
          <w:p>
            <w:pPr>
              <w:spacing w:after="0" w:line="140" w:lineRule="exact"/>
              <w:rPr>
                <w:sz w:val="20"/>
                <w:szCs w:val="20"/>
                <w:color w:val="auto"/>
              </w:rPr>
            </w:pPr>
            <w:r>
              <w:rPr>
                <w:rFonts w:ascii="Times New Roman" w:cs="Times New Roman" w:eastAsia="Times New Roman" w:hAnsi="Times New Roman"/>
                <w:sz w:val="14"/>
                <w:szCs w:val="14"/>
                <w:color w:val="auto"/>
              </w:rPr>
              <w:t>Denominator:</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6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220" w:type="dxa"/>
            <w:vAlign w:val="bottom"/>
            <w:shd w:val="clear" w:color="auto" w:fill="CFF0FC"/>
          </w:tcPr>
          <w:p>
            <w:pPr>
              <w:spacing w:after="0" w:line="153" w:lineRule="exact"/>
              <w:rPr>
                <w:sz w:val="20"/>
                <w:szCs w:val="20"/>
                <w:color w:val="auto"/>
              </w:rPr>
            </w:pPr>
            <w:r>
              <w:rPr>
                <w:rFonts w:ascii="Times New Roman" w:cs="Times New Roman" w:eastAsia="Times New Roman" w:hAnsi="Times New Roman"/>
                <w:sz w:val="14"/>
                <w:szCs w:val="14"/>
                <w:color w:val="auto"/>
              </w:rPr>
              <w:t>Weighted-average number of common stock used in net loss</w:t>
            </w:r>
          </w:p>
        </w:tc>
        <w:tc>
          <w:tcPr>
            <w:tcW w:w="160" w:type="dxa"/>
            <w:vAlign w:val="bottom"/>
            <w:shd w:val="clear" w:color="auto" w:fill="CFF0FC"/>
          </w:tcPr>
          <w:p>
            <w:pPr>
              <w:spacing w:after="0"/>
              <w:rPr>
                <w:sz w:val="13"/>
                <w:szCs w:val="13"/>
                <w:color w:val="auto"/>
              </w:rPr>
            </w:pP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18,684,834</w:t>
            </w:r>
          </w:p>
        </w:tc>
        <w:tc>
          <w:tcPr>
            <w:tcW w:w="1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5,197,971</w:t>
            </w:r>
          </w:p>
        </w:tc>
        <w:tc>
          <w:tcPr>
            <w:tcW w:w="6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42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 share, basic and diluted</w:t>
            </w:r>
          </w:p>
        </w:tc>
        <w:tc>
          <w:tcPr>
            <w:tcW w:w="1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6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20" w:type="dxa"/>
            <w:vAlign w:val="bottom"/>
          </w:tcPr>
          <w:p>
            <w:pPr>
              <w:spacing w:after="0" w:line="159" w:lineRule="exact"/>
              <w:rPr>
                <w:sz w:val="20"/>
                <w:szCs w:val="20"/>
                <w:color w:val="auto"/>
              </w:rPr>
            </w:pPr>
            <w:r>
              <w:rPr>
                <w:rFonts w:ascii="Times New Roman" w:cs="Times New Roman" w:eastAsia="Times New Roman" w:hAnsi="Times New Roman"/>
                <w:sz w:val="14"/>
                <w:szCs w:val="14"/>
                <w:color w:val="auto"/>
              </w:rPr>
              <w:t>Net loss per share of common stock, basic and diluted</w:t>
            </w:r>
          </w:p>
        </w:tc>
        <w:tc>
          <w:tcPr>
            <w:tcW w:w="160" w:type="dxa"/>
            <w:vAlign w:val="bottom"/>
          </w:tcPr>
          <w:p>
            <w:pPr>
              <w:jc w:val="right"/>
              <w:ind w:right="1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gridSpan w:val="2"/>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(4.56)</w:t>
            </w:r>
          </w:p>
        </w:tc>
        <w:tc>
          <w:tcPr>
            <w:tcW w:w="200" w:type="dxa"/>
            <w:vAlign w:val="bottom"/>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(9.57)</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-466725</wp:posOffset>
            </wp:positionV>
            <wp:extent cx="40005" cy="698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-453390</wp:posOffset>
            </wp:positionV>
            <wp:extent cx="40005" cy="698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-466725</wp:posOffset>
            </wp:positionV>
            <wp:extent cx="40005" cy="698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-453390</wp:posOffset>
            </wp:positionV>
            <wp:extent cx="40005" cy="698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-132715</wp:posOffset>
            </wp:positionV>
            <wp:extent cx="40005" cy="698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-132715</wp:posOffset>
            </wp:positionV>
            <wp:extent cx="40005" cy="698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jc w:val="both"/>
        <w:ind w:left="1220" w:right="1239" w:firstLine="333"/>
        <w:spacing w:after="0" w:line="257" w:lineRule="auto"/>
        <w:rPr>
          <w:sz w:val="20"/>
          <w:szCs w:val="20"/>
          <w:color w:val="auto"/>
        </w:rPr>
      </w:pPr>
      <w:r>
        <w:rPr>
          <w:rFonts w:ascii="Times New Roman" w:cs="Times New Roman" w:eastAsia="Times New Roman" w:hAnsi="Times New Roman"/>
          <w:sz w:val="14"/>
          <w:szCs w:val="14"/>
          <w:color w:val="auto"/>
        </w:rPr>
        <w:t>The Company’s potentially dilutive securities, which include preferred stock, stock options, and warrants, have been excluded from the computation of diluted net loss per share as the effect is anti-dilutive since they would reduce basic net loss per share. Therefore, the weighted-average number of common stock outstanding used to calculate both basic and diluted net loss per share attributable to common stockholders is the same. The following table summarizes the potentially dilutive common shares excluded from the computation of diluted net loss per share attributable to common stockholders:</w:t>
      </w:r>
    </w:p>
    <w:p>
      <w:pPr>
        <w:spacing w:after="0" w:line="160" w:lineRule="exact"/>
        <w:rPr>
          <w:sz w:val="20"/>
          <w:szCs w:val="20"/>
          <w:color w:val="auto"/>
        </w:rPr>
      </w:pPr>
    </w:p>
    <w:p>
      <w:pPr>
        <w:jc w:val="center"/>
        <w:ind w:left="4460"/>
        <w:spacing w:after="0"/>
        <w:rPr>
          <w:sz w:val="20"/>
          <w:szCs w:val="20"/>
          <w:color w:val="auto"/>
        </w:rPr>
      </w:pPr>
      <w:r>
        <w:rPr>
          <w:rFonts w:ascii="Times New Roman" w:cs="Times New Roman" w:eastAsia="Times New Roman" w:hAnsi="Times New Roman"/>
          <w:sz w:val="11"/>
          <w:szCs w:val="11"/>
          <w:b w:val="1"/>
          <w:bCs w:val="1"/>
          <w:color w:val="auto"/>
        </w:rPr>
        <w:t>Year ended</w:t>
      </w:r>
    </w:p>
    <w:p>
      <w:pPr>
        <w:jc w:val="center"/>
        <w:ind w:left="4460"/>
        <w:spacing w:after="0" w:line="235" w:lineRule="auto"/>
        <w:rPr>
          <w:sz w:val="20"/>
          <w:szCs w:val="20"/>
          <w:color w:val="auto"/>
        </w:rPr>
      </w:pPr>
      <w:r>
        <w:rPr>
          <w:rFonts w:ascii="Times New Roman" w:cs="Times New Roman" w:eastAsia="Times New Roman" w:hAnsi="Times New Roman"/>
          <w:sz w:val="11"/>
          <w:szCs w:val="11"/>
          <w:b w:val="1"/>
          <w:bCs w:val="1"/>
          <w:color w:val="auto"/>
        </w:rPr>
        <w:t>December 31,</w:t>
      </w:r>
    </w:p>
    <w:tbl>
      <w:tblPr>
        <w:tblLayout w:type="fixed"/>
        <w:tblInd w:w="1520" w:type="dxa"/>
        <w:tblCellMar>
          <w:top w:w="0" w:type="dxa"/>
          <w:left w:w="0" w:type="dxa"/>
          <w:bottom w:w="0" w:type="dxa"/>
          <w:right w:w="0" w:type="dxa"/>
        </w:tblCellMar>
      </w:tblPr>
      <w:tr>
        <w:trPr>
          <w:trHeight w:val="106"/>
        </w:trPr>
        <w:tc>
          <w:tcPr>
            <w:tcW w:w="4280" w:type="dxa"/>
            <w:vAlign w:val="bottom"/>
          </w:tcPr>
          <w:p>
            <w:pPr>
              <w:spacing w:after="0"/>
              <w:rPr>
                <w:sz w:val="9"/>
                <w:szCs w:val="9"/>
                <w:color w:val="auto"/>
              </w:rPr>
            </w:pPr>
          </w:p>
        </w:tc>
        <w:tc>
          <w:tcPr>
            <w:tcW w:w="880" w:type="dxa"/>
            <w:vAlign w:val="bottom"/>
            <w:tcBorders>
              <w:top w:val="single" w:sz="8" w:color="auto"/>
              <w:bottom w:val="single" w:sz="8" w:color="auto"/>
            </w:tcBorders>
          </w:tcPr>
          <w:p>
            <w:pPr>
              <w:jc w:val="right"/>
              <w:ind w:right="273"/>
              <w:spacing w:after="0" w:line="106" w:lineRule="exact"/>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Borders>
              <w:top w:val="single" w:sz="8" w:color="auto"/>
            </w:tcBorders>
          </w:tcPr>
          <w:p>
            <w:pPr>
              <w:spacing w:after="0"/>
              <w:rPr>
                <w:sz w:val="9"/>
                <w:szCs w:val="9"/>
                <w:color w:val="auto"/>
              </w:rPr>
            </w:pPr>
          </w:p>
        </w:tc>
        <w:tc>
          <w:tcPr>
            <w:tcW w:w="900" w:type="dxa"/>
            <w:vAlign w:val="bottom"/>
            <w:tcBorders>
              <w:top w:val="single" w:sz="8" w:color="auto"/>
              <w:bottom w:val="single" w:sz="8" w:color="auto"/>
            </w:tcBorders>
          </w:tcPr>
          <w:p>
            <w:pPr>
              <w:jc w:val="right"/>
              <w:ind w:right="277"/>
              <w:spacing w:after="0" w:line="106" w:lineRule="exact"/>
              <w:rPr>
                <w:sz w:val="20"/>
                <w:szCs w:val="20"/>
                <w:color w:val="auto"/>
              </w:rPr>
            </w:pPr>
            <w:r>
              <w:rPr>
                <w:rFonts w:ascii="Times New Roman" w:cs="Times New Roman" w:eastAsia="Times New Roman" w:hAnsi="Times New Roman"/>
                <w:sz w:val="11"/>
                <w:szCs w:val="11"/>
                <w:b w:val="1"/>
                <w:bCs w:val="1"/>
                <w:color w:val="auto"/>
              </w:rPr>
              <w:t>2024</w:t>
            </w:r>
          </w:p>
        </w:tc>
        <w:tc>
          <w:tcPr>
            <w:tcW w:w="40" w:type="dxa"/>
            <w:vAlign w:val="bottom"/>
          </w:tcPr>
          <w:p>
            <w:pPr>
              <w:spacing w:after="0"/>
              <w:rPr>
                <w:sz w:val="9"/>
                <w:szCs w:val="9"/>
                <w:color w:val="auto"/>
              </w:rPr>
            </w:pPr>
          </w:p>
        </w:tc>
      </w:tr>
      <w:tr>
        <w:trPr>
          <w:trHeight w:val="159"/>
        </w:trPr>
        <w:tc>
          <w:tcPr>
            <w:tcW w:w="42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Preferred stock</w:t>
            </w:r>
          </w:p>
        </w:tc>
        <w:tc>
          <w:tcPr>
            <w:tcW w:w="88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460,228,341</w:t>
            </w:r>
          </w:p>
        </w:tc>
        <w:tc>
          <w:tcPr>
            <w:tcW w:w="102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353,647,598</w:t>
            </w:r>
          </w:p>
        </w:tc>
        <w:tc>
          <w:tcPr>
            <w:tcW w:w="40" w:type="dxa"/>
            <w:vAlign w:val="bottom"/>
            <w:shd w:val="clear" w:color="auto" w:fill="CFF0FC"/>
          </w:tcPr>
          <w:p>
            <w:pPr>
              <w:spacing w:after="0"/>
              <w:rPr>
                <w:sz w:val="13"/>
                <w:szCs w:val="13"/>
                <w:color w:val="auto"/>
              </w:rPr>
            </w:pPr>
          </w:p>
        </w:tc>
      </w:tr>
      <w:tr>
        <w:trPr>
          <w:trHeight w:val="168"/>
        </w:trPr>
        <w:tc>
          <w:tcPr>
            <w:tcW w:w="4280" w:type="dxa"/>
            <w:vAlign w:val="bottom"/>
          </w:tcPr>
          <w:p>
            <w:pPr>
              <w:spacing w:after="0"/>
              <w:rPr>
                <w:sz w:val="20"/>
                <w:szCs w:val="20"/>
                <w:color w:val="auto"/>
              </w:rPr>
            </w:pPr>
            <w:r>
              <w:rPr>
                <w:rFonts w:ascii="Times New Roman" w:cs="Times New Roman" w:eastAsia="Times New Roman" w:hAnsi="Times New Roman"/>
                <w:sz w:val="14"/>
                <w:szCs w:val="14"/>
                <w:color w:val="auto"/>
              </w:rPr>
              <w:t>Stock options</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78,679,105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53,124,653</w:t>
            </w:r>
          </w:p>
        </w:tc>
        <w:tc>
          <w:tcPr>
            <w:tcW w:w="40" w:type="dxa"/>
            <w:vAlign w:val="bottom"/>
          </w:tcPr>
          <w:p>
            <w:pPr>
              <w:spacing w:after="0"/>
              <w:rPr>
                <w:sz w:val="14"/>
                <w:szCs w:val="14"/>
                <w:color w:val="auto"/>
              </w:rPr>
            </w:pPr>
          </w:p>
        </w:tc>
      </w:tr>
      <w:tr>
        <w:trPr>
          <w:trHeight w:val="168"/>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Warrants</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4,287,641</w:t>
            </w:r>
          </w:p>
        </w:tc>
        <w:tc>
          <w:tcPr>
            <w:tcW w:w="120" w:type="dxa"/>
            <w:vAlign w:val="bottom"/>
            <w:tcBorders>
              <w:bottom w:val="single" w:sz="8" w:color="CFF0FC"/>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bottom w:val="single" w:sz="8" w:color="CFF0FC"/>
            </w:tcBorders>
            <w:shd w:val="clear" w:color="auto" w:fill="CFF0FC"/>
          </w:tcPr>
          <w:p>
            <w:pPr>
              <w:spacing w:after="0"/>
              <w:rPr>
                <w:sz w:val="14"/>
                <w:szCs w:val="14"/>
                <w:color w:val="auto"/>
              </w:rPr>
            </w:pPr>
          </w:p>
        </w:tc>
      </w:tr>
      <w:tr>
        <w:trPr>
          <w:trHeight w:val="159"/>
        </w:trPr>
        <w:tc>
          <w:tcPr>
            <w:tcW w:w="4280" w:type="dxa"/>
            <w:vAlign w:val="bottom"/>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w:t>
            </w:r>
          </w:p>
        </w:tc>
        <w:tc>
          <w:tcPr>
            <w:tcW w:w="880" w:type="dxa"/>
            <w:vAlign w:val="bottom"/>
          </w:tcPr>
          <w:p>
            <w:pPr>
              <w:jc w:val="right"/>
              <w:spacing w:after="0" w:line="159" w:lineRule="exact"/>
              <w:rPr>
                <w:sz w:val="20"/>
                <w:szCs w:val="20"/>
                <w:color w:val="auto"/>
              </w:rPr>
            </w:pPr>
            <w:r>
              <w:rPr>
                <w:rFonts w:ascii="Times New Roman" w:cs="Times New Roman" w:eastAsia="Times New Roman" w:hAnsi="Times New Roman"/>
                <w:sz w:val="14"/>
                <w:szCs w:val="14"/>
                <w:color w:val="auto"/>
              </w:rPr>
              <w:t>543,195,087</w:t>
            </w:r>
          </w:p>
        </w:tc>
        <w:tc>
          <w:tcPr>
            <w:tcW w:w="102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color w:val="auto"/>
              </w:rPr>
              <w:t>406,772,251</w:t>
            </w:r>
          </w:p>
        </w:tc>
        <w:tc>
          <w:tcPr>
            <w:tcW w:w="40" w:type="dxa"/>
            <w:vAlign w:val="bottom"/>
          </w:tcPr>
          <w:p>
            <w:pPr>
              <w:spacing w:after="0"/>
              <w:rPr>
                <w:sz w:val="13"/>
                <w:szCs w:val="13"/>
                <w:color w:val="auto"/>
              </w:rPr>
            </w:pPr>
          </w:p>
        </w:tc>
      </w:tr>
      <w:tr>
        <w:trPr>
          <w:trHeight w:val="20"/>
        </w:trPr>
        <w:tc>
          <w:tcPr>
            <w:tcW w:w="4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4238625</wp:posOffset>
            </wp:positionH>
            <wp:positionV relativeFrom="paragraph">
              <wp:posOffset>-132715</wp:posOffset>
            </wp:positionV>
            <wp:extent cx="33655" cy="698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3655" cy="6985"/>
                    </a:xfrm>
                    <a:prstGeom prst="rect">
                      <a:avLst/>
                    </a:prstGeom>
                    <a:noFill/>
                  </pic:spPr>
                </pic:pic>
              </a:graphicData>
            </a:graphic>
          </wp:anchor>
        </w:drawing>
        <w:drawing>
          <wp:anchor simplePos="0" relativeHeight="251657728" behindDoc="1" locked="0" layoutInCell="0" allowOverlap="1">
            <wp:simplePos x="0" y="0"/>
            <wp:positionH relativeFrom="column">
              <wp:posOffset>4886325</wp:posOffset>
            </wp:positionH>
            <wp:positionV relativeFrom="paragraph">
              <wp:posOffset>-132715</wp:posOffset>
            </wp:positionV>
            <wp:extent cx="33655" cy="698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3655" cy="6985"/>
                    </a:xfrm>
                    <a:prstGeom prst="rect">
                      <a:avLst/>
                    </a:prstGeom>
                    <a:noFill/>
                  </pic:spPr>
                </pic:pic>
              </a:graphicData>
            </a:graphic>
          </wp:anchor>
        </w:drawing>
      </w:r>
    </w:p>
    <w:p>
      <w:pPr>
        <w:spacing w:after="0" w:line="237" w:lineRule="exact"/>
        <w:rPr>
          <w:sz w:val="20"/>
          <w:szCs w:val="20"/>
          <w:color w:val="auto"/>
        </w:rPr>
      </w:pPr>
    </w:p>
    <w:p>
      <w:pPr>
        <w:ind w:left="1560" w:hanging="336"/>
        <w:spacing w:after="0"/>
        <w:tabs>
          <w:tab w:leader="none" w:pos="1560" w:val="left"/>
        </w:tabs>
        <w:numPr>
          <w:ilvl w:val="0"/>
          <w:numId w:val="15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177"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Company had no provision for federal or state income tax due to operating losses incurred for the years ended December 31, 2025 and 2024.</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Loss before provision for income taxes consisted of the following (in thousands):</w:t>
      </w:r>
    </w:p>
    <w:p>
      <w:pPr>
        <w:spacing w:after="0" w:line="160"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800" w:type="dxa"/>
            <w:vAlign w:val="bottom"/>
            <w:gridSpan w:val="4"/>
          </w:tcPr>
          <w:p>
            <w:pPr>
              <w:jc w:val="right"/>
              <w:ind w:right="333"/>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35"/>
        </w:trPr>
        <w:tc>
          <w:tcPr>
            <w:tcW w:w="42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59"/>
        </w:trPr>
        <w:tc>
          <w:tcPr>
            <w:tcW w:w="42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Domestic</w:t>
            </w:r>
          </w:p>
        </w:tc>
        <w:tc>
          <w:tcPr>
            <w:tcW w:w="200" w:type="dxa"/>
            <w:vAlign w:val="bottom"/>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(85,289)</w:t>
            </w:r>
          </w:p>
        </w:tc>
        <w:tc>
          <w:tcPr>
            <w:tcW w:w="200" w:type="dxa"/>
            <w:vAlign w:val="bottom"/>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(50,068)</w:t>
            </w:r>
          </w:p>
        </w:tc>
      </w:tr>
      <w:tr>
        <w:trPr>
          <w:trHeight w:val="168"/>
        </w:trPr>
        <w:tc>
          <w:tcPr>
            <w:tcW w:w="4220" w:type="dxa"/>
            <w:vAlign w:val="bottom"/>
          </w:tcPr>
          <w:p>
            <w:pPr>
              <w:spacing w:after="0"/>
              <w:rPr>
                <w:sz w:val="20"/>
                <w:szCs w:val="20"/>
                <w:color w:val="auto"/>
              </w:rPr>
            </w:pPr>
            <w:r>
              <w:rPr>
                <w:rFonts w:ascii="Times New Roman" w:cs="Times New Roman" w:eastAsia="Times New Roman" w:hAnsi="Times New Roman"/>
                <w:sz w:val="14"/>
                <w:szCs w:val="14"/>
                <w:color w:val="auto"/>
              </w:rPr>
              <w:t>Foreign (Australia)</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r>
      <w:tr>
        <w:trPr>
          <w:trHeight w:val="179"/>
        </w:trPr>
        <w:tc>
          <w:tcPr>
            <w:tcW w:w="42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Loss before provision for income taxes</w:t>
            </w:r>
          </w:p>
        </w:tc>
        <w:tc>
          <w:tcPr>
            <w:tcW w:w="200" w:type="dxa"/>
            <w:vAlign w:val="bottom"/>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gridSpan w:val="2"/>
            <w:shd w:val="clear" w:color="auto" w:fill="CFF0FC"/>
          </w:tcPr>
          <w:p>
            <w:pPr>
              <w:jc w:val="right"/>
              <w:ind w:right="120"/>
              <w:spacing w:after="0" w:line="159" w:lineRule="exact"/>
              <w:rPr>
                <w:sz w:val="20"/>
                <w:szCs w:val="20"/>
                <w:color w:val="auto"/>
              </w:rPr>
            </w:pPr>
            <w:r>
              <w:rPr>
                <w:rFonts w:ascii="Times New Roman" w:cs="Times New Roman" w:eastAsia="Times New Roman" w:hAnsi="Times New Roman"/>
                <w:sz w:val="14"/>
                <w:szCs w:val="14"/>
                <w:color w:val="auto"/>
              </w:rPr>
              <w:t>(85,204)</w:t>
            </w:r>
          </w:p>
        </w:tc>
        <w:tc>
          <w:tcPr>
            <w:tcW w:w="200" w:type="dxa"/>
            <w:vAlign w:val="bottom"/>
            <w:shd w:val="clear" w:color="auto" w:fill="CFF0FC"/>
          </w:tcPr>
          <w:p>
            <w:pPr>
              <w:jc w:val="right"/>
              <w:ind w:right="50"/>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right w:val="single" w:sz="8" w:color="CFF0FC"/>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(49,744)</w:t>
            </w:r>
          </w:p>
        </w:tc>
      </w:tr>
      <w:tr>
        <w:trPr>
          <w:trHeight w:val="20"/>
        </w:trPr>
        <w:tc>
          <w:tcPr>
            <w:tcW w:w="4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right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4204970</wp:posOffset>
            </wp:positionH>
            <wp:positionV relativeFrom="paragraph">
              <wp:posOffset>-19685</wp:posOffset>
            </wp:positionV>
            <wp:extent cx="40005" cy="698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4204970</wp:posOffset>
            </wp:positionH>
            <wp:positionV relativeFrom="paragraph">
              <wp:posOffset>-6350</wp:posOffset>
            </wp:positionV>
            <wp:extent cx="40005" cy="698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-19685</wp:posOffset>
            </wp:positionV>
            <wp:extent cx="40005" cy="698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-6350</wp:posOffset>
            </wp:positionV>
            <wp:extent cx="40005" cy="698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Due to its net operating losses (“NOLs”) and full valuation allowance, the Company did not record a provision for income taxes for the years ended December 31, 2025 and 2024.</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3" w:name="page254"/>
    <w:bookmarkEnd w:id="25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 following table reconciles the U.S. federal statutory income tax rate to the Company’s effective income tax rate for the year ended December 31, 2025 (in thousands):</w:t>
      </w:r>
    </w:p>
    <w:p>
      <w:pPr>
        <w:spacing w:after="0" w:line="226" w:lineRule="exact"/>
        <w:rPr>
          <w:sz w:val="20"/>
          <w:szCs w:val="20"/>
          <w:color w:val="auto"/>
        </w:rPr>
      </w:pPr>
    </w:p>
    <w:tbl>
      <w:tblPr>
        <w:tblLayout w:type="fixed"/>
        <w:tblInd w:w="1520" w:type="dxa"/>
        <w:tblCellMar>
          <w:top w:w="0" w:type="dxa"/>
          <w:left w:w="0" w:type="dxa"/>
          <w:bottom w:w="0" w:type="dxa"/>
          <w:right w:w="0" w:type="dxa"/>
        </w:tblCellMar>
      </w:tblPr>
      <w:tr>
        <w:trPr>
          <w:trHeight w:val="135"/>
        </w:trPr>
        <w:tc>
          <w:tcPr>
            <w:tcW w:w="41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Year ended December 31, 2025</w:t>
            </w:r>
          </w:p>
        </w:tc>
        <w:tc>
          <w:tcPr>
            <w:tcW w:w="180" w:type="dxa"/>
            <w:vAlign w:val="bottom"/>
          </w:tcPr>
          <w:p>
            <w:pPr>
              <w:spacing w:after="0"/>
              <w:rPr>
                <w:sz w:val="11"/>
                <w:szCs w:val="11"/>
                <w:color w:val="auto"/>
              </w:rPr>
            </w:pPr>
          </w:p>
        </w:tc>
      </w:tr>
      <w:tr>
        <w:trPr>
          <w:trHeight w:val="159"/>
        </w:trPr>
        <w:tc>
          <w:tcPr>
            <w:tcW w:w="41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U.S. federal statutory income tax rate</w:t>
            </w:r>
          </w:p>
        </w:tc>
        <w:tc>
          <w:tcPr>
            <w:tcW w:w="140" w:type="dxa"/>
            <w:vAlign w:val="bottom"/>
            <w:shd w:val="clear" w:color="auto" w:fill="CFF0FC"/>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gridSpan w:val="2"/>
            <w:shd w:val="clear" w:color="auto" w:fill="CFF0FC"/>
          </w:tcPr>
          <w:p>
            <w:pPr>
              <w:jc w:val="right"/>
              <w:ind w:right="20"/>
              <w:spacing w:after="0" w:line="159" w:lineRule="exact"/>
              <w:rPr>
                <w:sz w:val="20"/>
                <w:szCs w:val="20"/>
                <w:color w:val="auto"/>
              </w:rPr>
            </w:pPr>
            <w:r>
              <w:rPr>
                <w:rFonts w:ascii="Times New Roman" w:cs="Times New Roman" w:eastAsia="Times New Roman" w:hAnsi="Times New Roman"/>
                <w:sz w:val="14"/>
                <w:szCs w:val="14"/>
                <w:color w:val="auto"/>
              </w:rPr>
              <w:t>(17,893)</w:t>
            </w:r>
          </w:p>
        </w:tc>
        <w:tc>
          <w:tcPr>
            <w:tcW w:w="1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21.0%</w:t>
            </w: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40" w:type="dxa"/>
            <w:vAlign w:val="bottom"/>
          </w:tcPr>
          <w:p>
            <w:pPr>
              <w:spacing w:after="0"/>
              <w:rPr>
                <w:sz w:val="14"/>
                <w:szCs w:val="14"/>
                <w:color w:val="auto"/>
              </w:rPr>
            </w:pPr>
          </w:p>
        </w:tc>
        <w:tc>
          <w:tcPr>
            <w:tcW w:w="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credits - federal research and development tax credits</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(3,152)</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3.7%</w:t>
            </w: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Nontaxable or nondeductible items</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8"/>
        </w:trPr>
        <w:tc>
          <w:tcPr>
            <w:tcW w:w="41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(0.4%)</w:t>
            </w:r>
          </w:p>
        </w:tc>
      </w:tr>
      <w:tr>
        <w:trPr>
          <w:trHeight w:val="168"/>
        </w:trPr>
        <w:tc>
          <w:tcPr>
            <w:tcW w:w="41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Permanent differences</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(0.0%)</w:t>
            </w:r>
          </w:p>
        </w:tc>
      </w:tr>
      <w:tr>
        <w:trPr>
          <w:trHeight w:val="168"/>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w:t>
            </w:r>
          </w:p>
        </w:tc>
        <w:tc>
          <w:tcPr>
            <w:tcW w:w="140" w:type="dxa"/>
            <w:vAlign w:val="bottom"/>
            <w:shd w:val="clear" w:color="auto" w:fill="CFF0FC"/>
          </w:tcPr>
          <w:p>
            <w:pPr>
              <w:spacing w:after="0"/>
              <w:rPr>
                <w:sz w:val="14"/>
                <w:szCs w:val="14"/>
                <w:color w:val="auto"/>
              </w:rPr>
            </w:pPr>
          </w:p>
        </w:tc>
        <w:tc>
          <w:tcPr>
            <w:tcW w:w="8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FF0FC"/>
          </w:tcPr>
          <w:p>
            <w:pPr>
              <w:spacing w:after="0"/>
              <w:rPr>
                <w:sz w:val="14"/>
                <w:szCs w:val="14"/>
                <w:color w:val="auto"/>
              </w:rPr>
            </w:pPr>
          </w:p>
        </w:tc>
        <w:tc>
          <w:tcPr>
            <w:tcW w:w="10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r>
      <w:tr>
        <w:trPr>
          <w:trHeight w:val="168"/>
        </w:trPr>
        <w:tc>
          <w:tcPr>
            <w:tcW w:w="4140" w:type="dxa"/>
            <w:vAlign w:val="bottom"/>
          </w:tcPr>
          <w:p>
            <w:pPr>
              <w:spacing w:after="0"/>
              <w:rPr>
                <w:sz w:val="20"/>
                <w:szCs w:val="20"/>
                <w:color w:val="auto"/>
              </w:rPr>
            </w:pPr>
            <w:r>
              <w:rPr>
                <w:rFonts w:ascii="Times New Roman" w:cs="Times New Roman" w:eastAsia="Times New Roman" w:hAnsi="Times New Roman"/>
                <w:sz w:val="14"/>
                <w:szCs w:val="14"/>
                <w:color w:val="auto"/>
              </w:rPr>
              <w:t>Change in valuation allowance</w:t>
            </w:r>
          </w:p>
        </w:tc>
        <w:tc>
          <w:tcPr>
            <w:tcW w:w="1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20,688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(24.3%)</w:t>
            </w:r>
          </w:p>
        </w:tc>
      </w:tr>
      <w:tr>
        <w:trPr>
          <w:trHeight w:val="20"/>
        </w:trPr>
        <w:tc>
          <w:tcPr>
            <w:tcW w:w="4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59"/>
        </w:trPr>
        <w:tc>
          <w:tcPr>
            <w:tcW w:w="414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Effective income tax rate</w:t>
            </w:r>
          </w:p>
        </w:tc>
        <w:tc>
          <w:tcPr>
            <w:tcW w:w="140" w:type="dxa"/>
            <w:vAlign w:val="bottom"/>
            <w:shd w:val="clear" w:color="auto" w:fill="CAEEFB"/>
          </w:tcPr>
          <w:p>
            <w:pPr>
              <w:jc w:val="right"/>
              <w:ind w:right="25"/>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AEEFB"/>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AEEFB"/>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40" w:type="dxa"/>
            <w:vAlign w:val="bottom"/>
            <w:gridSpan w:val="2"/>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(0.0%)</w:t>
            </w:r>
          </w:p>
        </w:tc>
      </w:tr>
    </w:tbl>
    <w:p>
      <w:pPr>
        <w:spacing w:after="0" w:line="259"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For the year ended December 31, 2025, state income taxes in Massachusetts make up the majority (greater than 50%) of the state income taxes, net of federal benefit category.</w:t>
      </w:r>
    </w:p>
    <w:p>
      <w:pPr>
        <w:spacing w:after="0" w:line="41"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As previously disclosed for the year ended December 31, 2024, prior to the adoption of ASU 2023-09, the effective income tax rate differed from the federal statutory income tax rate as follows:</w:t>
      </w:r>
    </w:p>
    <w:p>
      <w:pPr>
        <w:spacing w:after="0" w:line="215" w:lineRule="exact"/>
        <w:rPr>
          <w:sz w:val="20"/>
          <w:szCs w:val="20"/>
          <w:color w:val="auto"/>
        </w:rPr>
      </w:pPr>
    </w:p>
    <w:tbl>
      <w:tblPr>
        <w:tblLayout w:type="fixed"/>
        <w:tblInd w:w="156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980" w:type="dxa"/>
            <w:vAlign w:val="bottom"/>
          </w:tcPr>
          <w:p>
            <w:pPr>
              <w:spacing w:after="0"/>
              <w:rPr>
                <w:sz w:val="11"/>
                <w:szCs w:val="1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8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color w:val="auto"/>
              </w:rPr>
              <w:t>U.S. federal statutory income tax rate</w:t>
            </w:r>
          </w:p>
        </w:tc>
        <w:tc>
          <w:tcPr>
            <w:tcW w:w="1220" w:type="dxa"/>
            <w:vAlign w:val="bottom"/>
            <w:gridSpan w:val="2"/>
            <w:shd w:val="clear" w:color="auto" w:fill="CFF0FC"/>
          </w:tcPr>
          <w:p>
            <w:pPr>
              <w:jc w:val="right"/>
              <w:ind w:right="60"/>
              <w:spacing w:after="0" w:line="15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State income taxes, net of federal benefit</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Federal and state research and development tax credits</w:t>
            </w:r>
          </w:p>
        </w:tc>
        <w:tc>
          <w:tcPr>
            <w:tcW w:w="1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4.8%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Stock-based compensation</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Permanent differences</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Other</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9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Change in deferred tax asset valuation allowance</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9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vMerge w:val="continue"/>
          </w:tcPr>
          <w:p>
            <w:pPr>
              <w:spacing w:after="0"/>
              <w:rPr>
                <w:sz w:val="15"/>
                <w:szCs w:val="15"/>
                <w:color w:val="auto"/>
              </w:rPr>
            </w:pPr>
          </w:p>
        </w:tc>
        <w:tc>
          <w:tcPr>
            <w:tcW w:w="4980" w:type="dxa"/>
            <w:vAlign w:val="bottom"/>
          </w:tcPr>
          <w:p>
            <w:pPr>
              <w:spacing w:after="0"/>
              <w:rPr>
                <w:sz w:val="20"/>
                <w:szCs w:val="20"/>
                <w:color w:val="auto"/>
              </w:rPr>
            </w:pPr>
            <w:r>
              <w:rPr>
                <w:rFonts w:ascii="Times New Roman" w:cs="Times New Roman" w:eastAsia="Times New Roman" w:hAnsi="Times New Roman"/>
                <w:sz w:val="14"/>
                <w:szCs w:val="14"/>
                <w:color w:val="auto"/>
              </w:rPr>
              <w:t>Effective income tax rate</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4832350</wp:posOffset>
            </wp:positionH>
            <wp:positionV relativeFrom="paragraph">
              <wp:posOffset>-121920</wp:posOffset>
            </wp:positionV>
            <wp:extent cx="113665" cy="698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13665" cy="6985"/>
                    </a:xfrm>
                    <a:prstGeom prst="rect">
                      <a:avLst/>
                    </a:prstGeom>
                    <a:noFill/>
                  </pic:spPr>
                </pic:pic>
              </a:graphicData>
            </a:graphic>
          </wp:anchor>
        </w:drawing>
      </w:r>
    </w:p>
    <w:p>
      <w:pPr>
        <w:spacing w:after="0" w:line="140"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effective income tax rate for the year ended December 31, 2025 differs from the U.S. federal statutory income tax rate of 21% primarily due to a current period loss before provision for income tax in the United States that requires an additional valuation allowance.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4" w:name="page255"/>
    <w:bookmarkEnd w:id="25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Deferred income taxes reflect the net tax effects of temporary differences between the carrying amount of assets and liabilities for financial reporting purposes and the amounts used for income tax purposes. The significant components of the Company’s net deferred income taxes are as follows (in thousands):</w:t>
      </w:r>
    </w:p>
    <w:p>
      <w:pPr>
        <w:spacing w:after="0" w:line="141" w:lineRule="exact"/>
        <w:rPr>
          <w:sz w:val="20"/>
          <w:szCs w:val="20"/>
          <w:color w:val="auto"/>
        </w:rPr>
      </w:pPr>
    </w:p>
    <w:tbl>
      <w:tblPr>
        <w:tblLayout w:type="fixed"/>
        <w:tblInd w:w="1520" w:type="dxa"/>
        <w:tblCellMar>
          <w:top w:w="0" w:type="dxa"/>
          <w:left w:w="0" w:type="dxa"/>
          <w:bottom w:w="0" w:type="dxa"/>
          <w:right w:w="0" w:type="dxa"/>
        </w:tblCellMar>
      </w:tblPr>
      <w:tr>
        <w:trPr>
          <w:trHeight w:val="126"/>
        </w:trPr>
        <w:tc>
          <w:tcPr>
            <w:tcW w:w="4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00" w:type="dxa"/>
            <w:vAlign w:val="bottom"/>
          </w:tcPr>
          <w:p>
            <w:pPr>
              <w:spacing w:after="0"/>
              <w:rPr>
                <w:sz w:val="11"/>
                <w:szCs w:val="11"/>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r>
      <w:tr>
        <w:trPr>
          <w:trHeight w:val="135"/>
        </w:trPr>
        <w:tc>
          <w:tcPr>
            <w:tcW w:w="4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2024</w:t>
            </w:r>
          </w:p>
        </w:tc>
        <w:tc>
          <w:tcPr>
            <w:tcW w:w="60" w:type="dxa"/>
            <w:vAlign w:val="bottom"/>
          </w:tcPr>
          <w:p>
            <w:pPr>
              <w:spacing w:after="0"/>
              <w:rPr>
                <w:sz w:val="11"/>
                <w:szCs w:val="11"/>
                <w:color w:val="auto"/>
              </w:rPr>
            </w:pPr>
          </w:p>
        </w:tc>
      </w:tr>
      <w:tr>
        <w:trPr>
          <w:trHeight w:val="159"/>
        </w:trPr>
        <w:tc>
          <w:tcPr>
            <w:tcW w:w="4220" w:type="dxa"/>
            <w:vAlign w:val="bottom"/>
            <w:shd w:val="clear" w:color="auto" w:fill="CFF0FC"/>
          </w:tcPr>
          <w:p>
            <w:pPr>
              <w:spacing w:after="0" w:line="159" w:lineRule="exact"/>
              <w:rPr>
                <w:sz w:val="20"/>
                <w:szCs w:val="20"/>
                <w:color w:val="auto"/>
              </w:rPr>
            </w:pPr>
            <w:r>
              <w:rPr>
                <w:rFonts w:ascii="Times New Roman" w:cs="Times New Roman" w:eastAsia="Times New Roman" w:hAnsi="Times New Roman"/>
                <w:sz w:val="14"/>
                <w:szCs w:val="14"/>
                <w:i w:val="1"/>
                <w:iCs w:val="1"/>
                <w:color w:val="auto"/>
              </w:rPr>
              <w:t>Total Deferred Tax Assets</w:t>
            </w:r>
          </w:p>
        </w:tc>
        <w:tc>
          <w:tcPr>
            <w:tcW w:w="10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60" w:type="dxa"/>
            <w:vAlign w:val="bottom"/>
            <w:shd w:val="clear" w:color="auto" w:fill="CFF0FC"/>
          </w:tcPr>
          <w:p>
            <w:pPr>
              <w:spacing w:after="0"/>
              <w:rPr>
                <w:sz w:val="13"/>
                <w:szCs w:val="13"/>
                <w:color w:val="auto"/>
              </w:rPr>
            </w:pPr>
          </w:p>
        </w:tc>
      </w:tr>
      <w:tr>
        <w:trPr>
          <w:trHeight w:val="168"/>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Domestic and foreign NOL carryforwards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42,937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20,878</w:t>
            </w:r>
          </w:p>
        </w:tc>
        <w:tc>
          <w:tcPr>
            <w:tcW w:w="60" w:type="dxa"/>
            <w:vAlign w:val="bottom"/>
          </w:tcPr>
          <w:p>
            <w:pPr>
              <w:spacing w:after="0"/>
              <w:rPr>
                <w:sz w:val="14"/>
                <w:szCs w:val="14"/>
                <w:color w:val="auto"/>
              </w:rPr>
            </w:pPr>
          </w:p>
        </w:tc>
      </w:tr>
      <w:tr>
        <w:trPr>
          <w:trHeight w:val="168"/>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Research and experimental expenditures</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12,490</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13,692</w:t>
            </w:r>
          </w:p>
        </w:tc>
        <w:tc>
          <w:tcPr>
            <w:tcW w:w="60" w:type="dxa"/>
            <w:vAlign w:val="bottom"/>
            <w:shd w:val="clear" w:color="auto" w:fill="CFF0FC"/>
          </w:tcPr>
          <w:p>
            <w:pPr>
              <w:spacing w:after="0"/>
              <w:rPr>
                <w:sz w:val="14"/>
                <w:szCs w:val="14"/>
                <w:color w:val="auto"/>
              </w:rPr>
            </w:pPr>
          </w:p>
        </w:tc>
      </w:tr>
      <w:tr>
        <w:trPr>
          <w:trHeight w:val="168"/>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Research and development credit carryovers</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w:t>
            </w:r>
          </w:p>
        </w:tc>
        <w:tc>
          <w:tcPr>
            <w:tcW w:w="60" w:type="dxa"/>
            <w:vAlign w:val="bottom"/>
          </w:tcPr>
          <w:p>
            <w:pPr>
              <w:spacing w:after="0"/>
              <w:rPr>
                <w:sz w:val="14"/>
                <w:szCs w:val="14"/>
                <w:color w:val="auto"/>
              </w:rPr>
            </w:pPr>
          </w:p>
        </w:tc>
      </w:tr>
      <w:tr>
        <w:trPr>
          <w:trHeight w:val="168"/>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Property and equipment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60" w:type="dxa"/>
            <w:vAlign w:val="bottom"/>
            <w:shd w:val="clear" w:color="auto" w:fill="CFF0FC"/>
          </w:tcPr>
          <w:p>
            <w:pPr>
              <w:spacing w:after="0"/>
              <w:rPr>
                <w:sz w:val="14"/>
                <w:szCs w:val="14"/>
                <w:color w:val="auto"/>
              </w:rPr>
            </w:pPr>
          </w:p>
        </w:tc>
      </w:tr>
      <w:tr>
        <w:trPr>
          <w:trHeight w:val="168"/>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Accruals</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60" w:type="dxa"/>
            <w:vAlign w:val="bottom"/>
          </w:tcPr>
          <w:p>
            <w:pPr>
              <w:spacing w:after="0"/>
              <w:rPr>
                <w:sz w:val="14"/>
                <w:szCs w:val="14"/>
                <w:color w:val="auto"/>
              </w:rPr>
            </w:pPr>
          </w:p>
        </w:tc>
      </w:tr>
      <w:tr>
        <w:trPr>
          <w:trHeight w:val="168"/>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630</w:t>
            </w:r>
          </w:p>
        </w:tc>
        <w:tc>
          <w:tcPr>
            <w:tcW w:w="60" w:type="dxa"/>
            <w:vAlign w:val="bottom"/>
            <w:shd w:val="clear" w:color="auto" w:fill="CFF0FC"/>
          </w:tcPr>
          <w:p>
            <w:pPr>
              <w:spacing w:after="0"/>
              <w:rPr>
                <w:sz w:val="14"/>
                <w:szCs w:val="14"/>
                <w:color w:val="auto"/>
              </w:rPr>
            </w:pPr>
          </w:p>
        </w:tc>
      </w:tr>
      <w:tr>
        <w:trPr>
          <w:trHeight w:val="168"/>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tcPr>
          <w:p>
            <w:pPr>
              <w:spacing w:after="0"/>
              <w:rPr>
                <w:sz w:val="14"/>
                <w:szCs w:val="14"/>
                <w:color w:val="auto"/>
              </w:rPr>
            </w:pPr>
          </w:p>
        </w:tc>
      </w:tr>
      <w:tr>
        <w:trPr>
          <w:trHeight w:val="168"/>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Lease liability</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59"/>
        </w:trPr>
        <w:tc>
          <w:tcPr>
            <w:tcW w:w="4220" w:type="dxa"/>
            <w:vAlign w:val="bottom"/>
            <w:tcBorders>
              <w:top w:val="single" w:sz="8" w:color="CFF0FC"/>
            </w:tcBorders>
          </w:tcPr>
          <w:p>
            <w:pPr>
              <w:ind w:left="140"/>
              <w:spacing w:after="0" w:line="159" w:lineRule="exact"/>
              <w:rPr>
                <w:sz w:val="20"/>
                <w:szCs w:val="20"/>
                <w:color w:val="auto"/>
              </w:rPr>
            </w:pPr>
            <w:r>
              <w:rPr>
                <w:rFonts w:ascii="Times New Roman" w:cs="Times New Roman" w:eastAsia="Times New Roman" w:hAnsi="Times New Roman"/>
                <w:sz w:val="14"/>
                <w:szCs w:val="14"/>
                <w:color w:val="auto"/>
              </w:rPr>
              <w:t>Gross deferred tax assets</w:t>
            </w:r>
          </w:p>
        </w:tc>
        <w:tc>
          <w:tcPr>
            <w:tcW w:w="1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64,692</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38,827</w:t>
            </w:r>
          </w:p>
        </w:tc>
        <w:tc>
          <w:tcPr>
            <w:tcW w:w="60" w:type="dxa"/>
            <w:vAlign w:val="bottom"/>
            <w:tcBorders>
              <w:top w:val="single" w:sz="8" w:color="CFF0FC"/>
            </w:tcBorders>
          </w:tcPr>
          <w:p>
            <w:pPr>
              <w:spacing w:after="0"/>
              <w:rPr>
                <w:sz w:val="13"/>
                <w:szCs w:val="13"/>
                <w:color w:val="auto"/>
              </w:rPr>
            </w:pPr>
          </w:p>
        </w:tc>
      </w:tr>
      <w:tr>
        <w:trPr>
          <w:trHeight w:val="168"/>
        </w:trPr>
        <w:tc>
          <w:tcPr>
            <w:tcW w:w="4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Valuation allowance</w:t>
            </w:r>
          </w:p>
        </w:tc>
        <w:tc>
          <w:tcPr>
            <w:tcW w:w="10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(64,312)</w:t>
            </w:r>
          </w:p>
        </w:tc>
        <w:tc>
          <w:tcPr>
            <w:tcW w:w="10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(38,827)</w:t>
            </w:r>
          </w:p>
        </w:tc>
      </w:tr>
      <w:tr>
        <w:trPr>
          <w:trHeight w:val="159"/>
        </w:trPr>
        <w:tc>
          <w:tcPr>
            <w:tcW w:w="4220" w:type="dxa"/>
            <w:vAlign w:val="bottom"/>
            <w:tcBorders>
              <w:top w:val="single" w:sz="8" w:color="CFF0FC"/>
            </w:tcBorders>
          </w:tcPr>
          <w:p>
            <w:pPr>
              <w:ind w:left="140"/>
              <w:spacing w:after="0" w:line="159" w:lineRule="exact"/>
              <w:rPr>
                <w:sz w:val="20"/>
                <w:szCs w:val="20"/>
                <w:color w:val="auto"/>
              </w:rPr>
            </w:pPr>
            <w:r>
              <w:rPr>
                <w:rFonts w:ascii="Times New Roman" w:cs="Times New Roman" w:eastAsia="Times New Roman" w:hAnsi="Times New Roman"/>
                <w:sz w:val="14"/>
                <w:szCs w:val="14"/>
                <w:color w:val="auto"/>
              </w:rPr>
              <w:t>Net Deferred Tax Asset</w:t>
            </w: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380</w:t>
            </w: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tcBorders>
          </w:tcPr>
          <w:p>
            <w:pPr>
              <w:spacing w:after="0"/>
              <w:rPr>
                <w:sz w:val="13"/>
                <w:szCs w:val="13"/>
                <w:color w:val="auto"/>
              </w:rPr>
            </w:pPr>
          </w:p>
        </w:tc>
      </w:tr>
      <w:tr>
        <w:trPr>
          <w:trHeight w:val="20"/>
        </w:trPr>
        <w:tc>
          <w:tcPr>
            <w:tcW w:w="4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40"/>
        </w:trPr>
        <w:tc>
          <w:tcPr>
            <w:tcW w:w="4220" w:type="dxa"/>
            <w:vAlign w:val="bottom"/>
            <w:shd w:val="clear" w:color="auto" w:fill="CFF0FC"/>
          </w:tcPr>
          <w:p>
            <w:pPr>
              <w:spacing w:after="0" w:line="140" w:lineRule="exact"/>
              <w:rPr>
                <w:sz w:val="20"/>
                <w:szCs w:val="20"/>
                <w:color w:val="auto"/>
              </w:rPr>
            </w:pPr>
            <w:r>
              <w:rPr>
                <w:rFonts w:ascii="Times New Roman" w:cs="Times New Roman" w:eastAsia="Times New Roman" w:hAnsi="Times New Roman"/>
                <w:sz w:val="14"/>
                <w:szCs w:val="14"/>
                <w:i w:val="1"/>
                <w:iCs w:val="1"/>
                <w:color w:val="auto"/>
              </w:rPr>
              <w:t>Deferred Tax Liabilities</w:t>
            </w:r>
          </w:p>
        </w:tc>
        <w:tc>
          <w:tcPr>
            <w:tcW w:w="10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68"/>
        </w:trPr>
        <w:tc>
          <w:tcPr>
            <w:tcW w:w="42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Right-of-use asset</w:t>
            </w:r>
          </w:p>
        </w:tc>
        <w:tc>
          <w:tcPr>
            <w:tcW w:w="10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tcPr>
          <w:p>
            <w:pPr>
              <w:spacing w:after="0"/>
              <w:rPr>
                <w:sz w:val="14"/>
                <w:szCs w:val="14"/>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199"/>
        </w:trPr>
        <w:tc>
          <w:tcPr>
            <w:tcW w:w="4220" w:type="dxa"/>
            <w:vAlign w:val="bottom"/>
            <w:tcBorders>
              <w:top w:val="single" w:sz="8" w:color="CFF0FC"/>
              <w:bottom w:val="single" w:sz="8" w:color="CFF0FC"/>
            </w:tcBorders>
            <w:shd w:val="clear" w:color="auto" w:fill="CFF0FC"/>
          </w:tcPr>
          <w:p>
            <w:pPr>
              <w:ind w:left="140"/>
              <w:spacing w:after="0" w:line="159" w:lineRule="exact"/>
              <w:rPr>
                <w:sz w:val="20"/>
                <w:szCs w:val="20"/>
                <w:color w:val="auto"/>
              </w:rPr>
            </w:pPr>
            <w:r>
              <w:rPr>
                <w:rFonts w:ascii="Times New Roman" w:cs="Times New Roman" w:eastAsia="Times New Roman" w:hAnsi="Times New Roman"/>
                <w:sz w:val="14"/>
                <w:szCs w:val="14"/>
                <w:color w:val="auto"/>
              </w:rPr>
              <w:t>Total Net Deferred Tax Asset</w:t>
            </w:r>
          </w:p>
        </w:tc>
        <w:tc>
          <w:tcPr>
            <w:tcW w:w="10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top w:val="single" w:sz="8" w:color="CFF0FC"/>
              <w:bottom w:val="single" w:sz="8" w:color="CFF0FC"/>
            </w:tcBorders>
            <w:shd w:val="clear" w:color="auto" w:fill="CFF0FC"/>
          </w:tcPr>
          <w:p>
            <w:pPr>
              <w:spacing w:after="0"/>
              <w:rPr>
                <w:sz w:val="17"/>
                <w:szCs w:val="17"/>
                <w:color w:val="auto"/>
              </w:rPr>
            </w:pPr>
          </w:p>
        </w:tc>
        <w:tc>
          <w:tcPr>
            <w:tcW w:w="10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top w:val="single" w:sz="8" w:color="CFF0FC"/>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4211955</wp:posOffset>
            </wp:positionH>
            <wp:positionV relativeFrom="paragraph">
              <wp:posOffset>-700405</wp:posOffset>
            </wp:positionV>
            <wp:extent cx="40005" cy="698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-700405</wp:posOffset>
            </wp:positionV>
            <wp:extent cx="40005" cy="698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-480060</wp:posOffset>
            </wp:positionV>
            <wp:extent cx="40005" cy="698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-480060</wp:posOffset>
            </wp:positionV>
            <wp:extent cx="40005" cy="698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-19685</wp:posOffset>
            </wp:positionV>
            <wp:extent cx="40005" cy="698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-6350</wp:posOffset>
            </wp:positionV>
            <wp:extent cx="40005" cy="698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4211955</wp:posOffset>
            </wp:positionH>
            <wp:positionV relativeFrom="paragraph">
              <wp:posOffset>-132715</wp:posOffset>
            </wp:positionV>
            <wp:extent cx="40005" cy="698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-19685</wp:posOffset>
            </wp:positionV>
            <wp:extent cx="40005" cy="698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-6350</wp:posOffset>
            </wp:positionV>
            <wp:extent cx="40005" cy="698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40005" cy="6985"/>
                    </a:xfrm>
                    <a:prstGeom prst="rect">
                      <a:avLst/>
                    </a:prstGeom>
                    <a:noFill/>
                  </pic:spPr>
                </pic:pic>
              </a:graphicData>
            </a:graphic>
          </wp:anchor>
        </w:drawing>
        <w:drawing>
          <wp:anchor simplePos="0" relativeHeight="251657728" behindDoc="1" locked="0" layoutInCell="0" allowOverlap="1">
            <wp:simplePos x="0" y="0"/>
            <wp:positionH relativeFrom="column">
              <wp:posOffset>4879340</wp:posOffset>
            </wp:positionH>
            <wp:positionV relativeFrom="paragraph">
              <wp:posOffset>-132715</wp:posOffset>
            </wp:positionV>
            <wp:extent cx="40005" cy="698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40005" cy="6985"/>
                    </a:xfrm>
                    <a:prstGeom prst="rect">
                      <a:avLst/>
                    </a:prstGeom>
                    <a:noFill/>
                  </pic:spPr>
                </pic:pic>
              </a:graphicData>
            </a:graphic>
          </wp:anchor>
        </w:drawing>
      </w:r>
    </w:p>
    <w:p>
      <w:pPr>
        <w:spacing w:after="0" w:line="155"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Company has evaluated the positive and negative evidence bearing upon the realizability of its deferred tax assets. Based on this, the Company has provided a valuation allowance for the full amount of the net deferred tax assets as the realization of the deferred tax assets is not determined to be more likely than not.</w:t>
      </w:r>
    </w:p>
    <w:p>
      <w:pPr>
        <w:spacing w:after="0" w:line="13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The Company has evaluated the positive and negative evidence bearing upon its ability to realize its deferred tax assets, which are comprised primarily of NOL carryforwards, the capitalization of research and experimental expenditures, and tax credits. Management has considered the Company’s history of cumulative net losses in the United States, estimated future taxable income, and prudent and feasible tax planning strategies and has concluded that it is more likely than not that the Company will not realize the benefits of its U.S. federal and state deferred tax assets. Accordingly, a full valuation allowance of $64.3 million has been established against these net deferred tax assets as of December 31, 2025. The Company’s valuation allowance increased during 2025 and 2024 by approximately $25.5 million and $11.9 million, respectively, primarily due to the capitalization of R&amp;E expenditures and the increase in net operating loss and tax credit carryforwards. The Company reevaluates the positive and negative evidence at each reporting period.</w:t>
      </w:r>
    </w:p>
    <w:p>
      <w:pPr>
        <w:spacing w:after="0" w:line="146"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As of December 31, 2025, the Company had approximately $190.3 million and $58.8 million of U.S. federal and state NOL carryforwards, respectively. Of this amount, $9.9 million of the U.S. federal NOL carryforwards begin to expire in 2031, and the remainder are indefinite lived. The state net operating loss carryforwards will begin to expire in 2043. The NOL carryforwards are available to reduce future taxable income, if any. The Company also has research and development credit carryforwards available to offset any future income tax that would be due. As of December 31, 2025, the remaining federal research and development credits carryforwards were $8.3 million, and begin to expire in 2031, and does not have any state research and development credit carryforwards. During the year ended December 31, 2025, the Company paid no income taxes.</w:t>
      </w:r>
    </w:p>
    <w:p>
      <w:pPr>
        <w:spacing w:after="0" w:line="14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Ownership changes may limit the amount of NOL carryforwards or research and development tax credit carryforwards that can be utilized to offset future taxable income or tax liability. In general, an ownership change, as defined by Sections 382 and 383 of the Code of 1986, as amended (the “Code”), results from transactions increasing the ownership of certain shareholders or public groups in the stock of a corporation by more than 50% over a three-year period. If the Company has experienced a change of control, utilization of the NOL carryforwards or research and development tax credit carryforwards would be subject to an annual limitation under Section 382 and 383 of the Code. Any limitation may result in expiration of a portion of the NOL carryforwards or research and development tax</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5" w:name="page256"/>
    <w:bookmarkEnd w:id="25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5" w:lineRule="auto"/>
        <w:rPr>
          <w:sz w:val="20"/>
          <w:szCs w:val="20"/>
          <w:color w:val="auto"/>
        </w:rPr>
      </w:pPr>
      <w:r>
        <w:rPr>
          <w:rFonts w:ascii="Times New Roman" w:cs="Times New Roman" w:eastAsia="Times New Roman" w:hAnsi="Times New Roman"/>
          <w:sz w:val="14"/>
          <w:szCs w:val="14"/>
          <w:color w:val="auto"/>
        </w:rPr>
        <w:t>credit carryforwards before utilization. The Company has not yet completed a change in control analysis, as defined under Section 382 and 383 of the Code, through December 31, 2025, and the Company has not determined whether the future utilization of NOL carryforwards and research and development credit carryforwards may be materially limited based on past financings. In addition, the Company may complete future financings that could result in a change in control which may limit the amount of tax attributes available to offset future tax liabilities. However, a full valuation allowance has been provided against the deferred tax assets related to the Company’s NOL and research and development credit carryforwards and, if an adjustment is required, this adjustment would be offset by an adjustment to the valuation allowance.</w:t>
      </w:r>
    </w:p>
    <w:p>
      <w:pPr>
        <w:spacing w:after="0" w:line="14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On July 4, 2025, the One Big Beautiful Bill Act (“OBBBA”) was signed into law. Among other provisions, OBBBA restored the immediate expensing of U.S.-based research and developmental expenditures, which were previously required to be capitalized with such expenditures amortized over 5 years. The Company has implemented the two-year accelerated expensing under the OBBBA causing the previously capitalized U.S. research and development expenditures, amortized over 5 years, to be accelerated over two years. The Company will continue to capitalize research and development expenditures incurred outside the U.S. and amortize such expenditures over 15 years, as required. The Company has evaluated the impacts of these provisions and has concluded the OBBBA does not have a material impact on its consolidated financial statements.</w:t>
      </w:r>
    </w:p>
    <w:p>
      <w:pPr>
        <w:spacing w:after="0" w:line="145" w:lineRule="exact"/>
        <w:rPr>
          <w:sz w:val="20"/>
          <w:szCs w:val="20"/>
          <w:color w:val="auto"/>
        </w:rPr>
      </w:pPr>
    </w:p>
    <w:p>
      <w:pPr>
        <w:jc w:val="both"/>
        <w:ind w:left="1220" w:right="1239" w:firstLine="333"/>
        <w:spacing w:after="0" w:line="255" w:lineRule="auto"/>
        <w:rPr>
          <w:sz w:val="20"/>
          <w:szCs w:val="20"/>
          <w:color w:val="auto"/>
        </w:rPr>
      </w:pPr>
      <w:r>
        <w:rPr>
          <w:rFonts w:ascii="Times New Roman" w:cs="Times New Roman" w:eastAsia="Times New Roman" w:hAnsi="Times New Roman"/>
          <w:sz w:val="14"/>
          <w:szCs w:val="14"/>
          <w:color w:val="auto"/>
        </w:rPr>
        <w:t>ASC 740-10 specifies how tax benefits for uncertain tax positions are to be recognized, measured, and recorded in financial statements; requires certain disclosures of uncertain tax matters; specifies how uncertain tax positions should be classified on the balance sheet; and provides transition and interim period guidance, among other provisions. As of December 31, 2025, the Company has not recorded any uncertain tax positions. The Company’s policy is to recognize interest and penalties accrued on any uncertain tax positions as a component of provision for income taxes, if any, in its consolidated statements of comprehensive loss. For the years ended December 31, 2025 and 2024, the Company had no uncertain tax positions and no estimated interest or penalties were recognized on uncertain tax positions.</w:t>
      </w:r>
    </w:p>
    <w:p>
      <w:pPr>
        <w:spacing w:after="0" w:line="145"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The Company’s tax returns for the years ended December 31, 2022 to December 31, 2025 remain open and subject to examination by the Internal Revenue Service and state taxing authorities. The Company is subject to examination by the Internal Revenue Service, Massachusetts taxing authorities, and other state’s taxing authorities for the years ended December 31, 2021 through present. To the extent that the Company has tax attribute carryforwards, the tax year in which the attributes were generated may still be adjusted upon examination by the U.S. Internal Revenue Services or state tax authorities to the extent utilized in a future period. The Company is not currently under examination by any tax authorities.</w:t>
      </w:r>
    </w:p>
    <w:p>
      <w:pPr>
        <w:spacing w:after="0" w:line="226" w:lineRule="exact"/>
        <w:rPr>
          <w:sz w:val="20"/>
          <w:szCs w:val="20"/>
          <w:color w:val="auto"/>
        </w:rPr>
      </w:pPr>
    </w:p>
    <w:p>
      <w:pPr>
        <w:ind w:left="1560" w:hanging="336"/>
        <w:spacing w:after="0"/>
        <w:tabs>
          <w:tab w:leader="none" w:pos="1560" w:val="left"/>
        </w:tabs>
        <w:numPr>
          <w:ilvl w:val="0"/>
          <w:numId w:val="15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License Agreement</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 April 2017, the Company entered into a license agreement (the “PARI License Agreement”) with PARI Pharma GmbH (“PARI”). Pursuant to the PARI License Agreement, PARI granted the Company an exclusive, sublicensable license to use its nebulizer devices for the development and commercialization of certain inhalant drug products as outlined in the PARI License Agreement. PARI additionally granted the Company a non-exclusive, sublicensable license to use certain proprietary accessories owned or controlled by PARI with the nebulizer devices for development of the drug products, as well as a non-sublicensable, exclusive sublicense to use certain Novartis patent rights which PARI licensed from Novartis for use with the nebulizer devices. PARI also granted the Company certain options to expand the licenses granted which would separately require amendments to the PARI License Agreement.</w:t>
      </w:r>
    </w:p>
    <w:p>
      <w:pPr>
        <w:spacing w:after="0" w:line="149" w:lineRule="exact"/>
        <w:rPr>
          <w:sz w:val="20"/>
          <w:szCs w:val="20"/>
          <w:color w:val="auto"/>
        </w:rPr>
      </w:pPr>
    </w:p>
    <w:p>
      <w:pPr>
        <w:jc w:val="both"/>
        <w:ind w:left="1220" w:right="1239" w:firstLine="333"/>
        <w:spacing w:after="0" w:line="170" w:lineRule="exact"/>
        <w:rPr>
          <w:sz w:val="20"/>
          <w:szCs w:val="20"/>
          <w:color w:val="auto"/>
        </w:rPr>
      </w:pPr>
      <w:r>
        <w:rPr>
          <w:rFonts w:ascii="Times New Roman" w:cs="Times New Roman" w:eastAsia="Times New Roman" w:hAnsi="Times New Roman"/>
          <w:sz w:val="14"/>
          <w:szCs w:val="14"/>
          <w:color w:val="auto"/>
        </w:rPr>
        <w:t>As consideration for the PARI License Agreement, the Company paid a non-refundable up-front initial payment of 400 thousand EUR ($0.4 million). In addition, the Company agreed to make payments upon the achievement of certain developmental and regulatory milestones as it relates to its Drug Product, including initiation of Phase 2 and Phase 3 clinical trials, acceptance for filing by either the FDA or the European Medicines Agency (“EMA”), and approval by either the FDA or the EMA. Upon the achievement of these development and regulatory milestones, the Company is required to make payments up to, in aggregate, a low-mid single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digit million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euro amount for products using the device. The Company is additionally required to pay a mid six</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figure</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euro amount in the event that the</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6" w:name="page257"/>
    <w:bookmarkEnd w:id="256"/>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4"/>
          <w:szCs w:val="14"/>
          <w:color w:val="auto"/>
        </w:rPr>
        <w:t>Company consolidates or merges in a transaction in which 50% of the voting power of the Company is sold. After approval occurs, the Company is also required to pay PARI royalties equal to mid-single-digit percentage of net sales over a certain period. Further, following the first year of commercial sales in a major market, the Company shall pay a minimum annual royalty equal to a mid-single-digit percentage through the end of the relevant royalty term. Through December 31, 2025, the Company has met one developmental milestone, for which the payment was expensed to research and development when incurred. There were no regulatory milestones achieved for the years ended December 31, 2025 and 2024.</w:t>
      </w:r>
    </w:p>
    <w:p>
      <w:pPr>
        <w:spacing w:after="0" w:line="226" w:lineRule="exact"/>
        <w:rPr>
          <w:sz w:val="20"/>
          <w:szCs w:val="20"/>
          <w:color w:val="auto"/>
        </w:rPr>
      </w:pPr>
    </w:p>
    <w:p>
      <w:pPr>
        <w:ind w:left="1560" w:hanging="336"/>
        <w:spacing w:after="0"/>
        <w:tabs>
          <w:tab w:leader="none" w:pos="1560" w:val="left"/>
        </w:tabs>
        <w:numPr>
          <w:ilvl w:val="0"/>
          <w:numId w:val="15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Other Subsequent Events</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Company evaluated subsequent events through March 18, 2026, the date these financial statements were issued, for events requiring recording or disclosure in the consolidated financial statements for the year ended December 31, 2025. Except as noted below, the Company concluded that no subsequent events have occurred that require disclosure.</w:t>
      </w:r>
    </w:p>
    <w:p>
      <w:pPr>
        <w:spacing w:after="0" w:line="22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Stock Option Issuance</w:t>
      </w:r>
    </w:p>
    <w:p>
      <w:pPr>
        <w:spacing w:after="0" w:line="93"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During the period from December 31, 2025 to the date that these financial statements were issued, the Company granted stock options to employees to purchase an aggregate of 5,922,510 shares of common stock at a $0.39 weighted average exercise price under the Plan.</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In January 2026, the Company increased the number of shares of common stock available and reserved for issuance under the Plan by 9,068,823 shares. In conjunction, the Company increased the number of authorized shares of the Company’s common stock to 585,000,000 shares.</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Debt Financing</w:t>
      </w:r>
    </w:p>
    <w:p>
      <w:pPr>
        <w:spacing w:after="0" w:line="93" w:lineRule="exact"/>
        <w:rPr>
          <w:sz w:val="20"/>
          <w:szCs w:val="20"/>
          <w:color w:val="auto"/>
        </w:rPr>
      </w:pPr>
    </w:p>
    <w:p>
      <w:pPr>
        <w:jc w:val="both"/>
        <w:ind w:left="1220" w:right="1239" w:firstLine="333"/>
        <w:spacing w:after="0" w:line="258" w:lineRule="auto"/>
        <w:rPr>
          <w:sz w:val="20"/>
          <w:szCs w:val="20"/>
          <w:color w:val="auto"/>
        </w:rPr>
      </w:pPr>
      <w:r>
        <w:rPr>
          <w:rFonts w:ascii="Times New Roman" w:cs="Times New Roman" w:eastAsia="Times New Roman" w:hAnsi="Times New Roman"/>
          <w:sz w:val="14"/>
          <w:szCs w:val="14"/>
          <w:color w:val="auto"/>
        </w:rPr>
        <w:t>In February 2026, the Company entered into a Loan and Security Agreement (the “LSA”) with Banc of California (the “Lender”) for the issuance of a term loan facility with an aggregate principal amount of up to $30.0 million (the “Term Loan”). The Company may draw down the loan through December 31, 2027. The Term Loan bears an interest equal to the greater of the prime rate then in effect or 5%. The maturity date of the loan is June 30, 2030. In February 2026, the Company borrowed $15.0 million under the facility.</w:t>
      </w:r>
    </w:p>
    <w:p>
      <w:pPr>
        <w:spacing w:after="0" w:line="144" w:lineRule="exact"/>
        <w:rPr>
          <w:sz w:val="20"/>
          <w:szCs w:val="20"/>
          <w:color w:val="auto"/>
        </w:rPr>
      </w:pPr>
    </w:p>
    <w:p>
      <w:pPr>
        <w:jc w:val="both"/>
        <w:ind w:left="1220" w:right="1239" w:firstLine="252"/>
        <w:spacing w:after="0" w:line="267" w:lineRule="auto"/>
        <w:rPr>
          <w:sz w:val="20"/>
          <w:szCs w:val="20"/>
          <w:color w:val="auto"/>
        </w:rPr>
      </w:pPr>
      <w:r>
        <w:rPr>
          <w:rFonts w:ascii="Times New Roman" w:cs="Times New Roman" w:eastAsia="Times New Roman" w:hAnsi="Times New Roman"/>
          <w:sz w:val="14"/>
          <w:szCs w:val="14"/>
          <w:color w:val="auto"/>
        </w:rPr>
        <w:t>In connection with the LSA, the Company granted the Lender a senior security interest in the Company’s property and other assets, which has priority over any existing or future indebtedness and related security interests, subject to limited exceptions, including the Company’s intellectual property.</w:t>
      </w:r>
    </w:p>
    <w:p>
      <w:pPr>
        <w:spacing w:after="0" w:line="51" w:lineRule="exact"/>
        <w:rPr>
          <w:sz w:val="20"/>
          <w:szCs w:val="20"/>
          <w:color w:val="auto"/>
        </w:rPr>
      </w:pPr>
    </w:p>
    <w:p>
      <w:pPr>
        <w:jc w:val="both"/>
        <w:ind w:left="1220" w:right="1239" w:firstLine="252"/>
        <w:spacing w:after="0" w:line="267" w:lineRule="auto"/>
        <w:rPr>
          <w:sz w:val="20"/>
          <w:szCs w:val="20"/>
          <w:color w:val="auto"/>
        </w:rPr>
      </w:pPr>
      <w:r>
        <w:rPr>
          <w:rFonts w:ascii="Times New Roman" w:cs="Times New Roman" w:eastAsia="Times New Roman" w:hAnsi="Times New Roman"/>
          <w:sz w:val="14"/>
          <w:szCs w:val="14"/>
          <w:color w:val="auto"/>
        </w:rPr>
        <w:t>In connection with the LSA, the Company issued warrants to the Lender to purchase 432,939 shares of the Company’s common stock with the exercise price of $0.51 per share. The warrants will expire ten years from the date of issuance.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7" w:name="page258"/>
    <w:bookmarkEnd w:id="257"/>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tabs>
          <w:tab w:leader="none" w:pos="180" w:val="left"/>
        </w:tabs>
        <w:rPr>
          <w:sz w:val="20"/>
          <w:szCs w:val="20"/>
          <w:color w:val="auto"/>
        </w:rPr>
      </w:pPr>
      <w:r>
        <w:rPr>
          <w:rFonts w:ascii="Times New Roman" w:cs="Times New Roman" w:eastAsia="Times New Roman" w:hAnsi="Times New Roman"/>
          <w:sz w:val="21"/>
          <w:szCs w:val="21"/>
          <w:b w:val="1"/>
          <w:bCs w:val="1"/>
          <w:i w:val="1"/>
          <w:iCs w:val="1"/>
          <w:color w:val="auto"/>
        </w:rPr>
        <w:t xml:space="preserve">       </w:t>
        <w:tab/>
        <w:t>Shares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Avalyn Pharma Inc.</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i w:val="1"/>
          <w:i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2169160</wp:posOffset>
            </wp:positionH>
            <wp:positionV relativeFrom="paragraph">
              <wp:posOffset>337185</wp:posOffset>
            </wp:positionV>
            <wp:extent cx="1388745" cy="78105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388745" cy="781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220"/>
        <w:spacing w:after="0"/>
        <w:tabs>
          <w:tab w:leader="none" w:pos="2920" w:val="left"/>
          <w:tab w:leader="none" w:pos="4040" w:val="left"/>
          <w:tab w:leader="none" w:pos="5400" w:val="left"/>
        </w:tabs>
        <w:rPr>
          <w:sz w:val="20"/>
          <w:szCs w:val="20"/>
          <w:color w:val="auto"/>
        </w:rPr>
      </w:pPr>
      <w:r>
        <w:rPr>
          <w:rFonts w:ascii="Times New Roman" w:cs="Times New Roman" w:eastAsia="Times New Roman" w:hAnsi="Times New Roman"/>
          <w:sz w:val="17"/>
          <w:szCs w:val="17"/>
          <w:b w:val="1"/>
          <w:bCs w:val="1"/>
          <w:i w:val="1"/>
          <w:iCs w:val="1"/>
          <w:color w:val="auto"/>
        </w:rPr>
        <w:t>MORGAN STANLEY</w:t>
        <w:tab/>
        <w:t>JEFFERIES</w:t>
        <w:tab/>
        <w:t>EVERCORE ISI</w:t>
      </w:r>
      <w:r>
        <w:rPr>
          <w:sz w:val="20"/>
          <w:szCs w:val="20"/>
          <w:color w:val="auto"/>
        </w:rPr>
        <w:tab/>
      </w:r>
      <w:r>
        <w:rPr>
          <w:rFonts w:ascii="Times New Roman" w:cs="Times New Roman" w:eastAsia="Times New Roman" w:hAnsi="Times New Roman"/>
          <w:sz w:val="16"/>
          <w:szCs w:val="16"/>
          <w:b w:val="1"/>
          <w:bCs w:val="1"/>
          <w:i w:val="1"/>
          <w:iCs w:val="1"/>
          <w:color w:val="auto"/>
        </w:rPr>
        <w:t>GUGGENHEIM SECURITIES</w:t>
      </w:r>
    </w:p>
    <w:p>
      <w:pPr>
        <w:spacing w:after="0" w:line="200" w:lineRule="exact"/>
        <w:rPr>
          <w:sz w:val="20"/>
          <w:szCs w:val="20"/>
          <w:color w:val="auto"/>
        </w:rPr>
      </w:pPr>
    </w:p>
    <w:p>
      <w:pPr>
        <w:spacing w:after="0" w:line="327"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4"/>
          <w:szCs w:val="14"/>
          <w:i w:val="1"/>
          <w:iCs w:val="1"/>
          <w:color w:val="auto"/>
        </w:rPr>
        <w:t>Through and including         , 2026 (the 25th day after the date of this prospectus), all dealers effecting transactions in our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673100</wp:posOffset>
            </wp:positionV>
            <wp:extent cx="5485765" cy="3873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58" w:name="page259"/>
    <w:bookmarkEnd w:id="258"/>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INFORMATION NOT REQUIRED IN PROSPECTUS</w:t>
      </w:r>
    </w:p>
    <w:p>
      <w:pPr>
        <w:spacing w:after="0" w:line="17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Unless otherwise indicated, all references to “Avalyn,” the “company,” “we,” “our,” “us” or similar terms refer to Avalyn Pharma Inc. and its wholly owned, consolidated subsidiary, or either or both of them as the context may require.</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13. Other Expenses of Issuance and Distribution.</w:t>
      </w:r>
    </w:p>
    <w:p>
      <w:pPr>
        <w:spacing w:after="0" w:line="93"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The following table sets forth all expenses to be paid by us, other than underwriting discounts and commissions, in connection with this offering. All amounts shown are estimates except for the Securities and Exchange Commission, or SEC, registration fee, the Financial Industry Regulatory Authority, Inc., or FINRA, filing fee and the Nasdaq Global Market, or Nasdaq, listing fee.</w:t>
      </w:r>
    </w:p>
    <w:p>
      <w:pPr>
        <w:sectPr>
          <w:pgSz w:w="11900" w:h="16838" w:orient="portrait"/>
          <w:cols w:equalWidth="0" w:num="1">
            <w:col w:w="9019"/>
          </w:cols>
          <w:pgMar w:left="1440" w:top="291" w:right="1440" w:bottom="1440" w:gutter="0" w:footer="0" w:header="0"/>
        </w:sectPr>
      </w:pPr>
    </w:p>
    <w:p>
      <w:pPr>
        <w:spacing w:after="0" w:line="1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SEC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-92075</wp:posOffset>
            </wp:positionV>
            <wp:extent cx="4165600" cy="10668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4165600" cy="106680"/>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FINRA filing fee</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-101600</wp:posOffset>
            </wp:positionV>
            <wp:extent cx="4138930" cy="10668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138930" cy="10668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4"/>
          <w:szCs w:val="14"/>
          <w:color w:val="auto"/>
        </w:rPr>
        <w:t>Printing and mailing expenses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-101600</wp:posOffset>
            </wp:positionV>
            <wp:extent cx="4165600" cy="10668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165600" cy="10668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4"/>
          <w:szCs w:val="14"/>
          <w:color w:val="auto"/>
        </w:rPr>
        <w:t>Accounting fees and expenses</w:t>
      </w:r>
    </w:p>
    <w:p>
      <w:pPr>
        <w:spacing w:after="0" w:line="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Custodian transfer agent and registrar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-101600</wp:posOffset>
            </wp:positionV>
            <wp:extent cx="4138930" cy="10668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4138930" cy="106680"/>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4"/>
          <w:szCs w:val="14"/>
          <w:color w:val="auto"/>
        </w:rPr>
        <w:t>Miscellaneous expenses</w:t>
      </w:r>
    </w:p>
    <w:p>
      <w:pPr>
        <w:spacing w:after="0" w:line="1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-92075</wp:posOffset>
            </wp:positionV>
            <wp:extent cx="4138930" cy="10668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4138930" cy="106680"/>
                    </a:xfrm>
                    <a:prstGeom prst="rect">
                      <a:avLst/>
                    </a:prstGeom>
                    <a:noFill/>
                  </pic:spPr>
                </pic:pic>
              </a:graphicData>
            </a:graphic>
          </wp:anchor>
        </w:drawing>
      </w:r>
    </w:p>
    <w:p>
      <w:pPr>
        <w:spacing w:after="0" w:line="22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 To be provided by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-99060</wp:posOffset>
            </wp:positionV>
            <wp:extent cx="640715" cy="698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40715" cy="6985"/>
                    </a:xfrm>
                    <a:prstGeom prst="rect">
                      <a:avLst/>
                    </a:prstGeom>
                    <a:noFill/>
                  </pic:spPr>
                </pic:pic>
              </a:graphicData>
            </a:graphic>
          </wp:anchor>
        </w:drawing>
      </w:r>
    </w:p>
    <w:p>
      <w:pPr>
        <w:spacing w:after="0" w:line="2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14. Indemnification of Directors and Officers.</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554" w:hanging="554"/>
        <w:spacing w:after="0"/>
        <w:tabs>
          <w:tab w:leader="none" w:pos="554" w:val="left"/>
        </w:tabs>
        <w:numPr>
          <w:ilvl w:val="0"/>
          <w:numId w:val="1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13,810</w:t>
      </w:r>
    </w:p>
    <w:p>
      <w:pPr>
        <w:spacing w:after="0" w:line="21" w:lineRule="exact"/>
        <w:rPr>
          <w:rFonts w:ascii="Times New Roman" w:cs="Times New Roman" w:eastAsia="Times New Roman" w:hAnsi="Times New Roman"/>
          <w:sz w:val="14"/>
          <w:szCs w:val="14"/>
          <w:color w:val="auto"/>
        </w:rPr>
      </w:pPr>
    </w:p>
    <w:p>
      <w:pPr>
        <w:jc w:val="right"/>
        <w:ind w:left="874" w:right="1239" w:hanging="315"/>
        <w:spacing w:after="0" w:line="31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1"/>
          <w:szCs w:val="11"/>
          <w:color w:val="auto"/>
        </w:rPr>
        <w:t>15,500 *</w:t>
      </w:r>
      <w:r>
        <w:rPr>
          <w:rFonts w:ascii="Times New Roman" w:cs="Times New Roman" w:eastAsia="Times New Roman" w:hAnsi="Times New Roman"/>
          <w:sz w:val="1"/>
          <w:szCs w:val="1"/>
          <w:color w:val="auto"/>
        </w:rPr>
        <w:drawing>
          <wp:inline distT="0" distB="0" distL="0" distR="0">
            <wp:extent cx="26670" cy="106680"/>
            <wp:effectExtent l="0" t="0" r="0" b="0"/>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6670" cy="106680"/>
                    </a:xfrm>
                    <a:prstGeom prst="rect">
                      <a:avLst/>
                    </a:prstGeom>
                    <a:noFill/>
                    <a:ln>
                      <a:noFill/>
                    </a:ln>
                  </pic:spPr>
                </pic:pic>
              </a:graphicData>
            </a:graphic>
          </wp:inline>
        </w:drawing>
      </w:r>
    </w:p>
    <w:p>
      <w:pPr>
        <w:ind w:left="87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87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87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7" w:lineRule="exact"/>
        <w:rPr>
          <w:rFonts w:ascii="Times New Roman" w:cs="Times New Roman" w:eastAsia="Times New Roman" w:hAnsi="Times New Roman"/>
          <w:sz w:val="14"/>
          <w:szCs w:val="14"/>
          <w:color w:val="auto"/>
        </w:rPr>
      </w:pPr>
    </w:p>
    <w:p>
      <w:pPr>
        <w:ind w:left="87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1"/>
          <w:szCs w:val="1"/>
          <w:color w:val="auto"/>
        </w:rPr>
        <w:drawing>
          <wp:inline distT="0" distB="0" distL="0" distR="0">
            <wp:extent cx="26670" cy="95250"/>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26670" cy="95250"/>
                    </a:xfrm>
                    <a:prstGeom prst="rect">
                      <a:avLst/>
                    </a:prstGeom>
                    <a:noFill/>
                    <a:ln>
                      <a:noFill/>
                    </a:ln>
                  </pic:spPr>
                </pic:pic>
              </a:graphicData>
            </a:graphic>
          </wp:inline>
        </w:drawing>
      </w:r>
    </w:p>
    <w:p>
      <w:pPr>
        <w:spacing w:after="0" w:line="11" w:lineRule="exact"/>
        <w:rPr>
          <w:rFonts w:ascii="Times New Roman" w:cs="Times New Roman" w:eastAsia="Times New Roman" w:hAnsi="Times New Roman"/>
          <w:sz w:val="14"/>
          <w:szCs w:val="14"/>
          <w:color w:val="auto"/>
        </w:rPr>
      </w:pPr>
    </w:p>
    <w:p>
      <w:pPr>
        <w:ind w:left="87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594360" cy="698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ind w:left="874" w:hanging="874"/>
        <w:spacing w:after="0"/>
        <w:tabs>
          <w:tab w:leader="none" w:pos="874" w:val="left"/>
        </w:tabs>
        <w:numPr>
          <w:ilvl w:val="0"/>
          <w:numId w:val="156"/>
        </w:numPr>
        <w:rPr>
          <w:rFonts w:ascii="Times New Roman" w:cs="Times New Roman" w:eastAsia="Times New Roman" w:hAnsi="Times New Roman"/>
          <w:sz w:val="3"/>
          <w:szCs w:val="3"/>
          <w:color w:val="auto"/>
        </w:rPr>
      </w:pPr>
      <w:r>
        <w:rPr>
          <w:rFonts w:ascii="Times New Roman" w:cs="Times New Roman" w:eastAsia="Times New Roman" w:hAnsi="Times New Roman"/>
          <w:sz w:val="3"/>
          <w:szCs w:val="3"/>
          <w:color w:val="auto"/>
        </w:rPr>
        <w:t>*</w:t>
      </w:r>
      <w:r>
        <w:rPr>
          <w:rFonts w:ascii="Times New Roman" w:cs="Times New Roman" w:eastAsia="Times New Roman" w:hAnsi="Times New Roman"/>
          <w:sz w:val="1"/>
          <w:szCs w:val="1"/>
          <w:color w:val="auto"/>
        </w:rPr>
        <w:drawing>
          <wp:inline distT="0" distB="0" distL="0" distR="0">
            <wp:extent cx="26670" cy="106680"/>
            <wp:effectExtent l="0" t="0" r="0" b="0"/>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26670" cy="10668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5080</wp:posOffset>
            </wp:positionV>
            <wp:extent cx="594360" cy="698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9436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18415</wp:posOffset>
            </wp:positionV>
            <wp:extent cx="594360" cy="698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907" w:lineRule="exact"/>
        <w:rPr>
          <w:sz w:val="20"/>
          <w:szCs w:val="20"/>
          <w:color w:val="auto"/>
        </w:rPr>
      </w:pPr>
    </w:p>
    <w:p>
      <w:pPr>
        <w:sectPr>
          <w:pgSz w:w="11900" w:h="16838" w:orient="portrait"/>
          <w:cols w:equalWidth="0" w:num="2">
            <w:col w:w="6086" w:space="720"/>
            <w:col w:w="2213"/>
          </w:cols>
          <w:pgMar w:left="1440" w:top="291" w:right="1440" w:bottom="1440" w:gutter="0" w:footer="0" w:header="0"/>
          <w:type w:val="continuous"/>
        </w:sectPr>
      </w:pPr>
    </w:p>
    <w:p>
      <w:pPr>
        <w:jc w:val="both"/>
        <w:ind w:left="1220" w:right="1239" w:firstLine="343"/>
        <w:spacing w:after="0" w:line="254" w:lineRule="auto"/>
        <w:rPr>
          <w:sz w:val="20"/>
          <w:szCs w:val="20"/>
          <w:color w:val="auto"/>
        </w:rPr>
      </w:pPr>
      <w:r>
        <w:rPr>
          <w:rFonts w:ascii="Times New Roman" w:cs="Times New Roman" w:eastAsia="Times New Roman" w:hAnsi="Times New Roman"/>
          <w:sz w:val="14"/>
          <w:szCs w:val="14"/>
          <w:color w:val="auto"/>
        </w:rPr>
        <w:t>Section 145 of the Delaware General Corporation Law, or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w:t>
      </w:r>
    </w:p>
    <w:p>
      <w:pPr>
        <w:spacing w:after="0" w:line="144" w:lineRule="exact"/>
        <w:rPr>
          <w:sz w:val="20"/>
          <w:szCs w:val="20"/>
          <w:color w:val="auto"/>
        </w:rPr>
      </w:pPr>
    </w:p>
    <w:p>
      <w:pPr>
        <w:jc w:val="both"/>
        <w:ind w:left="1220" w:right="1239" w:firstLine="333"/>
        <w:spacing w:after="0" w:line="256" w:lineRule="auto"/>
        <w:rPr>
          <w:sz w:val="20"/>
          <w:szCs w:val="20"/>
          <w:color w:val="auto"/>
        </w:rPr>
      </w:pPr>
      <w:r>
        <w:rPr>
          <w:rFonts w:ascii="Times New Roman" w:cs="Times New Roman" w:eastAsia="Times New Roman" w:hAnsi="Times New Roman"/>
          <w:sz w:val="14"/>
          <w:szCs w:val="14"/>
          <w:color w:val="auto"/>
        </w:rPr>
        <w:t>We have adopted provisions in our amended and restated certificate of incorporation, which will become effective immediately prior to the completion of this offering, and the amended and restated bylaws, which will become effective upon the effectiveness of the registration statement of which this prospectus forms a part, that will limit or eliminate the personal liability of our directors and officers to the fullest extent permitted by the DGCL, as it now exists or may in the future be amended. Consequently, our directors and officers will not be personally liable to us or our stockholders for monetary damages or breach of fiduciary duty as directors or officers, except for liability for:</w:t>
      </w:r>
    </w:p>
    <w:p>
      <w:pPr>
        <w:spacing w:after="0" w:line="59" w:lineRule="exact"/>
        <w:rPr>
          <w:sz w:val="20"/>
          <w:szCs w:val="20"/>
          <w:color w:val="auto"/>
        </w:rPr>
      </w:pPr>
    </w:p>
    <w:p>
      <w:pPr>
        <w:ind w:left="1880" w:hanging="323"/>
        <w:spacing w:after="0"/>
        <w:tabs>
          <w:tab w:leader="none" w:pos="188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breach of their duty of loyalty to us or our stockholders;</w:t>
      </w:r>
    </w:p>
    <w:p>
      <w:pPr>
        <w:spacing w:after="0" w:line="91" w:lineRule="exact"/>
        <w:rPr>
          <w:rFonts w:ascii="Times New Roman" w:cs="Times New Roman" w:eastAsia="Times New Roman" w:hAnsi="Times New Roman"/>
          <w:sz w:val="14"/>
          <w:szCs w:val="14"/>
          <w:color w:val="auto"/>
        </w:rPr>
      </w:pPr>
    </w:p>
    <w:p>
      <w:pPr>
        <w:ind w:left="1880" w:right="1239" w:hanging="323"/>
        <w:spacing w:after="0" w:line="283" w:lineRule="auto"/>
        <w:tabs>
          <w:tab w:leader="none" w:pos="1880" w:val="left"/>
        </w:tabs>
        <w:numPr>
          <w:ilvl w:val="0"/>
          <w:numId w:val="1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act or omission not in good faith or that involves intentional misconduct or a knowing violation of law;</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type w:val="continuous"/>
        </w:sectPr>
      </w:pPr>
    </w:p>
    <w:bookmarkStart w:id="259" w:name="page260"/>
    <w:bookmarkEnd w:id="259"/>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880" w:right="1239" w:hanging="323"/>
        <w:spacing w:after="0" w:line="283" w:lineRule="auto"/>
        <w:tabs>
          <w:tab w:leader="none" w:pos="188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directors, any unlawful payments related to dividends or unlawful stock purchases, redemptions or other distributions;</w:t>
      </w:r>
    </w:p>
    <w:p>
      <w:pPr>
        <w:spacing w:after="0" w:line="40"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transaction from which they derived an improper personal benefit; or</w:t>
      </w:r>
    </w:p>
    <w:p>
      <w:pPr>
        <w:spacing w:after="0" w:line="91" w:lineRule="exact"/>
        <w:rPr>
          <w:rFonts w:ascii="Times New Roman" w:cs="Times New Roman" w:eastAsia="Times New Roman" w:hAnsi="Times New Roman"/>
          <w:sz w:val="14"/>
          <w:szCs w:val="14"/>
          <w:color w:val="auto"/>
        </w:rPr>
      </w:pPr>
    </w:p>
    <w:p>
      <w:pPr>
        <w:ind w:left="1880" w:hanging="323"/>
        <w:spacing w:after="0"/>
        <w:tabs>
          <w:tab w:leader="none" w:pos="1880" w:val="left"/>
        </w:tabs>
        <w:numPr>
          <w:ilvl w:val="0"/>
          <w:numId w:val="1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officers, any derivative action by or in the right of the corporation.</w:t>
      </w:r>
    </w:p>
    <w:p>
      <w:pPr>
        <w:spacing w:after="0" w:line="175"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These limitations of liability do not alter director and officer liability under the federal securities laws and do not affect the availability of equitable remedies such as an injunction or rescission.</w:t>
      </w:r>
    </w:p>
    <w:p>
      <w:pPr>
        <w:spacing w:after="0" w:line="125"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In addition, our amended and restated bylaws will provide that:</w:t>
      </w:r>
    </w:p>
    <w:p>
      <w:pPr>
        <w:spacing w:after="0" w:line="91" w:lineRule="exact"/>
        <w:rPr>
          <w:sz w:val="20"/>
          <w:szCs w:val="20"/>
          <w:color w:val="auto"/>
        </w:rPr>
      </w:pPr>
    </w:p>
    <w:p>
      <w:pPr>
        <w:jc w:val="both"/>
        <w:ind w:left="1880" w:right="1239" w:hanging="323"/>
        <w:spacing w:after="0" w:line="267" w:lineRule="auto"/>
        <w:tabs>
          <w:tab w:leader="none" w:pos="18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officers and, in the discretion of our board of directors, certain employees to the fullest extent permitted by the DGCL, as it now exists or may in the future be amended; and</w:t>
      </w:r>
    </w:p>
    <w:p>
      <w:pPr>
        <w:spacing w:after="0" w:line="51" w:lineRule="exact"/>
        <w:rPr>
          <w:rFonts w:ascii="Times New Roman" w:cs="Times New Roman" w:eastAsia="Times New Roman" w:hAnsi="Times New Roman"/>
          <w:sz w:val="14"/>
          <w:szCs w:val="14"/>
          <w:color w:val="auto"/>
        </w:rPr>
      </w:pPr>
    </w:p>
    <w:p>
      <w:pPr>
        <w:jc w:val="both"/>
        <w:ind w:left="1880" w:right="1239" w:hanging="323"/>
        <w:spacing w:after="0" w:line="267" w:lineRule="auto"/>
        <w:tabs>
          <w:tab w:leader="none" w:pos="1880" w:val="left"/>
        </w:tabs>
        <w:numPr>
          <w:ilvl w:val="0"/>
          <w:numId w:val="1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advance reasonable expenses, including attorneys’ fees, to our directors and, in the discretion of our board of directors, to our officers and certain employees, in connection with legal proceedings relating to their service for or on behalf of us, subject to limited exceptions.</w:t>
      </w:r>
    </w:p>
    <w:p>
      <w:pPr>
        <w:spacing w:after="0" w:line="136" w:lineRule="exact"/>
        <w:rPr>
          <w:sz w:val="20"/>
          <w:szCs w:val="20"/>
          <w:color w:val="auto"/>
        </w:rPr>
      </w:pPr>
    </w:p>
    <w:p>
      <w:pPr>
        <w:jc w:val="both"/>
        <w:ind w:left="1220" w:right="1239" w:firstLine="333"/>
        <w:spacing w:after="0" w:line="253" w:lineRule="auto"/>
        <w:rPr>
          <w:sz w:val="20"/>
          <w:szCs w:val="20"/>
          <w:color w:val="auto"/>
        </w:rPr>
      </w:pPr>
      <w:r>
        <w:rPr>
          <w:rFonts w:ascii="Times New Roman" w:cs="Times New Roman" w:eastAsia="Times New Roman" w:hAnsi="Times New Roman"/>
          <w:sz w:val="14"/>
          <w:szCs w:val="14"/>
          <w:color w:val="auto"/>
        </w:rPr>
        <w:t>We have entered into indemnification agreements with each of our directors and intend to enter into such agreements with our executive officers. These agreements provide that we will indemnify each of our directors, our executive officers and, at times, their affiliates to the fullest extent permitted by Delaware law. We will advance expenses, including attorneys’ fees (but excluding judgments, fines and settlement amounts), to each indemnified director, executive officer or affiliate in connection with any proceeding in which indemnification is available and we will indemnify our directors and officers for any action or proceeding arising out of that person’s services as a director or officer brought on behalf of us or in furtherance of our rights. Additionally, certain of our directors or officers may have certain rights to indemnification, advancement of expenses or insurance provided by their affiliates or other third parties, which indemnification relates to and might apply to the same proceedings arising out of such director’s or officer’s services as a director referenced herein. Nonetheless, we have agreed in the indemnification agreements that our obligations to those same directors or officers are primary and any obligation of such affiliates or other third parties to advance expenses or to provide indemnification for the expenses or liabilities incurred by those directors are secondary.</w:t>
      </w:r>
    </w:p>
    <w:p>
      <w:pPr>
        <w:spacing w:after="0" w:line="149"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We also maintain general liability insurance which covers certain liabilities of our directors and officers arising out of claims based on acts or omissions in their capacities as directors or officers, including liabilities under the Securities Act of 1933, as amended, or Securities Act.</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The underwriting agreement filed as Exhibit 1.1 to this registration statement provides for indemnification of us and our directors and officers by the underwriters against certain liabilities under the Securities Act and the Securities Exchange Act of 1934.</w:t>
      </w:r>
    </w:p>
    <w:p>
      <w:pPr>
        <w:spacing w:after="0" w:line="2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15. Recent Sales of Unregistered Securities.</w:t>
      </w:r>
    </w:p>
    <w:p>
      <w:pPr>
        <w:spacing w:after="0" w:line="17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Set forth below is information regarding securities we have issued within the past three years that were not registered under the Securities Act.</w:t>
      </w:r>
    </w:p>
    <w:p>
      <w:pPr>
        <w:spacing w:after="0" w:line="207"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(a) Warrant Issuances</w:t>
      </w:r>
    </w:p>
    <w:p>
      <w:pPr>
        <w:spacing w:after="0" w:line="177"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In January 2025, we issued a warrant to purchase 4,287,641 shares of common stock to an accredited investor, with an exercise price of $0.29.</w:t>
      </w:r>
    </w:p>
    <w:p>
      <w:pPr>
        <w:spacing w:after="0" w:line="135" w:lineRule="exact"/>
        <w:rPr>
          <w:sz w:val="20"/>
          <w:szCs w:val="20"/>
          <w:color w:val="auto"/>
        </w:rPr>
      </w:pPr>
    </w:p>
    <w:p>
      <w:pPr>
        <w:jc w:val="both"/>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In February 2026, we issued a warrant to purchase 432,939 shares of common stock to an accredited investor in connection with our loan and security agreement, with an exercise price of $0.51.</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0" w:name="page261"/>
    <w:bookmarkEnd w:id="260"/>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(b) Grants and exercises of stock options</w:t>
      </w:r>
    </w:p>
    <w:p>
      <w:pPr>
        <w:spacing w:after="0" w:line="177"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Since January 2023, we have granted certain employees, consultants, and directors options to purchase an aggregate of 76,615,647 shares of our common stock under our 2022 Plan, at exercise prices ranging from $0.24 to $0.61 per share.</w:t>
      </w:r>
    </w:p>
    <w:p>
      <w:pPr>
        <w:spacing w:after="0" w:line="136"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Since January 2023, 197,977 stock options have been exercised under our 2022 Plan at a weighted average purchase price of $0.25 per share and 232,180 stock options have been exercised under our 2012 Plan at a weighted average purchase price of $0.22 per share.</w:t>
      </w:r>
    </w:p>
    <w:p>
      <w:pPr>
        <w:spacing w:after="0" w:line="218"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b w:val="1"/>
          <w:bCs w:val="1"/>
          <w:i w:val="1"/>
          <w:iCs w:val="1"/>
          <w:color w:val="auto"/>
        </w:rPr>
        <w:t>(c) Preferred Stock Issuances</w:t>
      </w:r>
    </w:p>
    <w:p>
      <w:pPr>
        <w:spacing w:after="0" w:line="177" w:lineRule="exact"/>
        <w:rPr>
          <w:sz w:val="20"/>
          <w:szCs w:val="20"/>
          <w:color w:val="auto"/>
        </w:rPr>
      </w:pPr>
    </w:p>
    <w:p>
      <w:pPr>
        <w:jc w:val="both"/>
        <w:ind w:left="1220" w:right="1239" w:firstLine="333"/>
        <w:spacing w:after="0" w:line="261" w:lineRule="auto"/>
        <w:rPr>
          <w:sz w:val="20"/>
          <w:szCs w:val="20"/>
          <w:color w:val="auto"/>
        </w:rPr>
      </w:pPr>
      <w:r>
        <w:rPr>
          <w:rFonts w:ascii="Times New Roman" w:cs="Times New Roman" w:eastAsia="Times New Roman" w:hAnsi="Times New Roman"/>
          <w:sz w:val="14"/>
          <w:szCs w:val="14"/>
          <w:color w:val="auto"/>
        </w:rPr>
        <w:t>In September 2023 and January 2024, we issued and sold to certain accredited investors an aggregate of 239,016,017 shares of Series C-1 convertible preferred stock at a price per share of $0.7323, for an aggregate purchase price of approximately $175.0 million and issued an aggregate of 24,207,788 shares of Series C-2 convertible preferred stock upon conversion of outstanding convertible notes.</w:t>
      </w:r>
    </w:p>
    <w:p>
      <w:pPr>
        <w:spacing w:after="0" w:line="141" w:lineRule="exact"/>
        <w:rPr>
          <w:sz w:val="20"/>
          <w:szCs w:val="20"/>
          <w:color w:val="auto"/>
        </w:rPr>
      </w:pPr>
    </w:p>
    <w:p>
      <w:pPr>
        <w:jc w:val="both"/>
        <w:ind w:left="1220" w:right="1239" w:firstLine="333"/>
        <w:spacing w:after="0" w:line="267" w:lineRule="auto"/>
        <w:rPr>
          <w:sz w:val="20"/>
          <w:szCs w:val="20"/>
          <w:color w:val="auto"/>
        </w:rPr>
      </w:pPr>
      <w:r>
        <w:rPr>
          <w:rFonts w:ascii="Times New Roman" w:cs="Times New Roman" w:eastAsia="Times New Roman" w:hAnsi="Times New Roman"/>
          <w:sz w:val="14"/>
          <w:szCs w:val="14"/>
          <w:color w:val="auto"/>
        </w:rPr>
        <w:t>In April 2025, June 2025, and July 2025, we issued and sold to certain accredited investors an aggregate of 126,036,334 shares of Series D convertible preferred stock at a price per share of $0.7963, for an aggregate purchase price of $100.4 million.</w:t>
      </w:r>
    </w:p>
    <w:p>
      <w:pPr>
        <w:spacing w:after="0" w:line="136"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None of the foregoing transactions involved any underwriters, underwriting discounts or commissions, or any public offering. Unless otherwise specified above, the Registrant believes these transactions were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under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the Registrant, to information about the Registrant. The sales of these securities were made without any general solicitation or advertising.</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1" w:name="page262"/>
    <w:bookmarkEnd w:id="261"/>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16. Exhibits and Financial Statement Schedules.</w:t>
      </w:r>
    </w:p>
    <w:p>
      <w:pPr>
        <w:spacing w:after="0" w:line="9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(a) Exhibits.</w:t>
      </w:r>
    </w:p>
    <w:p>
      <w:pPr>
        <w:spacing w:after="0" w:line="181" w:lineRule="exact"/>
        <w:rPr>
          <w:sz w:val="20"/>
          <w:szCs w:val="20"/>
          <w:color w:val="auto"/>
        </w:rPr>
      </w:pPr>
    </w:p>
    <w:tbl>
      <w:tblPr>
        <w:tblLayout w:type="fixed"/>
        <w:tblInd w:w="1220" w:type="dxa"/>
        <w:tblCellMar>
          <w:top w:w="0" w:type="dxa"/>
          <w:left w:w="0" w:type="dxa"/>
          <w:bottom w:w="0" w:type="dxa"/>
          <w:right w:w="0" w:type="dxa"/>
        </w:tblCellMar>
      </w:tblPr>
      <w:tr>
        <w:trPr>
          <w:trHeight w:val="126"/>
        </w:trPr>
        <w:tc>
          <w:tcPr>
            <w:tcW w:w="720" w:type="dxa"/>
            <w:vAlign w:val="bottom"/>
          </w:tcPr>
          <w:p>
            <w:pPr>
              <w:ind w:left="14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0" w:type="dxa"/>
            <w:vAlign w:val="bottom"/>
            <w:gridSpan w:val="6"/>
            <w:vMerge w:val="restart"/>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35"/>
        </w:trPr>
        <w:tc>
          <w:tcPr>
            <w:tcW w:w="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6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200" w:type="dxa"/>
            <w:vAlign w:val="bottom"/>
            <w:tcBorders>
              <w:bottom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Form of Underwriting Agreement.</w:t>
            </w:r>
          </w:p>
        </w:tc>
        <w:tc>
          <w:tcPr>
            <w:tcW w:w="0" w:type="dxa"/>
            <w:vAlign w:val="bottom"/>
          </w:tcPr>
          <w:p>
            <w:pPr>
              <w:spacing w:after="0"/>
              <w:rPr>
                <w:sz w:val="1"/>
                <w:szCs w:val="1"/>
                <w:color w:val="auto"/>
              </w:rPr>
            </w:pPr>
          </w:p>
        </w:tc>
      </w:tr>
      <w:tr>
        <w:trPr>
          <w:trHeight w:val="185"/>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48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4"/>
                <w:szCs w:val="14"/>
                <w:color w:val="0000FF"/>
                <w:w w:val="99"/>
              </w:rPr>
              <w:t>Amended and Restated Certificate of Incorporation, as amended, as currently in effect.</w:t>
            </w:r>
          </w:p>
        </w:tc>
        <w:tc>
          <w:tcPr>
            <w:tcW w:w="9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3.2*</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Certificate of Amendment to Amended and Restated Certificate of Incorporation, as amended.</w:t>
            </w:r>
          </w:p>
        </w:tc>
        <w:tc>
          <w:tcPr>
            <w:tcW w:w="0" w:type="dxa"/>
            <w:vAlign w:val="bottom"/>
          </w:tcPr>
          <w:p>
            <w:pPr>
              <w:spacing w:after="0"/>
              <w:rPr>
                <w:sz w:val="1"/>
                <w:szCs w:val="1"/>
                <w:color w:val="auto"/>
              </w:rPr>
            </w:pPr>
          </w:p>
        </w:tc>
      </w:tr>
      <w:tr>
        <w:trPr>
          <w:trHeight w:val="21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3.3*</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Form of Amended and Restated Certificate of Incorporation, to be in effect immediately prior to the</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completion of this offering.</w:t>
            </w:r>
          </w:p>
        </w:tc>
        <w:tc>
          <w:tcPr>
            <w:tcW w:w="0" w:type="dxa"/>
            <w:vAlign w:val="bottom"/>
          </w:tcPr>
          <w:p>
            <w:pPr>
              <w:spacing w:after="0"/>
              <w:rPr>
                <w:sz w:val="1"/>
                <w:szCs w:val="1"/>
                <w:color w:val="auto"/>
              </w:rPr>
            </w:pPr>
          </w:p>
        </w:tc>
      </w:tr>
      <w:tr>
        <w:trPr>
          <w:trHeight w:val="20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3.4</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Amended and Restated Bylaws, as currently in effect.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3.5*</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Form of Amended and Restated Bylaws, to be in effect as of the effectiveness of the registration</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statement of which this prospectus forms a part.</w:t>
            </w:r>
          </w:p>
        </w:tc>
        <w:tc>
          <w:tcPr>
            <w:tcW w:w="0" w:type="dxa"/>
            <w:vAlign w:val="bottom"/>
          </w:tcPr>
          <w:p>
            <w:pPr>
              <w:spacing w:after="0"/>
              <w:rPr>
                <w:sz w:val="1"/>
                <w:szCs w:val="1"/>
                <w:color w:val="auto"/>
              </w:rPr>
            </w:pPr>
          </w:p>
        </w:tc>
      </w:tr>
      <w:tr>
        <w:trPr>
          <w:trHeight w:val="20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21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w w:val="99"/>
              </w:rPr>
              <w:t>Specimen Common Stock Certificate.</w:t>
            </w:r>
          </w:p>
        </w:tc>
        <w:tc>
          <w:tcPr>
            <w:tcW w:w="37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4.2†+</w:t>
            </w:r>
          </w:p>
        </w:tc>
        <w:tc>
          <w:tcPr>
            <w:tcW w:w="5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Amended and Restated Investors’ Rights Agreement, by and between the Registrant and certain of its</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5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FF"/>
              </w:rPr>
              <w:t>stockholders, dated as of April 25, 2025.</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4.3</w:t>
            </w:r>
          </w:p>
        </w:tc>
        <w:tc>
          <w:tcPr>
            <w:tcW w:w="5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Warrant to Purchase Stock, dated January 13, 2025, by and between the Registrant and Bruce</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80" w:type="dxa"/>
            <w:vAlign w:val="bottom"/>
            <w:tcBorders>
              <w:bottom w:val="single" w:sz="8" w:color="0000FF"/>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FF"/>
                <w:w w:val="99"/>
              </w:rPr>
              <w:t>Montgomery.</w:t>
            </w:r>
          </w:p>
        </w:tc>
        <w:tc>
          <w:tcPr>
            <w:tcW w:w="5060" w:type="dxa"/>
            <w:vAlign w:val="bottom"/>
            <w:gridSpan w:val="12"/>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5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Warrant to Purchase Stock, dated February 3, 2026, by and between the Registrant and Banc of</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620" w:type="dxa"/>
            <w:vAlign w:val="bottom"/>
            <w:tcBorders>
              <w:bottom w:val="single" w:sz="8" w:color="0000FF"/>
            </w:tcBorders>
          </w:tcPr>
          <w:p>
            <w:pPr>
              <w:spacing w:after="0" w:line="148" w:lineRule="exact"/>
              <w:rPr>
                <w:sz w:val="20"/>
                <w:szCs w:val="20"/>
                <w:color w:val="auto"/>
              </w:rPr>
            </w:pPr>
            <w:r>
              <w:rPr>
                <w:rFonts w:ascii="Times New Roman" w:cs="Times New Roman" w:eastAsia="Times New Roman" w:hAnsi="Times New Roman"/>
                <w:sz w:val="14"/>
                <w:szCs w:val="14"/>
                <w:color w:val="0000FF"/>
                <w:w w:val="99"/>
              </w:rPr>
              <w:t>California.</w:t>
            </w:r>
          </w:p>
        </w:tc>
        <w:tc>
          <w:tcPr>
            <w:tcW w:w="5220" w:type="dxa"/>
            <w:vAlign w:val="bottom"/>
            <w:gridSpan w:val="14"/>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5.1*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Opinion of Goodwin Procter LLP.</w:t>
            </w:r>
          </w:p>
        </w:tc>
        <w:tc>
          <w:tcPr>
            <w:tcW w:w="0" w:type="dxa"/>
            <w:vAlign w:val="bottom"/>
          </w:tcPr>
          <w:p>
            <w:pPr>
              <w:spacing w:after="0"/>
              <w:rPr>
                <w:sz w:val="1"/>
                <w:szCs w:val="1"/>
                <w:color w:val="auto"/>
              </w:rPr>
            </w:pPr>
          </w:p>
        </w:tc>
      </w:tr>
      <w:tr>
        <w:trPr>
          <w:trHeight w:val="20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4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2012 Equity Incentive Plan, as amended, and form of award agreements thereunder.</w:t>
            </w:r>
          </w:p>
        </w:tc>
        <w:tc>
          <w:tcPr>
            <w:tcW w:w="112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w:t>
            </w:r>
          </w:p>
        </w:tc>
        <w:tc>
          <w:tcPr>
            <w:tcW w:w="47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w w:val="99"/>
              </w:rPr>
              <w:t>2022 Equity Incentive Plan, as amended, and form of award agreements thereunder.</w:t>
            </w:r>
          </w:p>
        </w:tc>
        <w:tc>
          <w:tcPr>
            <w:tcW w:w="1120" w:type="dxa"/>
            <w:vAlign w:val="bottom"/>
            <w:gridSpan w:val="4"/>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10.3*#</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2026 Equity Incentive Plan and form of award agreements thereunder.</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10.4*#</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2026 Employee Stock Purchase Plan.</w:t>
            </w:r>
          </w:p>
        </w:tc>
        <w:tc>
          <w:tcPr>
            <w:tcW w:w="0" w:type="dxa"/>
            <w:vAlign w:val="bottom"/>
          </w:tcPr>
          <w:p>
            <w:pPr>
              <w:spacing w:after="0"/>
              <w:rPr>
                <w:sz w:val="1"/>
                <w:szCs w:val="1"/>
                <w:color w:val="auto"/>
              </w:rPr>
            </w:pPr>
          </w:p>
        </w:tc>
      </w:tr>
      <w:tr>
        <w:trPr>
          <w:trHeight w:val="20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10.5#</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Form of Indemnification Agreement, by and between the Registrant and each of its directors.</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w:t>
            </w:r>
          </w:p>
        </w:tc>
        <w:tc>
          <w:tcPr>
            <w:tcW w:w="57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4"/>
                <w:szCs w:val="14"/>
                <w:color w:val="0000FF"/>
                <w:w w:val="99"/>
              </w:rPr>
              <w:t>Form of Indemnification Agreement, by and between the Registrant and each of its executive officers.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10.7#</w:t>
            </w:r>
          </w:p>
        </w:tc>
        <w:tc>
          <w:tcPr>
            <w:tcW w:w="25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w w:val="99"/>
              </w:rPr>
              <w:t>Senior Executive Cash Incentive Bonus Plan.</w:t>
            </w:r>
          </w:p>
        </w:tc>
        <w:tc>
          <w:tcPr>
            <w:tcW w:w="3280" w:type="dxa"/>
            <w:vAlign w:val="bottom"/>
            <w:gridSpan w:val="7"/>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10.8*#</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Executive Severance Plan.</w:t>
            </w:r>
          </w:p>
        </w:tc>
        <w:tc>
          <w:tcPr>
            <w:tcW w:w="0" w:type="dxa"/>
            <w:vAlign w:val="bottom"/>
          </w:tcPr>
          <w:p>
            <w:pPr>
              <w:spacing w:after="0"/>
              <w:rPr>
                <w:sz w:val="1"/>
                <w:szCs w:val="1"/>
                <w:color w:val="auto"/>
              </w:rPr>
            </w:pPr>
          </w:p>
        </w:tc>
      </w:tr>
      <w:tr>
        <w:trPr>
          <w:trHeight w:val="20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10.9#</w:t>
            </w:r>
          </w:p>
        </w:tc>
        <w:tc>
          <w:tcPr>
            <w:tcW w:w="26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4"/>
                <w:szCs w:val="14"/>
                <w:color w:val="0000FF"/>
                <w:w w:val="99"/>
              </w:rPr>
              <w:t>Non-Employee Director Compensation Policy.</w:t>
            </w:r>
          </w:p>
        </w:tc>
        <w:tc>
          <w:tcPr>
            <w:tcW w:w="3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10.10#</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0000FF"/>
              </w:rPr>
              <w:t>Compensation Recovery Policy</w:t>
            </w:r>
            <w:r>
              <w:rPr>
                <w:rFonts w:ascii="Times New Roman" w:cs="Times New Roman" w:eastAsia="Times New Roman" w:hAnsi="Times New Roman"/>
                <w:sz w:val="14"/>
                <w:szCs w:val="14"/>
                <w:color w:val="000000"/>
              </w:rPr>
              <w:t>.</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10.11*#</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Form of Employment Agreement for Executive Officers, to be in effect upon the completion of this</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offering.</w:t>
            </w:r>
          </w:p>
        </w:tc>
        <w:tc>
          <w:tcPr>
            <w:tcW w:w="0" w:type="dxa"/>
            <w:vAlign w:val="bottom"/>
          </w:tcPr>
          <w:p>
            <w:pPr>
              <w:spacing w:after="0"/>
              <w:rPr>
                <w:sz w:val="1"/>
                <w:szCs w:val="1"/>
                <w:color w:val="auto"/>
              </w:rPr>
            </w:pPr>
          </w:p>
        </w:tc>
      </w:tr>
      <w:tr>
        <w:trPr>
          <w:trHeight w:val="217"/>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10.12*#</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Offer Letter, by and between the Registrant and Lyn Baranowski, dated September 26, 2022, as</w:t>
            </w:r>
          </w:p>
        </w:tc>
        <w:tc>
          <w:tcPr>
            <w:tcW w:w="0" w:type="dxa"/>
            <w:vAlign w:val="bottom"/>
          </w:tcPr>
          <w:p>
            <w:pPr>
              <w:spacing w:after="0"/>
              <w:rPr>
                <w:sz w:val="1"/>
                <w:szCs w:val="1"/>
                <w:color w:val="auto"/>
              </w:rPr>
            </w:pPr>
          </w:p>
        </w:tc>
      </w:tr>
      <w:tr>
        <w:trPr>
          <w:trHeight w:val="183"/>
        </w:trPr>
        <w:tc>
          <w:tcPr>
            <w:tcW w:w="720" w:type="dxa"/>
            <w:vAlign w:val="bottom"/>
          </w:tcPr>
          <w:p>
            <w:pPr>
              <w:spacing w:after="0"/>
              <w:rPr>
                <w:sz w:val="15"/>
                <w:szCs w:val="15"/>
                <w:color w:val="auto"/>
              </w:rPr>
            </w:pP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amended.</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10.13*#</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Offer Letter, by and between the Registrant and Douglas Carlson, dated April 23, 2024.</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10.14*#</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Offer Letter, by and between the Registrant and Melissa Rhodes, dated August 14, 2023, as amended.</w:t>
            </w:r>
          </w:p>
        </w:tc>
        <w:tc>
          <w:tcPr>
            <w:tcW w:w="0" w:type="dxa"/>
            <w:vAlign w:val="bottom"/>
          </w:tcPr>
          <w:p>
            <w:pPr>
              <w:spacing w:after="0"/>
              <w:rPr>
                <w:sz w:val="1"/>
                <w:szCs w:val="1"/>
                <w:color w:val="auto"/>
              </w:rPr>
            </w:pPr>
          </w:p>
        </w:tc>
      </w:tr>
      <w:tr>
        <w:trPr>
          <w:trHeight w:val="23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5840" w:type="dxa"/>
            <w:vAlign w:val="bottom"/>
            <w:gridSpan w:val="15"/>
          </w:tcPr>
          <w:p>
            <w:pPr>
              <w:spacing w:after="0"/>
              <w:rPr>
                <w:sz w:val="20"/>
                <w:szCs w:val="20"/>
                <w:color w:val="auto"/>
              </w:rPr>
            </w:pPr>
            <w:r>
              <w:rPr>
                <w:rFonts w:ascii="Times New Roman" w:cs="Times New Roman" w:eastAsia="Times New Roman" w:hAnsi="Times New Roman"/>
                <w:sz w:val="14"/>
                <w:szCs w:val="14"/>
                <w:color w:val="auto"/>
              </w:rPr>
              <w:t>Offer Letter, by and between the Registrant and Howard Lazarus, dated June 15, 2023.</w:t>
            </w:r>
          </w:p>
        </w:tc>
        <w:tc>
          <w:tcPr>
            <w:tcW w:w="0" w:type="dxa"/>
            <w:vAlign w:val="bottom"/>
          </w:tcPr>
          <w:p>
            <w:pPr>
              <w:spacing w:after="0"/>
              <w:rPr>
                <w:sz w:val="1"/>
                <w:szCs w:val="1"/>
                <w:color w:val="auto"/>
              </w:rPr>
            </w:pPr>
          </w:p>
        </w:tc>
      </w:tr>
      <w:tr>
        <w:trPr>
          <w:trHeight w:val="200"/>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10.16†+</w:t>
            </w:r>
          </w:p>
        </w:tc>
        <w:tc>
          <w:tcPr>
            <w:tcW w:w="5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w w:val="99"/>
              </w:rPr>
              <w:t>License Agreement dated April 3, 2017, by and between the Registrant and PARI Technology Services,</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740" w:type="dxa"/>
            <w:vAlign w:val="bottom"/>
            <w:tcBorders>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FF"/>
              </w:rPr>
              <w:t>as amended.</w:t>
            </w:r>
          </w:p>
        </w:tc>
        <w:tc>
          <w:tcPr>
            <w:tcW w:w="510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10.17†+</w:t>
            </w:r>
          </w:p>
        </w:tc>
        <w:tc>
          <w:tcPr>
            <w:tcW w:w="5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Amendment No. 1 to License Agreement dated October 15, 2020, by and between the Registrant and</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2340" w:type="dxa"/>
            <w:vAlign w:val="bottom"/>
            <w:tcBorders>
              <w:bottom w:val="single" w:sz="8" w:color="0000FF"/>
            </w:tcBorders>
            <w:gridSpan w:val="7"/>
          </w:tcPr>
          <w:p>
            <w:pPr>
              <w:spacing w:after="0" w:line="148" w:lineRule="exact"/>
              <w:rPr>
                <w:sz w:val="20"/>
                <w:szCs w:val="20"/>
                <w:color w:val="auto"/>
              </w:rPr>
            </w:pPr>
            <w:r>
              <w:rPr>
                <w:rFonts w:ascii="Times New Roman" w:cs="Times New Roman" w:eastAsia="Times New Roman" w:hAnsi="Times New Roman"/>
                <w:sz w:val="14"/>
                <w:szCs w:val="14"/>
                <w:color w:val="0000FF"/>
              </w:rPr>
              <w:t>PARI Technology Services, as amended.</w:t>
            </w:r>
          </w:p>
        </w:tc>
        <w:tc>
          <w:tcPr>
            <w:tcW w:w="3500" w:type="dxa"/>
            <w:vAlign w:val="bottom"/>
            <w:gridSpan w:val="8"/>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10.18†+</w:t>
            </w:r>
          </w:p>
        </w:tc>
        <w:tc>
          <w:tcPr>
            <w:tcW w:w="58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4"/>
                <w:szCs w:val="14"/>
                <w:color w:val="0000FF"/>
              </w:rPr>
              <w:t>Amendment No. 2 to License Agreement dated February 9, 2021, by and between the Registrant and</w:t>
            </w:r>
          </w:p>
        </w:tc>
        <w:tc>
          <w:tcPr>
            <w:tcW w:w="0" w:type="dxa"/>
            <w:vAlign w:val="bottom"/>
          </w:tcPr>
          <w:p>
            <w:pPr>
              <w:spacing w:after="0"/>
              <w:rPr>
                <w:sz w:val="1"/>
                <w:szCs w:val="1"/>
                <w:color w:val="auto"/>
              </w:rPr>
            </w:pPr>
          </w:p>
        </w:tc>
      </w:tr>
      <w:tr>
        <w:trPr>
          <w:trHeight w:val="148"/>
        </w:trPr>
        <w:tc>
          <w:tcPr>
            <w:tcW w:w="720" w:type="dxa"/>
            <w:vAlign w:val="bottom"/>
          </w:tcPr>
          <w:p>
            <w:pPr>
              <w:spacing w:after="0"/>
              <w:rPr>
                <w:sz w:val="12"/>
                <w:szCs w:val="12"/>
                <w:color w:val="auto"/>
              </w:rPr>
            </w:pPr>
          </w:p>
        </w:tc>
        <w:tc>
          <w:tcPr>
            <w:tcW w:w="58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FF"/>
              </w:rPr>
              <w:t>PARI Technology Services, as amended.</w:t>
            </w: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2" w:name="page263"/>
    <w:bookmarkEnd w:id="262"/>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940" w:right="1239" w:hanging="625"/>
        <w:spacing w:after="0" w:line="283" w:lineRule="auto"/>
        <w:tabs>
          <w:tab w:leader="none" w:pos="1920" w:val="left"/>
        </w:tabs>
        <w:rPr>
          <w:sz w:val="20"/>
          <w:szCs w:val="20"/>
          <w:color w:val="auto"/>
        </w:rPr>
      </w:pPr>
      <w:r>
        <w:rPr>
          <w:rFonts w:ascii="Times New Roman" w:cs="Times New Roman" w:eastAsia="Times New Roman" w:hAnsi="Times New Roman"/>
          <w:sz w:val="14"/>
          <w:szCs w:val="14"/>
          <w:color w:val="auto"/>
        </w:rPr>
        <w:t>10.19†+</w:t>
      </w:r>
      <w:r>
        <w:rPr>
          <w:sz w:val="20"/>
          <w:szCs w:val="20"/>
          <w:color w:val="auto"/>
        </w:rPr>
        <w:tab/>
      </w:r>
      <w:r>
        <w:rPr>
          <w:rFonts w:ascii="Times New Roman" w:cs="Times New Roman" w:eastAsia="Times New Roman" w:hAnsi="Times New Roman"/>
          <w:sz w:val="14"/>
          <w:szCs w:val="14"/>
          <w:u w:val="single" w:color="auto"/>
          <w:color w:val="0000FF"/>
        </w:rPr>
        <w:t>Material Transfer Agreement, dated January 23, 2020, by and between the Registrant and PARI Technology Services, as amended.</w:t>
      </w:r>
    </w:p>
    <w:p>
      <w:pPr>
        <w:spacing w:after="0" w:line="20" w:lineRule="exact"/>
        <w:rPr>
          <w:sz w:val="20"/>
          <w:szCs w:val="20"/>
          <w:color w:val="auto"/>
        </w:rPr>
      </w:pPr>
    </w:p>
    <w:p>
      <w:pPr>
        <w:ind w:left="1940" w:right="1239" w:hanging="625"/>
        <w:spacing w:after="0" w:line="283" w:lineRule="auto"/>
        <w:tabs>
          <w:tab w:leader="none" w:pos="1920" w:val="left"/>
        </w:tabs>
        <w:rPr>
          <w:sz w:val="20"/>
          <w:szCs w:val="20"/>
          <w:color w:val="auto"/>
        </w:rPr>
      </w:pPr>
      <w:r>
        <w:rPr>
          <w:rFonts w:ascii="Times New Roman" w:cs="Times New Roman" w:eastAsia="Times New Roman" w:hAnsi="Times New Roman"/>
          <w:sz w:val="14"/>
          <w:szCs w:val="14"/>
          <w:color w:val="auto"/>
        </w:rPr>
        <w:t>10.20†+</w:t>
      </w:r>
      <w:r>
        <w:rPr>
          <w:sz w:val="20"/>
          <w:szCs w:val="20"/>
          <w:color w:val="auto"/>
        </w:rPr>
        <w:tab/>
      </w:r>
      <w:r>
        <w:rPr>
          <w:rFonts w:ascii="Times New Roman" w:cs="Times New Roman" w:eastAsia="Times New Roman" w:hAnsi="Times New Roman"/>
          <w:sz w:val="14"/>
          <w:szCs w:val="14"/>
          <w:u w:val="single" w:color="auto"/>
          <w:color w:val="0000FF"/>
        </w:rPr>
        <w:t>Amendment No. 1 to Material Transfer Agreement, dated November 22, 2021, by and between the Registrant and PARI Technology Services, as amended.</w:t>
      </w:r>
    </w:p>
    <w:p>
      <w:pPr>
        <w:spacing w:after="0" w:line="20" w:lineRule="exact"/>
        <w:rPr>
          <w:sz w:val="20"/>
          <w:szCs w:val="20"/>
          <w:color w:val="auto"/>
        </w:rPr>
      </w:pPr>
    </w:p>
    <w:p>
      <w:pPr>
        <w:ind w:left="1940" w:right="1239" w:hanging="625"/>
        <w:spacing w:after="0" w:line="283" w:lineRule="auto"/>
        <w:tabs>
          <w:tab w:leader="none" w:pos="1920" w:val="left"/>
        </w:tabs>
        <w:rPr>
          <w:sz w:val="20"/>
          <w:szCs w:val="20"/>
          <w:color w:val="auto"/>
        </w:rPr>
      </w:pPr>
      <w:r>
        <w:rPr>
          <w:rFonts w:ascii="Times New Roman" w:cs="Times New Roman" w:eastAsia="Times New Roman" w:hAnsi="Times New Roman"/>
          <w:sz w:val="14"/>
          <w:szCs w:val="14"/>
          <w:color w:val="auto"/>
        </w:rPr>
        <w:t>10.21†+</w:t>
      </w:r>
      <w:r>
        <w:rPr>
          <w:sz w:val="20"/>
          <w:szCs w:val="20"/>
          <w:color w:val="auto"/>
        </w:rPr>
        <w:tab/>
      </w:r>
      <w:r>
        <w:rPr>
          <w:rFonts w:ascii="Times New Roman" w:cs="Times New Roman" w:eastAsia="Times New Roman" w:hAnsi="Times New Roman"/>
          <w:sz w:val="14"/>
          <w:szCs w:val="14"/>
          <w:u w:val="single" w:color="auto"/>
          <w:color w:val="0000FF"/>
        </w:rPr>
        <w:t>Amendment No. 2 to Material Transfer Agreement, dated January 22, 2023, by and between the Registrant and PARI Technology Services, as amended.</w:t>
      </w:r>
    </w:p>
    <w:p>
      <w:pPr>
        <w:spacing w:after="0" w:line="20" w:lineRule="exact"/>
        <w:rPr>
          <w:sz w:val="20"/>
          <w:szCs w:val="20"/>
          <w:color w:val="auto"/>
        </w:rPr>
      </w:pPr>
    </w:p>
    <w:p>
      <w:pPr>
        <w:ind w:left="1940" w:right="1239" w:hanging="625"/>
        <w:spacing w:after="0" w:line="283" w:lineRule="auto"/>
        <w:tabs>
          <w:tab w:leader="none" w:pos="1920" w:val="left"/>
        </w:tabs>
        <w:rPr>
          <w:sz w:val="20"/>
          <w:szCs w:val="20"/>
          <w:color w:val="auto"/>
        </w:rPr>
      </w:pPr>
      <w:r>
        <w:rPr>
          <w:rFonts w:ascii="Times New Roman" w:cs="Times New Roman" w:eastAsia="Times New Roman" w:hAnsi="Times New Roman"/>
          <w:sz w:val="14"/>
          <w:szCs w:val="14"/>
          <w:color w:val="auto"/>
        </w:rPr>
        <w:t>10.22†+</w:t>
      </w:r>
      <w:r>
        <w:rPr>
          <w:sz w:val="20"/>
          <w:szCs w:val="20"/>
          <w:color w:val="auto"/>
        </w:rPr>
        <w:tab/>
      </w:r>
      <w:r>
        <w:rPr>
          <w:rFonts w:ascii="Times New Roman" w:cs="Times New Roman" w:eastAsia="Times New Roman" w:hAnsi="Times New Roman"/>
          <w:sz w:val="14"/>
          <w:szCs w:val="14"/>
          <w:u w:val="single" w:color="auto"/>
          <w:color w:val="0000FF"/>
        </w:rPr>
        <w:t>Amendment No. 3 to Material Transfer Agreement, dated March 20, 2025, by and between the Registrant and PARI Technology Services, as amended.</w:t>
      </w:r>
    </w:p>
    <w:p>
      <w:pPr>
        <w:spacing w:after="0" w:line="20" w:lineRule="exact"/>
        <w:rPr>
          <w:sz w:val="20"/>
          <w:szCs w:val="20"/>
          <w:color w:val="auto"/>
        </w:rPr>
      </w:pPr>
    </w:p>
    <w:p>
      <w:pPr>
        <w:ind w:left="1940" w:right="1239" w:hanging="625"/>
        <w:spacing w:after="0" w:line="283" w:lineRule="auto"/>
        <w:tabs>
          <w:tab w:leader="none" w:pos="1920" w:val="left"/>
        </w:tabs>
        <w:rPr>
          <w:sz w:val="20"/>
          <w:szCs w:val="20"/>
          <w:color w:val="auto"/>
        </w:rPr>
      </w:pPr>
      <w:r>
        <w:rPr>
          <w:rFonts w:ascii="Times New Roman" w:cs="Times New Roman" w:eastAsia="Times New Roman" w:hAnsi="Times New Roman"/>
          <w:sz w:val="14"/>
          <w:szCs w:val="14"/>
          <w:color w:val="auto"/>
        </w:rPr>
        <w:t>10.23†+</w:t>
      </w:r>
      <w:r>
        <w:rPr>
          <w:sz w:val="20"/>
          <w:szCs w:val="20"/>
          <w:color w:val="auto"/>
        </w:rPr>
        <w:tab/>
      </w:r>
      <w:r>
        <w:rPr>
          <w:rFonts w:ascii="Times New Roman" w:cs="Times New Roman" w:eastAsia="Times New Roman" w:hAnsi="Times New Roman"/>
          <w:sz w:val="14"/>
          <w:szCs w:val="14"/>
          <w:u w:val="single" w:color="auto"/>
          <w:color w:val="0000FF"/>
        </w:rPr>
        <w:t>Option Agreement, dated January 1, 2024, by and between the Registrant and PARI Technology Services.</w:t>
      </w:r>
    </w:p>
    <w:p>
      <w:pPr>
        <w:spacing w:after="0" w:line="20" w:lineRule="exact"/>
        <w:rPr>
          <w:sz w:val="20"/>
          <w:szCs w:val="20"/>
          <w:color w:val="auto"/>
        </w:rPr>
      </w:pPr>
    </w:p>
    <w:p>
      <w:pPr>
        <w:ind w:left="1940" w:right="1239" w:hanging="625"/>
        <w:spacing w:after="0" w:line="283" w:lineRule="auto"/>
        <w:tabs>
          <w:tab w:leader="none" w:pos="1920" w:val="left"/>
        </w:tabs>
        <w:rPr>
          <w:sz w:val="20"/>
          <w:szCs w:val="20"/>
          <w:color w:val="auto"/>
        </w:rPr>
      </w:pPr>
      <w:r>
        <w:rPr>
          <w:rFonts w:ascii="Times New Roman" w:cs="Times New Roman" w:eastAsia="Times New Roman" w:hAnsi="Times New Roman"/>
          <w:sz w:val="14"/>
          <w:szCs w:val="14"/>
          <w:color w:val="auto"/>
        </w:rPr>
        <w:t>10.24†+</w:t>
      </w:r>
      <w:r>
        <w:rPr>
          <w:sz w:val="20"/>
          <w:szCs w:val="20"/>
          <w:color w:val="auto"/>
        </w:rPr>
        <w:tab/>
      </w:r>
      <w:r>
        <w:rPr>
          <w:rFonts w:ascii="Times New Roman" w:cs="Times New Roman" w:eastAsia="Times New Roman" w:hAnsi="Times New Roman"/>
          <w:sz w:val="14"/>
          <w:szCs w:val="14"/>
          <w:u w:val="single" w:color="auto"/>
          <w:color w:val="0000FF"/>
        </w:rPr>
        <w:t>Sublease Agreement, by and between the Registrant and CRISPR Therapeutics, Inc., dated as of August 29, 2025.</w:t>
      </w:r>
    </w:p>
    <w:p>
      <w:pPr>
        <w:spacing w:after="0" w:line="20" w:lineRule="exact"/>
        <w:rPr>
          <w:sz w:val="20"/>
          <w:szCs w:val="20"/>
          <w:color w:val="auto"/>
        </w:rPr>
      </w:pPr>
    </w:p>
    <w:p>
      <w:pPr>
        <w:ind w:left="1940" w:right="1239" w:hanging="625"/>
        <w:spacing w:after="0" w:line="283" w:lineRule="auto"/>
        <w:tabs>
          <w:tab w:leader="none" w:pos="1920" w:val="left"/>
        </w:tabs>
        <w:rPr>
          <w:sz w:val="20"/>
          <w:szCs w:val="20"/>
          <w:color w:val="auto"/>
        </w:rPr>
      </w:pPr>
      <w:r>
        <w:rPr>
          <w:rFonts w:ascii="Times New Roman" w:cs="Times New Roman" w:eastAsia="Times New Roman" w:hAnsi="Times New Roman"/>
          <w:sz w:val="14"/>
          <w:szCs w:val="14"/>
          <w:color w:val="auto"/>
        </w:rPr>
        <w:t>10.25†+</w:t>
      </w:r>
      <w:r>
        <w:rPr>
          <w:sz w:val="20"/>
          <w:szCs w:val="20"/>
          <w:color w:val="auto"/>
        </w:rPr>
        <w:tab/>
      </w:r>
      <w:r>
        <w:rPr>
          <w:rFonts w:ascii="Times New Roman" w:cs="Times New Roman" w:eastAsia="Times New Roman" w:hAnsi="Times New Roman"/>
          <w:sz w:val="14"/>
          <w:szCs w:val="14"/>
          <w:u w:val="single" w:color="auto"/>
          <w:color w:val="0000FF"/>
        </w:rPr>
        <w:t>Loan and Security Agreement, dated February 3, 2026, by and between the Registrant and Banc of California.</w:t>
      </w:r>
    </w:p>
    <w:p>
      <w:pPr>
        <w:spacing w:after="0" w:line="20"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4"/>
          <w:szCs w:val="14"/>
          <w:color w:val="auto"/>
        </w:rPr>
        <w:t>21.1</w:t>
      </w:r>
      <w:r>
        <w:rPr>
          <w:sz w:val="20"/>
          <w:szCs w:val="20"/>
          <w:color w:val="auto"/>
        </w:rPr>
        <w:tab/>
      </w:r>
      <w:r>
        <w:rPr>
          <w:rFonts w:ascii="Times New Roman" w:cs="Times New Roman" w:eastAsia="Times New Roman" w:hAnsi="Times New Roman"/>
          <w:sz w:val="14"/>
          <w:szCs w:val="14"/>
          <w:u w:val="single" w:color="auto"/>
          <w:color w:val="0000FF"/>
        </w:rPr>
        <w:t>Subsidiaries of Registrant.</w:t>
      </w:r>
    </w:p>
    <w:p>
      <w:pPr>
        <w:spacing w:after="0" w:line="70"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4"/>
          <w:szCs w:val="14"/>
          <w:color w:val="auto"/>
        </w:rPr>
        <w:t>23.1</w:t>
      </w:r>
      <w:r>
        <w:rPr>
          <w:sz w:val="20"/>
          <w:szCs w:val="20"/>
          <w:color w:val="auto"/>
        </w:rPr>
        <w:tab/>
      </w:r>
      <w:r>
        <w:rPr>
          <w:rFonts w:ascii="Times New Roman" w:cs="Times New Roman" w:eastAsia="Times New Roman" w:hAnsi="Times New Roman"/>
          <w:sz w:val="14"/>
          <w:szCs w:val="14"/>
          <w:u w:val="single" w:color="auto"/>
          <w:color w:val="0000FF"/>
        </w:rPr>
        <w:t>Consent of Deloitte &amp; Touche LLP, Independent Registered Public Accounting Firm.</w:t>
      </w:r>
    </w:p>
    <w:p>
      <w:pPr>
        <w:spacing w:after="0" w:line="70" w:lineRule="exact"/>
        <w:rPr>
          <w:sz w:val="20"/>
          <w:szCs w:val="20"/>
          <w:color w:val="auto"/>
        </w:rPr>
      </w:pPr>
    </w:p>
    <w:p>
      <w:pPr>
        <w:ind w:left="1400"/>
        <w:spacing w:after="0"/>
        <w:tabs>
          <w:tab w:leader="none" w:pos="1920" w:val="left"/>
        </w:tabs>
        <w:rPr>
          <w:sz w:val="20"/>
          <w:szCs w:val="20"/>
          <w:color w:val="auto"/>
        </w:rPr>
      </w:pPr>
      <w:r>
        <w:rPr>
          <w:rFonts w:ascii="Times New Roman" w:cs="Times New Roman" w:eastAsia="Times New Roman" w:hAnsi="Times New Roman"/>
          <w:sz w:val="14"/>
          <w:szCs w:val="14"/>
          <w:color w:val="auto"/>
        </w:rPr>
        <w:t>23.2*</w:t>
      </w:r>
      <w:r>
        <w:rPr>
          <w:sz w:val="20"/>
          <w:szCs w:val="20"/>
          <w:color w:val="auto"/>
        </w:rPr>
        <w:tab/>
      </w:r>
      <w:r>
        <w:rPr>
          <w:rFonts w:ascii="Times New Roman" w:cs="Times New Roman" w:eastAsia="Times New Roman" w:hAnsi="Times New Roman"/>
          <w:sz w:val="14"/>
          <w:szCs w:val="14"/>
          <w:color w:val="auto"/>
        </w:rPr>
        <w:t>Consent of Goodwin Procter LLP (included in Exhibit 5.1).</w:t>
      </w:r>
    </w:p>
    <w:p>
      <w:pPr>
        <w:spacing w:after="0" w:line="70" w:lineRule="exact"/>
        <w:rPr>
          <w:sz w:val="20"/>
          <w:szCs w:val="20"/>
          <w:color w:val="auto"/>
        </w:rPr>
      </w:pPr>
    </w:p>
    <w:p>
      <w:pPr>
        <w:ind w:left="1440"/>
        <w:spacing w:after="0"/>
        <w:tabs>
          <w:tab w:leader="none" w:pos="1920" w:val="left"/>
        </w:tabs>
        <w:rPr>
          <w:sz w:val="20"/>
          <w:szCs w:val="20"/>
          <w:color w:val="auto"/>
        </w:rPr>
      </w:pPr>
      <w:r>
        <w:rPr>
          <w:rFonts w:ascii="Times New Roman" w:cs="Times New Roman" w:eastAsia="Times New Roman" w:hAnsi="Times New Roman"/>
          <w:sz w:val="14"/>
          <w:szCs w:val="14"/>
          <w:color w:val="auto"/>
        </w:rPr>
        <w:t>24.1</w:t>
      </w:r>
      <w:r>
        <w:rPr>
          <w:sz w:val="20"/>
          <w:szCs w:val="20"/>
          <w:color w:val="auto"/>
        </w:rPr>
        <w:tab/>
      </w:r>
      <w:r>
        <w:rPr>
          <w:rFonts w:ascii="Times New Roman" w:cs="Times New Roman" w:eastAsia="Times New Roman" w:hAnsi="Times New Roman"/>
          <w:sz w:val="14"/>
          <w:szCs w:val="14"/>
          <w:u w:val="single" w:color="auto"/>
          <w:color w:val="0000FF"/>
        </w:rPr>
        <w:t>Power of Attorney (included on signature page).</w:t>
      </w:r>
    </w:p>
    <w:p>
      <w:pPr>
        <w:spacing w:after="0" w:line="70" w:lineRule="exact"/>
        <w:rPr>
          <w:sz w:val="20"/>
          <w:szCs w:val="20"/>
          <w:color w:val="auto"/>
        </w:rPr>
      </w:pPr>
    </w:p>
    <w:p>
      <w:pPr>
        <w:ind w:left="1220" w:right="6099" w:firstLine="230"/>
        <w:spacing w:after="0" w:line="426" w:lineRule="auto"/>
        <w:tabs>
          <w:tab w:leader="none" w:pos="1945" w:val="left"/>
        </w:tabs>
        <w:numPr>
          <w:ilvl w:val="1"/>
          <w:numId w:val="1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0000FF"/>
        </w:rPr>
        <w:t xml:space="preserve">Filing Fee Table. </w:t>
      </w:r>
      <w:r>
        <w:rPr>
          <w:rFonts w:ascii="Times New Roman" w:cs="Times New Roman" w:eastAsia="Times New Roman" w:hAnsi="Times New Roman"/>
          <w:sz w:val="14"/>
          <w:szCs w:val="14"/>
          <w:color w:val="000000"/>
        </w:rPr>
        <w:t>* To be filed by amendment.</w:t>
      </w:r>
    </w:p>
    <w:p>
      <w:pPr>
        <w:ind w:left="1220"/>
        <w:spacing w:after="0"/>
        <w:rPr>
          <w:sz w:val="20"/>
          <w:szCs w:val="20"/>
          <w:color w:val="auto"/>
        </w:rPr>
      </w:pPr>
      <w:r>
        <w:rPr>
          <w:rFonts w:ascii="Times New Roman" w:cs="Times New Roman" w:eastAsia="Times New Roman" w:hAnsi="Times New Roman"/>
          <w:sz w:val="14"/>
          <w:szCs w:val="14"/>
          <w:color w:val="auto"/>
        </w:rPr>
        <w:t># Indicates a management contract or any compensatory plan, contract or arrangement.</w:t>
      </w:r>
    </w:p>
    <w:p>
      <w:pPr>
        <w:spacing w:after="0" w:line="7" w:lineRule="exact"/>
        <w:rPr>
          <w:sz w:val="20"/>
          <w:szCs w:val="20"/>
          <w:color w:val="auto"/>
        </w:rPr>
      </w:pPr>
    </w:p>
    <w:p>
      <w:pPr>
        <w:ind w:left="1220" w:right="1239" w:firstLine="4"/>
        <w:spacing w:after="0" w:line="250" w:lineRule="auto"/>
        <w:tabs>
          <w:tab w:leader="none" w:pos="1360" w:val="left"/>
        </w:tabs>
        <w:numPr>
          <w:ilvl w:val="0"/>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portions of this document that constitute confidential information have been redacted pursuant to Item 601(b)(10) of Regulation S-K.</w:t>
      </w:r>
    </w:p>
    <w:p>
      <w:pPr>
        <w:spacing w:after="0" w:line="1" w:lineRule="exact"/>
        <w:rPr>
          <w:rFonts w:ascii="Times New Roman" w:cs="Times New Roman" w:eastAsia="Times New Roman" w:hAnsi="Times New Roman"/>
          <w:sz w:val="14"/>
          <w:szCs w:val="14"/>
          <w:color w:val="auto"/>
        </w:rPr>
      </w:pPr>
    </w:p>
    <w:p>
      <w:pPr>
        <w:jc w:val="both"/>
        <w:ind w:left="1220" w:right="1239"/>
        <w:spacing w:after="0" w:line="256"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Certain exhibits and schedules to these agreements have been omitted pursuant to Item 601(a)(5) and (6) of Regulation S-K. The registrant will furnish copies of any of the exhibits and schedules to the Securities and Exchange Commission upon request.</w:t>
      </w:r>
    </w:p>
    <w:p>
      <w:pPr>
        <w:spacing w:after="0" w:line="142" w:lineRule="exact"/>
        <w:rPr>
          <w:rFonts w:ascii="Times New Roman" w:cs="Times New Roman" w:eastAsia="Times New Roman" w:hAnsi="Times New Roman"/>
          <w:sz w:val="14"/>
          <w:szCs w:val="14"/>
          <w:color w:val="auto"/>
        </w:rPr>
      </w:pPr>
    </w:p>
    <w:p>
      <w:pPr>
        <w:ind w:left="1760" w:hanging="203"/>
        <w:spacing w:after="0"/>
        <w:tabs>
          <w:tab w:leader="none" w:pos="1760" w:val="left"/>
        </w:tabs>
        <w:numPr>
          <w:ilvl w:val="1"/>
          <w:numId w:val="1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Financial Statement Schedules.</w:t>
      </w:r>
    </w:p>
    <w:p>
      <w:pPr>
        <w:spacing w:after="0" w:line="175" w:lineRule="exact"/>
        <w:rPr>
          <w:sz w:val="20"/>
          <w:szCs w:val="20"/>
          <w:color w:val="auto"/>
        </w:rPr>
      </w:pPr>
    </w:p>
    <w:p>
      <w:pPr>
        <w:ind w:left="1220" w:right="1239" w:firstLine="333"/>
        <w:spacing w:after="0" w:line="283" w:lineRule="auto"/>
        <w:rPr>
          <w:sz w:val="20"/>
          <w:szCs w:val="20"/>
          <w:color w:val="auto"/>
        </w:rPr>
      </w:pPr>
      <w:r>
        <w:rPr>
          <w:rFonts w:ascii="Times New Roman" w:cs="Times New Roman" w:eastAsia="Times New Roman" w:hAnsi="Times New Roman"/>
          <w:sz w:val="14"/>
          <w:szCs w:val="14"/>
          <w:color w:val="auto"/>
        </w:rPr>
        <w:t>All financial statement schedules are omitted because the information required to be set forth therein is not applicable or is shown in the financial statements or the notes thereto.</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3" w:name="page264"/>
    <w:bookmarkEnd w:id="263"/>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Item 17. Undertakings.</w:t>
      </w:r>
    </w:p>
    <w:p>
      <w:pPr>
        <w:spacing w:after="0" w:line="93" w:lineRule="exact"/>
        <w:rPr>
          <w:sz w:val="20"/>
          <w:szCs w:val="20"/>
          <w:color w:val="auto"/>
        </w:rPr>
      </w:pPr>
    </w:p>
    <w:p>
      <w:pPr>
        <w:jc w:val="both"/>
        <w:ind w:left="1220" w:right="1239" w:firstLine="333"/>
        <w:spacing w:after="0" w:line="254" w:lineRule="auto"/>
        <w:rPr>
          <w:sz w:val="20"/>
          <w:szCs w:val="20"/>
          <w:color w:val="auto"/>
        </w:rPr>
      </w:pPr>
      <w:r>
        <w:rPr>
          <w:rFonts w:ascii="Times New Roman" w:cs="Times New Roman" w:eastAsia="Times New Roman" w:hAnsi="Times New Roman"/>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4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4"/>
          <w:szCs w:val="14"/>
          <w:color w:val="auto"/>
        </w:rPr>
        <w:t>The registrant hereby undertakes that:</w:t>
      </w:r>
    </w:p>
    <w:p>
      <w:pPr>
        <w:spacing w:after="0" w:line="91" w:lineRule="exact"/>
        <w:rPr>
          <w:sz w:val="20"/>
          <w:szCs w:val="20"/>
          <w:color w:val="auto"/>
        </w:rPr>
      </w:pPr>
    </w:p>
    <w:p>
      <w:pPr>
        <w:jc w:val="both"/>
        <w:ind w:left="1880" w:right="1239" w:hanging="323"/>
        <w:spacing w:after="0" w:line="258" w:lineRule="auto"/>
        <w:tabs>
          <w:tab w:leader="none" w:pos="18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determining any liability under the Securities Act of 1933, as amended, the information omitted from a form of prospectus filed as part of this registration statement in reliance upon Rule 430A and contained in the form of prospectus filed by the Registrant pursuant to Rule 424(b)(1) or (4) or 497(h) under the Securities Act of 1933, as amended, shall be deemed to be part of this registration statement as of the time it was declared effective.</w:t>
      </w:r>
    </w:p>
    <w:p>
      <w:pPr>
        <w:spacing w:after="0" w:line="59" w:lineRule="exact"/>
        <w:rPr>
          <w:rFonts w:ascii="Times New Roman" w:cs="Times New Roman" w:eastAsia="Times New Roman" w:hAnsi="Times New Roman"/>
          <w:sz w:val="14"/>
          <w:szCs w:val="14"/>
          <w:color w:val="auto"/>
        </w:rPr>
      </w:pPr>
    </w:p>
    <w:p>
      <w:pPr>
        <w:jc w:val="both"/>
        <w:ind w:left="1880" w:right="1239" w:hanging="323"/>
        <w:spacing w:after="0" w:line="261" w:lineRule="auto"/>
        <w:tabs>
          <w:tab w:leader="none" w:pos="1880" w:val="left"/>
        </w:tabs>
        <w:numPr>
          <w:ilvl w:val="0"/>
          <w:numId w:val="1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 of determining any liability under the Securities Act of 1933, as amended,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248285</wp:posOffset>
            </wp:positionV>
            <wp:extent cx="54857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4" w:name="page265"/>
    <w:bookmarkEnd w:id="264"/>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77" w:lineRule="exact"/>
        <w:rPr>
          <w:sz w:val="20"/>
          <w:szCs w:val="20"/>
          <w:color w:val="auto"/>
        </w:rPr>
      </w:pPr>
    </w:p>
    <w:p>
      <w:pPr>
        <w:jc w:val="both"/>
        <w:ind w:left="1220" w:right="1239" w:firstLine="343"/>
        <w:spacing w:after="0" w:line="267"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the registrant has duly caused this Registration Statement on Form S-1 to be signed on its behalf by the undersigned, thereunto duly authorized, in the City of Boston, Massachusetts, on the 8th of April, 2026.</w:t>
      </w:r>
    </w:p>
    <w:p>
      <w:pPr>
        <w:spacing w:after="0" w:line="1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AVALYN PHARMA INC.</w:t>
      </w:r>
    </w:p>
    <w:p>
      <w:pPr>
        <w:spacing w:after="0" w:line="177" w:lineRule="exact"/>
        <w:rPr>
          <w:sz w:val="20"/>
          <w:szCs w:val="20"/>
          <w:color w:val="auto"/>
        </w:rPr>
      </w:pPr>
    </w:p>
    <w:tbl>
      <w:tblPr>
        <w:tblLayout w:type="fixed"/>
        <w:tblInd w:w="1220" w:type="dxa"/>
        <w:tblCellMar>
          <w:top w:w="0" w:type="dxa"/>
          <w:left w:w="0" w:type="dxa"/>
          <w:bottom w:w="0" w:type="dxa"/>
          <w:right w:w="0" w:type="dxa"/>
        </w:tblCellMar>
      </w:tblPr>
      <w:tr>
        <w:trPr>
          <w:trHeight w:val="183"/>
        </w:trPr>
        <w:tc>
          <w:tcPr>
            <w:tcW w:w="6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By: /s/</w:t>
            </w:r>
          </w:p>
        </w:tc>
        <w:tc>
          <w:tcPr>
            <w:tcW w:w="2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Lyn Baranowski</w:t>
            </w:r>
          </w:p>
        </w:tc>
      </w:tr>
      <w:tr>
        <w:trPr>
          <w:trHeight w:val="144"/>
        </w:trPr>
        <w:tc>
          <w:tcPr>
            <w:tcW w:w="260" w:type="dxa"/>
            <w:vAlign w:val="bottom"/>
          </w:tcPr>
          <w:p>
            <w:pPr>
              <w:spacing w:after="0"/>
              <w:rPr>
                <w:sz w:val="12"/>
                <w:szCs w:val="12"/>
                <w:color w:val="auto"/>
              </w:rPr>
            </w:pPr>
          </w:p>
        </w:tc>
        <w:tc>
          <w:tcPr>
            <w:tcW w:w="3020" w:type="dxa"/>
            <w:vAlign w:val="bottom"/>
            <w:tcBorders>
              <w:top w:val="single" w:sz="8" w:color="auto"/>
            </w:tcBorders>
            <w:gridSpan w:val="2"/>
          </w:tcPr>
          <w:p>
            <w:pPr>
              <w:spacing w:after="0" w:line="144" w:lineRule="exact"/>
              <w:rPr>
                <w:sz w:val="20"/>
                <w:szCs w:val="20"/>
                <w:color w:val="auto"/>
              </w:rPr>
            </w:pPr>
            <w:r>
              <w:rPr>
                <w:rFonts w:ascii="Times New Roman" w:cs="Times New Roman" w:eastAsia="Times New Roman" w:hAnsi="Times New Roman"/>
                <w:sz w:val="14"/>
                <w:szCs w:val="14"/>
                <w:color w:val="auto"/>
              </w:rPr>
              <w:t>Name: Lyn Baranowski</w:t>
            </w:r>
          </w:p>
        </w:tc>
      </w:tr>
      <w:tr>
        <w:trPr>
          <w:trHeight w:val="183"/>
        </w:trPr>
        <w:tc>
          <w:tcPr>
            <w:tcW w:w="260" w:type="dxa"/>
            <w:vAlign w:val="bottom"/>
          </w:tcPr>
          <w:p>
            <w:pPr>
              <w:spacing w:after="0"/>
              <w:rPr>
                <w:sz w:val="15"/>
                <w:szCs w:val="15"/>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4"/>
                <w:szCs w:val="14"/>
                <w:color w:val="auto"/>
              </w:rPr>
              <w:t>Title:</w:t>
            </w:r>
          </w:p>
        </w:tc>
        <w:tc>
          <w:tcPr>
            <w:tcW w:w="26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Chief Executive Officer and Director</w:t>
            </w:r>
          </w:p>
        </w:tc>
      </w:tr>
    </w:tbl>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POWER OF ATTORNEY AND SIGNATURES</w:t>
      </w:r>
    </w:p>
    <w:p>
      <w:pPr>
        <w:spacing w:after="0" w:line="177" w:lineRule="exact"/>
        <w:rPr>
          <w:sz w:val="20"/>
          <w:szCs w:val="20"/>
          <w:color w:val="auto"/>
        </w:rPr>
      </w:pPr>
    </w:p>
    <w:p>
      <w:pPr>
        <w:jc w:val="both"/>
        <w:ind w:left="1220" w:right="1239" w:firstLine="343"/>
        <w:spacing w:after="0" w:line="254" w:lineRule="auto"/>
        <w:rPr>
          <w:sz w:val="20"/>
          <w:szCs w:val="20"/>
          <w:color w:val="auto"/>
        </w:rPr>
      </w:pPr>
      <w:r>
        <w:rPr>
          <w:rFonts w:ascii="Times New Roman" w:cs="Times New Roman" w:eastAsia="Times New Roman" w:hAnsi="Times New Roman"/>
          <w:sz w:val="14"/>
          <w:szCs w:val="14"/>
          <w:color w:val="auto"/>
        </w:rPr>
        <w:t>Each individual whose signature appears below hereby constitutes and appoints Lyn Baranowski and Douglas Carlson as such person’s true and lawful attorney-in-fact and agent with full power of substitution and resubstitution, for such person in such person’s name, place and stead, in any and all capacities, to sign any and all amendments (including post-effective amendments) to this Registration Statement (or any Registration Statement for the same offering that is to be effective upon filing pursuant to Rule 462(b) under the Securities Act of 1933), and to file the same, with all exhibits thereto, and all documents in connection therewith, with the Securities and Exchange Commission granting unto each said attorney-in-fact and agent full power and authority to do and perform each and every act and thing requisite and necessary to be done in and about the premises, as fully to all intents and purposes as such person might or could do in person, hereby ratifying and confirming all that any said attorney-in-fact and agent, or any substitute or substitutes of any of them, may lawfully do or cause to be done by virtue hereof.</w:t>
      </w:r>
    </w:p>
    <w:p>
      <w:pPr>
        <w:spacing w:after="0" w:line="146" w:lineRule="exact"/>
        <w:rPr>
          <w:sz w:val="20"/>
          <w:szCs w:val="20"/>
          <w:color w:val="auto"/>
        </w:rPr>
      </w:pPr>
    </w:p>
    <w:p>
      <w:pPr>
        <w:jc w:val="both"/>
        <w:ind w:left="1220" w:right="1239" w:firstLine="343"/>
        <w:spacing w:after="0" w:line="283" w:lineRule="auto"/>
        <w:rPr>
          <w:sz w:val="20"/>
          <w:szCs w:val="20"/>
          <w:color w:val="auto"/>
        </w:rPr>
      </w:pPr>
      <w:r>
        <w:rPr>
          <w:rFonts w:ascii="Times New Roman" w:cs="Times New Roman" w:eastAsia="Times New Roman" w:hAnsi="Times New Roman"/>
          <w:sz w:val="14"/>
          <w:szCs w:val="14"/>
          <w:color w:val="auto"/>
        </w:rPr>
        <w:t>Pursuant to the requirements of the Securities Act of 1933, as amended, this Registration Statement and Power of Attorney has been signed by the following person in the capacities and on the date indicated.</w:t>
      </w:r>
    </w:p>
    <w:p>
      <w:pPr>
        <w:spacing w:after="0" w:line="123"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02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80" w:type="dxa"/>
            <w:vAlign w:val="bottom"/>
          </w:tcPr>
          <w:p>
            <w:pPr>
              <w:spacing w:after="0"/>
              <w:rPr>
                <w:sz w:val="16"/>
                <w:szCs w:val="16"/>
                <w:color w:val="auto"/>
              </w:rPr>
            </w:pPr>
          </w:p>
        </w:tc>
        <w:tc>
          <w:tcPr>
            <w:tcW w:w="37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60" w:type="dxa"/>
            <w:vAlign w:val="bottom"/>
          </w:tcPr>
          <w:p>
            <w:pPr>
              <w:spacing w:after="0"/>
              <w:rPr>
                <w:sz w:val="16"/>
                <w:szCs w:val="16"/>
                <w:color w:val="auto"/>
              </w:rPr>
            </w:pPr>
          </w:p>
        </w:tc>
        <w:tc>
          <w:tcPr>
            <w:tcW w:w="86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020" w:type="dxa"/>
            <w:vAlign w:val="bottom"/>
          </w:tcPr>
          <w:p>
            <w:pPr>
              <w:spacing w:after="0"/>
              <w:rPr>
                <w:sz w:val="13"/>
                <w:szCs w:val="13"/>
                <w:color w:val="auto"/>
              </w:rPr>
            </w:pPr>
          </w:p>
        </w:tc>
        <w:tc>
          <w:tcPr>
            <w:tcW w:w="1780" w:type="dxa"/>
            <w:vAlign w:val="bottom"/>
            <w:tcBorders>
              <w:bottom w:val="single" w:sz="8" w:color="auto"/>
            </w:tcBorders>
          </w:tcPr>
          <w:p>
            <w:pPr>
              <w:spacing w:after="0" w:line="159" w:lineRule="exact"/>
              <w:rPr>
                <w:sz w:val="20"/>
                <w:szCs w:val="20"/>
                <w:color w:val="auto"/>
              </w:rPr>
            </w:pPr>
            <w:r>
              <w:rPr>
                <w:rFonts w:ascii="Times New Roman" w:cs="Times New Roman" w:eastAsia="Times New Roman" w:hAnsi="Times New Roman"/>
                <w:sz w:val="14"/>
                <w:szCs w:val="14"/>
                <w:color w:val="auto"/>
              </w:rPr>
              <w:t>/s/ Lyn Baranowski</w:t>
            </w:r>
          </w:p>
        </w:tc>
        <w:tc>
          <w:tcPr>
            <w:tcW w:w="3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Chief Executive Officer and Director</w:t>
            </w:r>
          </w:p>
        </w:tc>
        <w:tc>
          <w:tcPr>
            <w:tcW w:w="60" w:type="dxa"/>
            <w:vAlign w:val="bottom"/>
          </w:tcPr>
          <w:p>
            <w:pPr>
              <w:spacing w:after="0"/>
              <w:rPr>
                <w:sz w:val="13"/>
                <w:szCs w:val="13"/>
                <w:color w:val="auto"/>
              </w:rPr>
            </w:pP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31"/>
        </w:trPr>
        <w:tc>
          <w:tcPr>
            <w:tcW w:w="1020" w:type="dxa"/>
            <w:vAlign w:val="bottom"/>
          </w:tcPr>
          <w:p>
            <w:pPr>
              <w:spacing w:after="0"/>
              <w:rPr>
                <w:sz w:val="11"/>
                <w:szCs w:val="11"/>
                <w:color w:val="auto"/>
              </w:rPr>
            </w:pPr>
          </w:p>
        </w:tc>
        <w:tc>
          <w:tcPr>
            <w:tcW w:w="17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Lyn Baranowski</w:t>
            </w:r>
          </w:p>
        </w:tc>
        <w:tc>
          <w:tcPr>
            <w:tcW w:w="3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 Douglas Carlson</w:t>
            </w: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Executive Officer</w:t>
            </w: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3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Chief Financial Officer</w:t>
            </w:r>
          </w:p>
        </w:tc>
        <w:tc>
          <w:tcPr>
            <w:tcW w:w="60" w:type="dxa"/>
            <w:vAlign w:val="bottom"/>
          </w:tcPr>
          <w:p>
            <w:pPr>
              <w:spacing w:after="0"/>
              <w:rPr>
                <w:sz w:val="14"/>
                <w:szCs w:val="14"/>
                <w:color w:val="auto"/>
              </w:rPr>
            </w:pP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32"/>
        </w:trPr>
        <w:tc>
          <w:tcPr>
            <w:tcW w:w="1020" w:type="dxa"/>
            <w:vAlign w:val="bottom"/>
          </w:tcPr>
          <w:p>
            <w:pPr>
              <w:spacing w:after="0"/>
              <w:rPr>
                <w:sz w:val="11"/>
                <w:szCs w:val="11"/>
                <w:color w:val="auto"/>
              </w:rPr>
            </w:pPr>
          </w:p>
        </w:tc>
        <w:tc>
          <w:tcPr>
            <w:tcW w:w="1780" w:type="dxa"/>
            <w:vAlign w:val="bottom"/>
          </w:tcPr>
          <w:p>
            <w:pPr>
              <w:spacing w:after="0" w:line="132" w:lineRule="exact"/>
              <w:rPr>
                <w:sz w:val="20"/>
                <w:szCs w:val="20"/>
                <w:color w:val="auto"/>
              </w:rPr>
            </w:pPr>
            <w:r>
              <w:rPr>
                <w:rFonts w:ascii="Times New Roman" w:cs="Times New Roman" w:eastAsia="Times New Roman" w:hAnsi="Times New Roman"/>
                <w:sz w:val="14"/>
                <w:szCs w:val="14"/>
                <w:color w:val="auto"/>
              </w:rPr>
              <w:t>Douglas Carlson</w:t>
            </w:r>
          </w:p>
        </w:tc>
        <w:tc>
          <w:tcPr>
            <w:tcW w:w="386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020" w:type="dxa"/>
            <w:vAlign w:val="bottom"/>
          </w:tcPr>
          <w:p>
            <w:pPr>
              <w:spacing w:after="0"/>
              <w:rPr>
                <w:sz w:val="16"/>
                <w:szCs w:val="16"/>
                <w:color w:val="auto"/>
              </w:rPr>
            </w:pPr>
          </w:p>
        </w:tc>
        <w:tc>
          <w:tcPr>
            <w:tcW w:w="17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 Heather Turner</w:t>
            </w:r>
          </w:p>
        </w:tc>
        <w:tc>
          <w:tcPr>
            <w:tcW w:w="38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Principal Financial Officer and Principal Accounting Officer</w:t>
            </w: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3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 and Chairman</w:t>
            </w:r>
          </w:p>
        </w:tc>
        <w:tc>
          <w:tcPr>
            <w:tcW w:w="60" w:type="dxa"/>
            <w:vAlign w:val="bottom"/>
          </w:tcPr>
          <w:p>
            <w:pPr>
              <w:spacing w:after="0"/>
              <w:rPr>
                <w:sz w:val="14"/>
                <w:szCs w:val="14"/>
                <w:color w:val="auto"/>
              </w:rPr>
            </w:pP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Heather Turner</w:t>
            </w:r>
          </w:p>
        </w:tc>
        <w:tc>
          <w:tcPr>
            <w:tcW w:w="3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Tiba Aynechi</w:t>
            </w:r>
          </w:p>
        </w:tc>
        <w:tc>
          <w:tcPr>
            <w:tcW w:w="3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60" w:type="dxa"/>
            <w:vAlign w:val="bottom"/>
          </w:tcPr>
          <w:p>
            <w:pPr>
              <w:spacing w:after="0"/>
              <w:rPr>
                <w:sz w:val="24"/>
                <w:szCs w:val="24"/>
                <w:color w:val="auto"/>
              </w:rPr>
            </w:pP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Tiba Aynechi, Ph.D.</w:t>
            </w:r>
          </w:p>
        </w:tc>
        <w:tc>
          <w:tcPr>
            <w:tcW w:w="3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Jill Carroll</w:t>
            </w:r>
          </w:p>
        </w:tc>
        <w:tc>
          <w:tcPr>
            <w:tcW w:w="3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60" w:type="dxa"/>
            <w:vAlign w:val="bottom"/>
          </w:tcPr>
          <w:p>
            <w:pPr>
              <w:spacing w:after="0"/>
              <w:rPr>
                <w:sz w:val="24"/>
                <w:szCs w:val="24"/>
                <w:color w:val="auto"/>
              </w:rPr>
            </w:pPr>
          </w:p>
        </w:tc>
        <w:tc>
          <w:tcPr>
            <w:tcW w:w="1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Jill Carroll</w:t>
            </w:r>
          </w:p>
        </w:tc>
        <w:tc>
          <w:tcPr>
            <w:tcW w:w="386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8"/>
        </w:trPr>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780" w:type="dxa"/>
            <w:vAlign w:val="bottom"/>
          </w:tcPr>
          <w:p>
            <w:pPr>
              <w:ind w:left="1320"/>
              <w:spacing w:after="0"/>
              <w:rPr>
                <w:sz w:val="20"/>
                <w:szCs w:val="20"/>
                <w:color w:val="auto"/>
              </w:rPr>
            </w:pPr>
            <w:r>
              <w:rPr>
                <w:rFonts w:ascii="Times New Roman" w:cs="Times New Roman" w:eastAsia="Times New Roman" w:hAnsi="Times New Roman"/>
                <w:sz w:val="14"/>
                <w:szCs w:val="14"/>
                <w:color w:val="auto"/>
              </w:rPr>
              <w:t>II-7</w:t>
            </w: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10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5" w:name="page266"/>
    <w:bookmarkEnd w:id="265"/>
    <w:p>
      <w:pPr>
        <w:ind w:left="1900"/>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200" w:type="dxa"/>
        <w:tblCellMar>
          <w:top w:w="0" w:type="dxa"/>
          <w:left w:w="0" w:type="dxa"/>
          <w:bottom w:w="0" w:type="dxa"/>
          <w:right w:w="0" w:type="dxa"/>
        </w:tblCellMar>
      </w:tblPr>
      <w:tr>
        <w:trPr>
          <w:trHeight w:val="183"/>
        </w:trPr>
        <w:tc>
          <w:tcPr>
            <w:tcW w:w="1020" w:type="dxa"/>
            <w:vAlign w:val="bottom"/>
          </w:tcPr>
          <w:p>
            <w:pPr>
              <w:spacing w:after="0"/>
              <w:rPr>
                <w:sz w:val="15"/>
                <w:szCs w:val="15"/>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Jon Congleton</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48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Jon Congleton</w:t>
            </w:r>
          </w:p>
        </w:tc>
        <w:tc>
          <w:tcPr>
            <w:tcW w:w="980" w:type="dxa"/>
            <w:vAlign w:val="bottom"/>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David Friedman</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48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David Friedman, M.D.</w:t>
            </w:r>
          </w:p>
        </w:tc>
        <w:tc>
          <w:tcPr>
            <w:tcW w:w="980" w:type="dxa"/>
            <w:vAlign w:val="bottom"/>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Kate Haviland</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48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Kate Haviland</w:t>
            </w:r>
          </w:p>
        </w:tc>
        <w:tc>
          <w:tcPr>
            <w:tcW w:w="980" w:type="dxa"/>
            <w:vAlign w:val="bottom"/>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Gianna Hoffman-Luca</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48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Gianna Hoffman-Luca, Ph.D.</w:t>
            </w:r>
          </w:p>
        </w:tc>
        <w:tc>
          <w:tcPr>
            <w:tcW w:w="980" w:type="dxa"/>
            <w:vAlign w:val="bottom"/>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Erin Lavelle</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48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Erin Lavelle</w:t>
            </w:r>
          </w:p>
        </w:tc>
        <w:tc>
          <w:tcPr>
            <w:tcW w:w="980" w:type="dxa"/>
            <w:vAlign w:val="bottom"/>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22"/>
        </w:trPr>
        <w:tc>
          <w:tcPr>
            <w:tcW w:w="1020" w:type="dxa"/>
            <w:vAlign w:val="bottom"/>
          </w:tcPr>
          <w:p>
            <w:pPr>
              <w:spacing w:after="0"/>
              <w:rPr>
                <w:sz w:val="24"/>
                <w:szCs w:val="24"/>
                <w:color w:val="auto"/>
              </w:rPr>
            </w:pPr>
          </w:p>
        </w:tc>
        <w:tc>
          <w:tcPr>
            <w:tcW w:w="1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 Ketan Patel</w:t>
            </w:r>
          </w:p>
        </w:tc>
        <w:tc>
          <w:tcPr>
            <w:tcW w:w="98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Director</w:t>
            </w:r>
          </w:p>
        </w:tc>
        <w:tc>
          <w:tcPr>
            <w:tcW w:w="4820" w:type="dxa"/>
            <w:vAlign w:val="bottom"/>
            <w:vMerge w:val="restart"/>
          </w:tcPr>
          <w:p>
            <w:pPr>
              <w:ind w:left="3060"/>
              <w:spacing w:after="0"/>
              <w:rPr>
                <w:sz w:val="20"/>
                <w:szCs w:val="20"/>
                <w:color w:val="auto"/>
              </w:rPr>
            </w:pPr>
            <w:r>
              <w:rPr>
                <w:rFonts w:ascii="Times New Roman" w:cs="Times New Roman" w:eastAsia="Times New Roman" w:hAnsi="Times New Roman"/>
                <w:sz w:val="14"/>
                <w:szCs w:val="14"/>
                <w:color w:val="auto"/>
              </w:rPr>
              <w:t>April 8, 2026</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1780" w:type="dxa"/>
            <w:vAlign w:val="bottom"/>
          </w:tcPr>
          <w:p>
            <w:pPr>
              <w:spacing w:after="0"/>
              <w:rPr>
                <w:sz w:val="20"/>
                <w:szCs w:val="20"/>
                <w:color w:val="auto"/>
              </w:rPr>
            </w:pPr>
            <w:r>
              <w:rPr>
                <w:rFonts w:ascii="Times New Roman" w:cs="Times New Roman" w:eastAsia="Times New Roman" w:hAnsi="Times New Roman"/>
                <w:sz w:val="14"/>
                <w:szCs w:val="14"/>
                <w:color w:val="auto"/>
              </w:rPr>
              <w:t>Ketan Patel, M.D.</w:t>
            </w:r>
          </w:p>
        </w:tc>
        <w:tc>
          <w:tcPr>
            <w:tcW w:w="980" w:type="dxa"/>
            <w:vAlign w:val="bottom"/>
            <w:vMerge w:val="continue"/>
          </w:tcPr>
          <w:p>
            <w:pPr>
              <w:spacing w:after="0"/>
              <w:rPr>
                <w:sz w:val="15"/>
                <w:szCs w:val="15"/>
                <w:color w:val="auto"/>
              </w:rPr>
            </w:pPr>
          </w:p>
        </w:tc>
        <w:tc>
          <w:tcPr>
            <w:tcW w:w="4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858"/>
        </w:trPr>
        <w:tc>
          <w:tcPr>
            <w:tcW w:w="10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2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II-8</w:t>
            </w:r>
          </w:p>
        </w:tc>
        <w:tc>
          <w:tcPr>
            <w:tcW w:w="0" w:type="dxa"/>
            <w:vAlign w:val="bottom"/>
          </w:tcPr>
          <w:p>
            <w:pPr>
              <w:spacing w:after="0"/>
              <w:rPr>
                <w:sz w:val="1"/>
                <w:szCs w:val="1"/>
                <w:color w:val="auto"/>
              </w:rPr>
            </w:pPr>
          </w:p>
        </w:tc>
      </w:tr>
      <w:tr>
        <w:trPr>
          <w:trHeight w:val="390"/>
        </w:trPr>
        <w:tc>
          <w:tcPr>
            <w:tcW w:w="10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291" w:right="1440" w:bottom="1440" w:gutter="0" w:footer="0" w:header="0"/>
        </w:sectPr>
      </w:pPr>
    </w:p>
    <w:bookmarkStart w:id="266" w:name="page267"/>
    <w:bookmarkEnd w:id="266"/>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Exhibit 3.1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INCORPORATION</w:t>
      </w:r>
    </w:p>
    <w:p>
      <w:pPr>
        <w:jc w:val="center"/>
        <w:ind w:right="19"/>
        <w:spacing w:after="0" w:line="232" w:lineRule="auto"/>
        <w:rPr>
          <w:sz w:val="20"/>
          <w:szCs w:val="20"/>
          <w:color w:val="auto"/>
        </w:rPr>
      </w:pPr>
      <w:r>
        <w:rPr>
          <w:rFonts w:ascii="Times New Roman" w:cs="Times New Roman" w:eastAsia="Times New Roman" w:hAnsi="Times New Roman"/>
          <w:sz w:val="17"/>
          <w:szCs w:val="17"/>
          <w:b w:val="1"/>
          <w:bCs w:val="1"/>
          <w:color w:val="auto"/>
        </w:rPr>
        <w:t>OF</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(Pursuant to Sections 242 and 245 of the</w:t>
      </w:r>
    </w:p>
    <w:p>
      <w:pPr>
        <w:spacing w:after="0" w:line="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General Corporation Law of the State of Delaware)</w:t>
      </w:r>
    </w:p>
    <w:p>
      <w:pPr>
        <w:spacing w:after="0" w:line="144" w:lineRule="exact"/>
        <w:rPr>
          <w:sz w:val="20"/>
          <w:szCs w:val="20"/>
          <w:color w:val="auto"/>
        </w:rPr>
      </w:pPr>
    </w:p>
    <w:p>
      <w:pPr>
        <w:ind w:left="720" w:right="739" w:firstLine="505"/>
        <w:spacing w:after="0" w:line="259" w:lineRule="auto"/>
        <w:rPr>
          <w:sz w:val="20"/>
          <w:szCs w:val="20"/>
          <w:color w:val="auto"/>
        </w:rPr>
      </w:pPr>
      <w:r>
        <w:rPr>
          <w:rFonts w:ascii="Times New Roman" w:cs="Times New Roman" w:eastAsia="Times New Roman" w:hAnsi="Times New Roman"/>
          <w:sz w:val="17"/>
          <w:szCs w:val="17"/>
          <w:color w:val="auto"/>
        </w:rPr>
        <w:t>Avalyn Pharma Inc., a corporation organized and existing under and by virtue of the provisions of the General Corporation Law of the State of Delaware (the “</w:t>
      </w:r>
      <w:r>
        <w:rPr>
          <w:rFonts w:ascii="Times New Roman" w:cs="Times New Roman" w:eastAsia="Times New Roman" w:hAnsi="Times New Roman"/>
          <w:sz w:val="17"/>
          <w:szCs w:val="17"/>
          <w:b w:val="1"/>
          <w:bCs w:val="1"/>
          <w:color w:val="auto"/>
        </w:rPr>
        <w:t>General Corporation Law</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DOES HEREBY CERTIFY:</w:t>
      </w:r>
    </w:p>
    <w:p>
      <w:pPr>
        <w:spacing w:after="0" w:line="162" w:lineRule="exact"/>
        <w:rPr>
          <w:sz w:val="20"/>
          <w:szCs w:val="20"/>
          <w:color w:val="auto"/>
        </w:rPr>
      </w:pPr>
    </w:p>
    <w:p>
      <w:pPr>
        <w:jc w:val="both"/>
        <w:ind w:left="720" w:right="739" w:firstLine="504"/>
        <w:spacing w:after="0" w:line="246" w:lineRule="auto"/>
        <w:tabs>
          <w:tab w:leader="none" w:pos="1613"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name of this corporation is Avalyn Pharma Inc., and that this corporation was originally incorporated pursuant to the General Corporation Law on May 27, 2011 under the name Genoa Pharmaceuticals, Inc.</w:t>
      </w:r>
    </w:p>
    <w:p>
      <w:pPr>
        <w:spacing w:after="0" w:line="134" w:lineRule="exact"/>
        <w:rPr>
          <w:rFonts w:ascii="Times New Roman" w:cs="Times New Roman" w:eastAsia="Times New Roman" w:hAnsi="Times New Roman"/>
          <w:sz w:val="17"/>
          <w:szCs w:val="17"/>
          <w:color w:val="auto"/>
        </w:rPr>
      </w:pPr>
    </w:p>
    <w:p>
      <w:pPr>
        <w:jc w:val="both"/>
        <w:ind w:left="720" w:right="739" w:firstLine="504"/>
        <w:spacing w:after="0" w:line="236" w:lineRule="auto"/>
        <w:tabs>
          <w:tab w:leader="none" w:pos="1591"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 Certificate of Amendment to the Certificate of Incorporation was filed on April 28, 2017, a Certificate of Amendment to the Certificate of Incorporation was filed on July 26, 2017, an Amended and Restated Certificate of Incorporation was filed on April 23, 2020, a Certificate of Amendment to the Amended and Restated Certificate of Incorporation was filed on November 18, 2022, an Amended and Restated Certificate of Incorporation was filed on June 29, 2023, an Amended and Restated Certificate of Incorporation was filed on September 22, 2023, a Certificate of Amendment to the Amended and Restated Certificate of Incorporation was filed on January 8, 2024 and Certificate of Amendment to the Amended and Restated Certificate of Incorporation was filed on April 8, 2025.</w:t>
      </w:r>
    </w:p>
    <w:p>
      <w:pPr>
        <w:spacing w:after="0" w:line="144" w:lineRule="exact"/>
        <w:rPr>
          <w:rFonts w:ascii="Times New Roman" w:cs="Times New Roman" w:eastAsia="Times New Roman" w:hAnsi="Times New Roman"/>
          <w:sz w:val="17"/>
          <w:szCs w:val="17"/>
          <w:color w:val="auto"/>
        </w:rPr>
      </w:pPr>
    </w:p>
    <w:p>
      <w:pPr>
        <w:jc w:val="both"/>
        <w:ind w:left="720" w:right="739" w:firstLine="504"/>
        <w:spacing w:after="0" w:line="239" w:lineRule="auto"/>
        <w:tabs>
          <w:tab w:leader="none" w:pos="1583"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Board of Directors duly adopted resolutions proposing to amend and restate the Amended and Restated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w:t>
      </w:r>
    </w:p>
    <w:p>
      <w:pPr>
        <w:spacing w:after="0" w:line="137" w:lineRule="exact"/>
        <w:rPr>
          <w:sz w:val="20"/>
          <w:szCs w:val="20"/>
          <w:color w:val="auto"/>
        </w:rPr>
      </w:pPr>
    </w:p>
    <w:p>
      <w:pPr>
        <w:jc w:val="both"/>
        <w:ind w:left="720" w:right="7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RESOLVED, </w:t>
      </w:r>
      <w:r>
        <w:rPr>
          <w:rFonts w:ascii="Times New Roman" w:cs="Times New Roman" w:eastAsia="Times New Roman" w:hAnsi="Times New Roman"/>
          <w:sz w:val="17"/>
          <w:szCs w:val="17"/>
          <w:color w:val="auto"/>
        </w:rPr>
        <w:t>that the Amended and Restated Certificate of Incorporation of this corporation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amended and restated in its entirety to read as follows:</w:t>
      </w:r>
    </w:p>
    <w:p>
      <w:pPr>
        <w:spacing w:after="0" w:line="1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 xml:space="preserve">FIRST: </w:t>
      </w:r>
      <w:r>
        <w:rPr>
          <w:rFonts w:ascii="Times New Roman" w:cs="Times New Roman" w:eastAsia="Times New Roman" w:hAnsi="Times New Roman"/>
          <w:sz w:val="17"/>
          <w:szCs w:val="17"/>
          <w:color w:val="auto"/>
        </w:rPr>
        <w:t>The name of this corporation is Avalyn Pharma Inc.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20" w:right="7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SECOND: </w:t>
      </w:r>
      <w:r>
        <w:rPr>
          <w:rFonts w:ascii="Times New Roman" w:cs="Times New Roman" w:eastAsia="Times New Roman" w:hAnsi="Times New Roman"/>
          <w:sz w:val="17"/>
          <w:szCs w:val="17"/>
          <w:color w:val="auto"/>
        </w:rPr>
        <w:t>The address of the registered office of the Corporation in the State of Delaware is 1209</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Orange Street, in the City of Wilmington, County of New Castle, 19801. The name of its registered agent at such address is The Corporation Trust Company.</w:t>
      </w:r>
    </w:p>
    <w:p>
      <w:pPr>
        <w:spacing w:after="0" w:line="130" w:lineRule="exact"/>
        <w:rPr>
          <w:sz w:val="20"/>
          <w:szCs w:val="20"/>
          <w:color w:val="auto"/>
        </w:rPr>
      </w:pPr>
    </w:p>
    <w:p>
      <w:pPr>
        <w:jc w:val="both"/>
        <w:ind w:left="720" w:right="7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THIRD: </w:t>
      </w:r>
      <w:r>
        <w:rPr>
          <w:rFonts w:ascii="Times New Roman" w:cs="Times New Roman" w:eastAsia="Times New Roman" w:hAnsi="Times New Roman"/>
          <w:sz w:val="17"/>
          <w:szCs w:val="17"/>
          <w:color w:val="auto"/>
        </w:rPr>
        <w:t>The nature of the business or purposes to be conducted or promoted is to engage in any lawful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 or activity for which corporations may be organized under the General Corporation Law.</w:t>
      </w:r>
    </w:p>
    <w:p>
      <w:pPr>
        <w:spacing w:after="0" w:line="117" w:lineRule="exact"/>
        <w:rPr>
          <w:sz w:val="20"/>
          <w:szCs w:val="20"/>
          <w:color w:val="auto"/>
        </w:rPr>
      </w:pPr>
    </w:p>
    <w:p>
      <w:pPr>
        <w:jc w:val="both"/>
        <w:ind w:left="720" w:right="7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FOURTH: </w:t>
      </w:r>
      <w:r>
        <w:rPr>
          <w:rFonts w:ascii="Times New Roman" w:cs="Times New Roman" w:eastAsia="Times New Roman" w:hAnsi="Times New Roman"/>
          <w:sz w:val="17"/>
          <w:szCs w:val="17"/>
          <w:color w:val="auto"/>
        </w:rPr>
        <w:t>The total number of shares of all classes of stock which the Corporation shall have authority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issue is (i) 575,000,000 shares of Common Stock, par value $0,001 per share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and (ii) 462,178,988 shares of Preferred Stock, par value $0,001 per share.</w:t>
      </w:r>
    </w:p>
    <w:p>
      <w:pPr>
        <w:spacing w:after="0" w:line="134" w:lineRule="exact"/>
        <w:rPr>
          <w:sz w:val="20"/>
          <w:szCs w:val="20"/>
          <w:color w:val="auto"/>
        </w:rPr>
      </w:pPr>
    </w:p>
    <w:p>
      <w:pPr>
        <w:jc w:val="both"/>
        <w:ind w:left="720" w:right="739" w:firstLine="505"/>
        <w:spacing w:after="0" w:line="259" w:lineRule="auto"/>
        <w:rPr>
          <w:sz w:val="20"/>
          <w:szCs w:val="20"/>
          <w:color w:val="auto"/>
        </w:rPr>
      </w:pPr>
      <w:r>
        <w:rPr>
          <w:rFonts w:ascii="Times New Roman" w:cs="Times New Roman" w:eastAsia="Times New Roman" w:hAnsi="Times New Roman"/>
          <w:sz w:val="17"/>
          <w:szCs w:val="17"/>
          <w:color w:val="auto"/>
        </w:rPr>
        <w:t>The following is a statement of the designations and the powers, preferences and special rights, and the qualifications, limitations or restrictions thereof in respect of each class of capital stock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346710</wp:posOffset>
            </wp:positionV>
            <wp:extent cx="54857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67" w:name="page268"/>
    <w:bookmarkEnd w:id="267"/>
    <w:p>
      <w:pPr>
        <w:ind w:left="1600" w:hanging="376"/>
        <w:spacing w:after="0"/>
        <w:tabs>
          <w:tab w:leader="none" w:pos="160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COMMON STOCK</w:t>
      </w:r>
    </w:p>
    <w:p>
      <w:pPr>
        <w:spacing w:after="0" w:line="161" w:lineRule="exact"/>
        <w:rPr>
          <w:rFonts w:ascii="Times New Roman" w:cs="Times New Roman" w:eastAsia="Times New Roman" w:hAnsi="Times New Roman"/>
          <w:sz w:val="17"/>
          <w:szCs w:val="17"/>
          <w:color w:val="auto"/>
        </w:rPr>
      </w:pPr>
    </w:p>
    <w:p>
      <w:pPr>
        <w:jc w:val="both"/>
        <w:ind w:left="720" w:right="739" w:firstLine="1009"/>
        <w:spacing w:after="0" w:line="246" w:lineRule="auto"/>
        <w:tabs>
          <w:tab w:leader="none" w:pos="2129"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voting, dividend and liquidation rights of the holders of the Common Stock are subject to and qualified by the powers, preferences and special rights of the holders of the Preferred Stock set forth herein.</w:t>
      </w:r>
    </w:p>
    <w:p>
      <w:pPr>
        <w:spacing w:after="0" w:line="134" w:lineRule="exact"/>
        <w:rPr>
          <w:rFonts w:ascii="Times New Roman" w:cs="Times New Roman" w:eastAsia="Times New Roman" w:hAnsi="Times New Roman"/>
          <w:sz w:val="17"/>
          <w:szCs w:val="17"/>
          <w:color w:val="auto"/>
        </w:rPr>
      </w:pPr>
    </w:p>
    <w:p>
      <w:pPr>
        <w:jc w:val="both"/>
        <w:ind w:left="720" w:right="739" w:firstLine="1009"/>
        <w:spacing w:after="0" w:line="234" w:lineRule="auto"/>
        <w:tabs>
          <w:tab w:leader="none" w:pos="2213" w:val="left"/>
        </w:tabs>
        <w:numPr>
          <w:ilvl w:val="1"/>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 Except as otherwise provided herein or by applicable law, the holders of the Common Stock are entitled to one (1) vote for each share of Common Stock held as of the applicable record date for each meeting of stockholders (and written actions in lieu of meetings); provided, however, that, except as otherwise required by law, holders of Common Stock, as such, shall not be entitled to vote on any amendment to this Amended and Restated Certificate of Incorporation (the “</w:t>
      </w:r>
      <w:r>
        <w:rPr>
          <w:rFonts w:ascii="Times New Roman" w:cs="Times New Roman" w:eastAsia="Times New Roman" w:hAnsi="Times New Roman"/>
          <w:sz w:val="17"/>
          <w:szCs w:val="17"/>
          <w:b w:val="1"/>
          <w:bCs w:val="1"/>
          <w:color w:val="auto"/>
        </w:rPr>
        <w:t>Restated Certificate</w:t>
      </w:r>
      <w:r>
        <w:rPr>
          <w:rFonts w:ascii="Times New Roman" w:cs="Times New Roman" w:eastAsia="Times New Roman" w:hAnsi="Times New Roman"/>
          <w:sz w:val="17"/>
          <w:szCs w:val="17"/>
          <w:color w:val="auto"/>
        </w:rPr>
        <w:t>”) that relates solely to the terms of one or more outstanding series of Preferred Stock if the holders of such affected series are entitled, either separately or together with the holders of one or more other such series, to vote thereon pursuant to the Restated Certificate or pursuant to the General Corporation Law. There shall be no cumulative voting. The number of authorized shares of Common Stock may be increased or decreased (but not below the number of shares thereof then outstanding) by (in addition to any vote of the holders of one or more series of Preferred Stock that may be required by the terms of the Restated Certificate) the affirmative vote of the holders of shares of capital stock of the Corporation representing a majority of the votes represented by all outstanding shares of capital stock of the Corporation entitled to vote, irrespective of the provisions of Section 242(b)(2) of the General Corporation Law.</w:t>
      </w:r>
    </w:p>
    <w:p>
      <w:pPr>
        <w:spacing w:after="0" w:line="148" w:lineRule="exact"/>
        <w:rPr>
          <w:rFonts w:ascii="Times New Roman" w:cs="Times New Roman" w:eastAsia="Times New Roman" w:hAnsi="Times New Roman"/>
          <w:sz w:val="17"/>
          <w:szCs w:val="17"/>
          <w:color w:val="auto"/>
        </w:rPr>
      </w:pPr>
    </w:p>
    <w:p>
      <w:pPr>
        <w:ind w:left="1580" w:hanging="356"/>
        <w:spacing w:after="0"/>
        <w:tabs>
          <w:tab w:leader="none" w:pos="1580"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STOCK</w:t>
      </w:r>
    </w:p>
    <w:p>
      <w:pPr>
        <w:spacing w:after="0" w:line="162" w:lineRule="exact"/>
        <w:rPr>
          <w:sz w:val="20"/>
          <w:szCs w:val="20"/>
          <w:color w:val="auto"/>
        </w:rPr>
      </w:pPr>
    </w:p>
    <w:p>
      <w:pPr>
        <w:jc w:val="both"/>
        <w:ind w:left="720" w:right="739" w:firstLine="505"/>
        <w:spacing w:after="0" w:line="235" w:lineRule="auto"/>
        <w:rPr>
          <w:sz w:val="20"/>
          <w:szCs w:val="20"/>
          <w:color w:val="auto"/>
        </w:rPr>
      </w:pPr>
      <w:r>
        <w:rPr>
          <w:rFonts w:ascii="Times New Roman" w:cs="Times New Roman" w:eastAsia="Times New Roman" w:hAnsi="Times New Roman"/>
          <w:sz w:val="17"/>
          <w:szCs w:val="17"/>
          <w:color w:val="auto"/>
        </w:rPr>
        <w:t>51,213,004 shares of the authorized Preferred Stock of the Corporation are hereby designated “Series A Preferred Stock,” 25,210,789 shares of the authorized Preferred Stock of the Corporation are hereby designated “Series B Preferred Stock,” 239,092,424 shares of the authorized Preferred Stock of the Corporation are hereby designated “Series C-l Preferred Stock,” 20,316,359 shares of the authorized Preferred Stock of the Corporation are hereby designated “Series C-2 Preferred Stock” and 126,346,412 shares of the authorized Preferred Stock of the Corporation are hereby designated “</w:t>
      </w:r>
      <w:r>
        <w:rPr>
          <w:rFonts w:ascii="Times New Roman" w:cs="Times New Roman" w:eastAsia="Times New Roman" w:hAnsi="Times New Roman"/>
          <w:sz w:val="17"/>
          <w:szCs w:val="17"/>
          <w:b w:val="1"/>
          <w:bCs w:val="1"/>
          <w:color w:val="auto"/>
        </w:rPr>
        <w:t>Series D Preferred Stock</w:t>
      </w:r>
      <w:r>
        <w:rPr>
          <w:rFonts w:ascii="Times New Roman" w:cs="Times New Roman" w:eastAsia="Times New Roman" w:hAnsi="Times New Roman"/>
          <w:sz w:val="17"/>
          <w:szCs w:val="17"/>
          <w:color w:val="auto"/>
        </w:rPr>
        <w:t xml:space="preserve"> ” (collectively with the Series A Preferred Stock, Series B Preferred Stock, the Series C-l Preferred Stock and the Series C-2 Preferred Stock, the </w:t>
      </w:r>
      <w:r>
        <w:rPr>
          <w:rFonts w:ascii="Times New Roman" w:cs="Times New Roman" w:eastAsia="Times New Roman" w:hAnsi="Times New Roman"/>
          <w:sz w:val="17"/>
          <w:szCs w:val="17"/>
          <w:b w:val="1"/>
          <w:bCs w:val="1"/>
          <w:color w:val="auto"/>
        </w:rPr>
        <w:t>“Preferred Stock</w:t>
      </w:r>
      <w:r>
        <w:rPr>
          <w:rFonts w:ascii="Times New Roman" w:cs="Times New Roman" w:eastAsia="Times New Roman" w:hAnsi="Times New Roman"/>
          <w:sz w:val="17"/>
          <w:szCs w:val="17"/>
          <w:color w:val="auto"/>
        </w:rPr>
        <w:t>”); each with the following rights, preferences, powers, privileges and restrictions,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qualifications and limitations. As used herein, the term “</w:t>
      </w:r>
      <w:r>
        <w:rPr>
          <w:rFonts w:ascii="Times New Roman" w:cs="Times New Roman" w:eastAsia="Times New Roman" w:hAnsi="Times New Roman"/>
          <w:sz w:val="17"/>
          <w:szCs w:val="17"/>
          <w:b w:val="1"/>
          <w:bCs w:val="1"/>
          <w:color w:val="auto"/>
        </w:rPr>
        <w:t>Series C Preferred Stock</w:t>
      </w:r>
      <w:r>
        <w:rPr>
          <w:rFonts w:ascii="Times New Roman" w:cs="Times New Roman" w:eastAsia="Times New Roman" w:hAnsi="Times New Roman"/>
          <w:sz w:val="17"/>
          <w:szCs w:val="17"/>
          <w:color w:val="auto"/>
        </w:rPr>
        <w:t>” used without reference to Series C-l Preferred Stock or Series C-2 Preferred Stock shall mean the shares of Series C-l Preferred Stock and Series C-2 Preferred Stock collectively and without distinction. Unless otherwise indicated, references to “sections” or “subsections” in this Part B of this Article Fourth refer to sections and subsections of Part B of this Article Fourth.</w:t>
      </w:r>
    </w:p>
    <w:p>
      <w:pPr>
        <w:spacing w:after="0" w:line="140" w:lineRule="exact"/>
        <w:rPr>
          <w:sz w:val="20"/>
          <w:szCs w:val="20"/>
          <w:color w:val="auto"/>
        </w:rPr>
      </w:pPr>
    </w:p>
    <w:p>
      <w:pPr>
        <w:ind w:left="1560" w:hanging="336"/>
        <w:spacing w:after="0"/>
        <w:tabs>
          <w:tab w:leader="none" w:pos="1560" w:val="left"/>
        </w:tabs>
        <w:numPr>
          <w:ilvl w:val="0"/>
          <w:numId w:val="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Dividends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20" w:right="739" w:firstLine="505"/>
        <w:spacing w:after="0" w:line="234" w:lineRule="auto"/>
        <w:rPr>
          <w:sz w:val="20"/>
          <w:szCs w:val="20"/>
          <w:color w:val="auto"/>
        </w:rPr>
      </w:pPr>
      <w:r>
        <w:rPr>
          <w:rFonts w:ascii="Times New Roman" w:cs="Times New Roman" w:eastAsia="Times New Roman" w:hAnsi="Times New Roman"/>
          <w:sz w:val="17"/>
          <w:szCs w:val="17"/>
          <w:color w:val="auto"/>
        </w:rPr>
        <w:t>The holders of Preferred Stock shall be entitled to receive a non-cumulative dividend of eight percent (8%) per annum of the applicable Original Issue Price (as defined below) (the “</w:t>
      </w:r>
      <w:r>
        <w:rPr>
          <w:rFonts w:ascii="Times New Roman" w:cs="Times New Roman" w:eastAsia="Times New Roman" w:hAnsi="Times New Roman"/>
          <w:sz w:val="17"/>
          <w:szCs w:val="17"/>
          <w:b w:val="1"/>
          <w:bCs w:val="1"/>
          <w:color w:val="auto"/>
        </w:rPr>
        <w:t>Preferred Dividend</w:t>
      </w:r>
      <w:r>
        <w:rPr>
          <w:rFonts w:ascii="Times New Roman" w:cs="Times New Roman" w:eastAsia="Times New Roman" w:hAnsi="Times New Roman"/>
          <w:sz w:val="17"/>
          <w:szCs w:val="17"/>
          <w:color w:val="auto"/>
        </w:rPr>
        <w:t>”); provided, however, such Preferred Dividend shall be payable only when, as and if declared by the Board of Directors of the Corporation (the “</w:t>
      </w:r>
      <w:r>
        <w:rPr>
          <w:rFonts w:ascii="Times New Roman" w:cs="Times New Roman" w:eastAsia="Times New Roman" w:hAnsi="Times New Roman"/>
          <w:sz w:val="17"/>
          <w:szCs w:val="17"/>
          <w:b w:val="1"/>
          <w:bCs w:val="1"/>
          <w:color w:val="auto"/>
        </w:rPr>
        <w:t>Board</w:t>
      </w:r>
      <w:r>
        <w:rPr>
          <w:rFonts w:ascii="Times New Roman" w:cs="Times New Roman" w:eastAsia="Times New Roman" w:hAnsi="Times New Roman"/>
          <w:sz w:val="17"/>
          <w:szCs w:val="17"/>
          <w:color w:val="auto"/>
        </w:rPr>
        <w:t>”) and the Corporation shall be under no obligation to declare or pay any such dividends. The Corporation shall not declare, pay or set aside any dividends on shares of any other class or series of capital stock of the Corporation (other than dividends on shares of Common Stock payable in shares of Common Stock) in any calendar year unless (in addition to the obtaining of any consents required elsewhere in the Restated Certificate) the holders of Preferred Stock then outstanding shall first receive, or simultaneously receive, a dividend on each outstanding share of Preferred Stock in an amount at least equal to the greater of (i) the amount of the aggregate Preferred Dividends then declared on such share of Preferred Stock and not previously paid and (ii) (A) in the case of a dividend on Common Stock or any class or series that is convertible into Common Stock, that dividend per share of Preferred Stock as would equal the product of (1) the dividend payable on each share of such class or series determined, if applicable, as if all shares of such class or series had been converted into Common Stock and (2) the number of shares of Common Stock issuable upon conversion of a share of such series of Preferred Stock, in each case calculated on the record date for determination of holders entitled to receive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360045</wp:posOffset>
            </wp:positionV>
            <wp:extent cx="54857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68" w:name="page269"/>
    <w:bookmarkEnd w:id="268"/>
    <w:p>
      <w:pPr>
        <w:jc w:val="both"/>
        <w:ind w:left="720" w:right="739"/>
        <w:spacing w:after="0" w:line="250" w:lineRule="auto"/>
        <w:rPr>
          <w:sz w:val="20"/>
          <w:szCs w:val="20"/>
          <w:color w:val="auto"/>
        </w:rPr>
      </w:pPr>
      <w:r>
        <w:rPr>
          <w:rFonts w:ascii="Times New Roman" w:cs="Times New Roman" w:eastAsia="Times New Roman" w:hAnsi="Times New Roman"/>
          <w:sz w:val="16"/>
          <w:szCs w:val="16"/>
          <w:color w:val="auto"/>
        </w:rPr>
        <w:t xml:space="preserve">dividend or (B) in the case of a dividend on any class or series that is not convertible into Common Stock, at a rate per share of Preferred Stock determined by (1) dividing the amount of the dividend payable on each share of such class or series of capital stock by the original issuance price of such class or series of capital stock (subject to appropriate adjustment in the event of any stock dividend, stock split, combination or other similar recapitalization with respect to such class or series) and (2) multiplying such fraction by an amount equal to the applicable Original Issue Price; provided that, if the Corporation declares, pays or sets aside, on the same date, a dividend on shares of more than one (1) class or series of capital stock of the Corporation, the dividend payable to the holders of Preferred Stock pursuant to this </w:t>
      </w:r>
      <w:r>
        <w:rPr>
          <w:rFonts w:ascii="Times New Roman" w:cs="Times New Roman" w:eastAsia="Times New Roman" w:hAnsi="Times New Roman"/>
          <w:sz w:val="16"/>
          <w:szCs w:val="16"/>
          <w:u w:val="single" w:color="auto"/>
          <w:color w:val="auto"/>
        </w:rPr>
        <w:t>Section 1</w:t>
      </w:r>
      <w:r>
        <w:rPr>
          <w:rFonts w:ascii="Times New Roman" w:cs="Times New Roman" w:eastAsia="Times New Roman" w:hAnsi="Times New Roman"/>
          <w:sz w:val="16"/>
          <w:szCs w:val="16"/>
          <w:color w:val="auto"/>
        </w:rPr>
        <w:t xml:space="preserve"> shall be calculated based upon the dividend on the class or series of capital stock that would result in the highest Preferred Stock dividend. The “</w:t>
      </w:r>
      <w:r>
        <w:rPr>
          <w:rFonts w:ascii="Times New Roman" w:cs="Times New Roman" w:eastAsia="Times New Roman" w:hAnsi="Times New Roman"/>
          <w:sz w:val="16"/>
          <w:szCs w:val="16"/>
          <w:b w:val="1"/>
          <w:bCs w:val="1"/>
          <w:color w:val="auto"/>
        </w:rPr>
        <w:t>Original Issue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Price</w:t>
      </w:r>
      <w:r>
        <w:rPr>
          <w:rFonts w:ascii="Times New Roman" w:cs="Times New Roman" w:eastAsia="Times New Roman" w:hAnsi="Times New Roman"/>
          <w:sz w:val="16"/>
          <w:szCs w:val="16"/>
          <w:color w:val="auto"/>
        </w:rPr>
        <w:t>” shall mean $1,00 per share with respect to the Series A Preferred Stock, $1,4159 per share with respect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Series B Preferred Stock, $0,73234 per share with respect to the Series C-l Preferred Stock, $0,58587 per share with respect to the Series C-2 Preferred Stock and $0,7963 per share with respect to the Series D Preferred Stock, subject in each case to appropriate adjustment in the event of any stock dividend, stock split, combination or other similar recapitalization with respect to the applicable series of Preferred Stock.</w:t>
      </w:r>
    </w:p>
    <w:p>
      <w:pPr>
        <w:spacing w:after="0" w:line="134" w:lineRule="exact"/>
        <w:rPr>
          <w:sz w:val="20"/>
          <w:szCs w:val="20"/>
          <w:color w:val="auto"/>
        </w:rPr>
      </w:pPr>
    </w:p>
    <w:p>
      <w:pPr>
        <w:ind w:left="1560" w:hanging="336"/>
        <w:spacing w:after="0"/>
        <w:tabs>
          <w:tab w:leader="none" w:pos="1560"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 Dissolution or Winding Up; Certain Mergers, Consolidations and Asset Sales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20" w:right="739" w:firstLine="1009"/>
        <w:spacing w:after="0" w:line="235"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Preferential Payments to Holders of Preferred Stock</w:t>
      </w:r>
      <w:r>
        <w:rPr>
          <w:rFonts w:ascii="Times New Roman" w:cs="Times New Roman" w:eastAsia="Times New Roman" w:hAnsi="Times New Roman"/>
          <w:sz w:val="17"/>
          <w:szCs w:val="17"/>
          <w:color w:val="auto"/>
        </w:rPr>
        <w:t xml:space="preserve">. In the event of any voluntary or involuntary liquidation, dissolution or winding up of the Corporation or Deemed Liquidation Event (as defined below), the holders of shares of Preferred Stock then outstanding shall be entitled to be paid out of the assets of the Corporation and, if applicable, consideration, available for distribution to its stockholders before any payment shall be made to the holders of Common Stock by reason of their ownership thereof, an amount per share equal to the applicable Original Issue Price, plus any dividends declared but unpaid thereon. If upon any such liquidation, dissolution or winding up of the Corporation or Deemed Liquidation Event, the assets of the Corporation and, if applicable, consideration, available for distribution to its stockholders shall be insufficient to pay the holders of shares of Preferred Stock the full amount to which they shall be entitled under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the holders of shares of Preferred Stock shall share ratably in any distribution of the assets and, if applicable, consideration, available for distribution in proportion to the respective amounts which would otherwise be payable in respect of the shares held by them upon such distribution if all amounts payable on or with respect to such shares were paid in full.</w:t>
      </w:r>
    </w:p>
    <w:p>
      <w:pPr>
        <w:spacing w:after="0" w:line="140" w:lineRule="exact"/>
        <w:rPr>
          <w:sz w:val="20"/>
          <w:szCs w:val="20"/>
          <w:color w:val="auto"/>
        </w:rPr>
      </w:pPr>
    </w:p>
    <w:p>
      <w:pPr>
        <w:jc w:val="both"/>
        <w:ind w:left="720" w:right="739" w:firstLine="1009"/>
        <w:spacing w:after="0" w:line="234"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Distribution of Remaining Assets</w:t>
      </w:r>
      <w:r>
        <w:rPr>
          <w:rFonts w:ascii="Times New Roman" w:cs="Times New Roman" w:eastAsia="Times New Roman" w:hAnsi="Times New Roman"/>
          <w:sz w:val="17"/>
          <w:szCs w:val="17"/>
          <w:color w:val="auto"/>
        </w:rPr>
        <w:t xml:space="preserve">. In the event of any voluntary or involuntary liquidation, dissolution or winding up of the Corporation or Deemed Liquidation Event, after the payment of all preferential amounts required to be paid to the holders of shares of Preferred Stock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of this Restated Certificate have been paid in full, the remaining assets of the Corporation, and, if applicable, consideration, available for distribution to its stockholders shall be distributed among the holders of shares of Preferred Stock and Common Stock, pro rata based on the number of shares held by each such holder, treating for this purpose all such securities as if they had been converted to Common Stock pursuant to the terms of the Restated Certificate immediately prior to such liquidation, dissolution or winding up of the Corporation or Deemed Liquidation Event; provided, however, that if the aggregate amount which the holders of Preferred Stock are entitled to receive under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shall exceed an amount equal to three (3) times the applicable Original Issue Price per share (with respect to each series of Preferred Stock, the “</w:t>
      </w:r>
      <w:r>
        <w:rPr>
          <w:rFonts w:ascii="Times New Roman" w:cs="Times New Roman" w:eastAsia="Times New Roman" w:hAnsi="Times New Roman"/>
          <w:sz w:val="17"/>
          <w:szCs w:val="17"/>
          <w:b w:val="1"/>
          <w:bCs w:val="1"/>
          <w:color w:val="auto"/>
        </w:rPr>
        <w:t>Maximum Participation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Amount</w:t>
      </w:r>
      <w:r>
        <w:rPr>
          <w:rFonts w:ascii="Times New Roman" w:cs="Times New Roman" w:eastAsia="Times New Roman" w:hAnsi="Times New Roman"/>
          <w:sz w:val="17"/>
          <w:szCs w:val="17"/>
          <w:color w:val="auto"/>
        </w:rPr>
        <w:t>”), each holder of a series of Preferred Stock shall be entitled to receive only up to the Maximum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Participation Amount applicable to such series of Preferred Stock pursuant to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The aggregate amount which a holder of a share of Preferred Stock is entitled to receive under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is hereinafter referred to as the “</w:t>
      </w:r>
      <w:r>
        <w:rPr>
          <w:rFonts w:ascii="Times New Roman" w:cs="Times New Roman" w:eastAsia="Times New Roman" w:hAnsi="Times New Roman"/>
          <w:sz w:val="17"/>
          <w:szCs w:val="17"/>
          <w:b w:val="1"/>
          <w:bCs w:val="1"/>
          <w:color w:val="auto"/>
        </w:rPr>
        <w:t>Liquidation Amount</w:t>
      </w:r>
      <w:r>
        <w:rPr>
          <w:rFonts w:ascii="Times New Roman" w:cs="Times New Roman" w:eastAsia="Times New Roman" w:hAnsi="Times New Roman"/>
          <w:sz w:val="17"/>
          <w:szCs w:val="17"/>
          <w:color w:val="auto"/>
        </w:rPr>
        <w:t>.”</w:t>
      </w:r>
    </w:p>
    <w:p>
      <w:pPr>
        <w:spacing w:after="0" w:line="148" w:lineRule="exact"/>
        <w:rPr>
          <w:sz w:val="20"/>
          <w:szCs w:val="20"/>
          <w:color w:val="auto"/>
        </w:rPr>
      </w:pPr>
    </w:p>
    <w:p>
      <w:pPr>
        <w:jc w:val="both"/>
        <w:ind w:left="720" w:right="739" w:firstLine="1009"/>
        <w:spacing w:after="0" w:line="238"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Deemed Conversion</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above, for purposes of determining the amount each holder of shares of Preferred Stock is entitled to receive in the event of any voluntary or involuntary liquidation, dissolution or winding up of the Corporation or Deemed Liquidation Event, each holder of shares of a series of Preferred Stock shall be deemed to have converted (regardless of whether such holder actually converted) such holder’s shares of such series of Preferred Stock into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356870</wp:posOffset>
            </wp:positionV>
            <wp:extent cx="5485765"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69" w:name="page270"/>
    <w:bookmarkEnd w:id="269"/>
    <w:p>
      <w:pPr>
        <w:jc w:val="both"/>
        <w:ind w:left="720" w:right="739"/>
        <w:spacing w:after="0" w:line="238" w:lineRule="auto"/>
        <w:rPr>
          <w:sz w:val="20"/>
          <w:szCs w:val="20"/>
          <w:color w:val="auto"/>
        </w:rPr>
      </w:pPr>
      <w:r>
        <w:rPr>
          <w:rFonts w:ascii="Times New Roman" w:cs="Times New Roman" w:eastAsia="Times New Roman" w:hAnsi="Times New Roman"/>
          <w:sz w:val="17"/>
          <w:szCs w:val="17"/>
          <w:color w:val="auto"/>
        </w:rPr>
        <w:t xml:space="preserve">immediately prior to the Deemed Liquidation Event if, as a result of an actual conversion, such holder would receive, in the aggregate, an amount greater than the amount that would be distributed to such holder if such holder did not convert such series of Preferred Stock into shares of Common Stock, If any such holder shall be deemed to have converted shares of a series of Preferred Stock into Common Stock pursuant to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then such holder shall not be entitled to receive any distribution 4 that would otherwise be made to holders of shares of such series of Preferred Stock pursuant to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above.</w:t>
      </w:r>
    </w:p>
    <w:p>
      <w:pPr>
        <w:spacing w:after="0" w:line="140" w:lineRule="exact"/>
        <w:rPr>
          <w:sz w:val="20"/>
          <w:szCs w:val="20"/>
          <w:color w:val="auto"/>
        </w:rPr>
      </w:pPr>
    </w:p>
    <w:p>
      <w:pPr>
        <w:ind w:left="1720"/>
        <w:spacing w:after="0"/>
        <w:tabs>
          <w:tab w:leader="none" w:pos="212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6"/>
          <w:szCs w:val="16"/>
          <w:u w:val="single" w:color="auto"/>
          <w:color w:val="auto"/>
        </w:rPr>
        <w:t>Deemed Liquidation Events</w:t>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both"/>
        <w:ind w:left="720" w:right="739" w:firstLine="1514"/>
        <w:spacing w:after="0" w:line="263" w:lineRule="auto"/>
        <w:rPr>
          <w:sz w:val="20"/>
          <w:szCs w:val="20"/>
          <w:color w:val="auto"/>
        </w:rPr>
      </w:pPr>
      <w:r>
        <w:rPr>
          <w:rFonts w:ascii="Times New Roman" w:cs="Times New Roman" w:eastAsia="Times New Roman" w:hAnsi="Times New Roman"/>
          <w:sz w:val="16"/>
          <w:szCs w:val="16"/>
          <w:color w:val="auto"/>
        </w:rPr>
        <w:t xml:space="preserve">2.4.1 </w:t>
      </w:r>
      <w:r>
        <w:rPr>
          <w:rFonts w:ascii="Times New Roman" w:cs="Times New Roman" w:eastAsia="Times New Roman" w:hAnsi="Times New Roman"/>
          <w:sz w:val="16"/>
          <w:szCs w:val="16"/>
          <w:u w:val="single" w:color="auto"/>
          <w:color w:val="auto"/>
        </w:rPr>
        <w:t>Definition</w:t>
      </w:r>
      <w:r>
        <w:rPr>
          <w:rFonts w:ascii="Times New Roman" w:cs="Times New Roman" w:eastAsia="Times New Roman" w:hAnsi="Times New Roman"/>
          <w:sz w:val="16"/>
          <w:szCs w:val="16"/>
          <w:color w:val="auto"/>
        </w:rPr>
        <w:t>. Each of the following events shall be considered a “</w:t>
      </w:r>
      <w:r>
        <w:rPr>
          <w:rFonts w:ascii="Times New Roman" w:cs="Times New Roman" w:eastAsia="Times New Roman" w:hAnsi="Times New Roman"/>
          <w:sz w:val="16"/>
          <w:szCs w:val="16"/>
          <w:b w:val="1"/>
          <w:bCs w:val="1"/>
          <w:color w:val="auto"/>
        </w:rPr>
        <w:t>Deemed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Liquidation Event</w:t>
      </w:r>
      <w:r>
        <w:rPr>
          <w:rFonts w:ascii="Times New Roman" w:cs="Times New Roman" w:eastAsia="Times New Roman" w:hAnsi="Times New Roman"/>
          <w:sz w:val="16"/>
          <w:szCs w:val="16"/>
          <w:color w:val="auto"/>
        </w:rPr>
        <w:t>” unless the holders of at least a majority of the outstanding shares of Preferred Stock, voting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together as a single separate class and on an as-converted to Common Stock basis (the “</w:t>
      </w:r>
      <w:r>
        <w:rPr>
          <w:rFonts w:ascii="Times New Roman" w:cs="Times New Roman" w:eastAsia="Times New Roman" w:hAnsi="Times New Roman"/>
          <w:sz w:val="16"/>
          <w:szCs w:val="16"/>
          <w:b w:val="1"/>
          <w:bCs w:val="1"/>
          <w:color w:val="auto"/>
        </w:rPr>
        <w:t>Requisite Holders</w:t>
      </w:r>
      <w:r>
        <w:rPr>
          <w:rFonts w:ascii="Times New Roman" w:cs="Times New Roman" w:eastAsia="Times New Roman" w:hAnsi="Times New Roman"/>
          <w:sz w:val="16"/>
          <w:szCs w:val="16"/>
          <w:color w:val="auto"/>
        </w:rPr>
        <w:t>”), elect otherwise by written notice sent to the Corporation prior to the effective date of any such event:</w:t>
      </w:r>
    </w:p>
    <w:p>
      <w:pPr>
        <w:spacing w:after="0" w:line="123" w:lineRule="exact"/>
        <w:rPr>
          <w:sz w:val="20"/>
          <w:szCs w:val="20"/>
          <w:color w:val="auto"/>
        </w:rPr>
      </w:pPr>
    </w:p>
    <w:p>
      <w:pPr>
        <w:ind w:left="3240" w:hanging="502"/>
        <w:spacing w:after="0"/>
        <w:tabs>
          <w:tab w:leader="none" w:pos="3240"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merger, consolidation, statutory conversion, transfer, domestication, or</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continuance in which:</w:t>
      </w:r>
    </w:p>
    <w:p>
      <w:pPr>
        <w:spacing w:after="0" w:line="144" w:lineRule="exact"/>
        <w:rPr>
          <w:sz w:val="20"/>
          <w:szCs w:val="20"/>
          <w:color w:val="auto"/>
        </w:rPr>
      </w:pPr>
    </w:p>
    <w:p>
      <w:pPr>
        <w:ind w:left="3620" w:hanging="377"/>
        <w:spacing w:after="0"/>
        <w:tabs>
          <w:tab w:leader="none" w:pos="3620"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is a constituent party, or</w:t>
      </w:r>
    </w:p>
    <w:p>
      <w:pPr>
        <w:spacing w:after="0" w:line="161" w:lineRule="exact"/>
        <w:rPr>
          <w:rFonts w:ascii="Times New Roman" w:cs="Times New Roman" w:eastAsia="Times New Roman" w:hAnsi="Times New Roman"/>
          <w:sz w:val="17"/>
          <w:szCs w:val="17"/>
          <w:color w:val="auto"/>
        </w:rPr>
      </w:pPr>
    </w:p>
    <w:p>
      <w:pPr>
        <w:jc w:val="both"/>
        <w:ind w:left="720" w:right="739" w:firstLine="2523"/>
        <w:spacing w:after="0" w:line="246" w:lineRule="auto"/>
        <w:tabs>
          <w:tab w:leader="none" w:pos="3844"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of the Corporation is a constituent party and the Corporation issues shares of its capital stock pursuant to such merger, consolidation, statutory conversion, transfer, domestication, or continuance,</w:t>
      </w:r>
    </w:p>
    <w:p>
      <w:pPr>
        <w:spacing w:after="0" w:line="134" w:lineRule="exact"/>
        <w:rPr>
          <w:rFonts w:ascii="Times New Roman" w:cs="Times New Roman" w:eastAsia="Times New Roman" w:hAnsi="Times New Roman"/>
          <w:sz w:val="17"/>
          <w:szCs w:val="17"/>
          <w:color w:val="auto"/>
        </w:rPr>
      </w:pPr>
    </w:p>
    <w:p>
      <w:pPr>
        <w:jc w:val="both"/>
        <w:ind w:left="720" w:right="739" w:firstLine="2523"/>
        <w:spacing w:after="0" w:line="235" w:lineRule="auto"/>
        <w:tabs>
          <w:tab w:leader="none" w:pos="3935" w:val="left"/>
        </w:tabs>
        <w:numPr>
          <w:ilvl w:val="1"/>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any such merger, consolidation, statutory conversion, transfer, domestication, or continuance involving the Corporation or a subsidiary in which the shares of capital stock of the Corporation outstanding immediately prior to such merger, consolidation, statutory conversion, transfer, domestication, or continuance continue to represent, or are converted into or exchanged for shares of capital stock or other equity interests that represent, immediately following such merger, consolidation, statutory conversion, transfer, domestication, or continuance, at least a majority, by voting power, of the capital stock or other equity interests of (1) the surviving or resulting corporation or entity; or (2) if the surviving or resulting corporation or entity is a wholly owned subsidiary of another corporation or entity immediately following such merger, consolidation, statutory conversion, transfer, domestication, or continuance, the parent corporation or entity of such surviving or resulting corporation or entity; or</w:t>
      </w:r>
    </w:p>
    <w:p>
      <w:pPr>
        <w:spacing w:after="0" w:line="146" w:lineRule="exact"/>
        <w:rPr>
          <w:rFonts w:ascii="Times New Roman" w:cs="Times New Roman" w:eastAsia="Times New Roman" w:hAnsi="Times New Roman"/>
          <w:sz w:val="17"/>
          <w:szCs w:val="17"/>
          <w:color w:val="auto"/>
        </w:rPr>
      </w:pPr>
    </w:p>
    <w:p>
      <w:pPr>
        <w:jc w:val="both"/>
        <w:ind w:left="720" w:right="739" w:firstLine="2018"/>
        <w:spacing w:after="0" w:line="236" w:lineRule="auto"/>
        <w:tabs>
          <w:tab w:leader="none" w:pos="3227"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lease, transfer, exclusive license or other disposition, in a single transaction or series of related transactions, by the Corporation or any subsidiary of the Corporation of all or substantially all the assets of the Corporation and its subsidiaries taken as a whole, or the sale, lease, transfer, exclusive license or other disposition (whether by merger, consolidation, statutory conversion, domestication, continuance or otherwise and whether in a single transaction or a series of related transactions) of one or more subsidiaries of the Corporation if substantially all of the assets of the Corporation and its subsidiaries taken as a whole are held by such subsidiary or subsidiaries, except where such sale, lease, transfer, exclusive license or other disposition is to a wholly owned subsidiary of the Corporation;</w:t>
      </w:r>
    </w:p>
    <w:p>
      <w:pPr>
        <w:spacing w:after="0" w:line="144" w:lineRule="exact"/>
        <w:rPr>
          <w:rFonts w:ascii="Times New Roman" w:cs="Times New Roman" w:eastAsia="Times New Roman" w:hAnsi="Times New Roman"/>
          <w:sz w:val="17"/>
          <w:szCs w:val="17"/>
          <w:color w:val="auto"/>
        </w:rPr>
      </w:pPr>
    </w:p>
    <w:p>
      <w:pPr>
        <w:jc w:val="both"/>
        <w:ind w:left="720" w:right="739" w:firstLine="2018"/>
        <w:spacing w:after="0" w:line="241" w:lineRule="auto"/>
        <w:tabs>
          <w:tab w:leader="none" w:pos="317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transaction or series of transactions pursuant to, or as a result of, which a single person (or group of Affiliated persons) acquires (from the Corporation or directly from the stockholders of the Corporation) or holds capital stock of the Corporation representing a majority of the Corporation’s outstanding voting power; or</w:t>
      </w:r>
    </w:p>
    <w:p>
      <w:pPr>
        <w:spacing w:after="0" w:line="139" w:lineRule="exact"/>
        <w:rPr>
          <w:rFonts w:ascii="Times New Roman" w:cs="Times New Roman" w:eastAsia="Times New Roman" w:hAnsi="Times New Roman"/>
          <w:sz w:val="17"/>
          <w:szCs w:val="17"/>
          <w:color w:val="auto"/>
        </w:rPr>
      </w:pPr>
    </w:p>
    <w:p>
      <w:pPr>
        <w:jc w:val="both"/>
        <w:ind w:left="720" w:right="739" w:firstLine="2018"/>
        <w:spacing w:after="0" w:line="241" w:lineRule="auto"/>
        <w:tabs>
          <w:tab w:leader="none" w:pos="3246"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or series of related transactions in which the Corporation’s outstanding shares of capital stock are exchanged for or otherwise converted into securities that are publicly listed on a securities exchange, including, without limitation, through a merger, acquisition, business combination or similar transaction with a “special purpose acquisition company” or its subsidiary or affiliate.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356235</wp:posOffset>
            </wp:positionV>
            <wp:extent cx="54857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70" w:name="page271"/>
    <w:bookmarkEnd w:id="270"/>
    <w:p>
      <w:pPr>
        <w:jc w:val="both"/>
        <w:ind w:left="720" w:right="739" w:firstLine="505"/>
        <w:spacing w:after="0" w:line="248" w:lineRule="auto"/>
        <w:rPr>
          <w:sz w:val="20"/>
          <w:szCs w:val="20"/>
          <w:color w:val="auto"/>
        </w:rPr>
      </w:pPr>
      <w:r>
        <w:rPr>
          <w:rFonts w:ascii="Times New Roman" w:cs="Times New Roman" w:eastAsia="Times New Roman" w:hAnsi="Times New Roman"/>
          <w:sz w:val="17"/>
          <w:szCs w:val="17"/>
          <w:color w:val="auto"/>
        </w:rPr>
        <w:t>As used herein,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shall have the meaning ascribed to such term in the Amended and Restated Investors’ Rights Agreement dated on or about the Series D Original Issue Date by and among the Corporation and in the stockholder parties thereto, as may be amended and/or restated from time to time.</w:t>
      </w:r>
    </w:p>
    <w:p>
      <w:pPr>
        <w:spacing w:after="0" w:line="134" w:lineRule="exact"/>
        <w:rPr>
          <w:sz w:val="20"/>
          <w:szCs w:val="20"/>
          <w:color w:val="auto"/>
        </w:rPr>
      </w:pPr>
    </w:p>
    <w:p>
      <w:pPr>
        <w:ind w:left="2240"/>
        <w:spacing w:after="0"/>
        <w:tabs>
          <w:tab w:leader="none" w:pos="2760" w:val="left"/>
        </w:tabs>
        <w:rPr>
          <w:sz w:val="20"/>
          <w:szCs w:val="20"/>
          <w:color w:val="auto"/>
        </w:rPr>
      </w:pPr>
      <w:r>
        <w:rPr>
          <w:rFonts w:ascii="Times New Roman" w:cs="Times New Roman" w:eastAsia="Times New Roman" w:hAnsi="Times New Roman"/>
          <w:sz w:val="17"/>
          <w:szCs w:val="17"/>
          <w:color w:val="auto"/>
        </w:rPr>
        <w:t>2.4.2</w:t>
      </w:r>
      <w:r>
        <w:rPr>
          <w:sz w:val="20"/>
          <w:szCs w:val="20"/>
          <w:color w:val="auto"/>
        </w:rPr>
        <w:tab/>
      </w:r>
      <w:r>
        <w:rPr>
          <w:rFonts w:ascii="Times New Roman" w:cs="Times New Roman" w:eastAsia="Times New Roman" w:hAnsi="Times New Roman"/>
          <w:sz w:val="16"/>
          <w:szCs w:val="16"/>
          <w:u w:val="single" w:color="auto"/>
          <w:color w:val="auto"/>
        </w:rPr>
        <w:t>Effecting a Deemed Liquidation Event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720" w:right="739" w:firstLine="2018"/>
        <w:spacing w:after="0" w:line="239" w:lineRule="auto"/>
        <w:tabs>
          <w:tab w:leader="none" w:pos="3198"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Corporation shall not have the power to effect a Deemed Liquidation Event referred to in </w:t>
      </w:r>
      <w:r>
        <w:rPr>
          <w:rFonts w:ascii="Times New Roman" w:cs="Times New Roman" w:eastAsia="Times New Roman" w:hAnsi="Times New Roman"/>
          <w:sz w:val="17"/>
          <w:szCs w:val="17"/>
          <w:u w:val="single" w:color="auto"/>
          <w:color w:val="auto"/>
        </w:rPr>
        <w:t>Section 2.4.1(a)(i)</w:t>
      </w:r>
      <w:r>
        <w:rPr>
          <w:rFonts w:ascii="Times New Roman" w:cs="Times New Roman" w:eastAsia="Times New Roman" w:hAnsi="Times New Roman"/>
          <w:sz w:val="17"/>
          <w:szCs w:val="17"/>
          <w:color w:val="auto"/>
        </w:rPr>
        <w:t xml:space="preserve"> unless the agreement or plan with respect to such transaction, or terms of such transaction (any such agreement, plan or terms, the “</w:t>
      </w:r>
      <w:r>
        <w:rPr>
          <w:rFonts w:ascii="Times New Roman" w:cs="Times New Roman" w:eastAsia="Times New Roman" w:hAnsi="Times New Roman"/>
          <w:sz w:val="17"/>
          <w:szCs w:val="17"/>
          <w:b w:val="1"/>
          <w:bCs w:val="1"/>
          <w:color w:val="auto"/>
        </w:rPr>
        <w:t>Transaction Document</w:t>
      </w:r>
      <w:r>
        <w:rPr>
          <w:rFonts w:ascii="Times New Roman" w:cs="Times New Roman" w:eastAsia="Times New Roman" w:hAnsi="Times New Roman"/>
          <w:sz w:val="17"/>
          <w:szCs w:val="17"/>
          <w:color w:val="auto"/>
        </w:rPr>
        <w:t xml:space="preserve">”) provide that the consideration payable to the stockholders of the Corporation in such Deemed Liquidation Event shall be allocated to the holders of capital stock of the Corporation in accordance with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hereof.</w:t>
      </w:r>
    </w:p>
    <w:p>
      <w:pPr>
        <w:spacing w:after="0" w:line="140" w:lineRule="exact"/>
        <w:rPr>
          <w:rFonts w:ascii="Times New Roman" w:cs="Times New Roman" w:eastAsia="Times New Roman" w:hAnsi="Times New Roman"/>
          <w:sz w:val="17"/>
          <w:szCs w:val="17"/>
          <w:color w:val="auto"/>
        </w:rPr>
      </w:pPr>
    </w:p>
    <w:p>
      <w:pPr>
        <w:jc w:val="both"/>
        <w:ind w:left="720" w:right="739" w:firstLine="2018"/>
        <w:spacing w:after="0" w:line="233" w:lineRule="auto"/>
        <w:tabs>
          <w:tab w:leader="none" w:pos="3174" w:val="left"/>
        </w:tabs>
        <w:numPr>
          <w:ilvl w:val="0"/>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 Deemed Liquidation Event referred to in Section 2,4,1 (a) (ii), 2,4,1(b) or 2,4,1 (c), if the Corporation does not effect a dissolution of the Corporation under the General Corporation Law within ninety (90) days after such Deemed Liquidation Event, then (i) the Corporation shall send a written notice to each holder of Preferred Stock no later than the ninetieth (90th) day after the Deemed Liquidation Event advising such holders of their right (and the requirements to be met to secure such right) pursuant to the terms of the following clause (ii) to require the redemption of such shares of Preferred Stock, and (ii) if Requisite Holders so request in a written instrument delivered to the Corporation not later than one hundred twenty (120) days after such Deemed Liquidation Event, the Corporation shall use the consideration received by the Corporation for such Deemed Liquidation Event (net of any retained liabilities associated with the assets sold or technology licensed, any other expenses reasonably related to such Deemed Liquidation Event or any other expenses incident to the dissolution of the Corporation as provided herein, in each case as determined in good faith by the Board, together with any other assets of the Corporation available for distribution to its stockholders, all to the extent permitted by Delaware law governing distributions to stockholders (the “</w:t>
      </w:r>
      <w:r>
        <w:rPr>
          <w:rFonts w:ascii="Times New Roman" w:cs="Times New Roman" w:eastAsia="Times New Roman" w:hAnsi="Times New Roman"/>
          <w:sz w:val="17"/>
          <w:szCs w:val="17"/>
          <w:b w:val="1"/>
          <w:bCs w:val="1"/>
          <w:color w:val="auto"/>
        </w:rPr>
        <w:t>Available Proceeds</w:t>
      </w:r>
      <w:r>
        <w:rPr>
          <w:rFonts w:ascii="Times New Roman" w:cs="Times New Roman" w:eastAsia="Times New Roman" w:hAnsi="Times New Roman"/>
          <w:sz w:val="17"/>
          <w:szCs w:val="17"/>
          <w:color w:val="auto"/>
        </w:rPr>
        <w:t>”), on the one hundred fiftieth (150th) day after such Deemed Liquidation Event (the “</w:t>
      </w:r>
      <w:r>
        <w:rPr>
          <w:rFonts w:ascii="Times New Roman" w:cs="Times New Roman" w:eastAsia="Times New Roman" w:hAnsi="Times New Roman"/>
          <w:sz w:val="17"/>
          <w:szCs w:val="17"/>
          <w:b w:val="1"/>
          <w:bCs w:val="1"/>
          <w:color w:val="auto"/>
        </w:rPr>
        <w:t>DLE Redemption Date</w:t>
      </w:r>
      <w:r>
        <w:rPr>
          <w:rFonts w:ascii="Times New Roman" w:cs="Times New Roman" w:eastAsia="Times New Roman" w:hAnsi="Times New Roman"/>
          <w:sz w:val="17"/>
          <w:szCs w:val="17"/>
          <w:color w:val="auto"/>
        </w:rPr>
        <w:t>”), to redeem all outstanding shares of Preferred Stock at a price per share equal to the applicable Liquidation Amount; provided, that if the definitive agreements governing such Deemed Liquidation Event contain contingent indemnification obligations on the part of the Corporation and prohibit the Corporation from distributing all or a portion of the Available Proceeds while such indemnification obligations remain outstanding, then the DLE Redemption Date shall automatically be extended to the date that is ten business days following the date on which such prohibition expires, Notwithstanding the foregoing, in the event of a redemption pursuant to the preceding sentence, if the Available Proceeds are not sufficient to redeem all outstanding shares of Preferred Stock, the Corporation shall ratably redeem each holder’s shares of Preferred Stock to the fullest extent of such Available Proceeds, and shall redeem the remaining shares as soon as it may lawfully do so under Delaware law governing distributions to 6 stockholders. Prior to the distribution or redemption provided for in this Section 2.4.2(b), the Corporation shall not expend or dissipate the Available Proceeds for any purpose, except to discharge expenses incurred in connection with such Deemed Liquidation Event or in the ordinary course of business. In connection with a distribution or redemption provided for in this Subsection 2.4.2, the Corporation shall send written notice of the redemption (the “Redemption Notice”) to each holder of record of Preferred Stock. Each Redemption Notice shall state:</w:t>
      </w:r>
    </w:p>
    <w:p>
      <w:pPr>
        <w:spacing w:after="0" w:line="151" w:lineRule="exact"/>
        <w:rPr>
          <w:rFonts w:ascii="Times New Roman" w:cs="Times New Roman" w:eastAsia="Times New Roman" w:hAnsi="Times New Roman"/>
          <w:sz w:val="17"/>
          <w:szCs w:val="17"/>
          <w:color w:val="auto"/>
        </w:rPr>
      </w:pPr>
    </w:p>
    <w:p>
      <w:pPr>
        <w:ind w:left="3680" w:hanging="437"/>
        <w:spacing w:after="0"/>
        <w:tabs>
          <w:tab w:leader="none" w:pos="368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each series of Preferred Stock held by the</w:t>
      </w:r>
    </w:p>
    <w:p>
      <w:pPr>
        <w:spacing w:after="0" w:line="11"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holder that the Corporation shall redeem on the date specified in the Redemption Notice;</w:t>
      </w:r>
    </w:p>
    <w:p>
      <w:pPr>
        <w:spacing w:after="0" w:line="143" w:lineRule="exact"/>
        <w:rPr>
          <w:rFonts w:ascii="Times New Roman" w:cs="Times New Roman" w:eastAsia="Times New Roman" w:hAnsi="Times New Roman"/>
          <w:sz w:val="17"/>
          <w:szCs w:val="17"/>
          <w:color w:val="auto"/>
        </w:rPr>
      </w:pPr>
    </w:p>
    <w:p>
      <w:pPr>
        <w:ind w:left="3720" w:hanging="477"/>
        <w:spacing w:after="0"/>
        <w:tabs>
          <w:tab w:leader="none" w:pos="3720" w:val="left"/>
        </w:tabs>
        <w:numPr>
          <w:ilvl w:val="1"/>
          <w:numId w:val="1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redemption date and the price per share at which the shares of</w:t>
      </w:r>
    </w:p>
    <w:p>
      <w:pPr>
        <w:spacing w:after="0" w:line="11"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Preferred Stock are being redeemed;</w:t>
      </w:r>
    </w:p>
    <w:p>
      <w:pPr>
        <w:spacing w:after="0" w:line="144" w:lineRule="exact"/>
        <w:rPr>
          <w:sz w:val="20"/>
          <w:szCs w:val="20"/>
          <w:color w:val="auto"/>
        </w:rPr>
      </w:pPr>
    </w:p>
    <w:p>
      <w:pPr>
        <w:jc w:val="both"/>
        <w:ind w:left="720" w:right="739" w:firstLine="2523"/>
        <w:spacing w:after="0" w:line="246" w:lineRule="auto"/>
        <w:tabs>
          <w:tab w:leader="none" w:pos="3823"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holders of shares in certificated form, that the holder is to surrender to the Corporation, in the manner and at the place designated, his, her or its certificate or certificates representing the shares of Preferred Stock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353060</wp:posOffset>
            </wp:positionV>
            <wp:extent cx="54857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71" w:name="page272"/>
    <w:bookmarkEnd w:id="271"/>
    <w:p>
      <w:pPr>
        <w:jc w:val="both"/>
        <w:ind w:left="720" w:right="739"/>
        <w:spacing w:after="0" w:line="238" w:lineRule="auto"/>
        <w:rPr>
          <w:sz w:val="20"/>
          <w:szCs w:val="20"/>
          <w:color w:val="auto"/>
        </w:rPr>
      </w:pPr>
      <w:r>
        <w:rPr>
          <w:rFonts w:ascii="Times New Roman" w:cs="Times New Roman" w:eastAsia="Times New Roman" w:hAnsi="Times New Roman"/>
          <w:sz w:val="17"/>
          <w:szCs w:val="17"/>
          <w:color w:val="auto"/>
        </w:rPr>
        <w:t>If the Redemption Notice shall have been duly given, and if payment is tendered or deposited with an independent payment agent so as to be available therefor in a timely manner, then notwithstanding that any certificates evidencing any of the shares of Preferred Stock so called for redemption shall not have been surrendered, all rights with respect to such shares shall forthwith after the redemption date terminate, except only the right of the holders to receive the payment without interest upon surrender of any such certificate or certificates therefor.</w:t>
      </w:r>
    </w:p>
    <w:p>
      <w:pPr>
        <w:spacing w:after="0" w:line="140" w:lineRule="exact"/>
        <w:rPr>
          <w:sz w:val="20"/>
          <w:szCs w:val="20"/>
          <w:color w:val="auto"/>
        </w:rPr>
      </w:pPr>
    </w:p>
    <w:p>
      <w:pPr>
        <w:jc w:val="both"/>
        <w:ind w:left="720" w:right="739" w:firstLine="1514"/>
        <w:spacing w:after="0" w:line="238" w:lineRule="auto"/>
        <w:rPr>
          <w:sz w:val="20"/>
          <w:szCs w:val="20"/>
          <w:color w:val="auto"/>
        </w:rPr>
      </w:pPr>
      <w:r>
        <w:rPr>
          <w:rFonts w:ascii="Times New Roman" w:cs="Times New Roman" w:eastAsia="Times New Roman" w:hAnsi="Times New Roman"/>
          <w:sz w:val="17"/>
          <w:szCs w:val="17"/>
          <w:u w:val="single" w:color="auto"/>
          <w:color w:val="auto"/>
        </w:rPr>
        <w:t>2.4.3 Amount Deemed Paid or Distributed</w:t>
      </w:r>
      <w:r>
        <w:rPr>
          <w:rFonts w:ascii="Times New Roman" w:cs="Times New Roman" w:eastAsia="Times New Roman" w:hAnsi="Times New Roman"/>
          <w:sz w:val="17"/>
          <w:szCs w:val="17"/>
          <w:color w:val="auto"/>
        </w:rPr>
        <w:t>. The amount deemed paid or distributed to the holders of capital stock of the Corporation upon any such merger, consolidation, sale, transfer, exclusive license, other disposition or redemption shall be the cash or the value of the property, rights or securities paid or distributed to such holders by the Corporation or the acquiring person, firm or other entity. The value of such property, rights or securities shall be determined in good faith by the Board, including a majority of the Preferred Directors then- serving.</w:t>
      </w:r>
    </w:p>
    <w:p>
      <w:pPr>
        <w:spacing w:after="0" w:line="140" w:lineRule="exact"/>
        <w:rPr>
          <w:sz w:val="20"/>
          <w:szCs w:val="20"/>
          <w:color w:val="auto"/>
        </w:rPr>
      </w:pPr>
    </w:p>
    <w:p>
      <w:pPr>
        <w:jc w:val="both"/>
        <w:ind w:left="720" w:right="739" w:firstLine="1514"/>
        <w:spacing w:after="0" w:line="235" w:lineRule="auto"/>
        <w:rPr>
          <w:sz w:val="20"/>
          <w:szCs w:val="20"/>
          <w:color w:val="auto"/>
        </w:rPr>
      </w:pPr>
      <w:r>
        <w:rPr>
          <w:rFonts w:ascii="Times New Roman" w:cs="Times New Roman" w:eastAsia="Times New Roman" w:hAnsi="Times New Roman"/>
          <w:sz w:val="17"/>
          <w:szCs w:val="17"/>
          <w:u w:val="single" w:color="auto"/>
          <w:color w:val="auto"/>
        </w:rPr>
        <w:t>2.4.4 Allocation of Escrow and Contingent Consideration</w:t>
      </w:r>
      <w:r>
        <w:rPr>
          <w:rFonts w:ascii="Times New Roman" w:cs="Times New Roman" w:eastAsia="Times New Roman" w:hAnsi="Times New Roman"/>
          <w:sz w:val="17"/>
          <w:szCs w:val="17"/>
          <w:color w:val="auto"/>
        </w:rPr>
        <w:t xml:space="preserve">. In the event of a Deemed Liquidation Event pursuant to </w:t>
      </w:r>
      <w:r>
        <w:rPr>
          <w:rFonts w:ascii="Times New Roman" w:cs="Times New Roman" w:eastAsia="Times New Roman" w:hAnsi="Times New Roman"/>
          <w:sz w:val="17"/>
          <w:szCs w:val="17"/>
          <w:u w:val="single" w:color="auto"/>
          <w:color w:val="auto"/>
        </w:rPr>
        <w:t>Section 2.4.1(a)(i)</w:t>
      </w:r>
      <w:r>
        <w:rPr>
          <w:rFonts w:ascii="Times New Roman" w:cs="Times New Roman" w:eastAsia="Times New Roman" w:hAnsi="Times New Roman"/>
          <w:sz w:val="17"/>
          <w:szCs w:val="17"/>
          <w:color w:val="auto"/>
        </w:rPr>
        <w:t xml:space="preserve"> if any portion of the consideration payable to the stockholders of the Corporation is payable only upon satisfaction of contingencies (the “</w:t>
      </w:r>
      <w:r>
        <w:rPr>
          <w:rFonts w:ascii="Times New Roman" w:cs="Times New Roman" w:eastAsia="Times New Roman" w:hAnsi="Times New Roman"/>
          <w:sz w:val="17"/>
          <w:szCs w:val="17"/>
          <w:b w:val="1"/>
          <w:bCs w:val="1"/>
          <w:color w:val="auto"/>
        </w:rPr>
        <w:t>Additional Consideration</w:t>
      </w:r>
      <w:r>
        <w:rPr>
          <w:rFonts w:ascii="Times New Roman" w:cs="Times New Roman" w:eastAsia="Times New Roman" w:hAnsi="Times New Roman"/>
          <w:sz w:val="17"/>
          <w:szCs w:val="17"/>
          <w:color w:val="auto"/>
        </w:rPr>
        <w:t>”), the Transaction Document shall provide that (a) the portion of such consideration that is not Additional Consideration (such portion, the “</w:t>
      </w:r>
      <w:r>
        <w:rPr>
          <w:rFonts w:ascii="Times New Roman" w:cs="Times New Roman" w:eastAsia="Times New Roman" w:hAnsi="Times New Roman"/>
          <w:sz w:val="17"/>
          <w:szCs w:val="17"/>
          <w:b w:val="1"/>
          <w:bCs w:val="1"/>
          <w:color w:val="auto"/>
        </w:rPr>
        <w:t>Initial Consideration</w:t>
      </w:r>
      <w:r>
        <w:rPr>
          <w:rFonts w:ascii="Times New Roman" w:cs="Times New Roman" w:eastAsia="Times New Roman" w:hAnsi="Times New Roman"/>
          <w:sz w:val="17"/>
          <w:szCs w:val="17"/>
          <w:color w:val="auto"/>
        </w:rPr>
        <w:t xml:space="preserve">”) shall be allocated among the holders of capital stock of the Corporation in accordance with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as if the Initial Consideration were the only consideration payable in connection with such Deemed Liquidation Event; and (b) any Additional Consideration which becomes payable to the stockholders of the Corporation upon satisfaction of such contingencies shall be allocated among the holders of capital stock of the Corporation in accordance with </w:t>
      </w:r>
      <w:r>
        <w:rPr>
          <w:rFonts w:ascii="Times New Roman" w:cs="Times New Roman" w:eastAsia="Times New Roman" w:hAnsi="Times New Roman"/>
          <w:sz w:val="17"/>
          <w:szCs w:val="17"/>
          <w:u w:val="single" w:color="auto"/>
          <w:color w:val="auto"/>
        </w:rPr>
        <w:t>Sections 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after taking into account the previous payment of the Initial Consideration as part of the same transaction. For the purposes of this </w:t>
      </w:r>
      <w:r>
        <w:rPr>
          <w:rFonts w:ascii="Times New Roman" w:cs="Times New Roman" w:eastAsia="Times New Roman" w:hAnsi="Times New Roman"/>
          <w:sz w:val="17"/>
          <w:szCs w:val="17"/>
          <w:u w:val="single" w:color="auto"/>
          <w:color w:val="auto"/>
        </w:rPr>
        <w:t>Section 2.4.4</w:t>
      </w:r>
      <w:r>
        <w:rPr>
          <w:rFonts w:ascii="Times New Roman" w:cs="Times New Roman" w:eastAsia="Times New Roman" w:hAnsi="Times New Roman"/>
          <w:sz w:val="17"/>
          <w:szCs w:val="17"/>
          <w:color w:val="auto"/>
        </w:rPr>
        <w:t>, consideration placed into escrow or retained as a holdback to be available for satisfaction of indemnification or similar obligations in connection with such Deemed Liquidation Event shall be deemed to be Additional Consideration.</w:t>
      </w:r>
    </w:p>
    <w:p>
      <w:pPr>
        <w:spacing w:after="0" w:line="140" w:lineRule="exact"/>
        <w:rPr>
          <w:sz w:val="20"/>
          <w:szCs w:val="20"/>
          <w:color w:val="auto"/>
        </w:rPr>
      </w:pPr>
    </w:p>
    <w:p>
      <w:pPr>
        <w:jc w:val="both"/>
        <w:ind w:left="720" w:right="739" w:firstLine="1514"/>
        <w:spacing w:after="0" w:line="237" w:lineRule="auto"/>
        <w:rPr>
          <w:sz w:val="20"/>
          <w:szCs w:val="20"/>
          <w:color w:val="auto"/>
        </w:rPr>
      </w:pPr>
      <w:r>
        <w:rPr>
          <w:rFonts w:ascii="Times New Roman" w:cs="Times New Roman" w:eastAsia="Times New Roman" w:hAnsi="Times New Roman"/>
          <w:sz w:val="17"/>
          <w:szCs w:val="17"/>
          <w:color w:val="auto"/>
        </w:rPr>
        <w:t xml:space="preserve">2.4.5 Other Distributions of Proceeds. In the event that the Board determines to distribute the proceeds (cash or otherwise) resulting from any sale or other transfer of a significant portion of the Corporation’s or its subsidiary’s assets (which would not be a Deemed Liquidation Event), or the proceeds from an option to acquire securities or assets of the Corporation or its subsidiary, the proceeds resulting therefrom (including in respect of any ongoing payments, such as a royalty or milestone payment), shall be distributed as proceeds from a Deemed Liquidation Event in accordance with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and not as a dividend and shall be deemed to count as a payment towards the applicable Liquidation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-744220</wp:posOffset>
            </wp:positionV>
            <wp:extent cx="1876425" cy="698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876425" cy="6985"/>
                    </a:xfrm>
                    <a:prstGeom prst="rect">
                      <a:avLst/>
                    </a:prstGeom>
                    <a:noFill/>
                  </pic:spPr>
                </pic:pic>
              </a:graphicData>
            </a:graphic>
          </wp:anchor>
        </w:drawing>
      </w:r>
    </w:p>
    <w:p>
      <w:pPr>
        <w:spacing w:after="0" w:line="121" w:lineRule="exact"/>
        <w:rPr>
          <w:sz w:val="20"/>
          <w:szCs w:val="20"/>
          <w:color w:val="auto"/>
        </w:rPr>
      </w:pPr>
    </w:p>
    <w:p>
      <w:pPr>
        <w:ind w:left="1560" w:hanging="336"/>
        <w:spacing w:after="0"/>
        <w:tabs>
          <w:tab w:leader="none" w:pos="1560" w:val="left"/>
        </w:tabs>
        <w:numPr>
          <w:ilvl w:val="0"/>
          <w:numId w:val="17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Voting</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20" w:right="739" w:firstLine="1009"/>
        <w:spacing w:after="0" w:line="237" w:lineRule="auto"/>
        <w:rPr>
          <w:sz w:val="20"/>
          <w:szCs w:val="20"/>
          <w:color w:val="auto"/>
        </w:rPr>
      </w:pPr>
      <w:r>
        <w:rPr>
          <w:rFonts w:ascii="Times New Roman" w:cs="Times New Roman" w:eastAsia="Times New Roman" w:hAnsi="Times New Roman"/>
          <w:sz w:val="17"/>
          <w:szCs w:val="17"/>
          <w:u w:val="single" w:color="auto"/>
          <w:color w:val="auto"/>
        </w:rPr>
        <w:t>3.1 General</w:t>
      </w:r>
      <w:r>
        <w:rPr>
          <w:rFonts w:ascii="Times New Roman" w:cs="Times New Roman" w:eastAsia="Times New Roman" w:hAnsi="Times New Roman"/>
          <w:sz w:val="17"/>
          <w:szCs w:val="17"/>
          <w:color w:val="auto"/>
        </w:rPr>
        <w:t>. On any matter presented to the stockholders of the Corporation for their action or consideration at any meeting of stockholders of the Corporation (or by written consent of stockholders in lieu of meeting), each holder of outstanding shares of Preferred Stock shall be entitled to cast the number of votes equal to the number of whole shares of Common Stock into which the shares of Preferred Stock held by such holder are convertible as of the record date for determining stockholders entitled to vote on such matter. Except as provided by law or by the other provisions of the Restated Certificate, holders of Preferred Stock shall vote together with the holders of Common Stock as a single class.</w:t>
      </w:r>
    </w:p>
    <w:p>
      <w:pPr>
        <w:spacing w:after="0" w:line="141" w:lineRule="exact"/>
        <w:rPr>
          <w:sz w:val="20"/>
          <w:szCs w:val="20"/>
          <w:color w:val="auto"/>
        </w:rPr>
      </w:pPr>
    </w:p>
    <w:p>
      <w:pPr>
        <w:jc w:val="both"/>
        <w:ind w:left="720" w:right="739" w:firstLine="1009"/>
        <w:spacing w:after="0" w:line="236" w:lineRule="auto"/>
        <w:rPr>
          <w:sz w:val="20"/>
          <w:szCs w:val="20"/>
          <w:color w:val="auto"/>
        </w:rPr>
      </w:pPr>
      <w:r>
        <w:rPr>
          <w:rFonts w:ascii="Times New Roman" w:cs="Times New Roman" w:eastAsia="Times New Roman" w:hAnsi="Times New Roman"/>
          <w:sz w:val="17"/>
          <w:szCs w:val="17"/>
          <w:u w:val="single" w:color="auto"/>
          <w:color w:val="auto"/>
        </w:rPr>
        <w:t>3.2 Election of Directors</w:t>
      </w:r>
      <w:r>
        <w:rPr>
          <w:rFonts w:ascii="Times New Roman" w:cs="Times New Roman" w:eastAsia="Times New Roman" w:hAnsi="Times New Roman"/>
          <w:sz w:val="17"/>
          <w:szCs w:val="17"/>
          <w:color w:val="auto"/>
        </w:rPr>
        <w:t>. The holders of record of the shares of Series A Preferred Stock and Series B Preferred Stock, voting together as a single separate class, shall be entitled to elect three (3) directors of the Corporation (each, a “</w:t>
      </w:r>
      <w:r>
        <w:rPr>
          <w:rFonts w:ascii="Times New Roman" w:cs="Times New Roman" w:eastAsia="Times New Roman" w:hAnsi="Times New Roman"/>
          <w:sz w:val="17"/>
          <w:szCs w:val="17"/>
          <w:b w:val="1"/>
          <w:bCs w:val="1"/>
          <w:color w:val="auto"/>
        </w:rPr>
        <w:t>Series A/B Preferred Director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Series A/B Preferred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Directors</w:t>
      </w:r>
      <w:r>
        <w:rPr>
          <w:rFonts w:ascii="Times New Roman" w:cs="Times New Roman" w:eastAsia="Times New Roman" w:hAnsi="Times New Roman"/>
          <w:sz w:val="17"/>
          <w:szCs w:val="17"/>
          <w:color w:val="auto"/>
        </w:rPr>
        <w:t>”), the holders of record of the shares of Series C Preferred Stock, exclusively and as a single separate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class, shall be entitled to elect two (2) directors of the Corporation (each, a “</w:t>
      </w:r>
      <w:r>
        <w:rPr>
          <w:rFonts w:ascii="Times New Roman" w:cs="Times New Roman" w:eastAsia="Times New Roman" w:hAnsi="Times New Roman"/>
          <w:sz w:val="17"/>
          <w:szCs w:val="17"/>
          <w:b w:val="1"/>
          <w:bCs w:val="1"/>
          <w:color w:val="auto"/>
        </w:rPr>
        <w:t>Series C Preferred Director</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Series C Preferred Directors</w:t>
      </w:r>
      <w:r>
        <w:rPr>
          <w:rFonts w:ascii="Times New Roman" w:cs="Times New Roman" w:eastAsia="Times New Roman" w:hAnsi="Times New Roman"/>
          <w:sz w:val="17"/>
          <w:szCs w:val="17"/>
          <w:color w:val="auto"/>
        </w:rPr>
        <w:t>”) and the holders of record of the shares of Series D Preferred Stock, exclusively and as a single separate class, shall be entitled to elect one (1) director of the Corporation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358775</wp:posOffset>
            </wp:positionV>
            <wp:extent cx="54857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72" w:name="page273"/>
    <w:bookmarkEnd w:id="272"/>
    <w:p>
      <w:pPr>
        <w:jc w:val="both"/>
        <w:ind w:left="720" w:right="739"/>
        <w:spacing w:after="0" w:line="249"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Series D Preferred Director</w:t>
      </w:r>
      <w:r>
        <w:rPr>
          <w:rFonts w:ascii="Times New Roman" w:cs="Times New Roman" w:eastAsia="Times New Roman" w:hAnsi="Times New Roman"/>
          <w:sz w:val="16"/>
          <w:szCs w:val="16"/>
          <w:color w:val="auto"/>
        </w:rPr>
        <w:t>”, together with the Series C Preferred Directors, the “</w:t>
      </w:r>
      <w:r>
        <w:rPr>
          <w:rFonts w:ascii="Times New Roman" w:cs="Times New Roman" w:eastAsia="Times New Roman" w:hAnsi="Times New Roman"/>
          <w:sz w:val="16"/>
          <w:szCs w:val="16"/>
          <w:b w:val="1"/>
          <w:bCs w:val="1"/>
          <w:color w:val="auto"/>
        </w:rPr>
        <w:t>Series C/D Preferred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Directors</w:t>
      </w:r>
      <w:r>
        <w:rPr>
          <w:rFonts w:ascii="Times New Roman" w:cs="Times New Roman" w:eastAsia="Times New Roman" w:hAnsi="Times New Roman"/>
          <w:sz w:val="16"/>
          <w:szCs w:val="16"/>
          <w:color w:val="auto"/>
        </w:rPr>
        <w:t>” and, together with the Series A/B Preferred Directors, the “</w:t>
      </w:r>
      <w:r>
        <w:rPr>
          <w:rFonts w:ascii="Times New Roman" w:cs="Times New Roman" w:eastAsia="Times New Roman" w:hAnsi="Times New Roman"/>
          <w:sz w:val="16"/>
          <w:szCs w:val="16"/>
          <w:b w:val="1"/>
          <w:bCs w:val="1"/>
          <w:color w:val="auto"/>
        </w:rPr>
        <w:t>Preferred Directors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i w:val="1"/>
          <w:iCs w:val="1"/>
          <w:color w:val="auto"/>
        </w:rPr>
        <w:t xml:space="preserve">however, </w:t>
      </w:r>
      <w:r>
        <w:rPr>
          <w:rFonts w:ascii="Times New Roman" w:cs="Times New Roman" w:eastAsia="Times New Roman" w:hAnsi="Times New Roman"/>
          <w:sz w:val="16"/>
          <w:szCs w:val="16"/>
          <w:color w:val="auto"/>
        </w:rPr>
        <w:t>for administrative convenience, the initial Series D Preferred Director may also be appointed by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Board in connection with the approval of the initial issuance of Series D Preferred Stock without separate action by the holders of any series of Preferred Stock, Any director elected as provided in the preceding sentence may be removed without cause (consistent with Delaware law) by, and only by, the affirmative vote of the holders of the applicable series of Preferred Stock, given either at a special meeting of such stockholders duly called for that purpose or pursuant to a written consent of stockholders, If the holders of shares of Preferred Stock fail to elect a sufficient number of directors to fill all directorships for which they are entitled to elect directors, voting exclusively and as a single separate class, pursuant to the first sentence of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then any directorship not so filled shall remain vacant until such time as the holders of the applicable series of Preferred Stock elect a person to fill such directorship by vote or written consent in lieu of a meeting; and no such directorship may be filled by stockholders of the Corporation other than by the holders of the applicable series of Preferred Stock, voting exclusively and as a single separate class. The holders of record of the shares of Common Stock and of any other class or series of voting stock (including the Preferred Stock), voting together as a single class on an as-converted basis, shall be entitled to elect the balance of the total number of directors of the Corporation, At any meeting of the Board, the presence of a majority of directors, including a majority of the Preferred Directors then-serving, shall constitute a quorum. At any meeting held for the purpose of electing a director, the presence in person or by proxy of the holders of a majority of the outstanding shares of the class or series entitled to elect such director shall constitute a quorum for the purpose of electing such director. Except as otherwise provided in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 xml:space="preserve">, a vacancy in any directorship filled by the holders of any class or series shall be filled only by vote or written consent in lieu of a meeting of the holders of such class or series or by any remaining director or directors elected by the holders of such class or series pursuant to this </w:t>
      </w:r>
      <w:r>
        <w:rPr>
          <w:rFonts w:ascii="Times New Roman" w:cs="Times New Roman" w:eastAsia="Times New Roman" w:hAnsi="Times New Roman"/>
          <w:sz w:val="16"/>
          <w:szCs w:val="16"/>
          <w:u w:val="single" w:color="auto"/>
          <w:color w:val="auto"/>
        </w:rPr>
        <w:t>Section 3.2</w:t>
      </w:r>
      <w:r>
        <w:rPr>
          <w:rFonts w:ascii="Times New Roman" w:cs="Times New Roman" w:eastAsia="Times New Roman" w:hAnsi="Times New Roman"/>
          <w:sz w:val="16"/>
          <w:szCs w:val="16"/>
          <w:color w:val="auto"/>
        </w:rPr>
        <w:t>.</w:t>
      </w:r>
    </w:p>
    <w:p>
      <w:pPr>
        <w:spacing w:after="0" w:line="325" w:lineRule="exact"/>
        <w:rPr>
          <w:sz w:val="20"/>
          <w:szCs w:val="20"/>
          <w:color w:val="auto"/>
        </w:rPr>
      </w:pPr>
    </w:p>
    <w:p>
      <w:pPr>
        <w:jc w:val="both"/>
        <w:ind w:left="720" w:right="739" w:firstLine="1009"/>
        <w:spacing w:after="0" w:line="236" w:lineRule="auto"/>
        <w:rPr>
          <w:sz w:val="20"/>
          <w:szCs w:val="20"/>
          <w:color w:val="auto"/>
        </w:rPr>
      </w:pPr>
      <w:r>
        <w:rPr>
          <w:rFonts w:ascii="Times New Roman" w:cs="Times New Roman" w:eastAsia="Times New Roman" w:hAnsi="Times New Roman"/>
          <w:sz w:val="17"/>
          <w:szCs w:val="17"/>
          <w:color w:val="auto"/>
        </w:rPr>
        <w:t xml:space="preserve">3.3 Preferred Stock Protective Provisions. At any time when at least 1,000,000 shares of Preferred Stock are outstanding (subject to appropriate adjustment in the event of any stock dividend, stock split, combination or other similar recapitalization with respect to the Preferred Stock), the Corporation shall not, either directly or indirectly by amendment, merger, consolidation, domestication, transfer, continuance, reorganization, recapitalization, reclassification, waiver, statutory conversion or otherwise, do any of the following without (in addition to any other vote required by law or the Restated Certificate) the written consent or affirmative vote of the Requisite Holders, and any such act or transaction entered into without such consent or vote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and of no force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-862330</wp:posOffset>
            </wp:positionV>
            <wp:extent cx="2005330" cy="698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2005330" cy="6985"/>
                    </a:xfrm>
                    <a:prstGeom prst="rect">
                      <a:avLst/>
                    </a:prstGeom>
                    <a:noFill/>
                  </pic:spPr>
                </pic:pic>
              </a:graphicData>
            </a:graphic>
          </wp:anchor>
        </w:drawing>
      </w:r>
    </w:p>
    <w:p>
      <w:pPr>
        <w:spacing w:after="0" w:line="124" w:lineRule="exact"/>
        <w:rPr>
          <w:sz w:val="20"/>
          <w:szCs w:val="20"/>
          <w:color w:val="auto"/>
        </w:rPr>
      </w:pPr>
    </w:p>
    <w:p>
      <w:pPr>
        <w:ind w:left="720" w:right="739" w:firstLine="1513"/>
        <w:spacing w:after="0" w:line="259" w:lineRule="auto"/>
        <w:tabs>
          <w:tab w:leader="none" w:pos="2671"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liquidate, dissolve or wind-up the business and affairs of the Corporation or effect any merger or consolidation or other Deemed Liquidation Event;</w:t>
      </w:r>
    </w:p>
    <w:p>
      <w:pPr>
        <w:spacing w:after="0" w:line="124" w:lineRule="exact"/>
        <w:rPr>
          <w:rFonts w:ascii="Times New Roman" w:cs="Times New Roman" w:eastAsia="Times New Roman" w:hAnsi="Times New Roman"/>
          <w:sz w:val="17"/>
          <w:szCs w:val="17"/>
          <w:color w:val="auto"/>
        </w:rPr>
      </w:pPr>
    </w:p>
    <w:p>
      <w:pPr>
        <w:jc w:val="both"/>
        <w:ind w:left="720" w:right="739" w:firstLine="1513"/>
        <w:spacing w:after="0" w:line="246" w:lineRule="auto"/>
        <w:tabs>
          <w:tab w:leader="none" w:pos="2648"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alter or repeal any provision of the Restated Certificate or the bylaws of the Corporation (the “</w:t>
      </w:r>
      <w:r>
        <w:rPr>
          <w:rFonts w:ascii="Times New Roman" w:cs="Times New Roman" w:eastAsia="Times New Roman" w:hAnsi="Times New Roman"/>
          <w:sz w:val="17"/>
          <w:szCs w:val="17"/>
          <w:b w:val="1"/>
          <w:bCs w:val="1"/>
          <w:color w:val="auto"/>
        </w:rPr>
        <w:t>Bylaws</w:t>
      </w:r>
      <w:r>
        <w:rPr>
          <w:rFonts w:ascii="Times New Roman" w:cs="Times New Roman" w:eastAsia="Times New Roman" w:hAnsi="Times New Roman"/>
          <w:sz w:val="17"/>
          <w:szCs w:val="17"/>
          <w:color w:val="auto"/>
        </w:rPr>
        <w:t>”) in a manner that adversely alters or affects the voting or other powers, preferences or other rights or privileges of the Preferred Stock or any series thereof;</w:t>
      </w:r>
    </w:p>
    <w:p>
      <w:pPr>
        <w:spacing w:after="0" w:line="134" w:lineRule="exact"/>
        <w:rPr>
          <w:rFonts w:ascii="Times New Roman" w:cs="Times New Roman" w:eastAsia="Times New Roman" w:hAnsi="Times New Roman"/>
          <w:sz w:val="17"/>
          <w:szCs w:val="17"/>
          <w:color w:val="auto"/>
        </w:rPr>
      </w:pPr>
    </w:p>
    <w:p>
      <w:pPr>
        <w:ind w:left="720" w:right="739" w:firstLine="1513"/>
        <w:spacing w:after="0" w:line="259" w:lineRule="auto"/>
        <w:tabs>
          <w:tab w:leader="none" w:pos="2831"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or decrease the number of authorized shares of Common Stock or Preferred Stock or any series thereof;</w:t>
      </w:r>
    </w:p>
    <w:p>
      <w:pPr>
        <w:spacing w:after="0" w:line="124" w:lineRule="exact"/>
        <w:rPr>
          <w:rFonts w:ascii="Times New Roman" w:cs="Times New Roman" w:eastAsia="Times New Roman" w:hAnsi="Times New Roman"/>
          <w:sz w:val="17"/>
          <w:szCs w:val="17"/>
          <w:color w:val="auto"/>
        </w:rPr>
      </w:pPr>
    </w:p>
    <w:p>
      <w:pPr>
        <w:jc w:val="both"/>
        <w:ind w:left="720" w:right="739" w:firstLine="1513"/>
        <w:spacing w:after="0" w:line="239" w:lineRule="auto"/>
        <w:tabs>
          <w:tab w:leader="none" w:pos="2666"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authorize the creation of, or issue or obligate itself to issue shares of, any additional class or series of capital stock (or any security convertible into or exercisable for any equity security) having rights, preferences or privileges senior to or on parity with the Preferred Stock with respect to the distribution of assets on the liquidation, dissolution or winding up of the Corporation, the payment of dividends, rights of redemption or otherwise;</w:t>
      </w:r>
    </w:p>
    <w:p>
      <w:pPr>
        <w:spacing w:after="0" w:line="136" w:lineRule="exact"/>
        <w:rPr>
          <w:rFonts w:ascii="Times New Roman" w:cs="Times New Roman" w:eastAsia="Times New Roman" w:hAnsi="Times New Roman"/>
          <w:sz w:val="17"/>
          <w:szCs w:val="17"/>
          <w:color w:val="auto"/>
        </w:rPr>
      </w:pPr>
    </w:p>
    <w:p>
      <w:pPr>
        <w:jc w:val="both"/>
        <w:ind w:left="720" w:right="739" w:firstLine="1513"/>
        <w:spacing w:after="0" w:line="248" w:lineRule="auto"/>
        <w:tabs>
          <w:tab w:leader="none" w:pos="2652" w:val="left"/>
        </w:tabs>
        <w:numPr>
          <w:ilvl w:val="0"/>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reclassify, alter or amend any existing security of the Corporation that is </w:t>
      </w:r>
      <w:r>
        <w:rPr>
          <w:rFonts w:ascii="Times New Roman" w:cs="Times New Roman" w:eastAsia="Times New Roman" w:hAnsi="Times New Roman"/>
          <w:sz w:val="17"/>
          <w:szCs w:val="17"/>
          <w:i w:val="1"/>
          <w:iCs w:val="1"/>
          <w:color w:val="auto"/>
        </w:rPr>
        <w:t>pari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passu </w:t>
      </w:r>
      <w:r>
        <w:rPr>
          <w:rFonts w:ascii="Times New Roman" w:cs="Times New Roman" w:eastAsia="Times New Roman" w:hAnsi="Times New Roman"/>
          <w:sz w:val="17"/>
          <w:szCs w:val="17"/>
          <w:color w:val="auto"/>
        </w:rPr>
        <w:t>with the Preferred Stock in respect of the distribution of assets on the liquidation, dissolution or winding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 of the Corporation, the payment of dividends, rights of redemption or otherwise, if such reclassification,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352425</wp:posOffset>
            </wp:positionV>
            <wp:extent cx="54857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73" w:name="page274"/>
    <w:bookmarkEnd w:id="273"/>
    <w:p>
      <w:pPr>
        <w:jc w:val="both"/>
        <w:ind w:left="720" w:right="739"/>
        <w:spacing w:after="0" w:line="238" w:lineRule="auto"/>
        <w:rPr>
          <w:sz w:val="20"/>
          <w:szCs w:val="20"/>
          <w:color w:val="auto"/>
        </w:rPr>
      </w:pPr>
      <w:r>
        <w:rPr>
          <w:rFonts w:ascii="Times New Roman" w:cs="Times New Roman" w:eastAsia="Times New Roman" w:hAnsi="Times New Roman"/>
          <w:sz w:val="17"/>
          <w:szCs w:val="17"/>
          <w:color w:val="auto"/>
        </w:rPr>
        <w:t xml:space="preserve">alteration or amendment would render such other security senior to the Preferred Stock in respect of any such right, preference or privilege, or (ii) reclassify, alter or amend any existing security of the Corporation that is junior to the Preferred Stock in respect of the distribution of assets on the liquidation, dissolution or winding up of the Corporation, the payment of dividends, rights of redemption or otherwise, if such reclassification, alteration or amendment would render such other security senior to or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the Preferred Stock in respect of any such right, preference or privilege;</w:t>
      </w:r>
    </w:p>
    <w:p>
      <w:pPr>
        <w:spacing w:after="0" w:line="140" w:lineRule="exact"/>
        <w:rPr>
          <w:sz w:val="20"/>
          <w:szCs w:val="20"/>
          <w:color w:val="auto"/>
        </w:rPr>
      </w:pPr>
    </w:p>
    <w:p>
      <w:pPr>
        <w:jc w:val="both"/>
        <w:ind w:left="720" w:right="739" w:firstLine="1513"/>
        <w:spacing w:after="0" w:line="237" w:lineRule="auto"/>
        <w:tabs>
          <w:tab w:leader="none" w:pos="2717"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 or redeem (or permit any subsidiary to purchase or redeem) or pay or declare any dividend or make any distribution on, any shares of capital stock of the Corporation other than (i) redemptions of or dividends or distributions on the Preferred Stock as expressly authorized herein, (ii) repurchases of Common Stock from former employees, officers, directors, consultants or other persons who performed services for the Corporation or any subsidiary in connection with the cessation of such employment or service or (iii) the Corporation’s exercise of contractual rights of first refusal, in each case as approved by the Board, including the approval of a majority of the Preferred Directors then-serving;</w:t>
      </w:r>
    </w:p>
    <w:p>
      <w:pPr>
        <w:spacing w:after="0" w:line="141" w:lineRule="exact"/>
        <w:rPr>
          <w:rFonts w:ascii="Times New Roman" w:cs="Times New Roman" w:eastAsia="Times New Roman" w:hAnsi="Times New Roman"/>
          <w:sz w:val="17"/>
          <w:szCs w:val="17"/>
          <w:color w:val="auto"/>
        </w:rPr>
      </w:pPr>
    </w:p>
    <w:p>
      <w:pPr>
        <w:jc w:val="both"/>
        <w:ind w:left="720" w:right="739" w:firstLine="1513"/>
        <w:spacing w:after="0" w:line="241" w:lineRule="auto"/>
        <w:tabs>
          <w:tab w:leader="none" w:pos="269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authorize the creation of, or issue, or authorize the issuance of any debt security, or permit any subsidiary to take any such action with respect to any debt security, unless approved by the Board, including the approval of a majority of the Preferred Directors then-serving, other than equipment leases, bank lines of credit or trade payables incurred in the ordinary course;</w:t>
      </w:r>
    </w:p>
    <w:p>
      <w:pPr>
        <w:spacing w:after="0" w:line="139" w:lineRule="exact"/>
        <w:rPr>
          <w:rFonts w:ascii="Times New Roman" w:cs="Times New Roman" w:eastAsia="Times New Roman" w:hAnsi="Times New Roman"/>
          <w:sz w:val="17"/>
          <w:szCs w:val="17"/>
          <w:color w:val="auto"/>
        </w:rPr>
      </w:pPr>
    </w:p>
    <w:p>
      <w:pPr>
        <w:ind w:left="2640" w:hanging="407"/>
        <w:spacing w:after="0"/>
        <w:tabs>
          <w:tab w:leader="none" w:pos="2640"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or decrease the authorized number of directors constituting the Board;</w:t>
      </w:r>
    </w:p>
    <w:p>
      <w:pPr>
        <w:spacing w:after="0" w:line="161" w:lineRule="exact"/>
        <w:rPr>
          <w:rFonts w:ascii="Times New Roman" w:cs="Times New Roman" w:eastAsia="Times New Roman" w:hAnsi="Times New Roman"/>
          <w:sz w:val="17"/>
          <w:szCs w:val="17"/>
          <w:color w:val="auto"/>
        </w:rPr>
      </w:pPr>
    </w:p>
    <w:p>
      <w:pPr>
        <w:jc w:val="both"/>
        <w:ind w:left="720" w:right="739" w:firstLine="1513"/>
        <w:spacing w:after="0" w:line="239" w:lineRule="auto"/>
        <w:tabs>
          <w:tab w:leader="none" w:pos="2689"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equity to acquire all of the equity, capital stock or other interests, or all or substantially all of the assets, of another entity in an amount that exceeds 10% of the shares of the Corporation’s outstanding stock immediately prior to such issuance (treating for this purpose as outstanding all shares of Common Stock issuable upon exercise of options, or upon conversion or exchange of convertible securities, outstanding immediately prior to such issue);</w:t>
      </w:r>
    </w:p>
    <w:p>
      <w:pPr>
        <w:spacing w:after="0" w:line="140" w:lineRule="exact"/>
        <w:rPr>
          <w:rFonts w:ascii="Times New Roman" w:cs="Times New Roman" w:eastAsia="Times New Roman" w:hAnsi="Times New Roman"/>
          <w:sz w:val="17"/>
          <w:szCs w:val="17"/>
          <w:color w:val="auto"/>
        </w:rPr>
      </w:pPr>
    </w:p>
    <w:p>
      <w:pPr>
        <w:jc w:val="both"/>
        <w:ind w:left="720" w:right="739" w:firstLine="1513"/>
        <w:spacing w:after="0" w:line="237" w:lineRule="auto"/>
        <w:tabs>
          <w:tab w:leader="none" w:pos="2717"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create, or hold capital stock in, any subsidiary that is not wholly owned (either directly or through one or more other subsidiaries) by the Corporation,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 or permit any direct or indirect subsidiary to sell, transfer or otherwise issue any of its securities other than to the Corporation or to a wholly-owned subsidiary of the Corporation; or</w:t>
      </w:r>
    </w:p>
    <w:p>
      <w:pPr>
        <w:spacing w:after="0" w:line="141" w:lineRule="exact"/>
        <w:rPr>
          <w:rFonts w:ascii="Times New Roman" w:cs="Times New Roman" w:eastAsia="Times New Roman" w:hAnsi="Times New Roman"/>
          <w:sz w:val="17"/>
          <w:szCs w:val="17"/>
          <w:color w:val="auto"/>
        </w:rPr>
      </w:pPr>
    </w:p>
    <w:p>
      <w:pPr>
        <w:jc w:val="both"/>
        <w:ind w:left="720" w:right="739" w:firstLine="1513"/>
        <w:spacing w:after="0" w:line="241" w:lineRule="auto"/>
        <w:tabs>
          <w:tab w:leader="none" w:pos="2666" w:val="left"/>
        </w:tabs>
        <w:numPr>
          <w:ilvl w:val="0"/>
          <w:numId w:val="1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any new stock employee option or similar plan or increase the number of shares reserved for issuance under the Corporation’s 2022 Equity Incentive Plan (as currently amended) or any similar equity incentive or compensation arrangement unless approved by the Board, including a majority of the Preferred Directors then- serving.</w:t>
      </w:r>
    </w:p>
    <w:p>
      <w:pPr>
        <w:spacing w:after="0" w:line="140" w:lineRule="exact"/>
        <w:rPr>
          <w:sz w:val="20"/>
          <w:szCs w:val="20"/>
          <w:color w:val="auto"/>
        </w:rPr>
      </w:pPr>
    </w:p>
    <w:p>
      <w:pPr>
        <w:jc w:val="both"/>
        <w:ind w:left="720" w:right="739" w:firstLine="1009"/>
        <w:spacing w:after="0" w:line="236" w:lineRule="auto"/>
        <w:rPr>
          <w:sz w:val="20"/>
          <w:szCs w:val="20"/>
          <w:color w:val="auto"/>
        </w:rPr>
      </w:pPr>
      <w:r>
        <w:rPr>
          <w:rFonts w:ascii="Times New Roman" w:cs="Times New Roman" w:eastAsia="Times New Roman" w:hAnsi="Times New Roman"/>
          <w:sz w:val="17"/>
          <w:szCs w:val="17"/>
          <w:u w:val="single" w:color="auto"/>
          <w:color w:val="auto"/>
        </w:rPr>
        <w:t>3.4 Series B Preferred Stock Protective Provisions</w:t>
      </w:r>
      <w:r>
        <w:rPr>
          <w:rFonts w:ascii="Times New Roman" w:cs="Times New Roman" w:eastAsia="Times New Roman" w:hAnsi="Times New Roman"/>
          <w:sz w:val="17"/>
          <w:szCs w:val="17"/>
          <w:color w:val="auto"/>
        </w:rPr>
        <w:t>. For so long as at least 250,000 shares of the Series B Preferred Stock remain outstanding (as such number is adjusted for stock splits, combinations of shares and for dividends paid on the Series B Preferred Stock in shares of such stock), the Corporation shall not, either directly or indirectly by amendment, merger, consolidation, domestication, transfer, continuance, reorganization, recapitalization, reclassification, waiver, statutory conversion or otherwise, do any of the following without (in addition to any other vote required by law or this Restated Certificate) the written consent, or affirmative vote at a meeting and evidenced in writing, of at least forty-five percent (45%) of the then-outstanding shares of Series B Preferred Stock, consenting or voting as a separate class on an as-converted basis (the “</w:t>
      </w:r>
      <w:r>
        <w:rPr>
          <w:rFonts w:ascii="Times New Roman" w:cs="Times New Roman" w:eastAsia="Times New Roman" w:hAnsi="Times New Roman"/>
          <w:sz w:val="17"/>
          <w:szCs w:val="17"/>
          <w:b w:val="1"/>
          <w:bCs w:val="1"/>
          <w:color w:val="auto"/>
        </w:rPr>
        <w:t>Requisite Series B Holders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720" w:right="739" w:firstLine="1513"/>
        <w:spacing w:after="0" w:line="246" w:lineRule="auto"/>
        <w:tabs>
          <w:tab w:leader="none" w:pos="2683" w:val="left"/>
        </w:tabs>
        <w:numPr>
          <w:ilvl w:val="0"/>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amend or waive any provision of this Restated Certificate or the Bylaws, as then in effect, in a way that adversely affects the rights, preferences, or privileges of the Series B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353060</wp:posOffset>
            </wp:positionV>
            <wp:extent cx="54857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74" w:name="page275"/>
    <w:bookmarkEnd w:id="274"/>
    <w:p>
      <w:pPr>
        <w:jc w:val="both"/>
        <w:ind w:left="720" w:right="739"/>
        <w:spacing w:after="0" w:line="246" w:lineRule="auto"/>
        <w:rPr>
          <w:sz w:val="20"/>
          <w:szCs w:val="20"/>
          <w:color w:val="auto"/>
        </w:rPr>
      </w:pPr>
      <w:r>
        <w:rPr>
          <w:rFonts w:ascii="Times New Roman" w:cs="Times New Roman" w:eastAsia="Times New Roman" w:hAnsi="Times New Roman"/>
          <w:sz w:val="17"/>
          <w:szCs w:val="17"/>
          <w:color w:val="auto"/>
        </w:rPr>
        <w:t>in a manner different than the other series of Preferred Stock, it being understood that the creation, authorization or issuance of a new series of Preferred Stock shall not be deemed to adversely affect the holders of the Series B Preferred Stock; or</w:t>
      </w:r>
    </w:p>
    <w:p>
      <w:pPr>
        <w:spacing w:after="0" w:line="135" w:lineRule="exact"/>
        <w:rPr>
          <w:sz w:val="20"/>
          <w:szCs w:val="20"/>
          <w:color w:val="auto"/>
        </w:rPr>
      </w:pPr>
    </w:p>
    <w:p>
      <w:pPr>
        <w:ind w:left="2640" w:hanging="407"/>
        <w:spacing w:after="0"/>
        <w:tabs>
          <w:tab w:leader="none" w:pos="2640" w:val="left"/>
        </w:tabs>
        <w:numPr>
          <w:ilvl w:val="0"/>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or decrease the authorized number of shares of Series B Preferred Stock.</w:t>
      </w:r>
    </w:p>
    <w:p>
      <w:pPr>
        <w:spacing w:after="0" w:line="162" w:lineRule="exact"/>
        <w:rPr>
          <w:sz w:val="20"/>
          <w:szCs w:val="20"/>
          <w:color w:val="auto"/>
        </w:rPr>
      </w:pPr>
    </w:p>
    <w:p>
      <w:pPr>
        <w:jc w:val="both"/>
        <w:ind w:left="720" w:right="739" w:firstLine="1009"/>
        <w:spacing w:after="0" w:line="236" w:lineRule="auto"/>
        <w:rPr>
          <w:sz w:val="20"/>
          <w:szCs w:val="20"/>
          <w:color w:val="auto"/>
        </w:rPr>
      </w:pPr>
      <w:r>
        <w:rPr>
          <w:rFonts w:ascii="Times New Roman" w:cs="Times New Roman" w:eastAsia="Times New Roman" w:hAnsi="Times New Roman"/>
          <w:sz w:val="17"/>
          <w:szCs w:val="17"/>
          <w:u w:val="single" w:color="auto"/>
          <w:color w:val="auto"/>
        </w:rPr>
        <w:t>3.5 Series C Preferred Stock Protective Provisions</w:t>
      </w:r>
      <w:r>
        <w:rPr>
          <w:rFonts w:ascii="Times New Roman" w:cs="Times New Roman" w:eastAsia="Times New Roman" w:hAnsi="Times New Roman"/>
          <w:sz w:val="17"/>
          <w:szCs w:val="17"/>
          <w:color w:val="auto"/>
        </w:rPr>
        <w:t>. For so long as at least 65,791,955 shares of the Series C Preferred Stock remain outstanding (as such number is adjusted for stock splits, combinations of shares and for dividends paid on the Series C Preferred Stock in shares of such stock), the Corporation shall not, either directly or indirectly by amendment, merger, consolidation, domestication, transfer, continuance, reorganization, recapitalization, reclassification, waiver, statutory conversion or otherwise, do any of the following without (in addition to any other vote required by law or this Restated Certificate) the written consent, or affirmative vote at a meeting and evidenced in writing, of at least a majority of the then-outstanding shares of Series C Preferred Stock, consenting or voting as a separate class on an as-converted basis (the “</w:t>
      </w:r>
      <w:r>
        <w:rPr>
          <w:rFonts w:ascii="Times New Roman" w:cs="Times New Roman" w:eastAsia="Times New Roman" w:hAnsi="Times New Roman"/>
          <w:sz w:val="17"/>
          <w:szCs w:val="17"/>
          <w:b w:val="1"/>
          <w:bCs w:val="1"/>
          <w:color w:val="auto"/>
        </w:rPr>
        <w:t>Requisite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Series C Holders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720" w:right="739" w:firstLine="1513"/>
        <w:spacing w:after="0" w:line="239" w:lineRule="auto"/>
        <w:tabs>
          <w:tab w:leader="none" w:pos="2683"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amend or waive any provision of this Restated Certificate or the Bylaws, as then in effect, in a way that adversely affects the rights, preferences, or privileges of the Series C Preferred Stock in a manner different than the other series of Preferred Stock, it being understood that the creation, authorization or issuance of a new series of Preferred Stock shall not be deemed to adversely affect the holders of the Series C Preferred Stock; or</w:t>
      </w:r>
    </w:p>
    <w:p>
      <w:pPr>
        <w:spacing w:after="0" w:line="140" w:lineRule="exact"/>
        <w:rPr>
          <w:rFonts w:ascii="Times New Roman" w:cs="Times New Roman" w:eastAsia="Times New Roman" w:hAnsi="Times New Roman"/>
          <w:sz w:val="17"/>
          <w:szCs w:val="17"/>
          <w:color w:val="auto"/>
        </w:rPr>
      </w:pPr>
    </w:p>
    <w:p>
      <w:pPr>
        <w:ind w:left="2640" w:hanging="407"/>
        <w:spacing w:after="0"/>
        <w:tabs>
          <w:tab w:leader="none" w:pos="2640" w:val="left"/>
        </w:tabs>
        <w:numPr>
          <w:ilvl w:val="0"/>
          <w:numId w:val="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or decrease the authorized number of shares of Series C Preferred Stock.</w:t>
      </w:r>
    </w:p>
    <w:p>
      <w:pPr>
        <w:spacing w:after="0" w:line="162" w:lineRule="exact"/>
        <w:rPr>
          <w:sz w:val="20"/>
          <w:szCs w:val="20"/>
          <w:color w:val="auto"/>
        </w:rPr>
      </w:pPr>
    </w:p>
    <w:p>
      <w:pPr>
        <w:jc w:val="both"/>
        <w:ind w:left="720" w:right="739" w:firstLine="1009"/>
        <w:spacing w:after="0" w:line="236" w:lineRule="auto"/>
        <w:rPr>
          <w:sz w:val="20"/>
          <w:szCs w:val="20"/>
          <w:color w:val="auto"/>
        </w:rPr>
      </w:pPr>
      <w:r>
        <w:rPr>
          <w:rFonts w:ascii="Times New Roman" w:cs="Times New Roman" w:eastAsia="Times New Roman" w:hAnsi="Times New Roman"/>
          <w:sz w:val="17"/>
          <w:szCs w:val="17"/>
          <w:u w:val="single" w:color="auto"/>
          <w:color w:val="auto"/>
        </w:rPr>
        <w:t>3.6 Series D Preferred Stock Protective Provisions</w:t>
      </w:r>
      <w:r>
        <w:rPr>
          <w:rFonts w:ascii="Times New Roman" w:cs="Times New Roman" w:eastAsia="Times New Roman" w:hAnsi="Times New Roman"/>
          <w:sz w:val="17"/>
          <w:szCs w:val="17"/>
          <w:color w:val="auto"/>
        </w:rPr>
        <w:t>. For so long as at least 31,586,603 shares of the Series D Preferred Stock remain outstanding (as such number is adjusted for stock splits, combinations of shares and for dividends paid on the Series D Preferred Stock in shares of such stock), the Corporation shall not, either directly or indirectly by amendment, merger, consolidation, domestication, transfer, continuance, reorganization, recapitalization, reclassification, waiver, statutory conversion or otherwise, do any of the following without (in addition to any other vote required by law or this Restated Certificate) the written consent, or affirmative vote at a meeting and evidenced in writing, of at least a majority of the then-outstanding shares of Series D Preferred Stock, consenting or voting as a separate class on an as-converted basis (the “</w:t>
      </w:r>
      <w:r>
        <w:rPr>
          <w:rFonts w:ascii="Times New Roman" w:cs="Times New Roman" w:eastAsia="Times New Roman" w:hAnsi="Times New Roman"/>
          <w:sz w:val="17"/>
          <w:szCs w:val="17"/>
          <w:b w:val="1"/>
          <w:bCs w:val="1"/>
          <w:color w:val="auto"/>
        </w:rPr>
        <w:t>Requisite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Series D Holders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720" w:right="739" w:firstLine="1513"/>
        <w:spacing w:after="0" w:line="239" w:lineRule="auto"/>
        <w:tabs>
          <w:tab w:leader="none" w:pos="2683"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alter, amend or waive any provision of this Restated Certificate or the Bylaws, as then in effect, in a way that adversely affects the rights, preferences, or privileges of the Series D Preferred Stock in a manner different than the other series of Preferred Stock, it being understood that the creation, authorization or issuance of a new series of Preferred Stock shall not be deemed to adversely affect the holders of the Series D Preferred Stock; or</w:t>
      </w:r>
    </w:p>
    <w:p>
      <w:pPr>
        <w:spacing w:after="0" w:line="140" w:lineRule="exact"/>
        <w:rPr>
          <w:rFonts w:ascii="Times New Roman" w:cs="Times New Roman" w:eastAsia="Times New Roman" w:hAnsi="Times New Roman"/>
          <w:sz w:val="17"/>
          <w:szCs w:val="17"/>
          <w:color w:val="auto"/>
        </w:rPr>
      </w:pPr>
    </w:p>
    <w:p>
      <w:pPr>
        <w:ind w:left="2640" w:hanging="407"/>
        <w:spacing w:after="0"/>
        <w:tabs>
          <w:tab w:leader="none" w:pos="2640" w:val="left"/>
        </w:tabs>
        <w:numPr>
          <w:ilvl w:val="1"/>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 or decrease the authorized number of shares of Series D Preferred Stock.</w:t>
      </w:r>
    </w:p>
    <w:p>
      <w:pPr>
        <w:spacing w:after="0" w:line="161" w:lineRule="exact"/>
        <w:rPr>
          <w:rFonts w:ascii="Times New Roman" w:cs="Times New Roman" w:eastAsia="Times New Roman" w:hAnsi="Times New Roman"/>
          <w:sz w:val="17"/>
          <w:szCs w:val="17"/>
          <w:color w:val="auto"/>
        </w:rPr>
      </w:pPr>
    </w:p>
    <w:p>
      <w:pPr>
        <w:ind w:left="1560" w:hanging="336"/>
        <w:spacing w:after="0"/>
        <w:tabs>
          <w:tab w:leader="none" w:pos="1560" w:val="left"/>
        </w:tabs>
        <w:numPr>
          <w:ilvl w:val="0"/>
          <w:numId w:val="179"/>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Optional Conversion</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The holders of the Preferred Stock shall have conversion rights as follows (the “</w:t>
      </w:r>
      <w:r>
        <w:rPr>
          <w:rFonts w:ascii="Times New Roman" w:cs="Times New Roman" w:eastAsia="Times New Roman" w:hAnsi="Times New Roman"/>
          <w:sz w:val="17"/>
          <w:szCs w:val="17"/>
          <w:b w:val="1"/>
          <w:bCs w:val="1"/>
          <w:color w:val="auto"/>
        </w:rPr>
        <w:t>Conversion Rights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1720"/>
        <w:spacing w:after="0"/>
        <w:tabs>
          <w:tab w:leader="none" w:pos="2120" w:val="left"/>
        </w:tabs>
        <w:rPr>
          <w:sz w:val="20"/>
          <w:szCs w:val="20"/>
          <w:color w:val="auto"/>
        </w:rPr>
      </w:pPr>
      <w:r>
        <w:rPr>
          <w:rFonts w:ascii="Times New Roman" w:cs="Times New Roman" w:eastAsia="Times New Roman" w:hAnsi="Times New Roman"/>
          <w:sz w:val="17"/>
          <w:szCs w:val="17"/>
          <w:u w:val="single" w:color="auto"/>
          <w:color w:val="auto"/>
        </w:rPr>
        <w:t>4.1</w:t>
      </w:r>
      <w:r>
        <w:rPr>
          <w:sz w:val="20"/>
          <w:szCs w:val="20"/>
          <w:color w:val="auto"/>
        </w:rPr>
        <w:tab/>
      </w:r>
      <w:r>
        <w:rPr>
          <w:rFonts w:ascii="Times New Roman" w:cs="Times New Roman" w:eastAsia="Times New Roman" w:hAnsi="Times New Roman"/>
          <w:sz w:val="16"/>
          <w:szCs w:val="16"/>
          <w:u w:val="single" w:color="auto"/>
          <w:color w:val="auto"/>
        </w:rPr>
        <w:t>Right to Convert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720" w:right="739" w:firstLine="1514"/>
        <w:spacing w:after="0" w:line="238" w:lineRule="auto"/>
        <w:rPr>
          <w:sz w:val="20"/>
          <w:szCs w:val="20"/>
          <w:color w:val="auto"/>
        </w:rPr>
      </w:pPr>
      <w:r>
        <w:rPr>
          <w:rFonts w:ascii="Times New Roman" w:cs="Times New Roman" w:eastAsia="Times New Roman" w:hAnsi="Times New Roman"/>
          <w:sz w:val="17"/>
          <w:szCs w:val="17"/>
          <w:color w:val="auto"/>
        </w:rPr>
        <w:t>4.1.1 Conversion Ratio. Each share of Preferred Stock shall be convertible, at the option of the holder thereof, at any time and from time to time, and without the payment of additional consideration by the holder thereof, into such whole number of fully paid and nonassessable shares of Common Stock as is determined by dividing the applicable Original Issue Price by the applicable Conversion Price (as defined below) in effect at the time of conversion; provided that such holder may waive such option to convert upon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356870</wp:posOffset>
            </wp:positionV>
            <wp:extent cx="54857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-624840</wp:posOffset>
            </wp:positionV>
            <wp:extent cx="1197610" cy="698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197610" cy="698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75" w:name="page276"/>
    <w:bookmarkEnd w:id="275"/>
    <w:p>
      <w:pPr>
        <w:jc w:val="both"/>
        <w:ind w:left="720" w:right="739"/>
        <w:spacing w:after="0" w:line="234" w:lineRule="auto"/>
        <w:rPr>
          <w:sz w:val="20"/>
          <w:szCs w:val="20"/>
          <w:color w:val="auto"/>
        </w:rPr>
      </w:pPr>
      <w:r>
        <w:rPr>
          <w:rFonts w:ascii="Times New Roman" w:cs="Times New Roman" w:eastAsia="Times New Roman" w:hAnsi="Times New Roman"/>
          <w:sz w:val="17"/>
          <w:szCs w:val="17"/>
          <w:color w:val="auto"/>
        </w:rPr>
        <w:t>notice to the Corporation. The “</w:t>
      </w:r>
      <w:r>
        <w:rPr>
          <w:rFonts w:ascii="Times New Roman" w:cs="Times New Roman" w:eastAsia="Times New Roman" w:hAnsi="Times New Roman"/>
          <w:sz w:val="17"/>
          <w:szCs w:val="17"/>
          <w:b w:val="1"/>
          <w:bCs w:val="1"/>
          <w:color w:val="auto"/>
        </w:rPr>
        <w:t>Conversion Price</w:t>
      </w:r>
      <w:r>
        <w:rPr>
          <w:rFonts w:ascii="Times New Roman" w:cs="Times New Roman" w:eastAsia="Times New Roman" w:hAnsi="Times New Roman"/>
          <w:sz w:val="17"/>
          <w:szCs w:val="17"/>
          <w:color w:val="auto"/>
        </w:rPr>
        <w:t>” shall initially mean $1,00 per share with respect to the Series A Preferred Stock, $1,4159 per share with respect to the Series B Preferred Stock, $0,73234 per share with respect to the Series C-1 Preferred Stock, $0,58587 per share with respect to the Series C-2 Preferred Stock and $0,7963 per share with respect to the Series D Preferred Stock, Such initial Conversion Prices, and the rate at which shares of Preferred Stock may be converted into shares of Common Stock, shall be subject to adjustment as provided below. Notwithstanding the foregoing and notwithstanding Section 4,3.1, the optional right to convert shares of Preferred Stock into shares of Common Stock pursuant to the first sentence of this Section 4,1.1 shall be suspended, and no optional conversion may be effective, from and after April 8, 2025 until immediately after the earlier of (x) the Additional Closing Outside Date (as defined in that certain Series D Preferred Stock Purchase Agreement, dated on or about the date hereof, by and among the Corporation and the investors party thereto (as may be amended from time to time) (the “</w:t>
      </w:r>
      <w:r>
        <w:rPr>
          <w:rFonts w:ascii="Times New Roman" w:cs="Times New Roman" w:eastAsia="Times New Roman" w:hAnsi="Times New Roman"/>
          <w:sz w:val="17"/>
          <w:szCs w:val="17"/>
          <w:b w:val="1"/>
          <w:bCs w:val="1"/>
          <w:color w:val="auto"/>
        </w:rPr>
        <w:t>Series D Purchase Agreement</w:t>
      </w:r>
      <w:r>
        <w:rPr>
          <w:rFonts w:ascii="Times New Roman" w:cs="Times New Roman" w:eastAsia="Times New Roman" w:hAnsi="Times New Roman"/>
          <w:sz w:val="17"/>
          <w:szCs w:val="17"/>
          <w:color w:val="auto"/>
        </w:rPr>
        <w:t>”)) and associated Special Mandatory Conversion or (y) termination of the Qualified Financing; provided, however, that the foregoing limitation on the right to optionally convert shares into Common Stock pursuant to this Section 4,1.1 shall not affect the calculation of the number of shares deemed issuable upon conversion of such shares for purposes of (A) voting rights under this Restated Certificate, or (B) determining amounts payable in respect of shares of Preferred Stock in connection with a dissolution, liquidation, or winding up of the Corporation or pursuant to a Deemed Liquidation Event.</w:t>
      </w:r>
    </w:p>
    <w:p>
      <w:pPr>
        <w:spacing w:after="0" w:line="149" w:lineRule="exact"/>
        <w:rPr>
          <w:sz w:val="20"/>
          <w:szCs w:val="20"/>
          <w:color w:val="auto"/>
        </w:rPr>
      </w:pPr>
    </w:p>
    <w:p>
      <w:pPr>
        <w:jc w:val="both"/>
        <w:ind w:left="720" w:right="739" w:firstLine="1514"/>
        <w:spacing w:after="0" w:line="236" w:lineRule="auto"/>
        <w:rPr>
          <w:sz w:val="20"/>
          <w:szCs w:val="20"/>
          <w:color w:val="auto"/>
        </w:rPr>
      </w:pPr>
      <w:r>
        <w:rPr>
          <w:rFonts w:ascii="Times New Roman" w:cs="Times New Roman" w:eastAsia="Times New Roman" w:hAnsi="Times New Roman"/>
          <w:sz w:val="17"/>
          <w:szCs w:val="17"/>
          <w:u w:val="single" w:color="auto"/>
          <w:color w:val="auto"/>
        </w:rPr>
        <w:t>4.1.2 Termination of Conversion Rights</w:t>
      </w:r>
      <w:r>
        <w:rPr>
          <w:rFonts w:ascii="Times New Roman" w:cs="Times New Roman" w:eastAsia="Times New Roman" w:hAnsi="Times New Roman"/>
          <w:sz w:val="17"/>
          <w:szCs w:val="17"/>
          <w:color w:val="auto"/>
        </w:rPr>
        <w:t xml:space="preserve">. In the event of a notice of redemption of any shares of Preferred Stock pursuant to </w:t>
      </w:r>
      <w:r>
        <w:rPr>
          <w:rFonts w:ascii="Times New Roman" w:cs="Times New Roman" w:eastAsia="Times New Roman" w:hAnsi="Times New Roman"/>
          <w:sz w:val="17"/>
          <w:szCs w:val="17"/>
          <w:u w:val="single" w:color="auto"/>
          <w:color w:val="auto"/>
        </w:rPr>
        <w:t>Section 2.4.2</w:t>
      </w:r>
      <w:r>
        <w:rPr>
          <w:rFonts w:ascii="Times New Roman" w:cs="Times New Roman" w:eastAsia="Times New Roman" w:hAnsi="Times New Roman"/>
          <w:sz w:val="17"/>
          <w:szCs w:val="17"/>
          <w:color w:val="auto"/>
        </w:rPr>
        <w:t>, the Conversion Rights of the shares designated for redemption shall terminate at the close of business on the last full day preceding the date fixed for redemption, unless the redemption price is not fully paid on such redemption date, in which case the Conversion Rights for such shares shall continue until such price is paid in full. In the event of a liquidation, dissolution or winding up of the Corporation or a Deemed Liquidation Event, the Conversion Rights shall terminate at the close of business on the last full day preceding the date fixed for the payment of any such amounts distributable on such event to the holders of Preferred Stock.</w:t>
      </w:r>
    </w:p>
    <w:p>
      <w:pPr>
        <w:spacing w:after="0" w:line="144" w:lineRule="exact"/>
        <w:rPr>
          <w:sz w:val="20"/>
          <w:szCs w:val="20"/>
          <w:color w:val="auto"/>
        </w:rPr>
      </w:pPr>
    </w:p>
    <w:p>
      <w:pPr>
        <w:jc w:val="both"/>
        <w:ind w:left="1740" w:right="739"/>
        <w:spacing w:after="0" w:line="237" w:lineRule="auto"/>
        <w:rPr>
          <w:sz w:val="20"/>
          <w:szCs w:val="20"/>
          <w:color w:val="auto"/>
        </w:rPr>
      </w:pPr>
      <w:r>
        <w:rPr>
          <w:rFonts w:ascii="Times New Roman" w:cs="Times New Roman" w:eastAsia="Times New Roman" w:hAnsi="Times New Roman"/>
          <w:sz w:val="17"/>
          <w:szCs w:val="17"/>
          <w:u w:val="single" w:color="auto"/>
          <w:color w:val="auto"/>
        </w:rPr>
        <w:t>4.2 Fractional Shares</w:t>
      </w:r>
      <w:r>
        <w:rPr>
          <w:rFonts w:ascii="Times New Roman" w:cs="Times New Roman" w:eastAsia="Times New Roman" w:hAnsi="Times New Roman"/>
          <w:sz w:val="17"/>
          <w:szCs w:val="17"/>
          <w:color w:val="auto"/>
        </w:rPr>
        <w:t>. No fractional shares of Common Stock shall be issued upon conversion of the Preferred Stock, In lieu of any fractional shares to which the holder would otherwise be entitled, the Corporation shall pay cash equal to such fraction multiplied by the fair market value of a share of Common Stock as determined in good faith by the Board. Whether or not fractional shares would be issuable upon such conversion shall be determined on the basis of the total number of shares of Preferred Stock the holder is at the time converting into Common Stock and the aggregate number of shares of Common Stock issuable upon such conversion.</w:t>
      </w:r>
    </w:p>
    <w:p>
      <w:pPr>
        <w:spacing w:after="0" w:line="141" w:lineRule="exact"/>
        <w:rPr>
          <w:sz w:val="20"/>
          <w:szCs w:val="20"/>
          <w:color w:val="auto"/>
        </w:rPr>
      </w:pPr>
    </w:p>
    <w:p>
      <w:pPr>
        <w:ind w:left="1740"/>
        <w:spacing w:after="0"/>
        <w:tabs>
          <w:tab w:leader="none" w:pos="2140" w:val="left"/>
        </w:tabs>
        <w:rPr>
          <w:sz w:val="20"/>
          <w:szCs w:val="20"/>
          <w:color w:val="auto"/>
        </w:rPr>
      </w:pPr>
      <w:r>
        <w:rPr>
          <w:rFonts w:ascii="Times New Roman" w:cs="Times New Roman" w:eastAsia="Times New Roman" w:hAnsi="Times New Roman"/>
          <w:sz w:val="17"/>
          <w:szCs w:val="17"/>
          <w:u w:val="single" w:color="auto"/>
          <w:color w:val="auto"/>
        </w:rPr>
        <w:t>4.3</w:t>
      </w:r>
      <w:r>
        <w:rPr>
          <w:sz w:val="20"/>
          <w:szCs w:val="20"/>
          <w:color w:val="auto"/>
        </w:rPr>
        <w:tab/>
      </w:r>
      <w:r>
        <w:rPr>
          <w:rFonts w:ascii="Times New Roman" w:cs="Times New Roman" w:eastAsia="Times New Roman" w:hAnsi="Times New Roman"/>
          <w:sz w:val="16"/>
          <w:szCs w:val="16"/>
          <w:u w:val="single" w:color="auto"/>
          <w:color w:val="auto"/>
        </w:rPr>
        <w:t>Mechanics of Conversion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720" w:right="739" w:firstLine="1514"/>
        <w:spacing w:after="0" w:line="234" w:lineRule="auto"/>
        <w:rPr>
          <w:sz w:val="20"/>
          <w:szCs w:val="20"/>
          <w:color w:val="auto"/>
        </w:rPr>
      </w:pPr>
      <w:r>
        <w:rPr>
          <w:rFonts w:ascii="Times New Roman" w:cs="Times New Roman" w:eastAsia="Times New Roman" w:hAnsi="Times New Roman"/>
          <w:sz w:val="17"/>
          <w:szCs w:val="17"/>
          <w:color w:val="auto"/>
        </w:rPr>
        <w:t>4.3.1 Notice of Conversion. In order for a holder of Preferred Stock to voluntarily convert shares of Preferred Stock into shares of Common Stock, such holder shall (a) provide written notice to the Corporation’s transfer agent at the office of the transfer agent for the Preferred Stock (or at the principal office of the Corporation if the Corporation serves as its own transfer agent) that such holder elects to convert all or any number of such holder’s shares of Preferred Stock and, if applicable, any event on which such conversion is contingent and (b), if such holder’s shares are certificated, surrender the certificate or certificates for such shares of Preferred Stock (or, if such registered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at the office of the transfer agent for the Preferred Stock (or at the principal office of the Corporation if the Corporation serves as its own transfer agent). Such notice shall state such holder’s name or the names of the nominees in which such holder wishes the shares of Common Stock to be issued, If required by the Corporation, any certificates surrendered for conversion shall be endorsed or accompanied by a written instrument or instruments of transfer, in form satisfactory to the Corporation, duly executed by the registered holder or his, her or its attorney duly authorized in writing, The close of business on the date of receipt by the transfer agent (or by the Corporation if the Corporation serves as its own transfer agent) of such notice and, if applicable,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359410</wp:posOffset>
            </wp:positionV>
            <wp:extent cx="548576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-1943735</wp:posOffset>
            </wp:positionV>
            <wp:extent cx="1366520" cy="698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366520" cy="698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76" w:name="page277"/>
    <w:bookmarkEnd w:id="276"/>
    <w:p>
      <w:pPr>
        <w:jc w:val="both"/>
        <w:ind w:left="720" w:right="739"/>
        <w:spacing w:after="0" w:line="236" w:lineRule="auto"/>
        <w:rPr>
          <w:sz w:val="20"/>
          <w:szCs w:val="20"/>
          <w:color w:val="auto"/>
        </w:rPr>
      </w:pPr>
      <w:r>
        <w:rPr>
          <w:rFonts w:ascii="Times New Roman" w:cs="Times New Roman" w:eastAsia="Times New Roman" w:hAnsi="Times New Roman"/>
          <w:sz w:val="17"/>
          <w:szCs w:val="17"/>
          <w:color w:val="auto"/>
        </w:rPr>
        <w:t>(or lost certificate affidavit and agreement) shall be the time of conversion (the “</w:t>
      </w:r>
      <w:r>
        <w:rPr>
          <w:rFonts w:ascii="Times New Roman" w:cs="Times New Roman" w:eastAsia="Times New Roman" w:hAnsi="Times New Roman"/>
          <w:sz w:val="17"/>
          <w:szCs w:val="17"/>
          <w:b w:val="1"/>
          <w:bCs w:val="1"/>
          <w:color w:val="auto"/>
        </w:rPr>
        <w:t>Conversion Time</w:t>
      </w:r>
      <w:r>
        <w:rPr>
          <w:rFonts w:ascii="Times New Roman" w:cs="Times New Roman" w:eastAsia="Times New Roman" w:hAnsi="Times New Roman"/>
          <w:sz w:val="17"/>
          <w:szCs w:val="17"/>
          <w:color w:val="auto"/>
        </w:rPr>
        <w:t xml:space="preserve">”), and the shares of Common Stock issuable upon conversion of the specified shares shall be deemed to be outstanding of record as of such date, The Corporation shall, as soon as practicable after the Conversion Time (i) issue and deliver to such holder of Preferred Stock, or to his, her or its nominees, a certificate or certificates for the number of full shares of Common Stock issuable upon such conversion in accordance with the provisions hereof and a certificate for the number (if any) of the shares of Preferred Stock represented by the surrendered certificate that were not converted into Common Stock, (ii) pay in cash such amount as provided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in lieu of any fraction of a share of Common Stock otherwise issuable upon such conversion and (iii) pay all declared but unpaid dividends on the shares of Preferred Stock converted.</w:t>
      </w:r>
    </w:p>
    <w:p>
      <w:pPr>
        <w:spacing w:after="0" w:line="145" w:lineRule="exact"/>
        <w:rPr>
          <w:sz w:val="20"/>
          <w:szCs w:val="20"/>
          <w:color w:val="auto"/>
        </w:rPr>
      </w:pPr>
    </w:p>
    <w:p>
      <w:pPr>
        <w:jc w:val="both"/>
        <w:ind w:left="720" w:right="739" w:firstLine="1514"/>
        <w:spacing w:after="0" w:line="234" w:lineRule="auto"/>
        <w:rPr>
          <w:sz w:val="20"/>
          <w:szCs w:val="20"/>
          <w:color w:val="auto"/>
        </w:rPr>
      </w:pPr>
      <w:r>
        <w:rPr>
          <w:rFonts w:ascii="Times New Roman" w:cs="Times New Roman" w:eastAsia="Times New Roman" w:hAnsi="Times New Roman"/>
          <w:sz w:val="17"/>
          <w:szCs w:val="17"/>
          <w:color w:val="auto"/>
        </w:rPr>
        <w:t>4.3.2 Reservation of Shares. The Corporation shall at all times when the Preferred Stock shall be outstanding, reserve and keep available out of its authorized but unissued capital stock, for the purpose of effecting the conversion of the Preferred Stock, such number of its duly authorized shares of Common Stock as shall from time to time be sufficient to effect the conversion of all outstanding Preferred Stock; and if at any time the number of authorized but unissued shares of Common Stock shall not be sufficient to effect the conversion of all then outstanding shares of the Preferred Stock, the Corporation shall take such corporate action as may be necessary to increase its authorized but unissued shares of Common Stock to such number of shares as shall be sufficient for such purposes, including, without limitation, engaging in best efforts to obtain the requisite stockholder approval of any necessary amendment to the Restated Certificate, Before taking any action which would cause an adjustment reducing the applicable Conversion Price below the then par value of the shares of Common Stock issuable upon conversion of the Preferred Stock, the Corporation will take any corporate action which may, in the opinion of its counsel, be necessary in order that the Corporation may validly and legally issue fully paid and non-assessable shares of Common Stock at such adjusted applicable 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-1580515</wp:posOffset>
            </wp:positionV>
            <wp:extent cx="1384300" cy="698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384300" cy="6985"/>
                    </a:xfrm>
                    <a:prstGeom prst="rect">
                      <a:avLst/>
                    </a:prstGeom>
                    <a:noFill/>
                  </pic:spPr>
                </pic:pic>
              </a:graphicData>
            </a:graphic>
          </wp:anchor>
        </w:drawing>
      </w:r>
    </w:p>
    <w:p>
      <w:pPr>
        <w:spacing w:after="0" w:line="129" w:lineRule="exact"/>
        <w:rPr>
          <w:sz w:val="20"/>
          <w:szCs w:val="20"/>
          <w:color w:val="auto"/>
        </w:rPr>
      </w:pPr>
    </w:p>
    <w:p>
      <w:pPr>
        <w:jc w:val="both"/>
        <w:ind w:left="720" w:right="739" w:firstLine="1514"/>
        <w:spacing w:after="0" w:line="236" w:lineRule="auto"/>
        <w:rPr>
          <w:sz w:val="20"/>
          <w:szCs w:val="20"/>
          <w:color w:val="auto"/>
        </w:rPr>
      </w:pPr>
      <w:r>
        <w:rPr>
          <w:rFonts w:ascii="Times New Roman" w:cs="Times New Roman" w:eastAsia="Times New Roman" w:hAnsi="Times New Roman"/>
          <w:sz w:val="17"/>
          <w:szCs w:val="17"/>
          <w:color w:val="auto"/>
        </w:rPr>
        <w:t xml:space="preserve">4.3.3 Effect of Conversion. All shares of Preferred Stock which shall have been surrendered for conversion as herein provided shall no longer be deemed to be outstanding and all rights with respect to such shares shall immediately cease and terminate at the Conversion Time, except only the right of the holders thereof to receive shares of Common Stock in exchange therefor, to receive payment in lieu of any fraction of a share otherwise issuable upon such conversion as provided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and to receive payment of any dividends declared but unpaid thereon. Any shares of Preferred Stock so converted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-984885</wp:posOffset>
            </wp:positionV>
            <wp:extent cx="1389380" cy="698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389380" cy="6985"/>
                    </a:xfrm>
                    <a:prstGeom prst="rect">
                      <a:avLst/>
                    </a:prstGeom>
                    <a:noFill/>
                  </pic:spPr>
                </pic:pic>
              </a:graphicData>
            </a:graphic>
          </wp:anchor>
        </w:drawing>
      </w:r>
    </w:p>
    <w:p>
      <w:pPr>
        <w:spacing w:after="0" w:line="121" w:lineRule="exact"/>
        <w:rPr>
          <w:sz w:val="20"/>
          <w:szCs w:val="20"/>
          <w:color w:val="auto"/>
        </w:rPr>
      </w:pPr>
    </w:p>
    <w:p>
      <w:pPr>
        <w:jc w:val="both"/>
        <w:ind w:left="720" w:right="739" w:firstLine="1514"/>
        <w:spacing w:after="0" w:line="246" w:lineRule="auto"/>
        <w:rPr>
          <w:sz w:val="20"/>
          <w:szCs w:val="20"/>
          <w:color w:val="auto"/>
        </w:rPr>
      </w:pPr>
      <w:r>
        <w:rPr>
          <w:rFonts w:ascii="Times New Roman" w:cs="Times New Roman" w:eastAsia="Times New Roman" w:hAnsi="Times New Roman"/>
          <w:sz w:val="17"/>
          <w:szCs w:val="17"/>
          <w:color w:val="auto"/>
        </w:rPr>
        <w:t>4.3.4 No Further Adjustment. Upon any such conversion, no adjustment to the applicable Conversion Price shall be made for any declared but unpaid dividends on the Preferred Stock surrendered for conversion or on the Common Stock delivered upon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-267970</wp:posOffset>
            </wp:positionV>
            <wp:extent cx="1524000" cy="698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524000" cy="6985"/>
                    </a:xfrm>
                    <a:prstGeom prst="rect">
                      <a:avLst/>
                    </a:prstGeom>
                    <a:noFill/>
                  </pic:spPr>
                </pic:pic>
              </a:graphicData>
            </a:graphic>
          </wp:anchor>
        </w:drawing>
      </w:r>
    </w:p>
    <w:p>
      <w:pPr>
        <w:spacing w:after="0" w:line="115" w:lineRule="exact"/>
        <w:rPr>
          <w:sz w:val="20"/>
          <w:szCs w:val="20"/>
          <w:color w:val="auto"/>
        </w:rPr>
      </w:pPr>
    </w:p>
    <w:p>
      <w:pPr>
        <w:jc w:val="both"/>
        <w:ind w:left="720" w:right="739" w:firstLine="1514"/>
        <w:spacing w:after="0" w:line="236" w:lineRule="auto"/>
        <w:rPr>
          <w:sz w:val="20"/>
          <w:szCs w:val="20"/>
          <w:color w:val="auto"/>
        </w:rPr>
      </w:pPr>
      <w:r>
        <w:rPr>
          <w:rFonts w:ascii="Times New Roman" w:cs="Times New Roman" w:eastAsia="Times New Roman" w:hAnsi="Times New Roman"/>
          <w:sz w:val="17"/>
          <w:szCs w:val="17"/>
          <w:u w:val="single" w:color="auto"/>
          <w:color w:val="auto"/>
        </w:rPr>
        <w:t>4.3.5 Taxes</w:t>
      </w:r>
      <w:r>
        <w:rPr>
          <w:rFonts w:ascii="Times New Roman" w:cs="Times New Roman" w:eastAsia="Times New Roman" w:hAnsi="Times New Roman"/>
          <w:sz w:val="17"/>
          <w:szCs w:val="17"/>
          <w:color w:val="auto"/>
        </w:rPr>
        <w:t xml:space="preserve">. The Corporation shall pay any and all issue and other similar taxes that may be payable in respect of any issuance or delivery of shares of Common Stock upon conversion of shares of Preferred Stock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shall not, however, be required to pay any tax which may be payable in respect of any transfer involved in the issuance and delivery of shares of Common Stock in a name other than that in which the shares of Preferred Stock so converted were registered, and no such issuance or delivery shall be made unless and until the person or entity requesting such issuance has paid to the Corporation the amount of any such tax or has established, to the satisfaction of the Corporation, that such tax has been paid.</w:t>
      </w:r>
    </w:p>
    <w:p>
      <w:pPr>
        <w:spacing w:after="0" w:line="144" w:lineRule="exact"/>
        <w:rPr>
          <w:sz w:val="20"/>
          <w:szCs w:val="20"/>
          <w:color w:val="auto"/>
        </w:rPr>
      </w:pPr>
    </w:p>
    <w:p>
      <w:pPr>
        <w:ind w:left="1720"/>
        <w:spacing w:after="0"/>
        <w:tabs>
          <w:tab w:leader="none" w:pos="2120" w:val="left"/>
        </w:tabs>
        <w:rPr>
          <w:sz w:val="20"/>
          <w:szCs w:val="20"/>
          <w:color w:val="auto"/>
        </w:rPr>
      </w:pPr>
      <w:r>
        <w:rPr>
          <w:rFonts w:ascii="Times New Roman" w:cs="Times New Roman" w:eastAsia="Times New Roman" w:hAnsi="Times New Roman"/>
          <w:sz w:val="17"/>
          <w:szCs w:val="17"/>
          <w:u w:val="single" w:color="auto"/>
          <w:color w:val="auto"/>
        </w:rPr>
        <w:t>4.4</w:t>
      </w:r>
      <w:r>
        <w:rPr>
          <w:sz w:val="20"/>
          <w:szCs w:val="20"/>
          <w:color w:val="auto"/>
        </w:rPr>
        <w:tab/>
      </w:r>
      <w:r>
        <w:rPr>
          <w:rFonts w:ascii="Times New Roman" w:cs="Times New Roman" w:eastAsia="Times New Roman" w:hAnsi="Times New Roman"/>
          <w:sz w:val="16"/>
          <w:szCs w:val="16"/>
          <w:u w:val="single" w:color="auto"/>
          <w:color w:val="auto"/>
        </w:rPr>
        <w:t>Adjustments to Conversion Price for Diluting Issues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2240"/>
        <w:spacing w:after="0"/>
        <w:tabs>
          <w:tab w:leader="none" w:pos="2760" w:val="left"/>
        </w:tabs>
        <w:rPr>
          <w:sz w:val="20"/>
          <w:szCs w:val="20"/>
          <w:color w:val="auto"/>
        </w:rPr>
      </w:pPr>
      <w:r>
        <w:rPr>
          <w:rFonts w:ascii="Times New Roman" w:cs="Times New Roman" w:eastAsia="Times New Roman" w:hAnsi="Times New Roman"/>
          <w:sz w:val="17"/>
          <w:szCs w:val="17"/>
          <w:u w:val="single" w:color="auto"/>
          <w:color w:val="auto"/>
        </w:rPr>
        <w:t>4.4.1</w:t>
      </w:r>
      <w:r>
        <w:rPr>
          <w:sz w:val="20"/>
          <w:szCs w:val="20"/>
          <w:color w:val="auto"/>
        </w:rPr>
        <w:tab/>
      </w:r>
      <w:r>
        <w:rPr>
          <w:rFonts w:ascii="Times New Roman" w:cs="Times New Roman" w:eastAsia="Times New Roman" w:hAnsi="Times New Roman"/>
          <w:sz w:val="16"/>
          <w:szCs w:val="16"/>
          <w:u w:val="single" w:color="auto"/>
          <w:color w:val="auto"/>
        </w:rPr>
        <w:t>Special Definitions</w:t>
      </w:r>
      <w:r>
        <w:rPr>
          <w:rFonts w:ascii="Times New Roman" w:cs="Times New Roman" w:eastAsia="Times New Roman" w:hAnsi="Times New Roman"/>
          <w:sz w:val="16"/>
          <w:szCs w:val="16"/>
          <w:color w:val="auto"/>
        </w:rPr>
        <w:t>. For purposes of this Article Fourth, the following definitions</w:t>
      </w:r>
    </w:p>
    <w:p>
      <w:pPr>
        <w:spacing w:after="0" w:line="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7"/>
          <w:szCs w:val="17"/>
          <w:color w:val="auto"/>
        </w:rPr>
        <w:t>shall apply:</w:t>
      </w:r>
    </w:p>
    <w:p>
      <w:pPr>
        <w:spacing w:after="0" w:line="140" w:lineRule="exact"/>
        <w:rPr>
          <w:sz w:val="20"/>
          <w:szCs w:val="20"/>
          <w:color w:val="auto"/>
        </w:rPr>
      </w:pPr>
    </w:p>
    <w:p>
      <w:pPr>
        <w:ind w:left="720" w:right="739" w:firstLine="2018"/>
        <w:spacing w:after="0" w:line="264" w:lineRule="auto"/>
        <w:tabs>
          <w:tab w:leader="none" w:pos="3177" w:val="left"/>
        </w:tabs>
        <w:numPr>
          <w:ilvl w:val="0"/>
          <w:numId w:val="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Option</w:t>
      </w:r>
      <w:r>
        <w:rPr>
          <w:rFonts w:ascii="Times New Roman" w:cs="Times New Roman" w:eastAsia="Times New Roman" w:hAnsi="Times New Roman"/>
          <w:sz w:val="17"/>
          <w:szCs w:val="17"/>
          <w:color w:val="auto"/>
        </w:rPr>
        <w:t>” shall mean rights, options or warrants to subscribe for, purchase or otherwise acquire Common Stock or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344170</wp:posOffset>
            </wp:positionV>
            <wp:extent cx="54857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77" w:name="page278"/>
    <w:bookmarkEnd w:id="277"/>
    <w:p>
      <w:pPr>
        <w:ind w:left="720" w:right="739" w:firstLine="2018"/>
        <w:spacing w:after="0" w:line="264" w:lineRule="auto"/>
        <w:tabs>
          <w:tab w:leader="none" w:pos="3145"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Series D Original Issue Date</w:t>
      </w:r>
      <w:r>
        <w:rPr>
          <w:rFonts w:ascii="Times New Roman" w:cs="Times New Roman" w:eastAsia="Times New Roman" w:hAnsi="Times New Roman"/>
          <w:sz w:val="17"/>
          <w:szCs w:val="17"/>
          <w:color w:val="auto"/>
        </w:rPr>
        <w:t>” shall mean the date on which the first share of Series D Preferred Stock was issued,</w:t>
      </w:r>
    </w:p>
    <w:p>
      <w:pPr>
        <w:spacing w:after="0" w:line="116" w:lineRule="exact"/>
        <w:rPr>
          <w:rFonts w:ascii="Times New Roman" w:cs="Times New Roman" w:eastAsia="Times New Roman" w:hAnsi="Times New Roman"/>
          <w:sz w:val="17"/>
          <w:szCs w:val="17"/>
          <w:color w:val="auto"/>
        </w:rPr>
      </w:pPr>
    </w:p>
    <w:p>
      <w:pPr>
        <w:jc w:val="both"/>
        <w:ind w:left="720" w:right="739" w:firstLine="2018"/>
        <w:spacing w:after="0" w:line="248" w:lineRule="auto"/>
        <w:tabs>
          <w:tab w:leader="none" w:pos="315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Convertible Securities</w:t>
      </w:r>
      <w:r>
        <w:rPr>
          <w:rFonts w:ascii="Times New Roman" w:cs="Times New Roman" w:eastAsia="Times New Roman" w:hAnsi="Times New Roman"/>
          <w:sz w:val="17"/>
          <w:szCs w:val="17"/>
          <w:color w:val="auto"/>
        </w:rPr>
        <w:t>” shall mean any evidences of indebtedness, shares or other securities directly or indirectly convertible into or exchangeable for Common Stock, but excluding Options.</w:t>
      </w:r>
    </w:p>
    <w:p>
      <w:pPr>
        <w:spacing w:after="0" w:line="129" w:lineRule="exact"/>
        <w:rPr>
          <w:rFonts w:ascii="Times New Roman" w:cs="Times New Roman" w:eastAsia="Times New Roman" w:hAnsi="Times New Roman"/>
          <w:sz w:val="17"/>
          <w:szCs w:val="17"/>
          <w:color w:val="auto"/>
        </w:rPr>
      </w:pPr>
    </w:p>
    <w:p>
      <w:pPr>
        <w:jc w:val="both"/>
        <w:ind w:left="720" w:right="739" w:firstLine="2018"/>
        <w:spacing w:after="0"/>
        <w:tabs>
          <w:tab w:leader="none" w:pos="3166" w:val="left"/>
        </w:tabs>
        <w:numPr>
          <w:ilvl w:val="0"/>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Additional Shares of Common Stock</w:t>
      </w:r>
      <w:r>
        <w:rPr>
          <w:rFonts w:ascii="Times New Roman" w:cs="Times New Roman" w:eastAsia="Times New Roman" w:hAnsi="Times New Roman"/>
          <w:sz w:val="17"/>
          <w:szCs w:val="17"/>
          <w:color w:val="auto"/>
        </w:rPr>
        <w:t xml:space="preserve">” shall mean all shares of Common Stock issued (or, pursuant to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below, deemed to be issued) by the Corporation on or after the Series D Original Issue Date, other than (1) the following shares of Common Stock and (2) shares of Common Stock deemed issued pursuant to the following Options and Convertible Securities (clauses (1) and (2), collectively, “</w:t>
      </w:r>
      <w:r>
        <w:rPr>
          <w:rFonts w:ascii="Times New Roman" w:cs="Times New Roman" w:eastAsia="Times New Roman" w:hAnsi="Times New Roman"/>
          <w:sz w:val="17"/>
          <w:szCs w:val="17"/>
          <w:b w:val="1"/>
          <w:bCs w:val="1"/>
          <w:color w:val="auto"/>
        </w:rPr>
        <w:t>Exempted Securities</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ind w:left="720" w:right="739" w:firstLine="2523"/>
        <w:spacing w:after="0" w:line="259" w:lineRule="auto"/>
        <w:tabs>
          <w:tab w:leader="none" w:pos="3677"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as a dividend or distribution on the Preferred Stock;</w:t>
      </w:r>
    </w:p>
    <w:p>
      <w:pPr>
        <w:spacing w:after="0" w:line="124" w:lineRule="exact"/>
        <w:rPr>
          <w:rFonts w:ascii="Times New Roman" w:cs="Times New Roman" w:eastAsia="Times New Roman" w:hAnsi="Times New Roman"/>
          <w:sz w:val="17"/>
          <w:szCs w:val="17"/>
          <w:color w:val="auto"/>
        </w:rPr>
      </w:pPr>
    </w:p>
    <w:p>
      <w:pPr>
        <w:jc w:val="both"/>
        <w:ind w:left="720" w:right="739" w:firstLine="2523"/>
        <w:spacing w:after="0" w:line="241" w:lineRule="auto"/>
        <w:tabs>
          <w:tab w:leader="none" w:pos="3723"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or Convertible Securities actually issued upon the exercise of Options or shares of Common Stock actually issued upon the conversion or exchange of Convertible Securities, in each case provided such issuance is pursuant to the terms of such Option or Convertible Security;</w:t>
      </w:r>
    </w:p>
    <w:p>
      <w:pPr>
        <w:spacing w:after="0" w:line="139" w:lineRule="exact"/>
        <w:rPr>
          <w:rFonts w:ascii="Times New Roman" w:cs="Times New Roman" w:eastAsia="Times New Roman" w:hAnsi="Times New Roman"/>
          <w:sz w:val="17"/>
          <w:szCs w:val="17"/>
          <w:color w:val="auto"/>
        </w:rPr>
      </w:pPr>
    </w:p>
    <w:p>
      <w:pPr>
        <w:jc w:val="both"/>
        <w:ind w:left="720" w:right="739" w:firstLine="2523"/>
        <w:spacing w:after="0" w:line="246" w:lineRule="auto"/>
        <w:tabs>
          <w:tab w:leader="none" w:pos="3738"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shares of Common Stock, Options or Convertible Securities issued by reason of a dividend, stock split, split-up or other distribution on shares of Common Stock that is covered by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4.8</w:t>
      </w:r>
      <w:r>
        <w:rPr>
          <w:rFonts w:ascii="Times New Roman" w:cs="Times New Roman" w:eastAsia="Times New Roman" w:hAnsi="Times New Roman"/>
          <w:sz w:val="17"/>
          <w:szCs w:val="17"/>
          <w:color w:val="auto"/>
        </w:rPr>
        <w:t>;</w:t>
      </w:r>
    </w:p>
    <w:p>
      <w:pPr>
        <w:spacing w:after="0" w:line="134" w:lineRule="exact"/>
        <w:rPr>
          <w:rFonts w:ascii="Times New Roman" w:cs="Times New Roman" w:eastAsia="Times New Roman" w:hAnsi="Times New Roman"/>
          <w:sz w:val="17"/>
          <w:szCs w:val="17"/>
          <w:color w:val="auto"/>
        </w:rPr>
      </w:pPr>
    </w:p>
    <w:p>
      <w:pPr>
        <w:jc w:val="both"/>
        <w:ind w:left="720" w:right="739" w:firstLine="2523"/>
        <w:spacing w:after="0" w:line="239" w:lineRule="auto"/>
        <w:tabs>
          <w:tab w:leader="none" w:pos="3895"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or Options issued to employees or directors of, or consultants or advisors to, the Corporation or any of its subsidiaries pursuant to (A) the Corporation’s 2022 Equity Incentive Plan (as may be amended and/or restated from time to time) or (B) any other plan, agreement or arrangement approved by the Board, including a majority of the Preferred Directors then-serving;</w:t>
      </w:r>
    </w:p>
    <w:p>
      <w:pPr>
        <w:spacing w:after="0" w:line="140" w:lineRule="exact"/>
        <w:rPr>
          <w:rFonts w:ascii="Times New Roman" w:cs="Times New Roman" w:eastAsia="Times New Roman" w:hAnsi="Times New Roman"/>
          <w:sz w:val="17"/>
          <w:szCs w:val="17"/>
          <w:color w:val="auto"/>
        </w:rPr>
      </w:pPr>
    </w:p>
    <w:p>
      <w:pPr>
        <w:jc w:val="both"/>
        <w:ind w:left="720" w:right="739" w:firstLine="2523"/>
        <w:spacing w:after="0" w:line="241" w:lineRule="auto"/>
        <w:tabs>
          <w:tab w:leader="none" w:pos="3702"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to banks, equipment lessors or other financial institutions pursuant to a debt financing, equipment lease financing arrangements, credit agreements or other commercial transactions approved by the Board, including a majority of the Preferred Directors then-serving;</w:t>
      </w:r>
    </w:p>
    <w:p>
      <w:pPr>
        <w:spacing w:after="0" w:line="139" w:lineRule="exact"/>
        <w:rPr>
          <w:rFonts w:ascii="Times New Roman" w:cs="Times New Roman" w:eastAsia="Times New Roman" w:hAnsi="Times New Roman"/>
          <w:sz w:val="17"/>
          <w:szCs w:val="17"/>
          <w:color w:val="auto"/>
        </w:rPr>
      </w:pPr>
    </w:p>
    <w:p>
      <w:pPr>
        <w:jc w:val="both"/>
        <w:ind w:left="720" w:right="739" w:firstLine="2523"/>
        <w:spacing w:after="0" w:line="241" w:lineRule="auto"/>
        <w:tabs>
          <w:tab w:leader="none" w:pos="3728"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in connection with research and development partnerships, licensing, corporate partnering, collaborative arrangements or similar transactions approved by the Board, including a majority of the Preferred Directors then-serving;</w:t>
      </w:r>
    </w:p>
    <w:p>
      <w:pPr>
        <w:spacing w:after="0" w:line="139" w:lineRule="exact"/>
        <w:rPr>
          <w:rFonts w:ascii="Times New Roman" w:cs="Times New Roman" w:eastAsia="Times New Roman" w:hAnsi="Times New Roman"/>
          <w:sz w:val="17"/>
          <w:szCs w:val="17"/>
          <w:color w:val="auto"/>
        </w:rPr>
      </w:pPr>
    </w:p>
    <w:p>
      <w:pPr>
        <w:jc w:val="both"/>
        <w:ind w:left="720" w:right="739" w:firstLine="2523"/>
        <w:spacing w:after="0" w:line="241" w:lineRule="auto"/>
        <w:tabs>
          <w:tab w:leader="none" w:pos="3759" w:val="left"/>
        </w:tabs>
        <w:numPr>
          <w:ilvl w:val="1"/>
          <w:numId w:val="1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Common Stock, Options or Convertible Securities issued in connection with the acquisition of another corporation by the Corporation by merger, purchase of substantially all the assets, reorganization, consolidation, acquisition or similar business combination approved by the Board, including a majority of the Preferred Directors then-serving; or</w:t>
      </w:r>
    </w:p>
    <w:p>
      <w:pPr>
        <w:spacing w:after="0" w:line="139" w:lineRule="exact"/>
        <w:rPr>
          <w:rFonts w:ascii="Times New Roman" w:cs="Times New Roman" w:eastAsia="Times New Roman" w:hAnsi="Times New Roman"/>
          <w:sz w:val="17"/>
          <w:szCs w:val="17"/>
          <w:color w:val="auto"/>
        </w:rPr>
      </w:pPr>
    </w:p>
    <w:p>
      <w:pPr>
        <w:ind w:left="3800" w:hanging="557"/>
        <w:spacing w:after="0"/>
        <w:tabs>
          <w:tab w:leader="none" w:pos="3800" w:val="left"/>
        </w:tabs>
        <w:numPr>
          <w:ilvl w:val="1"/>
          <w:numId w:val="1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shares of Series D Preferred Stock issued pursuant to the Series D</w:t>
      </w:r>
    </w:p>
    <w:p>
      <w:pPr>
        <w:spacing w:after="0" w:line="23" w:lineRule="exact"/>
        <w:rPr>
          <w:rFonts w:ascii="Times New Roman" w:cs="Times New Roman" w:eastAsia="Times New Roman" w:hAnsi="Times New Roman"/>
          <w:sz w:val="16"/>
          <w:szCs w:val="16"/>
          <w:color w:val="auto"/>
        </w:rPr>
      </w:pPr>
    </w:p>
    <w:p>
      <w:pPr>
        <w:ind w:left="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Purchase Agreement.</w:t>
      </w:r>
    </w:p>
    <w:p>
      <w:pPr>
        <w:spacing w:after="0" w:line="144" w:lineRule="exact"/>
        <w:rPr>
          <w:sz w:val="20"/>
          <w:szCs w:val="20"/>
          <w:color w:val="auto"/>
        </w:rPr>
      </w:pPr>
    </w:p>
    <w:p>
      <w:pPr>
        <w:jc w:val="both"/>
        <w:ind w:left="720" w:right="739" w:firstLine="1514"/>
        <w:spacing w:after="0" w:line="239" w:lineRule="auto"/>
        <w:rPr>
          <w:sz w:val="20"/>
          <w:szCs w:val="20"/>
          <w:color w:val="auto"/>
        </w:rPr>
      </w:pPr>
      <w:r>
        <w:rPr>
          <w:rFonts w:ascii="Times New Roman" w:cs="Times New Roman" w:eastAsia="Times New Roman" w:hAnsi="Times New Roman"/>
          <w:sz w:val="17"/>
          <w:szCs w:val="17"/>
          <w:color w:val="auto"/>
        </w:rPr>
        <w:t>4.4.2 No Adjustment of Conversion Price. No adjustment in the Conversion Price applicable to a series of Preferred Stock shall be made as the result of the issuance or deemed issuance of Additional Shares of Common Stock if the Corporation receives written notice from (i) the holders of at least sixty percent (60%) of the Series A Preferred Stock, voting as a separate class, with respect to any adjustment to the Conversion Price of the Series A Preferred Stock, (ii) the Requisite Series B Holders, with respect to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356870</wp:posOffset>
            </wp:positionV>
            <wp:extent cx="5485765" cy="387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1417955</wp:posOffset>
            </wp:positionH>
            <wp:positionV relativeFrom="paragraph">
              <wp:posOffset>-504190</wp:posOffset>
            </wp:positionV>
            <wp:extent cx="2030730" cy="698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030730" cy="698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78" w:name="page279"/>
    <w:bookmarkEnd w:id="278"/>
    <w:p>
      <w:pPr>
        <w:jc w:val="both"/>
        <w:ind w:left="720" w:right="739"/>
        <w:spacing w:after="0" w:line="239" w:lineRule="auto"/>
        <w:rPr>
          <w:sz w:val="20"/>
          <w:szCs w:val="20"/>
          <w:color w:val="auto"/>
        </w:rPr>
      </w:pPr>
      <w:r>
        <w:rPr>
          <w:rFonts w:ascii="Times New Roman" w:cs="Times New Roman" w:eastAsia="Times New Roman" w:hAnsi="Times New Roman"/>
          <w:sz w:val="17"/>
          <w:szCs w:val="17"/>
          <w:color w:val="auto"/>
        </w:rPr>
        <w:t>adjustment to the Conversion Price of the Series B Preferred Stock, (iii) the Requisite Series C Holders, with respect to any adjustment to the Conversion Price of the Series C Preferred Stock and (iv) the Requisite Series D Holders, with respect to any adjustment to the Conversion Price of the Series D Preferred Stock, in each case agreeing that no such adjustment shall be made as the result of the issuance or deemed issuance of such Additional Shares of Common Stock.</w:t>
      </w:r>
    </w:p>
    <w:p>
      <w:pPr>
        <w:spacing w:after="0" w:line="141" w:lineRule="exact"/>
        <w:rPr>
          <w:sz w:val="20"/>
          <w:szCs w:val="20"/>
          <w:color w:val="auto"/>
        </w:rPr>
      </w:pPr>
    </w:p>
    <w:p>
      <w:pPr>
        <w:ind w:left="2240"/>
        <w:spacing w:after="0"/>
        <w:tabs>
          <w:tab w:leader="none" w:pos="2760" w:val="left"/>
        </w:tabs>
        <w:rPr>
          <w:sz w:val="20"/>
          <w:szCs w:val="20"/>
          <w:color w:val="auto"/>
        </w:rPr>
      </w:pPr>
      <w:r>
        <w:rPr>
          <w:rFonts w:ascii="Times New Roman" w:cs="Times New Roman" w:eastAsia="Times New Roman" w:hAnsi="Times New Roman"/>
          <w:sz w:val="17"/>
          <w:szCs w:val="17"/>
          <w:u w:val="single" w:color="auto"/>
          <w:color w:val="auto"/>
        </w:rPr>
        <w:t>4.4.3</w:t>
      </w:r>
      <w:r>
        <w:rPr>
          <w:sz w:val="20"/>
          <w:szCs w:val="20"/>
          <w:color w:val="auto"/>
        </w:rPr>
        <w:tab/>
      </w:r>
      <w:r>
        <w:rPr>
          <w:rFonts w:ascii="Times New Roman" w:cs="Times New Roman" w:eastAsia="Times New Roman" w:hAnsi="Times New Roman"/>
          <w:sz w:val="16"/>
          <w:szCs w:val="16"/>
          <w:u w:val="single" w:color="auto"/>
          <w:color w:val="auto"/>
        </w:rPr>
        <w:t>Deemed Issue of Additional Shares of Common Stock</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720" w:right="739" w:firstLine="2018"/>
        <w:spacing w:after="0" w:line="235" w:lineRule="auto"/>
        <w:tabs>
          <w:tab w:leader="none" w:pos="3274"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Corporation at any time or from time to time after the Series D Original Issue Date shall issue any Options or Convertible Securities (excluding Options or Convertible Securities which are themselves Exempted Securities) or shall fix a record date for the determination of holders of any class of securities entitled to receive any such Options or Convertible Securities, then the maximum number of shares of Common Stock (as set forth in the instrument relating thereto, assuming the satisfaction of any conditions to exercisability, convertibility or exchangeability but without regard to any provision contained therein for a subsequent adjustment of such number) issuable upon the exercise of such Options or, in the case of Convertible Securities and Options therefor, the conversion or exchange of such Convertible Securities, shall be deemed to be Additional Shares of Common Stock issued as of the time of such issue or, in case such a record date shall have been fixed, as of the close of business on such record date.</w:t>
      </w:r>
    </w:p>
    <w:p>
      <w:pPr>
        <w:spacing w:after="0" w:line="146" w:lineRule="exact"/>
        <w:rPr>
          <w:rFonts w:ascii="Times New Roman" w:cs="Times New Roman" w:eastAsia="Times New Roman" w:hAnsi="Times New Roman"/>
          <w:sz w:val="17"/>
          <w:szCs w:val="17"/>
          <w:color w:val="auto"/>
        </w:rPr>
      </w:pPr>
    </w:p>
    <w:p>
      <w:pPr>
        <w:jc w:val="both"/>
        <w:ind w:left="720" w:right="739" w:firstLine="2018"/>
        <w:spacing w:after="0" w:line="234" w:lineRule="auto"/>
        <w:tabs>
          <w:tab w:leader="none" w:pos="3213"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terms of any Option or Convertible Security, the issuance of which resulted in an adjustment to the applicable Conversion Price pursuant to the terms of </w:t>
      </w:r>
      <w:r>
        <w:rPr>
          <w:rFonts w:ascii="Times New Roman" w:cs="Times New Roman" w:eastAsia="Times New Roman" w:hAnsi="Times New Roman"/>
          <w:sz w:val="17"/>
          <w:szCs w:val="17"/>
          <w:u w:val="single" w:color="auto"/>
          <w:color w:val="auto"/>
        </w:rPr>
        <w:t>Section 4.4.4</w:t>
      </w:r>
      <w:r>
        <w:rPr>
          <w:rFonts w:ascii="Times New Roman" w:cs="Times New Roman" w:eastAsia="Times New Roman" w:hAnsi="Times New Roman"/>
          <w:sz w:val="17"/>
          <w:szCs w:val="17"/>
          <w:color w:val="auto"/>
        </w:rPr>
        <w:t>, are revised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or decrease in the number of shares of Common Stock issuable upon the exercise, conversion and/or exchange of any such Option or Convertible Security or (2) any increase or decrease in the consideration payable to the Corporation upon such exercise, conversion and/or exchange, then, effective upon such increase or decrease becoming effective, the applicable Conversion Price computed upon the original issue of such Option or Convertible Security (or upon the occurrence of a record date with respect thereto) shall be readjusted to such applicable Conversion Price as would have obtained had such revised terms been in effect upon the original date of issuance of such Option or Convertible Security, Notwithstanding the foregoing, no readjustment pursuant to this clause (b) shall have the effect of increasing the applicable Conversion Price to an amount which exceeds the lower of (i) the applicable Conversion Price in effect immediately prior to the original adjustment made as a result of the issuance of such Option or Convertible Security, or (ii) the applicable Conversion Price that would have resulted from any issuances of Additional Shares of Common Stock (other than deemed issuances of Additional Shares of Common Stock as a result of the issuance of such Option or Convertible Security) between the original adjustment date and such readjustment date.</w:t>
      </w:r>
    </w:p>
    <w:p>
      <w:pPr>
        <w:spacing w:after="0" w:line="143" w:lineRule="exact"/>
        <w:rPr>
          <w:rFonts w:ascii="Times New Roman" w:cs="Times New Roman" w:eastAsia="Times New Roman" w:hAnsi="Times New Roman"/>
          <w:sz w:val="17"/>
          <w:szCs w:val="17"/>
          <w:color w:val="auto"/>
        </w:rPr>
      </w:pPr>
    </w:p>
    <w:p>
      <w:pPr>
        <w:jc w:val="both"/>
        <w:ind w:left="720" w:right="739" w:firstLine="2018"/>
        <w:spacing w:after="0" w:line="250" w:lineRule="auto"/>
        <w:tabs>
          <w:tab w:leader="none" w:pos="3217" w:val="left"/>
        </w:tabs>
        <w:numPr>
          <w:ilvl w:val="0"/>
          <w:numId w:val="1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terms of any Option or Convertible Security (excluding Options or Convertible Securities which are themselves Exempted Securities), the issuance of which did not result in an adjustment to the applicable Conversion Price pursuant to the terms of </w:t>
      </w:r>
      <w:r>
        <w:rPr>
          <w:rFonts w:ascii="Times New Roman" w:cs="Times New Roman" w:eastAsia="Times New Roman" w:hAnsi="Times New Roman"/>
          <w:sz w:val="16"/>
          <w:szCs w:val="16"/>
          <w:u w:val="single" w:color="auto"/>
          <w:color w:val="auto"/>
        </w:rPr>
        <w:t>Section 4.4,4</w:t>
      </w:r>
      <w:r>
        <w:rPr>
          <w:rFonts w:ascii="Times New Roman" w:cs="Times New Roman" w:eastAsia="Times New Roman" w:hAnsi="Times New Roman"/>
          <w:sz w:val="16"/>
          <w:szCs w:val="16"/>
          <w:color w:val="auto"/>
        </w:rPr>
        <w:t xml:space="preserve"> (either because the consideration per share (determined pursuant to </w:t>
      </w:r>
      <w:r>
        <w:rPr>
          <w:rFonts w:ascii="Times New Roman" w:cs="Times New Roman" w:eastAsia="Times New Roman" w:hAnsi="Times New Roman"/>
          <w:sz w:val="16"/>
          <w:szCs w:val="16"/>
          <w:u w:val="single" w:color="auto"/>
          <w:color w:val="auto"/>
        </w:rPr>
        <w:t>Section 4,4,5</w:t>
      </w:r>
      <w:r>
        <w:rPr>
          <w:rFonts w:ascii="Times New Roman" w:cs="Times New Roman" w:eastAsia="Times New Roman" w:hAnsi="Times New Roman"/>
          <w:sz w:val="16"/>
          <w:szCs w:val="16"/>
          <w:color w:val="auto"/>
        </w:rPr>
        <w:t xml:space="preserve">) of the Additional Shares of Common Stock subject thereto was equal to or greater than the applicable Conversion Price then in effect, or because such Option or Convertible Security was issued before the Series D Original Issue Date), are revised after the Series D Original Issue Date as a result of an amendment to such terms or any other adjustment pursuant to the provisions of such Option or Convertible Security (but excluding automatic adjustments to such terms pursuant to anti-dilution or similar provisions of such Option or Convertible Security) to provide for either (1) any increase in the number of shares of Common Stock issuable upon the exercise, conversion or exchange of any such Option or Convertible Security or (2) any decrease in the consideration payable to the Corporation upon such exercise, conversion or exchange, then such Option or Convertible Security, as so amended or adjusted, and the Additional Shares of Common Stock subject thereto (determined in the manner provided in </w:t>
      </w:r>
      <w:r>
        <w:rPr>
          <w:rFonts w:ascii="Times New Roman" w:cs="Times New Roman" w:eastAsia="Times New Roman" w:hAnsi="Times New Roman"/>
          <w:sz w:val="16"/>
          <w:szCs w:val="16"/>
          <w:u w:val="single" w:color="auto"/>
          <w:color w:val="auto"/>
        </w:rPr>
        <w:t>Section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4.4.3(a)</w:t>
      </w:r>
      <w:r>
        <w:rPr>
          <w:rFonts w:ascii="Times New Roman" w:cs="Times New Roman" w:eastAsia="Times New Roman" w:hAnsi="Times New Roman"/>
          <w:sz w:val="16"/>
          <w:szCs w:val="16"/>
          <w:color w:val="auto"/>
        </w:rPr>
        <w:t xml:space="preserve"> shall be deemed to have been issued effective upon such increase or decrease becoming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352425</wp:posOffset>
            </wp:positionV>
            <wp:extent cx="54857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79" w:name="page280"/>
    <w:bookmarkEnd w:id="279"/>
    <w:p>
      <w:pPr>
        <w:jc w:val="both"/>
        <w:ind w:left="720" w:right="739" w:firstLine="2018"/>
        <w:spacing w:after="0" w:line="239" w:lineRule="auto"/>
        <w:tabs>
          <w:tab w:leader="none" w:pos="3426"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the expiration or termination of any unexercised Option or unconverted or unexchanged Convertible Security (or portion thereof) which resulted (either upon its original issuance or upon a revision of its terms) in an adjustment to the applicable Conversion Price pursuant to the terms of </w:t>
      </w:r>
      <w:r>
        <w:rPr>
          <w:rFonts w:ascii="Times New Roman" w:cs="Times New Roman" w:eastAsia="Times New Roman" w:hAnsi="Times New Roman"/>
          <w:sz w:val="17"/>
          <w:szCs w:val="17"/>
          <w:u w:val="single" w:color="auto"/>
          <w:color w:val="auto"/>
        </w:rPr>
        <w:t>Section 4.4.4</w:t>
      </w:r>
      <w:r>
        <w:rPr>
          <w:rFonts w:ascii="Times New Roman" w:cs="Times New Roman" w:eastAsia="Times New Roman" w:hAnsi="Times New Roman"/>
          <w:sz w:val="17"/>
          <w:szCs w:val="17"/>
          <w:color w:val="auto"/>
        </w:rPr>
        <w:t>, the applicable Conversion Price shall be readjusted to such applicable Conversion Price as would have obtained had such Option or Convertible Security (or portion thereof) never been issued.</w:t>
      </w:r>
    </w:p>
    <w:p>
      <w:pPr>
        <w:spacing w:after="0" w:line="140" w:lineRule="exact"/>
        <w:rPr>
          <w:rFonts w:ascii="Times New Roman" w:cs="Times New Roman" w:eastAsia="Times New Roman" w:hAnsi="Times New Roman"/>
          <w:sz w:val="17"/>
          <w:szCs w:val="17"/>
          <w:color w:val="auto"/>
        </w:rPr>
      </w:pPr>
    </w:p>
    <w:p>
      <w:pPr>
        <w:jc w:val="both"/>
        <w:ind w:left="720" w:right="739" w:firstLine="2018"/>
        <w:spacing w:after="0" w:line="235" w:lineRule="auto"/>
        <w:tabs>
          <w:tab w:leader="none" w:pos="3283"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number of shares of Common Stock issuable upon the exercise, conversion and/or exchange of any Option or Convertible Security, or the consideration payable to the Corporation upon such exercise, conversion and/or exchange, is calculable at the time such Option or Convertible Security is issued or amended but is subject to adjustment based upon subsequent events, any adjustment to the applicable Conversion Price provided for in this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shall be effected at the time of such issuance or amendment based on such number of shares or amount of consideration without regard to any provisions for subsequent adjustments (and any subsequent adjustments shall be treated as provided in clauses</w:t>
      </w:r>
    </w:p>
    <w:p>
      <w:pPr>
        <w:spacing w:after="0" w:line="2" w:lineRule="exact"/>
        <w:rPr>
          <w:rFonts w:ascii="Times New Roman" w:cs="Times New Roman" w:eastAsia="Times New Roman" w:hAnsi="Times New Roman"/>
          <w:sz w:val="17"/>
          <w:szCs w:val="17"/>
          <w:color w:val="auto"/>
        </w:rPr>
      </w:pPr>
    </w:p>
    <w:p>
      <w:pPr>
        <w:jc w:val="both"/>
        <w:ind w:left="720" w:right="739"/>
        <w:spacing w:after="0" w:line="233" w:lineRule="auto"/>
        <w:tabs>
          <w:tab w:leader="none" w:pos="994"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and (c) of this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If the number of shares of Common Stock issuable upon the exercise, conversion and/or exchange of any Option or Convertible Security, or the consideration payable to the Corporation upon such exercise, conversion and/or exchange, cannot be calculated at all at the time such Option or Convertible Security is issued or amended, any adjustment to the applicable Conversion Price that would result under the terms of this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xml:space="preserve"> at the time of such issuance or amendment shall instead be effected at the time such number of shares and/or amount of consideration is first calculable (even if subject to subsequent adjustments), assuming for purposes of calculating such adjustment to the applicable Conversion Price that such issuance or amendment took place at the time such calculation can first be made.</w:t>
      </w:r>
    </w:p>
    <w:p>
      <w:pPr>
        <w:spacing w:after="0" w:line="146" w:lineRule="exact"/>
        <w:rPr>
          <w:sz w:val="20"/>
          <w:szCs w:val="20"/>
          <w:color w:val="auto"/>
        </w:rPr>
      </w:pPr>
    </w:p>
    <w:p>
      <w:pPr>
        <w:jc w:val="both"/>
        <w:ind w:left="720" w:right="739" w:firstLine="1514"/>
        <w:spacing w:after="0" w:line="237" w:lineRule="auto"/>
        <w:rPr>
          <w:sz w:val="20"/>
          <w:szCs w:val="20"/>
          <w:color w:val="auto"/>
        </w:rPr>
      </w:pPr>
      <w:r>
        <w:rPr>
          <w:rFonts w:ascii="Times New Roman" w:cs="Times New Roman" w:eastAsia="Times New Roman" w:hAnsi="Times New Roman"/>
          <w:sz w:val="17"/>
          <w:szCs w:val="17"/>
          <w:u w:val="single" w:color="auto"/>
          <w:color w:val="auto"/>
        </w:rPr>
        <w:t>4.4.4 Adjustment of Conversion Price Upon Issuance of Additional Shares of Common Stock</w:t>
      </w:r>
      <w:r>
        <w:rPr>
          <w:rFonts w:ascii="Times New Roman" w:cs="Times New Roman" w:eastAsia="Times New Roman" w:hAnsi="Times New Roman"/>
          <w:sz w:val="17"/>
          <w:szCs w:val="17"/>
          <w:color w:val="auto"/>
        </w:rPr>
        <w:t xml:space="preserve">. In the event the Corporation shall at any time or from time to time after the Series D Original Issue Date issue Additional Shares of Common Stock (including Additional Shares of Common Stock deemed to be issued pursuant to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without consideration or for a consideration per share less than the applicable Conversion Price in effect immediately prior to such issuance or deemed issuance, then the applicable Conversion Price shall be reduced, concurrently with such issuance or deemed issuance, to a price (calculated to the nearest one-hundredth of a cent) determined in accordance with the following formula:</w:t>
      </w:r>
    </w:p>
    <w:p>
      <w:pPr>
        <w:spacing w:after="0" w:line="78"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color w:val="auto"/>
        </w:rPr>
        <w:t>CP</w:t>
      </w:r>
      <w:r>
        <w:rPr>
          <w:rFonts w:ascii="Times New Roman" w:cs="Times New Roman" w:eastAsia="Times New Roman" w:hAnsi="Times New Roman"/>
          <w:sz w:val="22"/>
          <w:szCs w:val="22"/>
          <w:color w:val="auto"/>
          <w:vertAlign w:val="subscript"/>
        </w:rPr>
        <w:t>2</w:t>
      </w:r>
      <w:r>
        <w:rPr>
          <w:rFonts w:ascii="Times New Roman" w:cs="Times New Roman" w:eastAsia="Times New Roman" w:hAnsi="Times New Roman"/>
          <w:sz w:val="17"/>
          <w:szCs w:val="17"/>
          <w:color w:val="auto"/>
        </w:rPr>
        <w:t>= CP</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7"/>
          <w:szCs w:val="17"/>
          <w:color w:val="auto"/>
        </w:rPr>
        <w:t>* (A+B) - (A+C).</w:t>
      </w:r>
    </w:p>
    <w:p>
      <w:pPr>
        <w:spacing w:after="0" w:line="17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For purposes of the foregoing formula, the following definitions shall apply:</w:t>
      </w:r>
    </w:p>
    <w:p>
      <w:pPr>
        <w:spacing w:after="0" w:line="96" w:lineRule="exact"/>
        <w:rPr>
          <w:sz w:val="20"/>
          <w:szCs w:val="20"/>
          <w:color w:val="auto"/>
        </w:rPr>
      </w:pPr>
    </w:p>
    <w:p>
      <w:pPr>
        <w:ind w:left="3220" w:hanging="482"/>
        <w:spacing w:after="0"/>
        <w:tabs>
          <w:tab w:leader="none" w:pos="322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CP</w:t>
      </w:r>
      <w:r>
        <w:rPr>
          <w:rFonts w:ascii="Times New Roman" w:cs="Times New Roman" w:eastAsia="Times New Roman" w:hAnsi="Times New Roman"/>
          <w:sz w:val="22"/>
          <w:szCs w:val="22"/>
          <w:b w:val="1"/>
          <w:bCs w:val="1"/>
          <w:color w:val="auto"/>
          <w:vertAlign w:val="subscript"/>
        </w:rPr>
        <w:t>2</w:t>
      </w:r>
      <w:r>
        <w:rPr>
          <w:rFonts w:ascii="Times New Roman" w:cs="Times New Roman" w:eastAsia="Times New Roman" w:hAnsi="Times New Roman"/>
          <w:sz w:val="17"/>
          <w:szCs w:val="17"/>
          <w:color w:val="auto"/>
        </w:rPr>
        <w:t>” shall mean the applicable Conversion Price in effect immediately</w:t>
      </w:r>
    </w:p>
    <w:p>
      <w:pPr>
        <w:spacing w:after="0" w:line="30"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such issuance or deemed issuance of Additional Shares of Common Stock</w:t>
      </w:r>
    </w:p>
    <w:p>
      <w:pPr>
        <w:spacing w:after="0" w:line="78" w:lineRule="exact"/>
        <w:rPr>
          <w:rFonts w:ascii="Times New Roman" w:cs="Times New Roman" w:eastAsia="Times New Roman" w:hAnsi="Times New Roman"/>
          <w:sz w:val="17"/>
          <w:szCs w:val="17"/>
          <w:color w:val="auto"/>
        </w:rPr>
      </w:pPr>
    </w:p>
    <w:p>
      <w:pPr>
        <w:ind w:left="3240" w:hanging="502"/>
        <w:spacing w:after="0"/>
        <w:tabs>
          <w:tab w:leader="none" w:pos="3240"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CP</w:t>
      </w:r>
      <w:r>
        <w:rPr>
          <w:rFonts w:ascii="Times New Roman" w:cs="Times New Roman" w:eastAsia="Times New Roman" w:hAnsi="Times New Roman"/>
          <w:sz w:val="22"/>
          <w:szCs w:val="22"/>
          <w:b w:val="1"/>
          <w:bCs w:val="1"/>
          <w:color w:val="auto"/>
          <w:vertAlign w:val="subscript"/>
        </w:rPr>
        <w:t>1</w:t>
      </w:r>
      <w:r>
        <w:rPr>
          <w:rFonts w:ascii="Times New Roman" w:cs="Times New Roman" w:eastAsia="Times New Roman" w:hAnsi="Times New Roman"/>
          <w:sz w:val="17"/>
          <w:szCs w:val="17"/>
          <w:color w:val="auto"/>
        </w:rPr>
        <w:t>” shall mean the applicable Conversion Price in effect immediately</w:t>
      </w:r>
    </w:p>
    <w:p>
      <w:pPr>
        <w:spacing w:after="0" w:line="30" w:lineRule="exact"/>
        <w:rPr>
          <w:rFonts w:ascii="Times New Roman" w:cs="Times New Roman" w:eastAsia="Times New Roman" w:hAnsi="Times New Roman"/>
          <w:sz w:val="17"/>
          <w:szCs w:val="17"/>
          <w:color w:val="auto"/>
        </w:rPr>
      </w:pPr>
    </w:p>
    <w:p>
      <w:pPr>
        <w:ind w:left="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such issuance or deemed issuance of Additional Shares of Common Stock;</w:t>
      </w:r>
    </w:p>
    <w:p>
      <w:pPr>
        <w:spacing w:after="0" w:line="139" w:lineRule="exact"/>
        <w:rPr>
          <w:rFonts w:ascii="Times New Roman" w:cs="Times New Roman" w:eastAsia="Times New Roman" w:hAnsi="Times New Roman"/>
          <w:sz w:val="17"/>
          <w:szCs w:val="17"/>
          <w:color w:val="auto"/>
        </w:rPr>
      </w:pPr>
    </w:p>
    <w:p>
      <w:pPr>
        <w:jc w:val="both"/>
        <w:ind w:left="720" w:right="739" w:firstLine="2018"/>
        <w:spacing w:after="0" w:line="238" w:lineRule="auto"/>
        <w:tabs>
          <w:tab w:leader="none" w:pos="3314"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shall mean the number of shares of Common Stock outstanding immediately prior to such issuance or deemed issuance of Additional Shares of Common Stock (treating for this purpose as outstanding all shares of Common Stock issuable upon exercise of Options outstanding immediately prior to such issuance or deemed issuance or upon conversion or exchange of Convertible Securities (including the Preferred Stock) outstanding (assuming exercise of any outstanding Options therefor) immediately prior to such issuance or deemed issuance);</w:t>
      </w:r>
    </w:p>
    <w:p>
      <w:pPr>
        <w:spacing w:after="0" w:line="140" w:lineRule="exact"/>
        <w:rPr>
          <w:rFonts w:ascii="Times New Roman" w:cs="Times New Roman" w:eastAsia="Times New Roman" w:hAnsi="Times New Roman"/>
          <w:sz w:val="17"/>
          <w:szCs w:val="17"/>
          <w:color w:val="auto"/>
        </w:rPr>
      </w:pPr>
    </w:p>
    <w:p>
      <w:pPr>
        <w:jc w:val="both"/>
        <w:ind w:left="720" w:right="739" w:firstLine="2018"/>
        <w:spacing w:after="0" w:line="230" w:lineRule="auto"/>
        <w:tabs>
          <w:tab w:leader="none" w:pos="3218"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shall mean the number of shares of Common Stock that would have been issued if such Additional Shares of Common Stock had been issued at a price per share equal to CPI (determined by dividing the aggregate consideration received by the Corporation in respect of such issuance or deemed issuance by CP</w:t>
      </w:r>
      <w:r>
        <w:rPr>
          <w:rFonts w:ascii="Times New Roman" w:cs="Times New Roman" w:eastAsia="Times New Roman" w:hAnsi="Times New Roman"/>
          <w:sz w:val="22"/>
          <w:szCs w:val="22"/>
          <w:color w:val="auto"/>
          <w:vertAlign w:val="subscript"/>
        </w:rPr>
        <w:t>1</w:t>
      </w:r>
      <w:r>
        <w:rPr>
          <w:rFonts w:ascii="Times New Roman" w:cs="Times New Roman" w:eastAsia="Times New Roman" w:hAnsi="Times New Roman"/>
          <w:sz w:val="17"/>
          <w:szCs w:val="17"/>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353060</wp:posOffset>
            </wp:positionV>
            <wp:extent cx="54857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80" w:name="page281"/>
    <w:bookmarkEnd w:id="280"/>
    <w:p>
      <w:pPr>
        <w:ind w:left="720" w:right="739" w:firstLine="2018"/>
        <w:spacing w:after="0" w:line="264" w:lineRule="auto"/>
        <w:tabs>
          <w:tab w:leader="none" w:pos="3209" w:val="left"/>
        </w:tabs>
        <w:numPr>
          <w:ilvl w:val="0"/>
          <w:numId w:val="1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7"/>
          <w:szCs w:val="17"/>
          <w:color w:val="auto"/>
        </w:rPr>
        <w:t>” shall mean the number of such Additional Shares of Common Stock issued or deemed issued in such transaction;</w:t>
      </w:r>
    </w:p>
    <w:p>
      <w:pPr>
        <w:spacing w:after="0" w:line="121" w:lineRule="exact"/>
        <w:rPr>
          <w:sz w:val="20"/>
          <w:szCs w:val="20"/>
          <w:color w:val="auto"/>
        </w:rPr>
      </w:pPr>
    </w:p>
    <w:p>
      <w:pPr>
        <w:jc w:val="both"/>
        <w:ind w:left="720" w:right="739" w:firstLine="1514"/>
        <w:spacing w:after="0" w:line="246" w:lineRule="auto"/>
        <w:rPr>
          <w:sz w:val="20"/>
          <w:szCs w:val="20"/>
          <w:color w:val="auto"/>
        </w:rPr>
      </w:pPr>
      <w:r>
        <w:rPr>
          <w:rFonts w:ascii="Times New Roman" w:cs="Times New Roman" w:eastAsia="Times New Roman" w:hAnsi="Times New Roman"/>
          <w:sz w:val="17"/>
          <w:szCs w:val="17"/>
          <w:color w:val="auto"/>
        </w:rPr>
        <w:t xml:space="preserve">4.4.5 Determination of Consideration. For purposes of this </w:t>
      </w:r>
      <w:r>
        <w:rPr>
          <w:rFonts w:ascii="Times New Roman" w:cs="Times New Roman" w:eastAsia="Times New Roman" w:hAnsi="Times New Roman"/>
          <w:sz w:val="17"/>
          <w:szCs w:val="17"/>
          <w:u w:val="single" w:color="auto"/>
          <w:color w:val="auto"/>
        </w:rPr>
        <w:t>Section 4.4</w:t>
      </w:r>
      <w:r>
        <w:rPr>
          <w:rFonts w:ascii="Times New Roman" w:cs="Times New Roman" w:eastAsia="Times New Roman" w:hAnsi="Times New Roman"/>
          <w:sz w:val="17"/>
          <w:szCs w:val="17"/>
          <w:color w:val="auto"/>
        </w:rPr>
        <w:t>, the consideration received by the Corporation for the issue of any Additional Shares of Common Stock shall be computed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1417955</wp:posOffset>
            </wp:positionH>
            <wp:positionV relativeFrom="paragraph">
              <wp:posOffset>-267970</wp:posOffset>
            </wp:positionV>
            <wp:extent cx="1972310" cy="698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972310" cy="6985"/>
                    </a:xfrm>
                    <a:prstGeom prst="rect">
                      <a:avLst/>
                    </a:prstGeom>
                    <a:noFill/>
                  </pic:spPr>
                </pic:pic>
              </a:graphicData>
            </a:graphic>
          </wp:anchor>
        </w:drawing>
      </w:r>
    </w:p>
    <w:p>
      <w:pPr>
        <w:spacing w:after="0" w:line="115" w:lineRule="exact"/>
        <w:rPr>
          <w:sz w:val="20"/>
          <w:szCs w:val="20"/>
          <w:color w:val="auto"/>
        </w:rPr>
      </w:pPr>
    </w:p>
    <w:p>
      <w:pPr>
        <w:ind w:left="3140" w:hanging="402"/>
        <w:spacing w:after="0"/>
        <w:tabs>
          <w:tab w:leader="none" w:pos="3140"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and Property</w:t>
      </w:r>
      <w:r>
        <w:rPr>
          <w:rFonts w:ascii="Times New Roman" w:cs="Times New Roman" w:eastAsia="Times New Roman" w:hAnsi="Times New Roman"/>
          <w:sz w:val="17"/>
          <w:szCs w:val="17"/>
          <w:color w:val="auto"/>
        </w:rPr>
        <w:t>: Such consideration shall:</w:t>
      </w:r>
    </w:p>
    <w:p>
      <w:pPr>
        <w:spacing w:after="0" w:line="161" w:lineRule="exact"/>
        <w:rPr>
          <w:rFonts w:ascii="Times New Roman" w:cs="Times New Roman" w:eastAsia="Times New Roman" w:hAnsi="Times New Roman"/>
          <w:sz w:val="17"/>
          <w:szCs w:val="17"/>
          <w:color w:val="auto"/>
        </w:rPr>
      </w:pPr>
    </w:p>
    <w:p>
      <w:pPr>
        <w:ind w:left="3620" w:hanging="377"/>
        <w:spacing w:after="0"/>
        <w:tabs>
          <w:tab w:leader="none" w:pos="3620" w:val="left"/>
        </w:tabs>
        <w:numPr>
          <w:ilvl w:val="1"/>
          <w:numId w:val="1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insofar as it consists of cash, be computed at the aggregate amount of</w:t>
      </w:r>
    </w:p>
    <w:p>
      <w:pPr>
        <w:spacing w:after="0" w:line="23" w:lineRule="exact"/>
        <w:rPr>
          <w:rFonts w:ascii="Times New Roman" w:cs="Times New Roman" w:eastAsia="Times New Roman" w:hAnsi="Times New Roman"/>
          <w:sz w:val="16"/>
          <w:szCs w:val="16"/>
          <w:color w:val="auto"/>
        </w:rPr>
      </w:pPr>
    </w:p>
    <w:p>
      <w:pPr>
        <w:ind w:left="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cash received by the Corporation, excluding amounts paid or payable for accrued interest;</w:t>
      </w:r>
    </w:p>
    <w:p>
      <w:pPr>
        <w:spacing w:after="0" w:line="143" w:lineRule="exact"/>
        <w:rPr>
          <w:rFonts w:ascii="Times New Roman" w:cs="Times New Roman" w:eastAsia="Times New Roman" w:hAnsi="Times New Roman"/>
          <w:sz w:val="16"/>
          <w:szCs w:val="16"/>
          <w:color w:val="auto"/>
        </w:rPr>
      </w:pPr>
    </w:p>
    <w:p>
      <w:pPr>
        <w:jc w:val="both"/>
        <w:ind w:left="720" w:right="739" w:firstLine="2523"/>
        <w:spacing w:after="0" w:line="246" w:lineRule="auto"/>
        <w:tabs>
          <w:tab w:leader="none" w:pos="3674"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insofar as it consists of property other than cash, be computed at the fair market value thereof at the time of such issue, as determined in good faith by the Board, including a majority of the Preferred Directors then-serving; and</w:t>
      </w:r>
    </w:p>
    <w:p>
      <w:pPr>
        <w:spacing w:after="0" w:line="134" w:lineRule="exact"/>
        <w:rPr>
          <w:rFonts w:ascii="Times New Roman" w:cs="Times New Roman" w:eastAsia="Times New Roman" w:hAnsi="Times New Roman"/>
          <w:sz w:val="17"/>
          <w:szCs w:val="17"/>
          <w:color w:val="auto"/>
        </w:rPr>
      </w:pPr>
    </w:p>
    <w:p>
      <w:pPr>
        <w:jc w:val="both"/>
        <w:ind w:left="720" w:right="739" w:firstLine="2523"/>
        <w:spacing w:after="0" w:line="241" w:lineRule="auto"/>
        <w:tabs>
          <w:tab w:leader="none" w:pos="3904"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Additional Shares of Common Stock are issued together with other shares or securities or other assets of the Corporation for consideration which covers both, be the proportion of such consideration so received, computed as provided in clauses (i) and (ii) above, as determined in good faith by the Board, including a majority of the Preferred Directors then-serving.</w:t>
      </w:r>
    </w:p>
    <w:p>
      <w:pPr>
        <w:spacing w:after="0" w:line="139" w:lineRule="exact"/>
        <w:rPr>
          <w:rFonts w:ascii="Times New Roman" w:cs="Times New Roman" w:eastAsia="Times New Roman" w:hAnsi="Times New Roman"/>
          <w:sz w:val="17"/>
          <w:szCs w:val="17"/>
          <w:color w:val="auto"/>
        </w:rPr>
      </w:pPr>
    </w:p>
    <w:p>
      <w:pPr>
        <w:jc w:val="both"/>
        <w:ind w:left="720" w:right="739" w:firstLine="2018"/>
        <w:spacing w:after="0" w:line="246" w:lineRule="auto"/>
        <w:tabs>
          <w:tab w:leader="none" w:pos="3145" w:val="left"/>
        </w:tabs>
        <w:numPr>
          <w:ilvl w:val="0"/>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Options and Convertible Securities</w:t>
      </w:r>
      <w:r>
        <w:rPr>
          <w:rFonts w:ascii="Times New Roman" w:cs="Times New Roman" w:eastAsia="Times New Roman" w:hAnsi="Times New Roman"/>
          <w:sz w:val="17"/>
          <w:szCs w:val="17"/>
          <w:color w:val="auto"/>
        </w:rPr>
        <w:t xml:space="preserve">. The consideration per share received by the Corporation for Additional Shares of Common Stock deemed to have been issued pursuant to </w:t>
      </w:r>
      <w:r>
        <w:rPr>
          <w:rFonts w:ascii="Times New Roman" w:cs="Times New Roman" w:eastAsia="Times New Roman" w:hAnsi="Times New Roman"/>
          <w:sz w:val="17"/>
          <w:szCs w:val="17"/>
          <w:u w:val="single" w:color="auto"/>
          <w:color w:val="auto"/>
        </w:rPr>
        <w:t>Section 4.4.3</w:t>
      </w:r>
      <w:r>
        <w:rPr>
          <w:rFonts w:ascii="Times New Roman" w:cs="Times New Roman" w:eastAsia="Times New Roman" w:hAnsi="Times New Roman"/>
          <w:sz w:val="17"/>
          <w:szCs w:val="17"/>
          <w:color w:val="auto"/>
        </w:rPr>
        <w:t>, relating to Options and Convertible Securities, shall be determined by dividing:</w:t>
      </w:r>
    </w:p>
    <w:p>
      <w:pPr>
        <w:spacing w:after="0" w:line="134" w:lineRule="exact"/>
        <w:rPr>
          <w:rFonts w:ascii="Times New Roman" w:cs="Times New Roman" w:eastAsia="Times New Roman" w:hAnsi="Times New Roman"/>
          <w:sz w:val="17"/>
          <w:szCs w:val="17"/>
          <w:color w:val="auto"/>
        </w:rPr>
      </w:pPr>
    </w:p>
    <w:p>
      <w:pPr>
        <w:jc w:val="both"/>
        <w:ind w:left="720" w:right="739" w:firstLine="2523"/>
        <w:spacing w:after="0" w:line="237" w:lineRule="auto"/>
        <w:tabs>
          <w:tab w:leader="none" w:pos="3668"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 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41" w:lineRule="exact"/>
        <w:rPr>
          <w:rFonts w:ascii="Times New Roman" w:cs="Times New Roman" w:eastAsia="Times New Roman" w:hAnsi="Times New Roman"/>
          <w:sz w:val="17"/>
          <w:szCs w:val="17"/>
          <w:color w:val="auto"/>
        </w:rPr>
      </w:pPr>
    </w:p>
    <w:p>
      <w:pPr>
        <w:jc w:val="both"/>
        <w:ind w:left="720" w:right="739" w:firstLine="2523"/>
        <w:spacing w:after="0" w:line="239" w:lineRule="auto"/>
        <w:tabs>
          <w:tab w:leader="none" w:pos="3724" w:val="left"/>
        </w:tabs>
        <w:numPr>
          <w:ilvl w:val="1"/>
          <w:numId w:val="1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 or in the case of Options for Convertible Securities, the exercise of such Options for Convertible Securities and the conversion or exchange of such Convertible Securities.</w:t>
      </w:r>
    </w:p>
    <w:p>
      <w:pPr>
        <w:spacing w:after="0" w:line="141" w:lineRule="exact"/>
        <w:rPr>
          <w:sz w:val="20"/>
          <w:szCs w:val="20"/>
          <w:color w:val="auto"/>
        </w:rPr>
      </w:pPr>
    </w:p>
    <w:p>
      <w:pPr>
        <w:jc w:val="both"/>
        <w:ind w:left="720" w:right="739" w:firstLine="1514"/>
        <w:spacing w:after="0" w:line="254" w:lineRule="auto"/>
        <w:rPr>
          <w:sz w:val="20"/>
          <w:szCs w:val="20"/>
          <w:color w:val="auto"/>
        </w:rPr>
      </w:pPr>
      <w:r>
        <w:rPr>
          <w:rFonts w:ascii="Times New Roman" w:cs="Times New Roman" w:eastAsia="Times New Roman" w:hAnsi="Times New Roman"/>
          <w:sz w:val="16"/>
          <w:szCs w:val="16"/>
          <w:u w:val="single" w:color="auto"/>
          <w:color w:val="auto"/>
        </w:rPr>
        <w:t>4.4.6 Multiple Closing Dates</w:t>
      </w:r>
      <w:r>
        <w:rPr>
          <w:rFonts w:ascii="Times New Roman" w:cs="Times New Roman" w:eastAsia="Times New Roman" w:hAnsi="Times New Roman"/>
          <w:sz w:val="16"/>
          <w:szCs w:val="16"/>
          <w:color w:val="auto"/>
        </w:rPr>
        <w:t xml:space="preserve">. In the event the Corporation shall issue on more than one date Additional Shares of Common Stock that are a part of one transaction or a series of related transactions and that would result in an adjustment to the applicable Conversion Price pursuant to the terms of </w:t>
      </w:r>
      <w:r>
        <w:rPr>
          <w:rFonts w:ascii="Times New Roman" w:cs="Times New Roman" w:eastAsia="Times New Roman" w:hAnsi="Times New Roman"/>
          <w:sz w:val="16"/>
          <w:szCs w:val="16"/>
          <w:u w:val="single" w:color="auto"/>
          <w:color w:val="auto"/>
        </w:rPr>
        <w:t>Section 4.4.4</w:t>
      </w:r>
      <w:r>
        <w:rPr>
          <w:rFonts w:ascii="Times New Roman" w:cs="Times New Roman" w:eastAsia="Times New Roman" w:hAnsi="Times New Roman"/>
          <w:sz w:val="16"/>
          <w:szCs w:val="16"/>
          <w:color w:val="auto"/>
        </w:rPr>
        <w:t>, and such issuance dates occur within a period of no more than ninety (90) days from the first such issuance to the final such issuance, then, upon the final such issuance, the applicable Conversion Price shall be readjusted to give effect to all such issuances as if they occurred on the date of the first such issuance (and without giving effect to any additional adjustments as a result of any such subsequent issuances within such period).</w:t>
      </w:r>
    </w:p>
    <w:p>
      <w:pPr>
        <w:spacing w:after="0" w:line="130" w:lineRule="exact"/>
        <w:rPr>
          <w:sz w:val="20"/>
          <w:szCs w:val="20"/>
          <w:color w:val="auto"/>
        </w:rPr>
      </w:pPr>
    </w:p>
    <w:p>
      <w:pPr>
        <w:jc w:val="both"/>
        <w:ind w:left="720" w:right="739" w:firstLine="1009"/>
        <w:spacing w:after="0" w:line="237" w:lineRule="auto"/>
        <w:rPr>
          <w:sz w:val="20"/>
          <w:szCs w:val="20"/>
          <w:color w:val="auto"/>
        </w:rPr>
      </w:pPr>
      <w:r>
        <w:rPr>
          <w:rFonts w:ascii="Times New Roman" w:cs="Times New Roman" w:eastAsia="Times New Roman" w:hAnsi="Times New Roman"/>
          <w:sz w:val="17"/>
          <w:szCs w:val="17"/>
          <w:color w:val="auto"/>
        </w:rPr>
        <w:t>4.5 Adjustment for Stock Splits and Combinations. If the Corporation shall at any time or from time to time after the Series D Original Issue Date effect a subdivision of the outstanding Common Stock, the applicable Conversion Price in effect immediately before that subdivision shall be proportionately decreased so that the number of shares of Common Stock issuable on conversion of each share of such series shall be increased in proportion to such increase in the aggregate number of shares of Common Stock outstanding. If the Corporation shall at any time or from time to time after the Series D Original Issue Date combine the outstanding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357505</wp:posOffset>
            </wp:positionV>
            <wp:extent cx="54857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-744220</wp:posOffset>
            </wp:positionV>
            <wp:extent cx="2390775" cy="698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390775" cy="698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81" w:name="page282"/>
    <w:bookmarkEnd w:id="281"/>
    <w:p>
      <w:pPr>
        <w:jc w:val="both"/>
        <w:ind w:left="720" w:right="739"/>
        <w:spacing w:after="0" w:line="239" w:lineRule="auto"/>
        <w:rPr>
          <w:sz w:val="20"/>
          <w:szCs w:val="20"/>
          <w:color w:val="auto"/>
        </w:rPr>
      </w:pPr>
      <w:r>
        <w:rPr>
          <w:rFonts w:ascii="Times New Roman" w:cs="Times New Roman" w:eastAsia="Times New Roman" w:hAnsi="Times New Roman"/>
          <w:sz w:val="17"/>
          <w:szCs w:val="17"/>
          <w:color w:val="auto"/>
        </w:rPr>
        <w:t xml:space="preserve">Common Stock, the applicable Conversion Price in effect immediately before the combination shall be proportionately increased so that the number of shares of Common Stock issuable on conversion of each share of such series shall be decreased in proportion to such decrease in the aggregate number of shares of Common Stock outstanding. Any adjustment under this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xml:space="preserve"> shall become effective at the close of business on the date the subdivision or combination becomes effective.</w:t>
      </w:r>
    </w:p>
    <w:p>
      <w:pPr>
        <w:spacing w:after="0" w:line="141" w:lineRule="exact"/>
        <w:rPr>
          <w:sz w:val="20"/>
          <w:szCs w:val="20"/>
          <w:color w:val="auto"/>
        </w:rPr>
      </w:pPr>
    </w:p>
    <w:p>
      <w:pPr>
        <w:jc w:val="both"/>
        <w:ind w:left="720" w:right="739" w:firstLine="1009"/>
        <w:spacing w:after="0" w:line="237" w:lineRule="auto"/>
        <w:rPr>
          <w:sz w:val="20"/>
          <w:szCs w:val="20"/>
          <w:color w:val="auto"/>
        </w:rPr>
      </w:pPr>
      <w:r>
        <w:rPr>
          <w:rFonts w:ascii="Times New Roman" w:cs="Times New Roman" w:eastAsia="Times New Roman" w:hAnsi="Times New Roman"/>
          <w:sz w:val="17"/>
          <w:szCs w:val="17"/>
          <w:u w:val="single" w:color="auto"/>
          <w:color w:val="auto"/>
        </w:rPr>
        <w:t>4.6 Adjustment for Certain Dividends and Distributions</w:t>
      </w:r>
      <w:r>
        <w:rPr>
          <w:rFonts w:ascii="Times New Roman" w:cs="Times New Roman" w:eastAsia="Times New Roman" w:hAnsi="Times New Roman"/>
          <w:sz w:val="17"/>
          <w:szCs w:val="17"/>
          <w:color w:val="auto"/>
        </w:rPr>
        <w:t>. In the event the Corporation at any time or from time to time after the Series D Original Issue Date shall make or issue, or fix a record date for the determination of holders of Common Stock entitled to receive, a dividend or other distribution payable on the Common Stock in additional shares of Common Stock, then and in each such event the applicable Conversion Price in effect immediately before such event shall be decreased as of the time of such issuance or, in the event such a record date shall have been fixed, as of the close of business on such record date, by multiplying the applicable Conversion Price then in effect by a fraction:</w:t>
      </w:r>
    </w:p>
    <w:p>
      <w:pPr>
        <w:spacing w:after="0" w:line="141" w:lineRule="exact"/>
        <w:rPr>
          <w:sz w:val="20"/>
          <w:szCs w:val="20"/>
          <w:color w:val="auto"/>
        </w:rPr>
      </w:pPr>
    </w:p>
    <w:p>
      <w:pPr>
        <w:jc w:val="both"/>
        <w:ind w:left="720" w:right="739" w:firstLine="1513"/>
        <w:spacing w:after="0" w:line="246" w:lineRule="auto"/>
        <w:tabs>
          <w:tab w:leader="none" w:pos="2763"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total number of shares of Common Stock issued and outstanding immediately prior to the time of such issuance or the close of business on such record date, and</w:t>
      </w:r>
    </w:p>
    <w:p>
      <w:pPr>
        <w:spacing w:after="0" w:line="134" w:lineRule="exact"/>
        <w:rPr>
          <w:rFonts w:ascii="Times New Roman" w:cs="Times New Roman" w:eastAsia="Times New Roman" w:hAnsi="Times New Roman"/>
          <w:sz w:val="17"/>
          <w:szCs w:val="17"/>
          <w:color w:val="auto"/>
        </w:rPr>
      </w:pPr>
    </w:p>
    <w:p>
      <w:pPr>
        <w:jc w:val="both"/>
        <w:ind w:left="720" w:right="739" w:firstLine="1513"/>
        <w:spacing w:after="0" w:line="246" w:lineRule="auto"/>
        <w:tabs>
          <w:tab w:leader="none" w:pos="2719"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total number of shares of Common Stock issued and outstanding immediately prior to the time of such issuance or the close of business on such record date plus the number of shares of Common Stock issuable in payment of such dividend or distribution.</w:t>
      </w:r>
    </w:p>
    <w:p>
      <w:pPr>
        <w:spacing w:after="0" w:line="135" w:lineRule="exact"/>
        <w:rPr>
          <w:sz w:val="20"/>
          <w:szCs w:val="20"/>
          <w:color w:val="auto"/>
        </w:rPr>
      </w:pPr>
    </w:p>
    <w:p>
      <w:pPr>
        <w:jc w:val="both"/>
        <w:ind w:left="720" w:right="739" w:firstLine="505"/>
        <w:spacing w:after="0" w:line="236" w:lineRule="auto"/>
        <w:rPr>
          <w:sz w:val="20"/>
          <w:szCs w:val="20"/>
          <w:color w:val="auto"/>
        </w:rPr>
      </w:pPr>
      <w:r>
        <w:rPr>
          <w:rFonts w:ascii="Times New Roman" w:cs="Times New Roman" w:eastAsia="Times New Roman" w:hAnsi="Times New Roman"/>
          <w:sz w:val="17"/>
          <w:szCs w:val="17"/>
          <w:color w:val="auto"/>
        </w:rPr>
        <w:t xml:space="preserve">Notwithstanding the foregoing (a) if such record date shall have been fixed and such dividend is not fully paid or if such distribution is not fully made on the date fixed therefor, the applicable Conversion Price shall be recomputed accordingly as of the close of business on such record date and thereafter the applicable Conversion Price shall be adjusted pursuant to this </w:t>
      </w:r>
      <w:r>
        <w:rPr>
          <w:rFonts w:ascii="Times New Roman" w:cs="Times New Roman" w:eastAsia="Times New Roman" w:hAnsi="Times New Roman"/>
          <w:sz w:val="17"/>
          <w:szCs w:val="17"/>
          <w:u w:val="single" w:color="auto"/>
          <w:color w:val="auto"/>
        </w:rPr>
        <w:t>Section 4,6</w:t>
      </w:r>
      <w:r>
        <w:rPr>
          <w:rFonts w:ascii="Times New Roman" w:cs="Times New Roman" w:eastAsia="Times New Roman" w:hAnsi="Times New Roman"/>
          <w:sz w:val="17"/>
          <w:szCs w:val="17"/>
          <w:color w:val="auto"/>
        </w:rPr>
        <w:t xml:space="preserve"> as of the time of actual payment of such dividends or distributions; and (b) that no such adjustment shall be made if the holders of Preferred Stock simultaneously receive a dividend or other distribution of shares of Common Stock in a number equal to the number of shares of Common Stock as they would have received if all outstanding shares of Preferred Stock had been converted into Common Stock on the date of such event.</w:t>
      </w:r>
    </w:p>
    <w:p>
      <w:pPr>
        <w:spacing w:after="0" w:line="144" w:lineRule="exact"/>
        <w:rPr>
          <w:sz w:val="20"/>
          <w:szCs w:val="20"/>
          <w:color w:val="auto"/>
        </w:rPr>
      </w:pPr>
    </w:p>
    <w:p>
      <w:pPr>
        <w:jc w:val="both"/>
        <w:ind w:left="720" w:right="739" w:firstLine="1009"/>
        <w:spacing w:after="0" w:line="236" w:lineRule="auto"/>
        <w:rPr>
          <w:sz w:val="20"/>
          <w:szCs w:val="20"/>
          <w:color w:val="auto"/>
        </w:rPr>
      </w:pPr>
      <w:r>
        <w:rPr>
          <w:rFonts w:ascii="Times New Roman" w:cs="Times New Roman" w:eastAsia="Times New Roman" w:hAnsi="Times New Roman"/>
          <w:sz w:val="17"/>
          <w:szCs w:val="17"/>
          <w:u w:val="single" w:color="auto"/>
          <w:color w:val="auto"/>
        </w:rPr>
        <w:t>4.7 Adjustments for Other Dividends and Distributions</w:t>
      </w:r>
      <w:r>
        <w:rPr>
          <w:rFonts w:ascii="Times New Roman" w:cs="Times New Roman" w:eastAsia="Times New Roman" w:hAnsi="Times New Roman"/>
          <w:sz w:val="17"/>
          <w:szCs w:val="17"/>
          <w:color w:val="auto"/>
        </w:rPr>
        <w:t xml:space="preserve">. In the event the Corporation at any time or from time to time after the Series D Original Issue Date shall make or issue, or fix a record date for the determination of holders of Common Stock entitled to receive, a dividend or other distribution payable in securities of the Corporation (other than a distribution of shares of Common Stock in respect of outstanding shares of Common Stock) or in other property and the provisions of </w:t>
      </w:r>
      <w:r>
        <w:rPr>
          <w:rFonts w:ascii="Times New Roman" w:cs="Times New Roman" w:eastAsia="Times New Roman" w:hAnsi="Times New Roman"/>
          <w:sz w:val="17"/>
          <w:szCs w:val="17"/>
          <w:u w:val="single" w:color="auto"/>
          <w:color w:val="auto"/>
        </w:rPr>
        <w:t>Section 1</w:t>
      </w:r>
      <w:r>
        <w:rPr>
          <w:rFonts w:ascii="Times New Roman" w:cs="Times New Roman" w:eastAsia="Times New Roman" w:hAnsi="Times New Roman"/>
          <w:sz w:val="17"/>
          <w:szCs w:val="17"/>
          <w:color w:val="auto"/>
        </w:rPr>
        <w:t xml:space="preserve"> do not apply to such dividend or distribution, then and in each such event the holders of Preferred Stock shall receive, simultaneously with the distribution to the holders of Common Stock, a dividend or other distribution of such securities or other property in an amount equal to the amount of such securities or other property as they would have received if all outstanding shares of Preferred Stock had been converted into Common Stock on the date of such event.</w:t>
      </w:r>
    </w:p>
    <w:p>
      <w:pPr>
        <w:spacing w:after="0" w:line="141" w:lineRule="exact"/>
        <w:rPr>
          <w:sz w:val="20"/>
          <w:szCs w:val="20"/>
          <w:color w:val="auto"/>
        </w:rPr>
      </w:pPr>
    </w:p>
    <w:p>
      <w:pPr>
        <w:jc w:val="both"/>
        <w:ind w:left="720" w:right="739" w:firstLine="1009"/>
        <w:spacing w:after="0" w:line="235" w:lineRule="auto"/>
        <w:rPr>
          <w:sz w:val="20"/>
          <w:szCs w:val="20"/>
          <w:color w:val="auto"/>
        </w:rPr>
      </w:pPr>
      <w:r>
        <w:rPr>
          <w:rFonts w:ascii="Times New Roman" w:cs="Times New Roman" w:eastAsia="Times New Roman" w:hAnsi="Times New Roman"/>
          <w:sz w:val="17"/>
          <w:szCs w:val="17"/>
          <w:u w:val="single" w:color="auto"/>
          <w:color w:val="auto"/>
        </w:rPr>
        <w:t>4.8 Adjustment for Merger or Reorganization, etc</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 2.4</w:t>
      </w:r>
      <w:r>
        <w:rPr>
          <w:rFonts w:ascii="Times New Roman" w:cs="Times New Roman" w:eastAsia="Times New Roman" w:hAnsi="Times New Roman"/>
          <w:sz w:val="17"/>
          <w:szCs w:val="17"/>
          <w:color w:val="auto"/>
        </w:rPr>
        <w:t xml:space="preserve">, if there shall occur any reorganization, recapitalization, reclassification, consolidation, merger or statutory conversion involving the Corporation in which the Common Stock (but not the Preferred Stock) is converted into or exchanged for securities, cash or other property (other than a transaction covered by </w:t>
      </w:r>
      <w:r>
        <w:rPr>
          <w:rFonts w:ascii="Times New Roman" w:cs="Times New Roman" w:eastAsia="Times New Roman" w:hAnsi="Times New Roman"/>
          <w:sz w:val="17"/>
          <w:szCs w:val="17"/>
          <w:u w:val="single" w:color="auto"/>
          <w:color w:val="auto"/>
        </w:rPr>
        <w:t>Sections 4.4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4.6</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4.7)</w:t>
      </w:r>
      <w:r>
        <w:rPr>
          <w:rFonts w:ascii="Times New Roman" w:cs="Times New Roman" w:eastAsia="Times New Roman" w:hAnsi="Times New Roman"/>
          <w:sz w:val="17"/>
          <w:szCs w:val="17"/>
          <w:color w:val="auto"/>
        </w:rPr>
        <w:t xml:space="preserve">, then, following any such reorganization, recapitalization, reclassification, consolidation, merger or statutory conversion, each share of Preferred Stock shall thereafter be convertible in lieu of the Common Stock into which it was convertible prior to such event into the kind and amount of securities, cash or other property which a holder of the number of shares of Common Stock of the Corporation issuable upon conversion of one share of such series of Preferred Stock immediately prior to such reorganization, recapitalization, reclassification, consolidation, merger or statutory conversion would have been entitled to receive pursuant to such transaction; and, in such case, appropriate adjustment (as determined in good faith by the Board) shall be made in the application of the provisions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with respect to the rights and interests thereafter of the holders of the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356235</wp:posOffset>
            </wp:positionV>
            <wp:extent cx="548576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82" w:name="page283"/>
    <w:bookmarkEnd w:id="282"/>
    <w:p>
      <w:pPr>
        <w:jc w:val="both"/>
        <w:ind w:left="720" w:right="739"/>
        <w:spacing w:after="0" w:line="236" w:lineRule="auto"/>
        <w:rPr>
          <w:sz w:val="20"/>
          <w:szCs w:val="20"/>
          <w:color w:val="auto"/>
        </w:rPr>
      </w:pPr>
      <w:r>
        <w:rPr>
          <w:rFonts w:ascii="Times New Roman" w:cs="Times New Roman" w:eastAsia="Times New Roman" w:hAnsi="Times New Roman"/>
          <w:sz w:val="17"/>
          <w:szCs w:val="17"/>
          <w:color w:val="auto"/>
        </w:rPr>
        <w:t xml:space="preserve">to the end that the provisions set forth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(including provisions with respect to changes in and other adjustments of the applicable Conversion Price) shall thereafter be applicable, as nearly as reasonably may be, in relation to any securities or other property thereafter deliverable upon the conversion of the Preferred Stock. For the avoidance of doubt, nothing in this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shall be construed as preventing the holders of Preferred Stock from seeking any appraisal rights to which they are otherwise entitled under the General Corporation Law in connection with a merger or statutory conversion triggering an adjustment hereunder, nor shall this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be deemed conclusive evidence of the fair value of the shares of Preferred Stock in any such appraisal proceeding.</w:t>
      </w:r>
    </w:p>
    <w:p>
      <w:pPr>
        <w:spacing w:after="0" w:line="144" w:lineRule="exact"/>
        <w:rPr>
          <w:sz w:val="20"/>
          <w:szCs w:val="20"/>
          <w:color w:val="auto"/>
        </w:rPr>
      </w:pPr>
    </w:p>
    <w:p>
      <w:pPr>
        <w:jc w:val="both"/>
        <w:ind w:left="720" w:right="739" w:firstLine="1009"/>
        <w:spacing w:after="0" w:line="235" w:lineRule="auto"/>
        <w:rPr>
          <w:sz w:val="20"/>
          <w:szCs w:val="20"/>
          <w:color w:val="auto"/>
        </w:rPr>
      </w:pPr>
      <w:r>
        <w:rPr>
          <w:rFonts w:ascii="Times New Roman" w:cs="Times New Roman" w:eastAsia="Times New Roman" w:hAnsi="Times New Roman"/>
          <w:sz w:val="17"/>
          <w:szCs w:val="17"/>
          <w:u w:val="single" w:color="auto"/>
          <w:color w:val="auto"/>
        </w:rPr>
        <w:t>4.9 Certificate as to Adjustments</w:t>
      </w:r>
      <w:r>
        <w:rPr>
          <w:rFonts w:ascii="Times New Roman" w:cs="Times New Roman" w:eastAsia="Times New Roman" w:hAnsi="Times New Roman"/>
          <w:sz w:val="17"/>
          <w:szCs w:val="17"/>
          <w:color w:val="auto"/>
        </w:rPr>
        <w:t xml:space="preserve">. Upon the occurrence of each adjustment or readjustment of the applicable Conversion Price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the Corporation at its expense shall, as promptly as reasonably practicable (but in any event not later than twenty (20) days thereafter), compute such adjustment or readjustment in accordance with the terms hereof and furnish to each holder of Preferred Stock a certificate setting forth such adjustment or readjustment (including the kind and amount of securities, cash or other property into which each series of Preferred Stock is convertible) and showing in detail the facts upon which such adjustment or readjustment is based. The Corporation shall, as promptly as reasonably practicable after the written request at any time of any holder of Preferred Stock (but in any event not later than twenty (20) days thereafter), furnish or cause to be furnished to such holder a certificate setting forth (i) the applicable Conversion Price(s) then in effect, and (ii) the number of shares of Common Stock and the amount, if any, of other securities, cash or property which then would be received upon the conversion of Preferred Stock.</w:t>
      </w:r>
    </w:p>
    <w:p>
      <w:pPr>
        <w:spacing w:after="0" w:line="144" w:lineRule="exact"/>
        <w:rPr>
          <w:sz w:val="20"/>
          <w:szCs w:val="20"/>
          <w:color w:val="auto"/>
        </w:rPr>
      </w:pPr>
    </w:p>
    <w:p>
      <w:pPr>
        <w:ind w:left="1720"/>
        <w:spacing w:after="0"/>
        <w:tabs>
          <w:tab w:leader="none" w:pos="2220" w:val="left"/>
        </w:tabs>
        <w:rPr>
          <w:sz w:val="20"/>
          <w:szCs w:val="20"/>
          <w:color w:val="auto"/>
        </w:rPr>
      </w:pPr>
      <w:r>
        <w:rPr>
          <w:rFonts w:ascii="Times New Roman" w:cs="Times New Roman" w:eastAsia="Times New Roman" w:hAnsi="Times New Roman"/>
          <w:sz w:val="17"/>
          <w:szCs w:val="17"/>
          <w:u w:val="single" w:color="auto"/>
          <w:color w:val="auto"/>
        </w:rPr>
        <w:t>4.10</w:t>
      </w:r>
      <w:r>
        <w:rPr>
          <w:sz w:val="20"/>
          <w:szCs w:val="20"/>
          <w:color w:val="auto"/>
        </w:rPr>
        <w:tab/>
      </w:r>
      <w:r>
        <w:rPr>
          <w:rFonts w:ascii="Times New Roman" w:cs="Times New Roman" w:eastAsia="Times New Roman" w:hAnsi="Times New Roman"/>
          <w:sz w:val="16"/>
          <w:szCs w:val="16"/>
          <w:u w:val="single" w:color="auto"/>
          <w:color w:val="auto"/>
        </w:rPr>
        <w:t>Notice of Record Date</w:t>
      </w:r>
      <w:r>
        <w:rPr>
          <w:rFonts w:ascii="Times New Roman" w:cs="Times New Roman" w:eastAsia="Times New Roman" w:hAnsi="Times New Roman"/>
          <w:sz w:val="16"/>
          <w:szCs w:val="16"/>
          <w:color w:val="auto"/>
        </w:rPr>
        <w:t>. In the event:</w:t>
      </w:r>
    </w:p>
    <w:p>
      <w:pPr>
        <w:spacing w:after="0" w:line="162" w:lineRule="exact"/>
        <w:rPr>
          <w:sz w:val="20"/>
          <w:szCs w:val="20"/>
          <w:color w:val="auto"/>
        </w:rPr>
      </w:pPr>
    </w:p>
    <w:p>
      <w:pPr>
        <w:jc w:val="both"/>
        <w:ind w:left="2440" w:right="739" w:hanging="5"/>
        <w:spacing w:after="0" w:line="239" w:lineRule="auto"/>
        <w:tabs>
          <w:tab w:leader="none" w:pos="2851"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take a record of the holders of its Common Stock (or other capital stock or securities at the time issuable upon conversion of the Preferred Stock) for the purpose of entitling or enabling them to receive any dividend or other distribution, or to receive any right to subscribe for or purchase any shares of capital stock of any class or any other securities, or to receive any other security; or</w:t>
      </w:r>
    </w:p>
    <w:p>
      <w:pPr>
        <w:spacing w:after="0" w:line="140" w:lineRule="exact"/>
        <w:rPr>
          <w:rFonts w:ascii="Times New Roman" w:cs="Times New Roman" w:eastAsia="Times New Roman" w:hAnsi="Times New Roman"/>
          <w:sz w:val="17"/>
          <w:szCs w:val="17"/>
          <w:color w:val="auto"/>
        </w:rPr>
      </w:pPr>
    </w:p>
    <w:p>
      <w:pPr>
        <w:ind w:left="2440" w:right="739" w:hanging="5"/>
        <w:spacing w:after="0" w:line="259" w:lineRule="auto"/>
        <w:tabs>
          <w:tab w:leader="none" w:pos="2983"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capital reorganization of the Corporation, any reclassification of the Common Stock of the Corporation, or any Deemed Liquidation Event; or</w:t>
      </w:r>
    </w:p>
    <w:p>
      <w:pPr>
        <w:spacing w:after="0" w:line="124" w:lineRule="exact"/>
        <w:rPr>
          <w:rFonts w:ascii="Times New Roman" w:cs="Times New Roman" w:eastAsia="Times New Roman" w:hAnsi="Times New Roman"/>
          <w:sz w:val="17"/>
          <w:szCs w:val="17"/>
          <w:color w:val="auto"/>
        </w:rPr>
      </w:pPr>
    </w:p>
    <w:p>
      <w:pPr>
        <w:ind w:left="2440" w:right="739" w:hanging="5"/>
        <w:spacing w:after="0" w:line="259" w:lineRule="auto"/>
        <w:tabs>
          <w:tab w:leader="none" w:pos="2952"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voluntary or involuntary dissolution, liquidation or winding up of the Corporation,</w:t>
      </w:r>
    </w:p>
    <w:p>
      <w:pPr>
        <w:spacing w:after="0" w:line="125" w:lineRule="exact"/>
        <w:rPr>
          <w:sz w:val="20"/>
          <w:szCs w:val="20"/>
          <w:color w:val="auto"/>
        </w:rPr>
      </w:pPr>
    </w:p>
    <w:p>
      <w:pPr>
        <w:jc w:val="both"/>
        <w:ind w:left="720" w:right="739" w:firstLine="505"/>
        <w:spacing w:after="0" w:line="235" w:lineRule="auto"/>
        <w:rPr>
          <w:sz w:val="20"/>
          <w:szCs w:val="20"/>
          <w:color w:val="auto"/>
        </w:rPr>
      </w:pPr>
      <w:r>
        <w:rPr>
          <w:rFonts w:ascii="Times New Roman" w:cs="Times New Roman" w:eastAsia="Times New Roman" w:hAnsi="Times New Roman"/>
          <w:sz w:val="17"/>
          <w:szCs w:val="17"/>
          <w:color w:val="auto"/>
        </w:rPr>
        <w:t xml:space="preserve">then, and in each such case, the Corporation will send or cause to be sent to the holders of the Preferred Stock a notice specifying, as the case may be, (i) the record date for such dividend, distribution or right, and the amount and character of such dividend, distribution or right, or (ii) the effective date on which such reorganization, reclassification, consolidation, merger, transfer, dissolution, liquidation or winding up is proposed to take place, and the time, if any is to be fixed, as of which the holders of record of Common Stock (or such other capital stock or securities at the time issuable upon the conversion of the Preferred Stock) shall be entitled to exchange their shares of Common Stock (or such other capital stock or securities) for securities or other property deliverable upon such reorganization, reclassification, consolidation, merger, transfer, dissolution, liquidation or winding up, and the amount per share and character of such exchange applicable to the Preferred Stock and the Common Stock. Such notice shall be sent at least ten (10) days prior to the record date or effective date for the event specified in such notice;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either case, such notice may be shortened and/or notice may be waived upon the Corporation’s receipt of written consent of the Requisite Holders.</w:t>
      </w:r>
    </w:p>
    <w:p>
      <w:pPr>
        <w:spacing w:after="0" w:line="140" w:lineRule="exact"/>
        <w:rPr>
          <w:sz w:val="20"/>
          <w:szCs w:val="20"/>
          <w:color w:val="auto"/>
        </w:rPr>
      </w:pPr>
    </w:p>
    <w:p>
      <w:pPr>
        <w:ind w:left="1560" w:hanging="336"/>
        <w:spacing w:after="0"/>
        <w:tabs>
          <w:tab w:leader="none" w:pos="1560" w:val="left"/>
        </w:tabs>
        <w:numPr>
          <w:ilvl w:val="0"/>
          <w:numId w:val="190"/>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Mandatory Conversion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20" w:right="739" w:firstLine="1009"/>
        <w:spacing w:after="0" w:line="239" w:lineRule="auto"/>
        <w:rPr>
          <w:sz w:val="20"/>
          <w:szCs w:val="20"/>
          <w:color w:val="auto"/>
        </w:rPr>
      </w:pPr>
      <w:r>
        <w:rPr>
          <w:rFonts w:ascii="Times New Roman" w:cs="Times New Roman" w:eastAsia="Times New Roman" w:hAnsi="Times New Roman"/>
          <w:sz w:val="17"/>
          <w:szCs w:val="17"/>
          <w:u w:val="single" w:color="auto"/>
          <w:color w:val="auto"/>
        </w:rPr>
        <w:t>5.1 Trigger Events</w:t>
      </w:r>
      <w:r>
        <w:rPr>
          <w:rFonts w:ascii="Times New Roman" w:cs="Times New Roman" w:eastAsia="Times New Roman" w:hAnsi="Times New Roman"/>
          <w:sz w:val="17"/>
          <w:szCs w:val="17"/>
          <w:color w:val="auto"/>
        </w:rPr>
        <w:t>. Upon either (a) the closing of the sale of shares of Common Stock to the public at a price at least equal to $2,39 per share (subject to appropriate adjustment in the event of any stock dividend, stock split, combination or other similar recapitalization with respect to the Common Stock) in a firm-commitment underwritten public offering pursuant to an effective registration statement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356870</wp:posOffset>
            </wp:positionV>
            <wp:extent cx="54857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83" w:name="page284"/>
    <w:bookmarkEnd w:id="283"/>
    <w:p>
      <w:pPr>
        <w:jc w:val="both"/>
        <w:ind w:left="720" w:right="739"/>
        <w:spacing w:after="0" w:line="235" w:lineRule="auto"/>
        <w:rPr>
          <w:sz w:val="20"/>
          <w:szCs w:val="20"/>
          <w:color w:val="auto"/>
        </w:rPr>
      </w:pPr>
      <w:r>
        <w:rPr>
          <w:rFonts w:ascii="Times New Roman" w:cs="Times New Roman" w:eastAsia="Times New Roman" w:hAnsi="Times New Roman"/>
          <w:sz w:val="17"/>
          <w:szCs w:val="17"/>
          <w:color w:val="auto"/>
        </w:rPr>
        <w:t>of 1933, as amended, resulting in at least $50,000,000 of net proceeds to the Corporation and in connection with such offering the shares of Common Stock are listed for trading on the Nasdaq Stock Market, the New York Stock Exchange or another exchange or marketplace approved by the Board (a “</w:t>
      </w:r>
      <w:r>
        <w:rPr>
          <w:rFonts w:ascii="Times New Roman" w:cs="Times New Roman" w:eastAsia="Times New Roman" w:hAnsi="Times New Roman"/>
          <w:sz w:val="17"/>
          <w:szCs w:val="17"/>
          <w:b w:val="1"/>
          <w:bCs w:val="1"/>
          <w:color w:val="auto"/>
        </w:rPr>
        <w:t>Qualified IPO</w:t>
      </w:r>
      <w:r>
        <w:rPr>
          <w:rFonts w:ascii="Times New Roman" w:cs="Times New Roman" w:eastAsia="Times New Roman" w:hAnsi="Times New Roman"/>
          <w:sz w:val="17"/>
          <w:szCs w:val="17"/>
          <w:color w:val="auto"/>
        </w:rPr>
        <w:t xml:space="preserve">”) or (b) the date and time, or the occurrence of an event, specified by vote or written consent of (i) the Requisite Holders and (ii) the holders of at least a majority of the then- outstanding shares of Series C Preferred Stock and Series D Preferred Stock, voting together on an as-converted basis (the time of such closing or the date and time specified or the time of the event specified in such vote or written consent is referred to herein as the </w:t>
      </w:r>
      <w:r>
        <w:rPr>
          <w:rFonts w:ascii="Times New Roman" w:cs="Times New Roman" w:eastAsia="Times New Roman" w:hAnsi="Times New Roman"/>
          <w:sz w:val="17"/>
          <w:szCs w:val="17"/>
          <w:b w:val="1"/>
          <w:bCs w:val="1"/>
          <w:color w:val="auto"/>
        </w:rPr>
        <w:t>“Mandatory Conversion Time</w:t>
      </w:r>
      <w:r>
        <w:rPr>
          <w:rFonts w:ascii="Times New Roman" w:cs="Times New Roman" w:eastAsia="Times New Roman" w:hAnsi="Times New Roman"/>
          <w:sz w:val="17"/>
          <w:szCs w:val="17"/>
          <w:color w:val="auto"/>
        </w:rPr>
        <w:t>”), then (A) all outstanding shares of Preferred Stock shall automatically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converted into shares of Common Stock, at the then effective conversion rate as calculated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4.1.1</w:t>
      </w:r>
      <w:r>
        <w:rPr>
          <w:rFonts w:ascii="Times New Roman" w:cs="Times New Roman" w:eastAsia="Times New Roman" w:hAnsi="Times New Roman"/>
          <w:sz w:val="17"/>
          <w:szCs w:val="17"/>
          <w:color w:val="auto"/>
        </w:rPr>
        <w:t xml:space="preserve"> and (B) such shares may not be reissued by the Corporation.</w:t>
      </w:r>
    </w:p>
    <w:p>
      <w:pPr>
        <w:spacing w:after="0" w:line="146" w:lineRule="exact"/>
        <w:rPr>
          <w:sz w:val="20"/>
          <w:szCs w:val="20"/>
          <w:color w:val="auto"/>
        </w:rPr>
      </w:pPr>
    </w:p>
    <w:p>
      <w:pPr>
        <w:jc w:val="both"/>
        <w:ind w:left="720" w:right="739" w:firstLine="1009"/>
        <w:spacing w:after="0" w:line="233" w:lineRule="auto"/>
        <w:rPr>
          <w:sz w:val="20"/>
          <w:szCs w:val="20"/>
          <w:color w:val="auto"/>
        </w:rPr>
      </w:pPr>
      <w:r>
        <w:rPr>
          <w:rFonts w:ascii="Times New Roman" w:cs="Times New Roman" w:eastAsia="Times New Roman" w:hAnsi="Times New Roman"/>
          <w:sz w:val="17"/>
          <w:szCs w:val="17"/>
          <w:u w:val="single" w:color="auto"/>
          <w:color w:val="auto"/>
        </w:rPr>
        <w:t>5.2 Procedural Requirements</w:t>
      </w:r>
      <w:r>
        <w:rPr>
          <w:rFonts w:ascii="Times New Roman" w:cs="Times New Roman" w:eastAsia="Times New Roman" w:hAnsi="Times New Roman"/>
          <w:sz w:val="17"/>
          <w:szCs w:val="17"/>
          <w:color w:val="auto"/>
        </w:rPr>
        <w:t xml:space="preserve">. All holders of record of shares of Preferred Stock shall be sent written notice of the Mandatory Conversion Time and the place designated for mandatory conversion of all such shares of Preferred Stock pursuant to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Such notice need not be sent in advance of the occurrence of the Mandatory Conversion Time, Upon receipt of such notice, each holder of shares of Preferred Stock in certificated form shall surrender his, her or its certificate or certificates for all such shares (or, if such holder alleges that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w:t>
      </w:r>
      <w:r>
        <w:rPr>
          <w:rFonts w:ascii="Times New Roman" w:cs="Times New Roman" w:eastAsia="Times New Roman" w:hAnsi="Times New Roman"/>
          <w:sz w:val="17"/>
          <w:szCs w:val="17"/>
          <w:u w:val="single" w:color="auto"/>
          <w:color w:val="auto"/>
        </w:rPr>
        <w:t>Section 5.1</w:t>
      </w:r>
      <w:r>
        <w:rPr>
          <w:rFonts w:ascii="Times New Roman" w:cs="Times New Roman" w:eastAsia="Times New Roman" w:hAnsi="Times New Roman"/>
          <w:sz w:val="17"/>
          <w:szCs w:val="17"/>
          <w:color w:val="auto"/>
        </w:rPr>
        <w:t xml:space="preserve">, including the rights, if any, to receive notices and vote (other than as a holder of Common Stock), will terminate at the Mandatory Conversion Time (notwithstanding the failure of the holder or holders thereof to surrender any certificates at or prior to such time), except only the rights of the holders thereof, upon surrender of any certificate or certificates of such holders (or lost certificate affidavit and agreement) therefor, to receive the items provided for in the next sentence of this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As soon as practicable after the Mandatory Conversion Time and, if applicable, the surrender of any certificate or certificates (or lost certificate affidavit and agreement) for the Preferred Stock, the Corporation shall (a) issue and deliver to such holder, or to his, her or its nominees, a certificate or certificates for the number of full shares of Common Stock issuable on such conversion in accordance with the provisions hereof and (b) pay cash as provided in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xml:space="preserve"> in lieu of any fraction of a share of Common Stock otherwise issuable upon such conversion and the payment of any declared but unpaid dividends on the shares of Preferred Stock converted. Such converted Preferred Stock shall be retired and cancelled and may not be reissued as shares of such series, and the Corporation may thereafter take such appropriate action (without the need for stockholder action) as may be necessary to reduce the authorized number of shares of Preferred Stock accordingly.</w:t>
      </w:r>
    </w:p>
    <w:p>
      <w:pPr>
        <w:spacing w:after="0" w:line="154" w:lineRule="exact"/>
        <w:rPr>
          <w:sz w:val="20"/>
          <w:szCs w:val="20"/>
          <w:color w:val="auto"/>
        </w:rPr>
      </w:pPr>
    </w:p>
    <w:p>
      <w:pPr>
        <w:ind w:left="1220"/>
        <w:spacing w:after="0"/>
        <w:tabs>
          <w:tab w:leader="none" w:pos="1660" w:val="left"/>
        </w:tabs>
        <w:rPr>
          <w:sz w:val="20"/>
          <w:szCs w:val="20"/>
          <w:color w:val="auto"/>
        </w:rPr>
      </w:pPr>
      <w:r>
        <w:rPr>
          <w:rFonts w:ascii="Times New Roman" w:cs="Times New Roman" w:eastAsia="Times New Roman" w:hAnsi="Times New Roman"/>
          <w:sz w:val="17"/>
          <w:szCs w:val="17"/>
          <w:u w:val="single" w:color="auto"/>
          <w:color w:val="auto"/>
        </w:rPr>
        <w:t>5.A</w:t>
      </w:r>
      <w:r>
        <w:rPr>
          <w:sz w:val="20"/>
          <w:szCs w:val="20"/>
          <w:color w:val="auto"/>
        </w:rPr>
        <w:tab/>
      </w:r>
      <w:r>
        <w:rPr>
          <w:rFonts w:ascii="Times New Roman" w:cs="Times New Roman" w:eastAsia="Times New Roman" w:hAnsi="Times New Roman"/>
          <w:sz w:val="16"/>
          <w:szCs w:val="16"/>
          <w:u w:val="single" w:color="auto"/>
          <w:color w:val="auto"/>
        </w:rPr>
        <w:t>Special Mandatory Conversion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720" w:right="739" w:firstLine="1009"/>
        <w:spacing w:after="0" w:line="234" w:lineRule="auto"/>
        <w:rPr>
          <w:sz w:val="20"/>
          <w:szCs w:val="20"/>
          <w:color w:val="auto"/>
        </w:rPr>
      </w:pPr>
      <w:r>
        <w:rPr>
          <w:rFonts w:ascii="Times New Roman" w:cs="Times New Roman" w:eastAsia="Times New Roman" w:hAnsi="Times New Roman"/>
          <w:sz w:val="17"/>
          <w:szCs w:val="17"/>
          <w:color w:val="auto"/>
        </w:rPr>
        <w:t xml:space="preserve">5.A.1 . </w:t>
      </w:r>
      <w:r>
        <w:rPr>
          <w:rFonts w:ascii="Times New Roman" w:cs="Times New Roman" w:eastAsia="Times New Roman" w:hAnsi="Times New Roman"/>
          <w:sz w:val="17"/>
          <w:szCs w:val="17"/>
          <w:u w:val="single" w:color="auto"/>
          <w:color w:val="auto"/>
        </w:rPr>
        <w:t>Trigger Event</w:t>
      </w:r>
      <w:r>
        <w:rPr>
          <w:rFonts w:ascii="Times New Roman" w:cs="Times New Roman" w:eastAsia="Times New Roman" w:hAnsi="Times New Roman"/>
          <w:sz w:val="17"/>
          <w:szCs w:val="17"/>
          <w:color w:val="auto"/>
        </w:rPr>
        <w:t>. In the event that any holder of shares of Preferred Stock, determined as of immediately prior to the Series D Original Issue Date, or its Affiliates (as defined below) does not participate in a Qualified Financing (as defined below) by purchasing in the aggregate, in such Qualified Financing and on or by the Additional Closing Outside Date or within the time period specified by the Corporation (provided that, the Corporation has sent to each holder of Preferred Stock at least 10 days written notice of, and the opportunity to purchase its Pro Rata Amount (as defined below) of, the Qualified Financing), such holder’s Pro Rata Amount, then the Applicable Portion (as defined below) of the shares of Preferred Stock held by such holder and its Affiliates shall automatically, and without any further action on the part of such holder and its Affiliates, be converted into shares of Common Stock on a five-to-one basis whereby each five (5) shares of Preferred Stock held by such holder immediately prior to the Additional Closing Outside Date (as defined in the Series D Purchase Agreement) of the Qualified Financing is converted into one (1) share of Common Stock, effective upon, subject to, and concurrently with, the Additional Closing Outside Date (as defined in the Series D Purchase Agreement) of the Qualified Financing. For purposes of determining the number of shares of Preferred Stock owned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84" w:name="page285"/>
    <w:bookmarkEnd w:id="284"/>
    <w:p>
      <w:pPr>
        <w:jc w:val="both"/>
        <w:ind w:left="720" w:right="739"/>
        <w:spacing w:after="0" w:line="237" w:lineRule="auto"/>
        <w:rPr>
          <w:sz w:val="20"/>
          <w:szCs w:val="20"/>
          <w:color w:val="auto"/>
        </w:rPr>
      </w:pPr>
      <w:r>
        <w:rPr>
          <w:rFonts w:ascii="Times New Roman" w:cs="Times New Roman" w:eastAsia="Times New Roman" w:hAnsi="Times New Roman"/>
          <w:sz w:val="17"/>
          <w:szCs w:val="17"/>
          <w:color w:val="auto"/>
        </w:rPr>
        <w:t>holder, and for determining the number of Offered Securities (as defined below) a holder of Preferred Stock has purchased in a Qualified Financing, all shares of Preferred Stock held by Affiliates of such holder shall be aggregated with such holder’s shares and all Offered Securities purchased by Affiliates of such holder shall be aggregated with the Offered Securities purchased by such holder (provided that no shares or securities shall be attributed to more than one entity or person within any such group of affiliated entities or persons). Such conversion is referred to as a “</w:t>
      </w:r>
      <w:r>
        <w:rPr>
          <w:rFonts w:ascii="Times New Roman" w:cs="Times New Roman" w:eastAsia="Times New Roman" w:hAnsi="Times New Roman"/>
          <w:sz w:val="17"/>
          <w:szCs w:val="17"/>
          <w:b w:val="1"/>
          <w:bCs w:val="1"/>
          <w:color w:val="auto"/>
        </w:rPr>
        <w:t>Special Mandatory Conversion</w:t>
      </w:r>
      <w:r>
        <w:rPr>
          <w:rFonts w:ascii="Times New Roman" w:cs="Times New Roman" w:eastAsia="Times New Roman" w:hAnsi="Times New Roman"/>
          <w:sz w:val="17"/>
          <w:szCs w:val="17"/>
          <w:color w:val="auto"/>
        </w:rPr>
        <w:t>.” For the avoidance of doubt, a Special Mandatory Conversion shall not apply with respect to any Series D Preferred Stock.</w:t>
      </w:r>
    </w:p>
    <w:p>
      <w:pPr>
        <w:spacing w:after="0" w:line="141" w:lineRule="exact"/>
        <w:rPr>
          <w:sz w:val="20"/>
          <w:szCs w:val="20"/>
          <w:color w:val="auto"/>
        </w:rPr>
      </w:pPr>
    </w:p>
    <w:p>
      <w:pPr>
        <w:jc w:val="both"/>
        <w:ind w:left="720" w:right="739" w:firstLine="1009"/>
        <w:spacing w:after="0" w:line="247" w:lineRule="auto"/>
        <w:rPr>
          <w:sz w:val="20"/>
          <w:szCs w:val="20"/>
          <w:color w:val="auto"/>
        </w:rPr>
      </w:pPr>
      <w:r>
        <w:rPr>
          <w:rFonts w:ascii="Times New Roman" w:cs="Times New Roman" w:eastAsia="Times New Roman" w:hAnsi="Times New Roman"/>
          <w:sz w:val="16"/>
          <w:szCs w:val="16"/>
          <w:u w:val="single" w:color="auto"/>
          <w:color w:val="auto"/>
        </w:rPr>
        <w:t>5.A.2 Procedural Requirements</w:t>
      </w:r>
      <w:r>
        <w:rPr>
          <w:rFonts w:ascii="Times New Roman" w:cs="Times New Roman" w:eastAsia="Times New Roman" w:hAnsi="Times New Roman"/>
          <w:sz w:val="16"/>
          <w:szCs w:val="16"/>
          <w:color w:val="auto"/>
        </w:rPr>
        <w:t>. Upon a Special Mandatory Conversion, each holder of shares of Preferred Stock converted pursuant to Section 5A.1 shall be sent written notice of such Special Mandatory Conversion and the place designated for mandatory conversion of all such shares of Preferred Stock pursuant to this Section 5 A, Upon receipt of such notice, each holder of such shares of Preferred Stock in certificated form shall surrender his, her or its certificate or certificates for all such shares (or, if such holder alleges that any such certificate has been lost, stolen or destroyed, a lost certificate affidavit and agreement reasonably acceptable to the Corporation to indemnify the Corporation against any claim that may be made against the Corporation on account of the alleged loss, theft or destruction of such certificate) to the Corporation at the place designated in such notice. If so required by the Corporation, any certificates surrendered for conversion shall be endorsed or accompanied by written instrument or instruments of transfer, in form satisfactory to the Corporation, duly executed by the registered holder or by his, her or its attorney duly authorized in writing, All rights with respect to the Preferred Stock converted pursuant to Section 5A.1, including the rights, if any, to receive notices and vote (other than as a holder of Common Stock), will terminate at the time of the Special Mandatory Conversion (notwithstanding the failure of the holder or holders thereof to surrender any certificates for such shares at or prior to such time), except only the rights of the holders thereof, upon surrender of any certificate or certificates of such holders therefor (or lost certificate affidavit and agreement), to receive the items provided for in the next sentence of this Section 5A.2, As soon as practicable after the Special Mandatory Conversion and, if applicable, the surrender of any certificate or certificates (or lost certificate affidavit and agreement) for Preferred Stock so converted, the Corporation shall (a) issue and deliver to such holder, or to his, her or its nominees, a certificate or certificates for the number of full shares of Common Stock issuable on such conversion in accordance with the provisions hereof, (b) pay any declared but unpaid dividends on the shares of Preferred Stock converted and</w:t>
      </w:r>
    </w:p>
    <w:p>
      <w:pPr>
        <w:spacing w:after="0" w:line="15" w:lineRule="exact"/>
        <w:rPr>
          <w:sz w:val="20"/>
          <w:szCs w:val="20"/>
          <w:color w:val="auto"/>
        </w:rPr>
      </w:pPr>
    </w:p>
    <w:p>
      <w:pPr>
        <w:ind w:left="720" w:right="739"/>
        <w:spacing w:after="0" w:line="238" w:lineRule="auto"/>
        <w:tabs>
          <w:tab w:leader="none" w:pos="980" w:val="left"/>
        </w:tabs>
        <w:numPr>
          <w:ilvl w:val="0"/>
          <w:numId w:val="1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certificate for the number of shares, if any, of Preferred Stock represented by such surrendered certificate and not converted pursuant to Section 5A.1.</w:t>
      </w:r>
    </w:p>
    <w:p>
      <w:pPr>
        <w:spacing w:after="0" w:line="141" w:lineRule="exact"/>
        <w:rPr>
          <w:sz w:val="20"/>
          <w:szCs w:val="20"/>
          <w:color w:val="auto"/>
        </w:rPr>
      </w:pPr>
    </w:p>
    <w:p>
      <w:pPr>
        <w:ind w:left="1720"/>
        <w:spacing w:after="0"/>
        <w:tabs>
          <w:tab w:leader="none" w:pos="2300" w:val="left"/>
        </w:tabs>
        <w:rPr>
          <w:sz w:val="20"/>
          <w:szCs w:val="20"/>
          <w:color w:val="auto"/>
        </w:rPr>
      </w:pPr>
      <w:r>
        <w:rPr>
          <w:rFonts w:ascii="Times New Roman" w:cs="Times New Roman" w:eastAsia="Times New Roman" w:hAnsi="Times New Roman"/>
          <w:sz w:val="17"/>
          <w:szCs w:val="17"/>
          <w:u w:val="single" w:color="auto"/>
          <w:color w:val="auto"/>
        </w:rPr>
        <w:t>5.A.3</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 For purposes of this Section 5A, the following definitions shall apply:</w:t>
      </w:r>
    </w:p>
    <w:p>
      <w:pPr>
        <w:spacing w:after="0" w:line="158" w:lineRule="exact"/>
        <w:rPr>
          <w:sz w:val="20"/>
          <w:szCs w:val="20"/>
          <w:color w:val="auto"/>
        </w:rPr>
      </w:pPr>
    </w:p>
    <w:p>
      <w:pPr>
        <w:jc w:val="both"/>
        <w:ind w:left="720" w:right="739" w:firstLine="1514"/>
        <w:spacing w:after="0" w:line="238" w:lineRule="auto"/>
        <w:rPr>
          <w:sz w:val="20"/>
          <w:szCs w:val="20"/>
          <w:color w:val="auto"/>
        </w:rPr>
      </w:pPr>
      <w:r>
        <w:rPr>
          <w:rFonts w:ascii="Times New Roman" w:cs="Times New Roman" w:eastAsia="Times New Roman" w:hAnsi="Times New Roman"/>
          <w:sz w:val="17"/>
          <w:szCs w:val="17"/>
          <w:color w:val="auto"/>
        </w:rPr>
        <w:t>5A.3.1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shall mean, with respect to any holder of shares of Preferred Stock, any person, entity or firm which, directly or indirectly, controls, is controlled by or is under common control with such holder, including, without limitation, any entity of which the holder is a partner or member, any partner, officer, director, member or employee of such holder and any venture capital fund or other investment fund now or hereafter existing of which the holder is a partner or member which is controlled by or under common control with one or more general partners, managing members or investment advisors of such holder or shares the same management company or investment advisor with such holder.</w:t>
      </w:r>
    </w:p>
    <w:p>
      <w:pPr>
        <w:spacing w:after="0" w:line="136" w:lineRule="exact"/>
        <w:rPr>
          <w:sz w:val="20"/>
          <w:szCs w:val="20"/>
          <w:color w:val="auto"/>
        </w:rPr>
      </w:pPr>
    </w:p>
    <w:p>
      <w:pPr>
        <w:jc w:val="both"/>
        <w:ind w:left="720" w:right="739" w:firstLine="1514"/>
        <w:spacing w:after="0" w:line="238" w:lineRule="auto"/>
        <w:rPr>
          <w:sz w:val="20"/>
          <w:szCs w:val="20"/>
          <w:color w:val="auto"/>
        </w:rPr>
      </w:pPr>
      <w:r>
        <w:rPr>
          <w:rFonts w:ascii="Times New Roman" w:cs="Times New Roman" w:eastAsia="Times New Roman" w:hAnsi="Times New Roman"/>
          <w:sz w:val="17"/>
          <w:szCs w:val="17"/>
          <w:color w:val="auto"/>
        </w:rPr>
        <w:t>5A.3.2 “</w:t>
      </w:r>
      <w:r>
        <w:rPr>
          <w:rFonts w:ascii="Times New Roman" w:cs="Times New Roman" w:eastAsia="Times New Roman" w:hAnsi="Times New Roman"/>
          <w:sz w:val="17"/>
          <w:szCs w:val="17"/>
          <w:b w:val="1"/>
          <w:bCs w:val="1"/>
          <w:color w:val="auto"/>
        </w:rPr>
        <w:t>Applicable Portion</w:t>
      </w:r>
      <w:r>
        <w:rPr>
          <w:rFonts w:ascii="Times New Roman" w:cs="Times New Roman" w:eastAsia="Times New Roman" w:hAnsi="Times New Roman"/>
          <w:sz w:val="17"/>
          <w:szCs w:val="17"/>
          <w:color w:val="auto"/>
        </w:rPr>
        <w:t>” shall mean, with respect to any holder of shares of Preferred Stock, a number of shares of Preferred Stock calculated by multiplying the aggregate number of shares of Preferred Stock held by such holder immediately prior to a Qualified Financing by a fraction, the numerator of which is equal to the amount, if positive, by which such holder’s Pro Rata Amount exceeds the number of Offered Securities actually purchased by such holder in such Qualified Financing, and the denominator of which is equal to such holder’s Pro Rata Amount.</w:t>
      </w:r>
    </w:p>
    <w:p>
      <w:pPr>
        <w:spacing w:after="0" w:line="140" w:lineRule="exact"/>
        <w:rPr>
          <w:sz w:val="20"/>
          <w:szCs w:val="20"/>
          <w:color w:val="auto"/>
        </w:rPr>
      </w:pPr>
    </w:p>
    <w:p>
      <w:pPr>
        <w:jc w:val="both"/>
        <w:ind w:left="720" w:right="739" w:firstLine="1514"/>
        <w:spacing w:after="0" w:line="248" w:lineRule="auto"/>
        <w:rPr>
          <w:sz w:val="20"/>
          <w:szCs w:val="20"/>
          <w:color w:val="auto"/>
        </w:rPr>
      </w:pPr>
      <w:r>
        <w:rPr>
          <w:rFonts w:ascii="Times New Roman" w:cs="Times New Roman" w:eastAsia="Times New Roman" w:hAnsi="Times New Roman"/>
          <w:sz w:val="17"/>
          <w:szCs w:val="17"/>
          <w:color w:val="auto"/>
        </w:rPr>
        <w:t>5A.3.3 “</w:t>
      </w:r>
      <w:r>
        <w:rPr>
          <w:rFonts w:ascii="Times New Roman" w:cs="Times New Roman" w:eastAsia="Times New Roman" w:hAnsi="Times New Roman"/>
          <w:sz w:val="17"/>
          <w:szCs w:val="17"/>
          <w:b w:val="1"/>
          <w:bCs w:val="1"/>
          <w:color w:val="auto"/>
        </w:rPr>
        <w:t>Offered Securities</w:t>
      </w:r>
      <w:r>
        <w:rPr>
          <w:rFonts w:ascii="Times New Roman" w:cs="Times New Roman" w:eastAsia="Times New Roman" w:hAnsi="Times New Roman"/>
          <w:sz w:val="17"/>
          <w:szCs w:val="17"/>
          <w:color w:val="auto"/>
        </w:rPr>
        <w:t>” shall mean the equity securities of the Corporation set aside by the Board of Directors for purchase by holders of outstanding shares of Preferred Stock in connection with a Qualified Financing, and offered to such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352425</wp:posOffset>
            </wp:positionV>
            <wp:extent cx="5485765" cy="387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85" w:name="page286"/>
    <w:bookmarkEnd w:id="285"/>
    <w:p>
      <w:pPr>
        <w:jc w:val="both"/>
        <w:ind w:left="720" w:right="739" w:firstLine="1514"/>
        <w:spacing w:after="0" w:line="238" w:lineRule="auto"/>
        <w:rPr>
          <w:sz w:val="20"/>
          <w:szCs w:val="20"/>
          <w:color w:val="auto"/>
        </w:rPr>
      </w:pPr>
      <w:r>
        <w:rPr>
          <w:rFonts w:ascii="Times New Roman" w:cs="Times New Roman" w:eastAsia="Times New Roman" w:hAnsi="Times New Roman"/>
          <w:sz w:val="17"/>
          <w:szCs w:val="17"/>
          <w:color w:val="auto"/>
        </w:rPr>
        <w:t>5A.3.4 “</w:t>
      </w:r>
      <w:r>
        <w:rPr>
          <w:rFonts w:ascii="Times New Roman" w:cs="Times New Roman" w:eastAsia="Times New Roman" w:hAnsi="Times New Roman"/>
          <w:sz w:val="17"/>
          <w:szCs w:val="17"/>
          <w:b w:val="1"/>
          <w:bCs w:val="1"/>
          <w:color w:val="auto"/>
        </w:rPr>
        <w:t>Pro Rata Amount</w:t>
      </w:r>
      <w:r>
        <w:rPr>
          <w:rFonts w:ascii="Times New Roman" w:cs="Times New Roman" w:eastAsia="Times New Roman" w:hAnsi="Times New Roman"/>
          <w:sz w:val="17"/>
          <w:szCs w:val="17"/>
          <w:color w:val="auto"/>
        </w:rPr>
        <w:t>” shall mean, with respect to any holder of Preferred Stock, the lesser of (a) a number of Offered Securities calculated by multiplying the aggregate number of Offered Securities by a fraction, the numerator of which is equal to the number of shares of Preferred Stock owned by such holder, and the denominator of which is equal to the aggregate number of outstanding shares of Preferred Stock, or (b) the maximum number of Offered Securities that such holder is permitted by the Corporation to purchase in such Qualified Financing, after giving effect to any cutbacks or limitations established by the Board of Directors and applied on a pro rata basis to all holders of Preferred Stock.</w:t>
      </w:r>
    </w:p>
    <w:p>
      <w:pPr>
        <w:spacing w:after="0" w:line="136" w:lineRule="exact"/>
        <w:rPr>
          <w:sz w:val="20"/>
          <w:szCs w:val="20"/>
          <w:color w:val="auto"/>
        </w:rPr>
      </w:pPr>
    </w:p>
    <w:p>
      <w:pPr>
        <w:jc w:val="both"/>
        <w:ind w:left="720" w:right="739" w:firstLine="1514"/>
        <w:spacing w:after="0" w:line="248" w:lineRule="auto"/>
        <w:rPr>
          <w:sz w:val="20"/>
          <w:szCs w:val="20"/>
          <w:color w:val="auto"/>
        </w:rPr>
      </w:pPr>
      <w:r>
        <w:rPr>
          <w:rFonts w:ascii="Times New Roman" w:cs="Times New Roman" w:eastAsia="Times New Roman" w:hAnsi="Times New Roman"/>
          <w:sz w:val="17"/>
          <w:szCs w:val="17"/>
          <w:color w:val="auto"/>
        </w:rPr>
        <w:t>5A.3.5 “</w:t>
      </w:r>
      <w:r>
        <w:rPr>
          <w:rFonts w:ascii="Times New Roman" w:cs="Times New Roman" w:eastAsia="Times New Roman" w:hAnsi="Times New Roman"/>
          <w:sz w:val="17"/>
          <w:szCs w:val="17"/>
          <w:b w:val="1"/>
          <w:bCs w:val="1"/>
          <w:color w:val="auto"/>
        </w:rPr>
        <w:t>Qualified Financing</w:t>
      </w:r>
      <w:r>
        <w:rPr>
          <w:rFonts w:ascii="Times New Roman" w:cs="Times New Roman" w:eastAsia="Times New Roman" w:hAnsi="Times New Roman"/>
          <w:sz w:val="17"/>
          <w:szCs w:val="17"/>
          <w:color w:val="auto"/>
        </w:rPr>
        <w:t>” shall mean the sale and issuance of Series D Preferred Stock pursuant to the Series D Purchase Agreement that results in at least $10,000,000 in gross proceeds to the Corporation.</w:t>
      </w:r>
    </w:p>
    <w:p>
      <w:pPr>
        <w:spacing w:after="0" w:line="134" w:lineRule="exact"/>
        <w:rPr>
          <w:sz w:val="20"/>
          <w:szCs w:val="20"/>
          <w:color w:val="auto"/>
        </w:rPr>
      </w:pPr>
    </w:p>
    <w:p>
      <w:pPr>
        <w:ind w:left="720" w:right="739" w:firstLine="504"/>
        <w:spacing w:after="0" w:line="259" w:lineRule="auto"/>
        <w:tabs>
          <w:tab w:leader="none" w:pos="1656" w:val="left"/>
        </w:tabs>
        <w:numPr>
          <w:ilvl w:val="0"/>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Except as expressly provided herein, the Preferred Stock is not redeemable at the option of the holder thereof.</w:t>
      </w:r>
    </w:p>
    <w:p>
      <w:pPr>
        <w:spacing w:after="0" w:line="124" w:lineRule="exact"/>
        <w:rPr>
          <w:rFonts w:ascii="Times New Roman" w:cs="Times New Roman" w:eastAsia="Times New Roman" w:hAnsi="Times New Roman"/>
          <w:sz w:val="17"/>
          <w:szCs w:val="17"/>
          <w:color w:val="auto"/>
        </w:rPr>
      </w:pPr>
    </w:p>
    <w:p>
      <w:pPr>
        <w:jc w:val="both"/>
        <w:ind w:left="720" w:right="739" w:firstLine="504"/>
        <w:spacing w:after="0" w:line="237" w:lineRule="auto"/>
        <w:tabs>
          <w:tab w:leader="none" w:pos="1561" w:val="left"/>
        </w:tabs>
        <w:numPr>
          <w:ilvl w:val="0"/>
          <w:numId w:val="19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Redeemed or Otherwise Acquired Shares</w:t>
      </w:r>
      <w:r>
        <w:rPr>
          <w:rFonts w:ascii="Times New Roman" w:cs="Times New Roman" w:eastAsia="Times New Roman" w:hAnsi="Times New Roman"/>
          <w:sz w:val="17"/>
          <w:szCs w:val="17"/>
          <w:color w:val="auto"/>
        </w:rPr>
        <w:t>. Any shares of Preferred Stock or Common Stock that are not reserved for issuance under the Corporation’s 2012 Equity Incentive Plan (as may be amended and/or restated from time to time) or 2022 Equity Incentive Plan (as may be amended and/or restated from time to time) that are redeemed or otherwise acquired by the Corporation or any of its subsidiaries shall be automatically and immediately cancelled and retired and shall not be reissued, sold or transferred. Neither the Corporation nor any of its subsidiaries may exercise any voting or other rights granted to the holders of Preferred Stock or Common Stock following redemption.</w:t>
      </w:r>
    </w:p>
    <w:p>
      <w:pPr>
        <w:spacing w:after="0" w:line="141" w:lineRule="exact"/>
        <w:rPr>
          <w:rFonts w:ascii="Times New Roman" w:cs="Times New Roman" w:eastAsia="Times New Roman" w:hAnsi="Times New Roman"/>
          <w:sz w:val="17"/>
          <w:szCs w:val="17"/>
          <w:u w:val="single" w:color="auto"/>
          <w:color w:val="auto"/>
        </w:rPr>
      </w:pPr>
    </w:p>
    <w:p>
      <w:pPr>
        <w:jc w:val="both"/>
        <w:ind w:left="720" w:right="739" w:firstLine="504"/>
        <w:spacing w:after="0" w:line="241" w:lineRule="auto"/>
        <w:tabs>
          <w:tab w:leader="none" w:pos="1603" w:val="left"/>
        </w:tabs>
        <w:numPr>
          <w:ilvl w:val="0"/>
          <w:numId w:val="19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Waiver</w:t>
      </w:r>
      <w:r>
        <w:rPr>
          <w:rFonts w:ascii="Times New Roman" w:cs="Times New Roman" w:eastAsia="Times New Roman" w:hAnsi="Times New Roman"/>
          <w:sz w:val="17"/>
          <w:szCs w:val="17"/>
          <w:color w:val="auto"/>
        </w:rPr>
        <w:t>. Except for any consent, approval threshold, right or vote that is specific to fewer than all series of Preferred Stock, any of the rights, powers, preferences and other terms of the Preferred Stock set forth herein may be waived on behalf of all holders of Preferred Stock by the affirmative written consent or vote of the Requisite Holders.</w:t>
      </w:r>
    </w:p>
    <w:p>
      <w:pPr>
        <w:spacing w:after="0" w:line="139" w:lineRule="exact"/>
        <w:rPr>
          <w:rFonts w:ascii="Times New Roman" w:cs="Times New Roman" w:eastAsia="Times New Roman" w:hAnsi="Times New Roman"/>
          <w:sz w:val="17"/>
          <w:szCs w:val="17"/>
          <w:u w:val="single" w:color="auto"/>
          <w:color w:val="auto"/>
        </w:rPr>
      </w:pPr>
    </w:p>
    <w:p>
      <w:pPr>
        <w:jc w:val="both"/>
        <w:ind w:left="720" w:right="739" w:firstLine="504"/>
        <w:spacing w:after="0" w:line="239" w:lineRule="auto"/>
        <w:tabs>
          <w:tab w:leader="none" w:pos="1592" w:val="left"/>
        </w:tabs>
        <w:numPr>
          <w:ilvl w:val="0"/>
          <w:numId w:val="19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or permitted by the provisions of this Article Fourth to be given to a holder of shares of Preferred Stock shall be mailed, postage prepaid, to the post office address last shown on the records of the Corporation, or given by electronic communication in compliance with the provisions of the General Corporation Law, and shall be deemed sent upon the first business day after such mailing or electronic transmission.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-2386330</wp:posOffset>
            </wp:positionV>
            <wp:extent cx="795655" cy="698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95655" cy="6985"/>
                    </a:xfrm>
                    <a:prstGeom prst="rect">
                      <a:avLst/>
                    </a:prstGeom>
                    <a:noFill/>
                  </pic:spPr>
                </pic:pic>
              </a:graphicData>
            </a:graphic>
          </wp:anchor>
        </w:drawing>
      </w:r>
    </w:p>
    <w:p>
      <w:pPr>
        <w:spacing w:after="0" w:line="117" w:lineRule="exact"/>
        <w:rPr>
          <w:sz w:val="20"/>
          <w:szCs w:val="20"/>
          <w:color w:val="auto"/>
        </w:rPr>
      </w:pPr>
    </w:p>
    <w:p>
      <w:pPr>
        <w:jc w:val="both"/>
        <w:ind w:left="720" w:right="7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FIFTH: </w:t>
      </w:r>
      <w:r>
        <w:rPr>
          <w:rFonts w:ascii="Times New Roman" w:cs="Times New Roman" w:eastAsia="Times New Roman" w:hAnsi="Times New Roman"/>
          <w:sz w:val="17"/>
          <w:szCs w:val="17"/>
          <w:color w:val="auto"/>
        </w:rPr>
        <w:t>Subject to any additional vote required by the Restated Certificate or Bylaws, in furtherance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not in limitation of the powers conferred by statute, the Board is expressly authorized to make, repeal, alter, amend and rescind any or all of the Bylaws of the Corporation.</w:t>
      </w:r>
    </w:p>
    <w:p>
      <w:pPr>
        <w:spacing w:after="0" w:line="130" w:lineRule="exact"/>
        <w:rPr>
          <w:sz w:val="20"/>
          <w:szCs w:val="20"/>
          <w:color w:val="auto"/>
        </w:rPr>
      </w:pPr>
    </w:p>
    <w:p>
      <w:pPr>
        <w:jc w:val="both"/>
        <w:ind w:left="720" w:right="739" w:firstLine="505"/>
        <w:spacing w:after="0" w:line="253" w:lineRule="auto"/>
        <w:rPr>
          <w:sz w:val="20"/>
          <w:szCs w:val="20"/>
          <w:color w:val="auto"/>
        </w:rPr>
      </w:pPr>
      <w:r>
        <w:rPr>
          <w:rFonts w:ascii="Times New Roman" w:cs="Times New Roman" w:eastAsia="Times New Roman" w:hAnsi="Times New Roman"/>
          <w:sz w:val="16"/>
          <w:szCs w:val="16"/>
          <w:b w:val="1"/>
          <w:bCs w:val="1"/>
          <w:color w:val="auto"/>
        </w:rPr>
        <w:t xml:space="preserve">SIXTH: </w:t>
      </w:r>
      <w:r>
        <w:rPr>
          <w:rFonts w:ascii="Times New Roman" w:cs="Times New Roman" w:eastAsia="Times New Roman" w:hAnsi="Times New Roman"/>
          <w:sz w:val="16"/>
          <w:szCs w:val="16"/>
          <w:color w:val="auto"/>
        </w:rPr>
        <w:t>Subject to any additional vote required by the Restated Certificate, the number of directors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Corporation shall be determined in the manner set forth in the Bylaws of the Corporation, Each director shall be entitled to one (1) vote on each matter presented to the Board; provided, however, that, so long as the holders of Preferred Stock are entitled to elect a Preferred Director, the affirmative vote of at least a majority of the Preferred Directors, including a majority of the Series C/D Preferred Directors then serving, shall be required for the authorization by the Board of any of the matters set forth in Section 5,4 of the Amended and Restated Investors’ Rights Agreement, dated on or about the date of the filing of this Restated Certificate, by and among the Corporation and the other parties thereto, as such agreement may be amended from time to time.</w:t>
      </w:r>
    </w:p>
    <w:p>
      <w:pPr>
        <w:spacing w:after="0" w:line="130" w:lineRule="exact"/>
        <w:rPr>
          <w:sz w:val="20"/>
          <w:szCs w:val="20"/>
          <w:color w:val="auto"/>
        </w:rPr>
      </w:pPr>
    </w:p>
    <w:p>
      <w:pPr>
        <w:jc w:val="both"/>
        <w:ind w:left="720" w:right="7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SEVENTH: </w:t>
      </w:r>
      <w:r>
        <w:rPr>
          <w:rFonts w:ascii="Times New Roman" w:cs="Times New Roman" w:eastAsia="Times New Roman" w:hAnsi="Times New Roman"/>
          <w:sz w:val="17"/>
          <w:szCs w:val="17"/>
          <w:color w:val="auto"/>
        </w:rPr>
        <w:t>Elections of directors need not be by written ballot unless the Bylaws of the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so provide.</w:t>
      </w:r>
    </w:p>
    <w:p>
      <w:pPr>
        <w:spacing w:after="0" w:line="117" w:lineRule="exact"/>
        <w:rPr>
          <w:sz w:val="20"/>
          <w:szCs w:val="20"/>
          <w:color w:val="auto"/>
        </w:rPr>
      </w:pPr>
    </w:p>
    <w:p>
      <w:pPr>
        <w:jc w:val="both"/>
        <w:ind w:left="720" w:right="7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EIGHTH: </w:t>
      </w:r>
      <w:r>
        <w:rPr>
          <w:rFonts w:ascii="Times New Roman" w:cs="Times New Roman" w:eastAsia="Times New Roman" w:hAnsi="Times New Roman"/>
          <w:sz w:val="17"/>
          <w:szCs w:val="17"/>
          <w:color w:val="auto"/>
        </w:rPr>
        <w:t>Meetings of stockholders may be held within or without the State of Delaware,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Bylaws of the Corporation may provide. The books of the Corporation may be kept outside the State of Delaware at such place or places as may be designated from time to time by the Board or in the Bylaws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354965</wp:posOffset>
            </wp:positionV>
            <wp:extent cx="54857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86" w:name="page287"/>
    <w:bookmarkEnd w:id="286"/>
    <w:p>
      <w:pPr>
        <w:jc w:val="both"/>
        <w:ind w:left="720" w:right="7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NINTH:</w:t>
      </w:r>
      <w:r>
        <w:rPr>
          <w:rFonts w:ascii="Times New Roman" w:cs="Times New Roman" w:eastAsia="Times New Roman" w:hAnsi="Times New Roman"/>
          <w:sz w:val="17"/>
          <w:szCs w:val="17"/>
          <w:color w:val="auto"/>
        </w:rPr>
        <w:t>.To the fullest extent permitted by law, a director of the Corporation shall not be personally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liable to the Corporation or its stockholders for monetary damages for breach of fiduciary duty as a director. If the General Corporation Law or any other law of the State of Delaware is amended after approval by the stockholders of this Article Ninth to authorize corporate action further eliminating or limiting the personal liability of directors, then the liability of a director of the Corporation shall be eliminated or limited to the fullest extent permitted by the General Corporation Law as so amended.</w:t>
      </w:r>
    </w:p>
    <w:p>
      <w:pPr>
        <w:spacing w:after="0" w:line="144" w:lineRule="exact"/>
        <w:rPr>
          <w:sz w:val="20"/>
          <w:szCs w:val="20"/>
          <w:color w:val="auto"/>
        </w:rPr>
      </w:pPr>
    </w:p>
    <w:p>
      <w:pPr>
        <w:jc w:val="both"/>
        <w:ind w:left="720" w:right="739" w:firstLine="505"/>
        <w:spacing w:after="0" w:line="241" w:lineRule="auto"/>
        <w:rPr>
          <w:sz w:val="20"/>
          <w:szCs w:val="20"/>
          <w:color w:val="auto"/>
        </w:rPr>
      </w:pPr>
      <w:r>
        <w:rPr>
          <w:rFonts w:ascii="Times New Roman" w:cs="Times New Roman" w:eastAsia="Times New Roman" w:hAnsi="Times New Roman"/>
          <w:sz w:val="17"/>
          <w:szCs w:val="17"/>
          <w:color w:val="auto"/>
        </w:rPr>
        <w:t>Any repeal or modification of the foregoing provisions of this Article Ninth by the stockholders of the Corporation shall not adversely affect any right or protection of a director of the Corporation existing at the time of, or increase the liability of any director of the Corporation with respect to any acts or omissions of such director occurring prior to, such repeal or modification.</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 xml:space="preserve">TENTH: </w:t>
      </w:r>
      <w:r>
        <w:rPr>
          <w:rFonts w:ascii="Times New Roman" w:cs="Times New Roman" w:eastAsia="Times New Roman" w:hAnsi="Times New Roman"/>
          <w:sz w:val="17"/>
          <w:szCs w:val="17"/>
          <w:color w:val="auto"/>
        </w:rPr>
        <w:t>The following indemnification provisions shall apply to the persons enumerated below.</w:t>
      </w:r>
    </w:p>
    <w:p>
      <w:pPr>
        <w:spacing w:after="0" w:line="166" w:lineRule="exact"/>
        <w:rPr>
          <w:sz w:val="20"/>
          <w:szCs w:val="20"/>
          <w:color w:val="auto"/>
        </w:rPr>
      </w:pPr>
    </w:p>
    <w:p>
      <w:pPr>
        <w:jc w:val="both"/>
        <w:ind w:left="720" w:right="739" w:firstLine="1009"/>
        <w:spacing w:after="0" w:line="234" w:lineRule="auto"/>
        <w:tabs>
          <w:tab w:leader="none" w:pos="2142" w:val="left"/>
        </w:tabs>
        <w:numPr>
          <w:ilvl w:val="0"/>
          <w:numId w:val="19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Right to Indemnification of Directors and Officers</w:t>
      </w:r>
      <w:r>
        <w:rPr>
          <w:rFonts w:ascii="Times New Roman" w:cs="Times New Roman" w:eastAsia="Times New Roman" w:hAnsi="Times New Roman"/>
          <w:sz w:val="17"/>
          <w:szCs w:val="17"/>
          <w:color w:val="auto"/>
        </w:rPr>
        <w:t>. The Corporation shall indemnify and hold harmless, to the fullest extent permitted by applicable law as it presently exists or may hereafter be amended, any person (an “</w:t>
      </w:r>
      <w:r>
        <w:rPr>
          <w:rFonts w:ascii="Times New Roman" w:cs="Times New Roman" w:eastAsia="Times New Roman" w:hAnsi="Times New Roman"/>
          <w:sz w:val="17"/>
          <w:szCs w:val="17"/>
          <w:b w:val="1"/>
          <w:bCs w:val="1"/>
          <w:color w:val="auto"/>
        </w:rPr>
        <w:t>Indemnified Person</w:t>
      </w:r>
      <w:r>
        <w:rPr>
          <w:rFonts w:ascii="Times New Roman" w:cs="Times New Roman" w:eastAsia="Times New Roman" w:hAnsi="Times New Roman"/>
          <w:sz w:val="17"/>
          <w:szCs w:val="17"/>
          <w:color w:val="auto"/>
        </w:rPr>
        <w:t xml:space="preserve">”) who was or is made or is threatened to be made a party or is otherwise involved in any action, suit or proceeding, whether civil, criminal, administrative or investigative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by reason of the fact that such person, or a person for whom such person is the legal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representative, is or was a director or officer of the Corporation or, while a director or officer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Indemnified Person in such Proceeding, Notwithstanding the preceding sentence, except as otherwise provided in Section 3 of this Article Tenth, the Corporation shall be required to indemnify an Indemnified Person in connection with a Proceeding (or part thereof) commenced by such Indemnified Person only if the commencement of such Proceeding (or part thereof) by the Indemnified Person was authorized in advance by the Board.</w:t>
      </w:r>
    </w:p>
    <w:p>
      <w:pPr>
        <w:spacing w:after="0" w:line="148" w:lineRule="exact"/>
        <w:rPr>
          <w:rFonts w:ascii="Times New Roman" w:cs="Times New Roman" w:eastAsia="Times New Roman" w:hAnsi="Times New Roman"/>
          <w:sz w:val="17"/>
          <w:szCs w:val="17"/>
          <w:u w:val="single" w:color="auto"/>
          <w:color w:val="auto"/>
        </w:rPr>
      </w:pPr>
    </w:p>
    <w:p>
      <w:pPr>
        <w:jc w:val="both"/>
        <w:ind w:left="720" w:right="739" w:firstLine="1009"/>
        <w:spacing w:after="0" w:line="238" w:lineRule="auto"/>
        <w:tabs>
          <w:tab w:leader="none" w:pos="2089" w:val="left"/>
        </w:tabs>
        <w:numPr>
          <w:ilvl w:val="0"/>
          <w:numId w:val="19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Prepayment of Expenses of Directors and Officers</w:t>
      </w:r>
      <w:r>
        <w:rPr>
          <w:rFonts w:ascii="Times New Roman" w:cs="Times New Roman" w:eastAsia="Times New Roman" w:hAnsi="Times New Roman"/>
          <w:sz w:val="17"/>
          <w:szCs w:val="17"/>
          <w:color w:val="auto"/>
        </w:rPr>
        <w:t xml:space="preserve">. The Corporation shall pay the expenses (including attorneys’ fees) incurred by an Indemnified Person in defending any Proceeding in advance of its final disposition, </w:t>
      </w:r>
      <w:r>
        <w:rPr>
          <w:rFonts w:ascii="Times New Roman" w:cs="Times New Roman" w:eastAsia="Times New Roman" w:hAnsi="Times New Roman"/>
          <w:sz w:val="17"/>
          <w:szCs w:val="17"/>
          <w:u w:val="single" w:color="auto"/>
          <w:color w:val="auto"/>
        </w:rPr>
        <w:t>provided, however</w:t>
      </w:r>
      <w:r>
        <w:rPr>
          <w:rFonts w:ascii="Times New Roman" w:cs="Times New Roman" w:eastAsia="Times New Roman" w:hAnsi="Times New Roman"/>
          <w:sz w:val="17"/>
          <w:szCs w:val="17"/>
          <w:color w:val="auto"/>
        </w:rPr>
        <w:t>, that, to the extent required by law, such payment of expenses in advance of the final disposition of the Proceeding shall be made only upon receipt of an undertaking by the Indemnified Person to repay all amounts advanced if it should be ultimately determined that the Indemnified Person is not entitled to be indemnified under this Article Tenth or otherwise.</w:t>
      </w:r>
    </w:p>
    <w:p>
      <w:pPr>
        <w:spacing w:after="0" w:line="140" w:lineRule="exact"/>
        <w:rPr>
          <w:rFonts w:ascii="Times New Roman" w:cs="Times New Roman" w:eastAsia="Times New Roman" w:hAnsi="Times New Roman"/>
          <w:sz w:val="17"/>
          <w:szCs w:val="17"/>
          <w:u w:val="single" w:color="auto"/>
          <w:color w:val="auto"/>
        </w:rPr>
      </w:pPr>
    </w:p>
    <w:p>
      <w:pPr>
        <w:jc w:val="both"/>
        <w:ind w:left="720" w:right="739" w:firstLine="1009"/>
        <w:spacing w:after="0" w:line="237" w:lineRule="auto"/>
        <w:tabs>
          <w:tab w:leader="none" w:pos="2247" w:val="left"/>
        </w:tabs>
        <w:numPr>
          <w:ilvl w:val="0"/>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by Directors and Officers. If a claim for indemnification or advancement of expenses under this Article Tenth is not paid in full within 30 days after a written claim therefor by the Indemnified Person has been received by the Corporation, the Indemnified Person may file suit to recover the unpaid amount of such claim and, if successful in whole or in part, shall be entitled to be paid the expense of prosecuting such claim, In any such action the Corporation shall have the burden of proving that the Indemnified Person is not entitled to the requested indemnification or advancement of expenses under applicable law.</w:t>
      </w:r>
    </w:p>
    <w:p>
      <w:pPr>
        <w:spacing w:after="0" w:line="141" w:lineRule="exact"/>
        <w:rPr>
          <w:rFonts w:ascii="Times New Roman" w:cs="Times New Roman" w:eastAsia="Times New Roman" w:hAnsi="Times New Roman"/>
          <w:sz w:val="17"/>
          <w:szCs w:val="17"/>
          <w:color w:val="auto"/>
        </w:rPr>
      </w:pPr>
    </w:p>
    <w:p>
      <w:pPr>
        <w:jc w:val="both"/>
        <w:ind w:left="720" w:right="739" w:firstLine="1009"/>
        <w:spacing w:after="0" w:line="235" w:lineRule="auto"/>
        <w:tabs>
          <w:tab w:leader="none" w:pos="2141" w:val="left"/>
        </w:tabs>
        <w:numPr>
          <w:ilvl w:val="0"/>
          <w:numId w:val="19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Indemnification of Employees and Agents</w:t>
      </w:r>
      <w:r>
        <w:rPr>
          <w:rFonts w:ascii="Times New Roman" w:cs="Times New Roman" w:eastAsia="Times New Roman" w:hAnsi="Times New Roman"/>
          <w:sz w:val="17"/>
          <w:szCs w:val="17"/>
          <w:color w:val="auto"/>
        </w:rPr>
        <w:t>. The Corporation may indemnify and advance expenses to any person who was or is made or is threatened to be made or is otherwise involved in any Proceeding by reason of the fact that such person, or a person for whom such person is the legal representative, is or was an employee or agent of the Corporation or, while an employee or agent of the Corporation, is or was serving at the request of the Corporation as a director, officer, employee or agent of another corporation or of a partnership, joint venture, limited liability company, trust, enterprise or nonprofit entity, including service with respect to employee benefit plans, against all liability and loss suffered and expenses (including attorney’s fees) reasonably incurred by such person in connection with such Proceeding, The ultimate determination of entitlement to indemnification of persons who are non-director or officer employees or agents shall be made in such manner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360680</wp:posOffset>
            </wp:positionV>
            <wp:extent cx="54857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-2049145</wp:posOffset>
            </wp:positionV>
            <wp:extent cx="1838325" cy="698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838325" cy="698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87" w:name="page288"/>
    <w:bookmarkEnd w:id="287"/>
    <w:p>
      <w:pPr>
        <w:jc w:val="both"/>
        <w:ind w:left="720" w:right="739"/>
        <w:spacing w:after="0" w:line="246" w:lineRule="auto"/>
        <w:rPr>
          <w:sz w:val="20"/>
          <w:szCs w:val="20"/>
          <w:color w:val="auto"/>
        </w:rPr>
      </w:pPr>
      <w:r>
        <w:rPr>
          <w:rFonts w:ascii="Times New Roman" w:cs="Times New Roman" w:eastAsia="Times New Roman" w:hAnsi="Times New Roman"/>
          <w:sz w:val="17"/>
          <w:szCs w:val="17"/>
          <w:color w:val="auto"/>
        </w:rPr>
        <w:t>is determined by the Board in its sole discretion, Notwithstanding the foregoing sentence, the Corporation shall not be required to indemnify a person in connection with a Proceeding initiated by such person if the Proceeding was not authorized in advance by the Board.</w:t>
      </w:r>
    </w:p>
    <w:p>
      <w:pPr>
        <w:spacing w:after="0" w:line="135" w:lineRule="exact"/>
        <w:rPr>
          <w:sz w:val="20"/>
          <w:szCs w:val="20"/>
          <w:color w:val="auto"/>
        </w:rPr>
      </w:pPr>
    </w:p>
    <w:p>
      <w:pPr>
        <w:jc w:val="both"/>
        <w:ind w:left="720" w:right="739" w:firstLine="1009"/>
        <w:spacing w:after="0" w:line="246" w:lineRule="auto"/>
        <w:tabs>
          <w:tab w:leader="none" w:pos="2247"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Advancement of Expenses of Employees and Agents. The Corporation may pay the expenses (including attorney’s fees) incurred by an employee or agent in defending any Proceeding in advance of its final disposition on such terms and conditions as may be determined by the Board.</w:t>
      </w:r>
    </w:p>
    <w:p>
      <w:pPr>
        <w:spacing w:after="0" w:line="134" w:lineRule="exact"/>
        <w:rPr>
          <w:rFonts w:ascii="Times New Roman" w:cs="Times New Roman" w:eastAsia="Times New Roman" w:hAnsi="Times New Roman"/>
          <w:sz w:val="17"/>
          <w:szCs w:val="17"/>
          <w:color w:val="auto"/>
        </w:rPr>
      </w:pPr>
    </w:p>
    <w:p>
      <w:pPr>
        <w:jc w:val="both"/>
        <w:ind w:left="720" w:right="739" w:firstLine="1009"/>
        <w:spacing w:after="0" w:line="241" w:lineRule="auto"/>
        <w:tabs>
          <w:tab w:leader="none" w:pos="2118" w:val="left"/>
        </w:tabs>
        <w:numPr>
          <w:ilvl w:val="0"/>
          <w:numId w:val="19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Non-Exclusivity of Rights</w:t>
      </w:r>
      <w:r>
        <w:rPr>
          <w:rFonts w:ascii="Times New Roman" w:cs="Times New Roman" w:eastAsia="Times New Roman" w:hAnsi="Times New Roman"/>
          <w:sz w:val="17"/>
          <w:szCs w:val="17"/>
          <w:color w:val="auto"/>
        </w:rPr>
        <w:t>. The rights conferred on any person by this Article Tenth shall not be exclusive of any other rights which such person may have or hereafter acquire under any statute, provision of the certificate of incorporation, the Bylaws, agreement, vote of stockholders or disinterested directors or otherwise.</w:t>
      </w:r>
    </w:p>
    <w:p>
      <w:pPr>
        <w:spacing w:after="0" w:line="139" w:lineRule="exact"/>
        <w:rPr>
          <w:rFonts w:ascii="Times New Roman" w:cs="Times New Roman" w:eastAsia="Times New Roman" w:hAnsi="Times New Roman"/>
          <w:sz w:val="17"/>
          <w:szCs w:val="17"/>
          <w:u w:val="single" w:color="auto"/>
          <w:color w:val="auto"/>
        </w:rPr>
      </w:pPr>
    </w:p>
    <w:p>
      <w:pPr>
        <w:jc w:val="both"/>
        <w:ind w:left="720" w:right="739" w:firstLine="1009"/>
        <w:spacing w:after="0" w:line="239" w:lineRule="auto"/>
        <w:tabs>
          <w:tab w:leader="none" w:pos="2109" w:val="left"/>
        </w:tabs>
        <w:numPr>
          <w:ilvl w:val="0"/>
          <w:numId w:val="19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u w:val="single" w:color="auto"/>
          <w:color w:val="auto"/>
        </w:rPr>
        <w:t>Other Indemnification</w:t>
      </w:r>
      <w:r>
        <w:rPr>
          <w:rFonts w:ascii="Times New Roman" w:cs="Times New Roman" w:eastAsia="Times New Roman" w:hAnsi="Times New Roman"/>
          <w:sz w:val="17"/>
          <w:szCs w:val="17"/>
          <w:color w:val="auto"/>
        </w:rPr>
        <w:t>. The Corporation’s obligation, if any, to indemnify any person who was or is serving at its request as a director, officer or employee of another corporation, partnership, limited liability company, joint venture, trust, organization or other enterprise shall be reduced by any amount such person may collect as indemnification from such other corporation, partnership, limited liability company, joint venture, trust, organization or other enterprise.</w:t>
      </w:r>
    </w:p>
    <w:p>
      <w:pPr>
        <w:spacing w:after="0" w:line="140" w:lineRule="exact"/>
        <w:rPr>
          <w:rFonts w:ascii="Times New Roman" w:cs="Times New Roman" w:eastAsia="Times New Roman" w:hAnsi="Times New Roman"/>
          <w:sz w:val="17"/>
          <w:szCs w:val="17"/>
          <w:u w:val="single" w:color="auto"/>
          <w:color w:val="auto"/>
        </w:rPr>
      </w:pPr>
    </w:p>
    <w:p>
      <w:pPr>
        <w:jc w:val="both"/>
        <w:ind w:left="720" w:right="739" w:firstLine="1009"/>
        <w:spacing w:after="0" w:line="255" w:lineRule="auto"/>
        <w:tabs>
          <w:tab w:leader="none" w:pos="2150" w:val="left"/>
        </w:tabs>
        <w:numPr>
          <w:ilvl w:val="0"/>
          <w:numId w:val="194"/>
        </w:numPr>
        <w:rPr>
          <w:rFonts w:ascii="Times New Roman" w:cs="Times New Roman" w:eastAsia="Times New Roman" w:hAnsi="Times New Roman"/>
          <w:sz w:val="16"/>
          <w:szCs w:val="16"/>
          <w:u w:val="single" w:color="auto"/>
          <w:color w:val="auto"/>
        </w:rPr>
      </w:pPr>
      <w:r>
        <w:rPr>
          <w:rFonts w:ascii="Times New Roman" w:cs="Times New Roman" w:eastAsia="Times New Roman" w:hAnsi="Times New Roman"/>
          <w:sz w:val="16"/>
          <w:szCs w:val="16"/>
          <w:u w:val="single" w:color="auto"/>
          <w:color w:val="auto"/>
        </w:rPr>
        <w:t>Insurance</w:t>
      </w:r>
      <w:r>
        <w:rPr>
          <w:rFonts w:ascii="Times New Roman" w:cs="Times New Roman" w:eastAsia="Times New Roman" w:hAnsi="Times New Roman"/>
          <w:sz w:val="16"/>
          <w:szCs w:val="16"/>
          <w:color w:val="auto"/>
        </w:rPr>
        <w:t>. The Board may, to the full extent permitted by applicable law as it presently exists, or may hereafter be amended from time to time, authorize an appropriate officer or officers to purchase and maintain at the Corporation’s expense insurance: (a) to indemnify the Corporation for any obligation which it incurs as a result of the indemnification of directors, officers and employees under the provisions of this Article Tenth; and (b) to indemnify or insure directors, officers and employees against liability in instances in which they may not otherwise be indemnified by the Corporation under the provisions of this Article Tenth.</w:t>
      </w:r>
    </w:p>
    <w:p>
      <w:pPr>
        <w:spacing w:after="0" w:line="130" w:lineRule="exact"/>
        <w:rPr>
          <w:rFonts w:ascii="Times New Roman" w:cs="Times New Roman" w:eastAsia="Times New Roman" w:hAnsi="Times New Roman"/>
          <w:sz w:val="16"/>
          <w:szCs w:val="16"/>
          <w:u w:val="single" w:color="auto"/>
          <w:color w:val="auto"/>
        </w:rPr>
      </w:pPr>
    </w:p>
    <w:p>
      <w:pPr>
        <w:jc w:val="both"/>
        <w:ind w:left="720" w:right="739" w:firstLine="1009"/>
        <w:spacing w:after="0" w:line="241" w:lineRule="auto"/>
        <w:tabs>
          <w:tab w:leader="none" w:pos="2193"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Amendment or Repeal. Any repeal or modification of the foregoing provisions of this Article Tenth shall not adversely affect any right or protection hereunder of any person in respect of any act or omission occurring prior to the time of such repeal or modification. The rights provided hereunder shall inure to the benefit of any Indemnified Person and such person’s heirs, executors and administrators.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-2974975</wp:posOffset>
            </wp:positionV>
            <wp:extent cx="2733040" cy="698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733040" cy="6985"/>
                    </a:xfrm>
                    <a:prstGeom prst="rect">
                      <a:avLst/>
                    </a:prstGeom>
                    <a:noFill/>
                  </pic:spPr>
                </pic:pic>
              </a:graphicData>
            </a:graphic>
          </wp:anchor>
        </w:drawing>
        <w:drawing>
          <wp:anchor simplePos="0" relativeHeight="251657728" behindDoc="1" locked="0" layoutInCell="0" allowOverlap="1">
            <wp:simplePos x="0" y="0"/>
            <wp:positionH relativeFrom="column">
              <wp:posOffset>1097915</wp:posOffset>
            </wp:positionH>
            <wp:positionV relativeFrom="paragraph">
              <wp:posOffset>-384810</wp:posOffset>
            </wp:positionV>
            <wp:extent cx="1294130" cy="698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294130" cy="6985"/>
                    </a:xfrm>
                    <a:prstGeom prst="rect">
                      <a:avLst/>
                    </a:prstGeom>
                    <a:noFill/>
                  </pic:spPr>
                </pic:pic>
              </a:graphicData>
            </a:graphic>
          </wp:anchor>
        </w:drawing>
      </w:r>
    </w:p>
    <w:p>
      <w:pPr>
        <w:spacing w:after="0" w:line="116" w:lineRule="exact"/>
        <w:rPr>
          <w:sz w:val="20"/>
          <w:szCs w:val="20"/>
          <w:color w:val="auto"/>
        </w:rPr>
      </w:pPr>
    </w:p>
    <w:p>
      <w:pPr>
        <w:jc w:val="both"/>
        <w:ind w:left="720" w:right="7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ELEVENTH: </w:t>
      </w:r>
      <w:r>
        <w:rPr>
          <w:rFonts w:ascii="Times New Roman" w:cs="Times New Roman" w:eastAsia="Times New Roman" w:hAnsi="Times New Roman"/>
          <w:sz w:val="17"/>
          <w:szCs w:val="17"/>
          <w:color w:val="auto"/>
        </w:rPr>
        <w:t>The Corporation renounces, to the fullest extent permitted by law, any interest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expectancy of the Corporation in, or in being offered an opportunity to participate in, any Excluded Opportunity, An “</w:t>
      </w:r>
      <w:r>
        <w:rPr>
          <w:rFonts w:ascii="Times New Roman" w:cs="Times New Roman" w:eastAsia="Times New Roman" w:hAnsi="Times New Roman"/>
          <w:sz w:val="17"/>
          <w:szCs w:val="17"/>
          <w:b w:val="1"/>
          <w:bCs w:val="1"/>
          <w:color w:val="auto"/>
        </w:rPr>
        <w:t>Excluded Opportunity</w:t>
      </w:r>
      <w:r>
        <w:rPr>
          <w:rFonts w:ascii="Times New Roman" w:cs="Times New Roman" w:eastAsia="Times New Roman" w:hAnsi="Times New Roman"/>
          <w:sz w:val="17"/>
          <w:szCs w:val="17"/>
          <w:color w:val="auto"/>
        </w:rPr>
        <w:t>” is any matter, transaction or interest that is presented to, or acquired, created or developed by, or which otherwise comes into the possession of, (i) any director of the Corporation who is not an employee of the Corporation or any of its subsidiaries, or (ii) any holder of Preferred Stock or any partner, member, director, stockholder, employee or agent of any such holder, other than someone who is an employee of the Corporation or any of its subsidiaries (collectively, “</w:t>
      </w:r>
      <w:r>
        <w:rPr>
          <w:rFonts w:ascii="Times New Roman" w:cs="Times New Roman" w:eastAsia="Times New Roman" w:hAnsi="Times New Roman"/>
          <w:sz w:val="17"/>
          <w:szCs w:val="17"/>
          <w:b w:val="1"/>
          <w:bCs w:val="1"/>
          <w:color w:val="auto"/>
        </w:rPr>
        <w:t>Covered Persons</w:t>
      </w:r>
      <w:r>
        <w:rPr>
          <w:rFonts w:ascii="Times New Roman" w:cs="Times New Roman" w:eastAsia="Times New Roman" w:hAnsi="Times New Roman"/>
          <w:sz w:val="17"/>
          <w:szCs w:val="17"/>
          <w:color w:val="auto"/>
        </w:rPr>
        <w:t>”), unless such matter, transaction or interest is presented to, or acquired, created or developed by, or otherwise comes into the possession of, a Covered Person expressly and solely in such Covered Person’s capacity as a director of the Corporation.</w:t>
      </w:r>
    </w:p>
    <w:p>
      <w:pPr>
        <w:spacing w:after="0" w:line="138" w:lineRule="exact"/>
        <w:rPr>
          <w:sz w:val="20"/>
          <w:szCs w:val="20"/>
          <w:color w:val="auto"/>
        </w:rPr>
      </w:pPr>
    </w:p>
    <w:p>
      <w:pPr>
        <w:jc w:val="both"/>
        <w:ind w:left="720" w:right="7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TWELFTH: </w:t>
      </w:r>
      <w:r>
        <w:rPr>
          <w:rFonts w:ascii="Times New Roman" w:cs="Times New Roman" w:eastAsia="Times New Roman" w:hAnsi="Times New Roman"/>
          <w:sz w:val="17"/>
          <w:szCs w:val="17"/>
          <w:color w:val="auto"/>
        </w:rPr>
        <w:t>Unless the Corporation consents in writing to the selection of an alternative forum,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Court of Chancery in the State of Delaware shall be the sole and exclusive forum for any stockholder (including a beneficial owner) to bring (i) any derivative action or proceeding brought on behalf of the Corporation, (ii) any action asserting a claim of breach of fiduciary duty owed by any director, officer or other employee of the Corporation to the Corporation or the Corporation’s stockholders, (iii) any action asserting a claim against the Corporation, its directors, officers or employees arising pursuant to any provision of the Delaware General Corporation Law or the Restated Certificate or Bylaws of the Corporation or (iv) any action asserting a claim against the Corporation, its directors, officers or employees governed by the internal affairs doctrine, except for, as to each of (i) through (iv) above, any claim as to which the Court of 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358775</wp:posOffset>
            </wp:positionV>
            <wp:extent cx="548576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88" w:name="page289"/>
    <w:bookmarkEnd w:id="288"/>
    <w:p>
      <w:pPr>
        <w:jc w:val="both"/>
        <w:ind w:left="720" w:right="739"/>
        <w:spacing w:after="0" w:line="236" w:lineRule="auto"/>
        <w:rPr>
          <w:sz w:val="20"/>
          <w:szCs w:val="20"/>
          <w:color w:val="auto"/>
        </w:rPr>
      </w:pPr>
      <w:r>
        <w:rPr>
          <w:rFonts w:ascii="Times New Roman" w:cs="Times New Roman" w:eastAsia="Times New Roman" w:hAnsi="Times New Roman"/>
          <w:sz w:val="17"/>
          <w:szCs w:val="17"/>
          <w:color w:val="auto"/>
        </w:rPr>
        <w:t>the Court of Chancery does not have subject matter jurisdiction. If any provision or provisions of this Article Twelfth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Twelfth (including, without limitation, each portion of any sentence of this Article Twelfth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140" w:lineRule="exact"/>
        <w:rPr>
          <w:sz w:val="20"/>
          <w:szCs w:val="20"/>
          <w:color w:val="auto"/>
        </w:rPr>
      </w:pPr>
    </w:p>
    <w:p>
      <w:pPr>
        <w:jc w:val="both"/>
        <w:ind w:left="720" w:right="7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THIRTEENTH: </w:t>
      </w:r>
      <w:r>
        <w:rPr>
          <w:rFonts w:ascii="Times New Roman" w:cs="Times New Roman" w:eastAsia="Times New Roman" w:hAnsi="Times New Roman"/>
          <w:sz w:val="17"/>
          <w:szCs w:val="17"/>
          <w:color w:val="auto"/>
        </w:rPr>
        <w:t>For purposes of Section 500 of the California Corporations Code (to the extent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in connection with any repurchase of shares of Common Stock permitted under this Restated Certificate from employees, officers, directors or consultants of the Corporation in connection with a termination of employment or services pursuant to agreements or arrangements approved by the Board (in addition to any other consent required under this Restated Certificate), such repurchase may be made without regard to any “preferential dividends arrears amount” or “preferential rights amount” (as those terms are defined in Section 500 of the California Corporations Code), Accordingly, for purposes of making any calculation under California Corporations Code Section 500 in connection with such repurchase, the amount of any “preferential dividends arrears amount” or “preferential rights amount” (as those terms are defined therein) shall be deemed to be zero (0).</w:t>
      </w:r>
    </w:p>
    <w:p>
      <w:pPr>
        <w:spacing w:after="0" w:line="142" w:lineRule="exact"/>
        <w:rPr>
          <w:sz w:val="20"/>
          <w:szCs w:val="20"/>
          <w:color w:val="auto"/>
        </w:rPr>
      </w:pPr>
    </w:p>
    <w:p>
      <w:pPr>
        <w:ind w:left="720" w:right="739" w:firstLine="1009"/>
        <w:spacing w:after="0" w:line="259" w:lineRule="auto"/>
        <w:tabs>
          <w:tab w:leader="none" w:pos="2071"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the foregoing amendment and restatement was approved by the holders of the requisite number of shares of this corporation in accordance with Section 228 of the General Corporation Law.</w:t>
      </w:r>
    </w:p>
    <w:p>
      <w:pPr>
        <w:spacing w:after="0" w:line="124" w:lineRule="exact"/>
        <w:rPr>
          <w:rFonts w:ascii="Times New Roman" w:cs="Times New Roman" w:eastAsia="Times New Roman" w:hAnsi="Times New Roman"/>
          <w:sz w:val="17"/>
          <w:szCs w:val="17"/>
          <w:color w:val="auto"/>
        </w:rPr>
      </w:pPr>
    </w:p>
    <w:p>
      <w:pPr>
        <w:jc w:val="both"/>
        <w:ind w:left="720" w:right="739" w:firstLine="1009"/>
        <w:spacing w:after="0" w:line="246" w:lineRule="auto"/>
        <w:tabs>
          <w:tab w:leader="none" w:pos="2098" w:val="left"/>
        </w:tabs>
        <w:numPr>
          <w:ilvl w:val="0"/>
          <w:numId w:val="1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this Amended and Restated Certificate of Incorporation, which restates and integrates and further amends the provisions of the Corporation’s Amended and Restated Certificate of Incorporation, has been duly adopted in accordance with Sections 242 and 245 of the General Corporation Law.</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289" w:name="page290"/>
    <w:bookmarkEnd w:id="289"/>
    <w:p>
      <w:pPr>
        <w:ind w:left="720" w:right="739"/>
        <w:spacing w:after="0" w:line="264"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this Amended and Restated Certificate of Incorporation has been executed by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duly authorized officer of this corporation on this 25th day of April, 2025.</w:t>
      </w:r>
    </w:p>
    <w:p>
      <w:pPr>
        <w:spacing w:after="0" w:line="138"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6"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u w:val="single" w:color="auto"/>
          <w:color w:val="auto"/>
        </w:rPr>
        <w:t>/s/ Lyn Baranowski</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Lyn Baranowski</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476885</wp:posOffset>
            </wp:positionV>
            <wp:extent cx="548576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CERTIFICATE OF AMENDMENT TO</w:t>
      </w: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CERTIFICATE OF INCORPORATION</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Avalyn Pharma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hereby certifies that:</w:t>
      </w:r>
    </w:p>
    <w:p>
      <w:pPr>
        <w:spacing w:after="0" w:line="166" w:lineRule="exact"/>
        <w:rPr>
          <w:sz w:val="20"/>
          <w:szCs w:val="20"/>
          <w:color w:val="auto"/>
        </w:rPr>
      </w:pPr>
    </w:p>
    <w:p>
      <w:pPr>
        <w:jc w:val="both"/>
        <w:ind w:left="720" w:right="739" w:firstLine="504"/>
        <w:spacing w:after="0" w:line="246" w:lineRule="auto"/>
        <w:tabs>
          <w:tab w:leader="none" w:pos="1406"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name of the corporation is Avalyn Pharma Inc., and the corporation was originally incorporated pursuant to the General Corporation Law of the State of Delaware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on May 27, 2011 under the name Genoa Pharmaceuticals, Inc.</w:t>
      </w:r>
    </w:p>
    <w:p>
      <w:pPr>
        <w:spacing w:after="0" w:line="134" w:lineRule="exact"/>
        <w:rPr>
          <w:rFonts w:ascii="Times New Roman" w:cs="Times New Roman" w:eastAsia="Times New Roman" w:hAnsi="Times New Roman"/>
          <w:sz w:val="17"/>
          <w:szCs w:val="17"/>
          <w:color w:val="auto"/>
        </w:rPr>
      </w:pPr>
    </w:p>
    <w:p>
      <w:pPr>
        <w:jc w:val="both"/>
        <w:ind w:left="720" w:right="739" w:firstLine="504"/>
        <w:spacing w:after="0" w:line="261" w:lineRule="auto"/>
        <w:tabs>
          <w:tab w:leader="none" w:pos="1406"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amendments to the Corporation’s Amended and Restated Certificate of Incorporation, as amended (the “</w:t>
      </w:r>
      <w:r>
        <w:rPr>
          <w:rFonts w:ascii="Times New Roman" w:cs="Times New Roman" w:eastAsia="Times New Roman" w:hAnsi="Times New Roman"/>
          <w:sz w:val="16"/>
          <w:szCs w:val="16"/>
          <w:b w:val="1"/>
          <w:bCs w:val="1"/>
          <w:i w:val="1"/>
          <w:iCs w:val="1"/>
          <w:color w:val="auto"/>
        </w:rPr>
        <w:t>Current Certificate</w:t>
      </w:r>
      <w:r>
        <w:rPr>
          <w:rFonts w:ascii="Times New Roman" w:cs="Times New Roman" w:eastAsia="Times New Roman" w:hAnsi="Times New Roman"/>
          <w:sz w:val="16"/>
          <w:szCs w:val="16"/>
          <w:color w:val="auto"/>
        </w:rPr>
        <w:t>”), have been duly adopted in accordance with the provisions of Section 242 of the DGCL, with the approval of such amendments by the Corporation’s stockholders having been given by written consent without a meeting in accordance with Sections 228 and 242 of the General Corporation Law.</w:t>
      </w:r>
    </w:p>
    <w:p>
      <w:pPr>
        <w:spacing w:after="0" w:line="124" w:lineRule="exact"/>
        <w:rPr>
          <w:rFonts w:ascii="Times New Roman" w:cs="Times New Roman" w:eastAsia="Times New Roman" w:hAnsi="Times New Roman"/>
          <w:sz w:val="16"/>
          <w:szCs w:val="16"/>
          <w:color w:val="auto"/>
        </w:rPr>
      </w:pPr>
    </w:p>
    <w:p>
      <w:pPr>
        <w:ind w:left="720" w:right="739" w:firstLine="504"/>
        <w:spacing w:after="0" w:line="259" w:lineRule="auto"/>
        <w:tabs>
          <w:tab w:leader="none" w:pos="1406"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Current Certificate is hereby amended by deleting Article Fourth and replacing it with the following:</w:t>
      </w:r>
    </w:p>
    <w:p>
      <w:pPr>
        <w:spacing w:after="0" w:line="125" w:lineRule="exact"/>
        <w:rPr>
          <w:sz w:val="20"/>
          <w:szCs w:val="20"/>
          <w:color w:val="auto"/>
        </w:rPr>
      </w:pPr>
    </w:p>
    <w:p>
      <w:pPr>
        <w:jc w:val="both"/>
        <w:ind w:left="1720" w:right="739"/>
        <w:spacing w:after="0" w:line="246" w:lineRule="auto"/>
        <w:rPr>
          <w:sz w:val="20"/>
          <w:szCs w:val="20"/>
          <w:color w:val="auto"/>
        </w:rPr>
      </w:pPr>
      <w:r>
        <w:rPr>
          <w:rFonts w:ascii="Times New Roman" w:cs="Times New Roman" w:eastAsia="Times New Roman" w:hAnsi="Times New Roman"/>
          <w:sz w:val="17"/>
          <w:szCs w:val="17"/>
          <w:color w:val="auto"/>
        </w:rPr>
        <w:t>FOURTH: The total number of shares of all classes of stock which the Corporation shall have authority to issue is (i) 585,000,000 shares of Common Stock, par value $0,001 per share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and (ii) 462,178,988 shares of Preferred Stock, par value $0,001 per share.</w:t>
      </w:r>
    </w:p>
    <w:p>
      <w:pPr>
        <w:spacing w:after="0" w:line="135" w:lineRule="exact"/>
        <w:rPr>
          <w:sz w:val="20"/>
          <w:szCs w:val="20"/>
          <w:color w:val="auto"/>
        </w:rPr>
      </w:pPr>
    </w:p>
    <w:p>
      <w:pPr>
        <w:ind w:left="1400" w:hanging="176"/>
        <w:spacing w:after="0"/>
        <w:tabs>
          <w:tab w:leader="none" w:pos="1400"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Certificate of Amendment to the Current Certificate shall be effective as of the date of filing.</w:t>
      </w:r>
    </w:p>
    <w:p>
      <w:pPr>
        <w:spacing w:after="0" w:line="157" w:lineRule="exact"/>
        <w:rPr>
          <w:rFonts w:ascii="Times New Roman" w:cs="Times New Roman" w:eastAsia="Times New Roman" w:hAnsi="Times New Roman"/>
          <w:sz w:val="17"/>
          <w:szCs w:val="17"/>
          <w:color w:val="auto"/>
        </w:rPr>
      </w:pPr>
    </w:p>
    <w:p>
      <w:pPr>
        <w:ind w:left="22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REMAINDER OF PAGE INTENTIONALLY LEFT BLANK</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ind w:left="720" w:right="739" w:firstLine="505"/>
        <w:spacing w:after="0" w:line="288" w:lineRule="auto"/>
        <w:rPr>
          <w:sz w:val="20"/>
          <w:szCs w:val="20"/>
          <w:color w:val="auto"/>
        </w:rPr>
      </w:pPr>
      <w:r>
        <w:rPr>
          <w:rFonts w:ascii="Times New Roman" w:cs="Times New Roman" w:eastAsia="Times New Roman" w:hAnsi="Times New Roman"/>
          <w:sz w:val="17"/>
          <w:szCs w:val="17"/>
          <w:color w:val="auto"/>
        </w:rPr>
        <w:t>IN WITNESS WHEREOF, the Certificate of Amendment has been executed by a duly authorized officer of the Corporation on this 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day of January, 2026.</w:t>
      </w:r>
    </w:p>
    <w:p>
      <w:pPr>
        <w:spacing w:after="0" w:line="4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color w:val="auto"/>
        </w:rPr>
        <w:t>By: /s/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3537585</wp:posOffset>
            </wp:positionH>
            <wp:positionV relativeFrom="paragraph">
              <wp:posOffset>8890</wp:posOffset>
            </wp:positionV>
            <wp:extent cx="1729105" cy="698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29105" cy="6985"/>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7"/>
          <w:szCs w:val="17"/>
          <w:color w:val="auto"/>
        </w:rPr>
        <w:t>Name: Lyn Baranowski</w:t>
      </w:r>
    </w:p>
    <w:p>
      <w:pPr>
        <w:ind w:left="526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465455</wp:posOffset>
            </wp:positionV>
            <wp:extent cx="54857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291" w:name="page292"/>
    <w:bookmarkEnd w:id="291"/>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3.4</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AMENDED AND RESTATED BYLAWS</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GENOA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800100</wp:posOffset>
            </wp:positionV>
            <wp:extent cx="54857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292" w:name="page293"/>
    <w:bookmarkEnd w:id="292"/>
    <w:tbl>
      <w:tblPr>
        <w:tblLayout w:type="fixed"/>
        <w:tblInd w:w="200" w:type="dxa"/>
        <w:tblCellMar>
          <w:top w:w="0" w:type="dxa"/>
          <w:left w:w="0" w:type="dxa"/>
          <w:bottom w:w="0" w:type="dxa"/>
          <w:right w:w="0" w:type="dxa"/>
        </w:tblCellMar>
      </w:tblPr>
      <w:tr>
        <w:trPr>
          <w:trHeight w:val="222"/>
        </w:trPr>
        <w:tc>
          <w:tcPr>
            <w:tcW w:w="20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820" w:type="dxa"/>
            <w:vAlign w:val="bottom"/>
            <w:gridSpan w:val="2"/>
          </w:tcPr>
          <w:p>
            <w:pPr>
              <w:jc w:val="center"/>
              <w:ind w:right="2100"/>
              <w:spacing w:after="0"/>
              <w:rPr>
                <w:sz w:val="20"/>
                <w:szCs w:val="20"/>
                <w:color w:val="auto"/>
              </w:rPr>
            </w:pPr>
            <w:r>
              <w:rPr>
                <w:rFonts w:ascii="Times New Roman" w:cs="Times New Roman" w:eastAsia="Times New Roman" w:hAnsi="Times New Roman"/>
                <w:sz w:val="17"/>
                <w:szCs w:val="17"/>
                <w:b w:val="1"/>
                <w:bCs w:val="1"/>
                <w:color w:val="auto"/>
                <w:w w:val="97"/>
              </w:rPr>
              <w:t>BYLAWS</w:t>
            </w: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7"/>
        </w:trPr>
        <w:tc>
          <w:tcPr>
            <w:tcW w:w="20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820" w:type="dxa"/>
            <w:vAlign w:val="bottom"/>
            <w:gridSpan w:val="2"/>
          </w:tcPr>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OF</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080" w:type="dxa"/>
            <w:vAlign w:val="bottom"/>
          </w:tcPr>
          <w:p>
            <w:pPr>
              <w:spacing w:after="0"/>
              <w:rPr>
                <w:sz w:val="24"/>
                <w:szCs w:val="24"/>
                <w:color w:val="auto"/>
              </w:rPr>
            </w:pPr>
          </w:p>
        </w:tc>
        <w:tc>
          <w:tcPr>
            <w:tcW w:w="5180" w:type="dxa"/>
            <w:vAlign w:val="bottom"/>
            <w:gridSpan w:val="3"/>
          </w:tcPr>
          <w:p>
            <w:pPr>
              <w:jc w:val="center"/>
              <w:ind w:right="740"/>
              <w:spacing w:after="0"/>
              <w:rPr>
                <w:sz w:val="20"/>
                <w:szCs w:val="20"/>
                <w:color w:val="auto"/>
              </w:rPr>
            </w:pPr>
            <w:r>
              <w:rPr>
                <w:rFonts w:ascii="Times New Roman" w:cs="Times New Roman" w:eastAsia="Times New Roman" w:hAnsi="Times New Roman"/>
                <w:sz w:val="17"/>
                <w:szCs w:val="17"/>
                <w:b w:val="1"/>
                <w:bCs w:val="1"/>
                <w:color w:val="auto"/>
                <w:w w:val="99"/>
              </w:rPr>
              <w:t xml:space="preserve">GENOA PHARMACEUTICALS, </w:t>
            </w:r>
            <w:r>
              <w:rPr>
                <w:rFonts w:ascii="Times New Roman" w:cs="Times New Roman" w:eastAsia="Times New Roman" w:hAnsi="Times New Roman"/>
                <w:sz w:val="17"/>
                <w:szCs w:val="17"/>
                <w:b w:val="1"/>
                <w:bCs w:val="1"/>
                <w:color w:val="202020"/>
                <w:w w:val="99"/>
              </w:rPr>
              <w:t>INC.</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8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b w:val="1"/>
                <w:bCs w:val="1"/>
                <w:color w:val="auto"/>
              </w:rPr>
              <w:t>Page</w:t>
            </w:r>
          </w:p>
        </w:tc>
        <w:tc>
          <w:tcPr>
            <w:tcW w:w="5180" w:type="dxa"/>
            <w:vAlign w:val="bottom"/>
            <w:gridSpan w:val="3"/>
          </w:tcPr>
          <w:p>
            <w:pPr>
              <w:jc w:val="center"/>
              <w:ind w:right="740"/>
              <w:spacing w:after="0"/>
              <w:rPr>
                <w:sz w:val="20"/>
                <w:szCs w:val="20"/>
                <w:color w:val="auto"/>
              </w:rPr>
            </w:pPr>
            <w:r>
              <w:rPr>
                <w:rFonts w:ascii="Times New Roman" w:cs="Times New Roman" w:eastAsia="Times New Roman" w:hAnsi="Times New Roman"/>
                <w:sz w:val="17"/>
                <w:szCs w:val="17"/>
                <w:color w:val="202020"/>
                <w:w w:val="98"/>
              </w:rPr>
              <w:t>TABLE OF CONTENTS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8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1720" w:type="dxa"/>
            <w:vAlign w:val="bottom"/>
            <w:tcBorders>
              <w:top w:val="single" w:sz="8" w:color="202020"/>
            </w:tcBorders>
          </w:tcPr>
          <w:p>
            <w:pPr>
              <w:spacing w:after="0"/>
              <w:rPr>
                <w:sz w:val="18"/>
                <w:szCs w:val="18"/>
                <w:color w:val="auto"/>
              </w:rPr>
            </w:pPr>
          </w:p>
        </w:tc>
        <w:tc>
          <w:tcPr>
            <w:tcW w:w="2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3"/>
        </w:trPr>
        <w:tc>
          <w:tcPr>
            <w:tcW w:w="726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auto"/>
              </w:rPr>
              <w:t>Article I OFFICES</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REGISTERED OFFICE</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2.</w:t>
            </w: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OTHER OFFICES</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29"/>
        </w:trPr>
        <w:tc>
          <w:tcPr>
            <w:tcW w:w="726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auto"/>
              </w:rPr>
              <w:t>Article II MEETINGS OF STOCKHOLDERS</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PLACE OF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2.</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ANNUAL MEETING OF STOCKHOLDERS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3.</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QUORUM; ADJOURNED MEETINGS AND NOTICE THEREOF</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4.</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VOTING</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5.</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PROXIES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6.</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SPECIAL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7.</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NOTICE OF STOCKHOLDERS’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8.</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MAINTENANCE AND INSPECTION OF STOCKHOLDER LIST</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9.</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STOCKHOLDER ACTION BY WRITTEN CONSENT WITHOUT A</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8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MEETING</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329"/>
        </w:trPr>
        <w:tc>
          <w:tcPr>
            <w:tcW w:w="726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auto"/>
              </w:rPr>
              <w:t>Article III DIRECTORS</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THE NUMBER OF DIRECTORS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2.</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VACANCIES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3.</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POWERS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4.</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PLACE OF DIRECTORS’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5.</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REGULAR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6.</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SPECIAL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7.</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QUORUM</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8.</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ACTION WITHOUT MEETING</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9.</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TELEPHONIC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10.</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COMMITTEES OF DIRECTORS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11.</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MINUTES OF COMMITTEE MEETINGS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12.</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CHAIRMAN OF THE BOARD</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13.</w:t>
            </w: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COMPENSATION OF DIRECTORS</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29"/>
        </w:trPr>
        <w:tc>
          <w:tcPr>
            <w:tcW w:w="7260" w:type="dxa"/>
            <w:vAlign w:val="bottom"/>
            <w:gridSpan w:val="4"/>
          </w:tcPr>
          <w:p>
            <w:pPr>
              <w:ind w:left="1020"/>
              <w:spacing w:after="0"/>
              <w:rPr>
                <w:sz w:val="20"/>
                <w:szCs w:val="20"/>
                <w:color w:val="auto"/>
              </w:rPr>
            </w:pPr>
            <w:r>
              <w:rPr>
                <w:rFonts w:ascii="Times New Roman" w:cs="Times New Roman" w:eastAsia="Times New Roman" w:hAnsi="Times New Roman"/>
                <w:sz w:val="17"/>
                <w:szCs w:val="17"/>
                <w:color w:val="auto"/>
              </w:rPr>
              <w:t>Article IV OFFICERS</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OFFICERS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2.</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ELECTION OF OFFICERS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3.</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SUBORDINATE OFFICERS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4.</w:t>
            </w:r>
          </w:p>
        </w:tc>
        <w:tc>
          <w:tcPr>
            <w:tcW w:w="5180" w:type="dxa"/>
            <w:vAlign w:val="bottom"/>
            <w:gridSpan w:val="3"/>
          </w:tcPr>
          <w:p>
            <w:pPr>
              <w:ind w:left="160"/>
              <w:spacing w:after="0" w:line="189" w:lineRule="exact"/>
              <w:rPr>
                <w:sz w:val="20"/>
                <w:szCs w:val="20"/>
                <w:color w:val="auto"/>
              </w:rPr>
            </w:pPr>
            <w:r>
              <w:rPr>
                <w:rFonts w:ascii="Times New Roman" w:cs="Times New Roman" w:eastAsia="Times New Roman" w:hAnsi="Times New Roman"/>
                <w:sz w:val="17"/>
                <w:szCs w:val="17"/>
                <w:color w:val="auto"/>
              </w:rPr>
              <w:t>COMPENSATION OF OFFICERS</w:t>
            </w:r>
          </w:p>
        </w:tc>
        <w:tc>
          <w:tcPr>
            <w:tcW w:w="134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5.</w:t>
            </w: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TERM OF OFFICE; REMOVAL AND VACANCIES</w:t>
            </w:r>
          </w:p>
        </w:tc>
        <w:tc>
          <w:tcPr>
            <w:tcW w:w="134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086"/>
        </w:trPr>
        <w:tc>
          <w:tcPr>
            <w:tcW w:w="208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293" w:name="page294"/>
    <w:bookmarkEnd w:id="293"/>
    <w:tbl>
      <w:tblPr>
        <w:tblLayout w:type="fixed"/>
        <w:tblInd w:w="200" w:type="dxa"/>
        <w:tblCellMar>
          <w:top w:w="0" w:type="dxa"/>
          <w:left w:w="0" w:type="dxa"/>
          <w:bottom w:w="0" w:type="dxa"/>
          <w:right w:w="0" w:type="dxa"/>
        </w:tblCellMar>
      </w:tblPr>
      <w:tr>
        <w:trPr>
          <w:trHeight w:val="195"/>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6.</w:t>
            </w:r>
          </w:p>
        </w:tc>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PRESIDENT</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7</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7.</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VICE PRESIDENTS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7</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8.</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SECRETARY</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7</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9.</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ASSISTANT SECRETARY</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8</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10.</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CHIEF FINANCIAL OFFICER OR TREASURER</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8</w:t>
            </w: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11.</w:t>
            </w:r>
          </w:p>
        </w:tc>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ASSISTANT TREASURER</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8</w:t>
            </w:r>
          </w:p>
        </w:tc>
      </w:tr>
      <w:tr>
        <w:trPr>
          <w:trHeight w:val="357"/>
        </w:trPr>
        <w:tc>
          <w:tcPr>
            <w:tcW w:w="722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Article V INDEMNIFICATION OF DIRECTORS AND OFFICERS</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8</w:t>
            </w:r>
          </w:p>
        </w:tc>
      </w:tr>
      <w:tr>
        <w:trPr>
          <w:trHeight w:val="357"/>
        </w:trPr>
        <w:tc>
          <w:tcPr>
            <w:tcW w:w="722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Article VI INDEMNIFICATION OF EMPLOYEES AND AGENTS</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11</w:t>
            </w:r>
          </w:p>
        </w:tc>
      </w:tr>
      <w:tr>
        <w:trPr>
          <w:trHeight w:val="329"/>
        </w:trPr>
        <w:tc>
          <w:tcPr>
            <w:tcW w:w="722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Article VII CERTIFICATES OF STOCK</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11</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CERTIFICATES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11</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2.</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SIGNATURES ON CERTIFICATES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11</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3.</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STATEMENT OF STOCK RIGHTS, PREFERENCES, PRIVILEGES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11</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4.</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LOST CERTIFICATES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5.</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TRANSFERS OF STOCK</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6.</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FIXED RECORD DATE</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7.</w:t>
            </w:r>
          </w:p>
        </w:tc>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REGISTERED STOCKHOLDERS</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12</w:t>
            </w:r>
          </w:p>
        </w:tc>
      </w:tr>
      <w:tr>
        <w:trPr>
          <w:trHeight w:val="329"/>
        </w:trPr>
        <w:tc>
          <w:tcPr>
            <w:tcW w:w="722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Article VIII GENERAL PROVISIONS</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12</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DIVIDENDS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12</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2.</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PAYMENT OF DIVIDENDS; DIRECTORS’ DUTIES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3.</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CHECKS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4.</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FISCAL YEAR</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5.</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CORPORATE SEAL</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6.</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MANNER OF GIVING NOTICE</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7.</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WAIVER OF NOTICE</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8.</w:t>
            </w:r>
          </w:p>
        </w:tc>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ANNUAL STATEMENT</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13</w:t>
            </w:r>
          </w:p>
        </w:tc>
      </w:tr>
      <w:tr>
        <w:trPr>
          <w:trHeight w:val="329"/>
        </w:trPr>
        <w:tc>
          <w:tcPr>
            <w:tcW w:w="722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Article IX AMENDMENTS</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AMENDMENT BY DIRECTORS OR STOCKHOLDERS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2.</w:t>
            </w:r>
          </w:p>
        </w:tc>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AMENDMENT AND RESTATEMENT</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14</w:t>
            </w:r>
          </w:p>
        </w:tc>
      </w:tr>
      <w:tr>
        <w:trPr>
          <w:trHeight w:val="329"/>
        </w:trPr>
        <w:tc>
          <w:tcPr>
            <w:tcW w:w="7220" w:type="dxa"/>
            <w:vAlign w:val="bottom"/>
            <w:gridSpan w:val="2"/>
          </w:tcPr>
          <w:p>
            <w:pPr>
              <w:ind w:left="1020"/>
              <w:spacing w:after="0"/>
              <w:rPr>
                <w:sz w:val="20"/>
                <w:szCs w:val="20"/>
                <w:color w:val="auto"/>
              </w:rPr>
            </w:pPr>
            <w:r>
              <w:rPr>
                <w:rFonts w:ascii="Times New Roman" w:cs="Times New Roman" w:eastAsia="Times New Roman" w:hAnsi="Times New Roman"/>
                <w:sz w:val="17"/>
                <w:szCs w:val="17"/>
                <w:color w:val="auto"/>
              </w:rPr>
              <w:t>Article X RIGHT OF FIRST REFUSAL</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1.</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RESTRICTION ON TRANSFER</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13</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2.</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NOTICE REQUIREMENT</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3.</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OPTION OF THE CORPORATION</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4.</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SPECIAL PROVISIONS REGARDING EXCHANGES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14</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5.</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EFFECT OF PURCHASE</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6.</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CERTAIN TRANSFERS EXEMPT</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7.</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LIMITATIONS ON RIGHT OF FIRST REFUSAL</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16</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8.</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WAIVER</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89"/>
        </w:trPr>
        <w:tc>
          <w:tcPr>
            <w:tcW w:w="2080" w:type="dxa"/>
            <w:vAlign w:val="bottom"/>
          </w:tcPr>
          <w:p>
            <w:pPr>
              <w:ind w:left="1180"/>
              <w:spacing w:after="0" w:line="189" w:lineRule="exact"/>
              <w:rPr>
                <w:sz w:val="20"/>
                <w:szCs w:val="20"/>
                <w:color w:val="auto"/>
              </w:rPr>
            </w:pPr>
            <w:r>
              <w:rPr>
                <w:rFonts w:ascii="Times New Roman" w:cs="Times New Roman" w:eastAsia="Times New Roman" w:hAnsi="Times New Roman"/>
                <w:sz w:val="17"/>
                <w:szCs w:val="17"/>
                <w:color w:val="auto"/>
              </w:rPr>
              <w:t>Section 9.</w:t>
            </w:r>
          </w:p>
        </w:tc>
        <w:tc>
          <w:tcPr>
            <w:tcW w:w="514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ASSIGNMENT; ALTERNATIVE RIGHTS</w:t>
            </w:r>
          </w:p>
        </w:tc>
        <w:tc>
          <w:tcPr>
            <w:tcW w:w="1380" w:type="dxa"/>
            <w:vAlign w:val="bottom"/>
          </w:tcPr>
          <w:p>
            <w:pPr>
              <w:jc w:val="right"/>
              <w:ind w:right="936"/>
              <w:spacing w:after="0" w:line="189" w:lineRule="exact"/>
              <w:rPr>
                <w:sz w:val="20"/>
                <w:szCs w:val="20"/>
                <w:color w:val="auto"/>
              </w:rPr>
            </w:pPr>
            <w:r>
              <w:rPr>
                <w:rFonts w:ascii="Times New Roman" w:cs="Times New Roman" w:eastAsia="Times New Roman" w:hAnsi="Times New Roman"/>
                <w:sz w:val="17"/>
                <w:szCs w:val="17"/>
                <w:color w:val="auto"/>
              </w:rPr>
              <w:t>16</w:t>
            </w:r>
          </w:p>
        </w:tc>
      </w:tr>
      <w:tr>
        <w:trPr>
          <w:trHeight w:val="218"/>
        </w:trPr>
        <w:tc>
          <w:tcPr>
            <w:tcW w:w="208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Section 10.</w:t>
            </w:r>
          </w:p>
        </w:tc>
        <w:tc>
          <w:tcPr>
            <w:tcW w:w="5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LEGEND</w:t>
            </w:r>
          </w:p>
        </w:tc>
        <w:tc>
          <w:tcPr>
            <w:tcW w:w="1380" w:type="dxa"/>
            <w:vAlign w:val="bottom"/>
          </w:tcPr>
          <w:p>
            <w:pPr>
              <w:jc w:val="right"/>
              <w:ind w:right="936"/>
              <w:spacing w:after="0"/>
              <w:rPr>
                <w:sz w:val="20"/>
                <w:szCs w:val="20"/>
                <w:color w:val="auto"/>
              </w:rPr>
            </w:pPr>
            <w:r>
              <w:rPr>
                <w:rFonts w:ascii="Times New Roman" w:cs="Times New Roman" w:eastAsia="Times New Roman" w:hAnsi="Times New Roman"/>
                <w:sz w:val="17"/>
                <w:szCs w:val="17"/>
                <w:color w:val="auto"/>
              </w:rPr>
              <w:t>16</w:t>
            </w:r>
          </w:p>
        </w:tc>
      </w:tr>
      <w:tr>
        <w:trPr>
          <w:trHeight w:val="1086"/>
        </w:trPr>
        <w:tc>
          <w:tcPr>
            <w:tcW w:w="208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22" w:right="1440" w:bottom="1440" w:gutter="0" w:footer="0" w:header="0"/>
        </w:sectPr>
      </w:pPr>
    </w:p>
    <w:bookmarkStart w:id="294" w:name="page295"/>
    <w:bookmarkEnd w:id="29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BYLAWS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202020"/>
        </w:rPr>
        <w:t xml:space="preserve">GENOA </w:t>
      </w:r>
      <w:r>
        <w:rPr>
          <w:rFonts w:ascii="Times New Roman" w:cs="Times New Roman" w:eastAsia="Times New Roman" w:hAnsi="Times New Roman"/>
          <w:sz w:val="17"/>
          <w:szCs w:val="17"/>
          <w:b w:val="1"/>
          <w:bCs w:val="1"/>
          <w:color w:val="000000"/>
        </w:rPr>
        <w:t>PHARMACEUTICALS,</w:t>
      </w:r>
      <w:r>
        <w:rPr>
          <w:rFonts w:ascii="Times New Roman" w:cs="Times New Roman" w:eastAsia="Times New Roman" w:hAnsi="Times New Roman"/>
          <w:sz w:val="17"/>
          <w:szCs w:val="17"/>
          <w:b w:val="1"/>
          <w:bCs w:val="1"/>
          <w:color w:val="202020"/>
        </w:rPr>
        <w:t xml:space="preserve"> INC.</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OFFICES</w:t>
      </w:r>
    </w:p>
    <w:p>
      <w:pPr>
        <w:spacing w:after="0" w:line="162"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7"/>
          <w:szCs w:val="17"/>
          <w:color w:val="auto"/>
        </w:rPr>
        <w:t>Section 1. REGISTERED OFFICE. The registered office shall be in the City of Wilmington, County of New Castle, State of Delaware.</w:t>
      </w:r>
    </w:p>
    <w:p>
      <w:pPr>
        <w:spacing w:after="0" w:line="125"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2. OTHER OFFICES. The corporation may also have offices at such other places both within and without the State of Delaware as the Board of Directors may from time to time determine or the business of the corporation may require.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MEETINGS OF STOCKHOLDERS</w:t>
      </w:r>
    </w:p>
    <w:p>
      <w:pPr>
        <w:spacing w:after="0" w:line="162" w:lineRule="exact"/>
        <w:rPr>
          <w:sz w:val="20"/>
          <w:szCs w:val="20"/>
          <w:color w:val="auto"/>
        </w:rPr>
      </w:pPr>
    </w:p>
    <w:p>
      <w:pPr>
        <w:jc w:val="both"/>
        <w:ind w:left="1220" w:right="1239" w:firstLine="1009"/>
        <w:spacing w:after="0" w:line="241" w:lineRule="auto"/>
        <w:rPr>
          <w:sz w:val="20"/>
          <w:szCs w:val="20"/>
          <w:color w:val="auto"/>
        </w:rPr>
      </w:pPr>
      <w:r>
        <w:rPr>
          <w:rFonts w:ascii="Times New Roman" w:cs="Times New Roman" w:eastAsia="Times New Roman" w:hAnsi="Times New Roman"/>
          <w:sz w:val="17"/>
          <w:szCs w:val="17"/>
          <w:color w:val="auto"/>
        </w:rPr>
        <w:t>Section 1. PLACE OF MEETINGS. Meetings of stockholders shall be held at any place within or outside the State of Delaware designated by the Board of Directors. In the absence of any such designation, stockholders’ meetings shall be held at the principal executive office of the corporation.</w:t>
      </w:r>
    </w:p>
    <w:p>
      <w:pPr>
        <w:spacing w:after="0" w:line="140" w:lineRule="exact"/>
        <w:rPr>
          <w:sz w:val="20"/>
          <w:szCs w:val="20"/>
          <w:color w:val="auto"/>
        </w:rPr>
      </w:pPr>
    </w:p>
    <w:p>
      <w:pPr>
        <w:jc w:val="both"/>
        <w:ind w:left="1220" w:right="1239" w:firstLine="1009"/>
        <w:spacing w:after="0" w:line="239" w:lineRule="auto"/>
        <w:rPr>
          <w:sz w:val="20"/>
          <w:szCs w:val="20"/>
          <w:color w:val="auto"/>
        </w:rPr>
      </w:pPr>
      <w:r>
        <w:rPr>
          <w:rFonts w:ascii="Times New Roman" w:cs="Times New Roman" w:eastAsia="Times New Roman" w:hAnsi="Times New Roman"/>
          <w:sz w:val="17"/>
          <w:szCs w:val="17"/>
          <w:color w:val="auto"/>
        </w:rPr>
        <w:t>Section 2. ANNUAL MEETING OF STOCKHOLDERS. The annual meeting of stockholders shall be held each year on a date and a time designated by the Board of Directors. At each annual meeting directors shall be elected in the manner provided in the certificate of incorporation of the corporation, as amended from time to time (the “</w:t>
      </w:r>
      <w:r>
        <w:rPr>
          <w:rFonts w:ascii="Times New Roman" w:cs="Times New Roman" w:eastAsia="Times New Roman" w:hAnsi="Times New Roman"/>
          <w:sz w:val="17"/>
          <w:szCs w:val="17"/>
          <w:b w:val="1"/>
          <w:bCs w:val="1"/>
          <w:i w:val="1"/>
          <w:iCs w:val="1"/>
          <w:color w:val="auto"/>
        </w:rPr>
        <w:t>Certificate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Incorporation</w:t>
      </w:r>
      <w:r>
        <w:rPr>
          <w:rFonts w:ascii="Times New Roman" w:cs="Times New Roman" w:eastAsia="Times New Roman" w:hAnsi="Times New Roman"/>
          <w:sz w:val="17"/>
          <w:szCs w:val="17"/>
          <w:color w:val="auto"/>
        </w:rPr>
        <w:t>”) and in these Bylaws, and any other proper business may be transacted.</w:t>
      </w:r>
    </w:p>
    <w:p>
      <w:pPr>
        <w:spacing w:after="0" w:line="141"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6"/>
          <w:szCs w:val="16"/>
          <w:color w:val="auto"/>
        </w:rPr>
        <w:t>Section 3. QUORUM; ADJOURNED MEETINGS AND NOTICE THEREOF. A majority of the stock issued and outstanding and entitled to vote at any meeting of stockholders, the holders of which are present in person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and the votes present may continue to transact business until adjournment. If, however, such quorum shall not be present or represented at any meeting of the stockholders, a majority of the voting stock represented in person or by proxy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thereat.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08" w:right="1440" w:bottom="1440" w:gutter="0" w:footer="0" w:header="0"/>
        </w:sectPr>
      </w:pPr>
    </w:p>
    <w:bookmarkStart w:id="295" w:name="page296"/>
    <w:bookmarkEnd w:id="295"/>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color w:val="auto"/>
        </w:rPr>
        <w:t>Section 4. VOTING. When a quorum is present at any meeting, in all matters other than the election of directors, the vote of the holders of a majority of the stock having voting power present in person or represented by proxy shall decide any question brought before such meeting, unless the question is one upon which by express provision of the statutes, or the Certificate of Incorporation, or these Bylaws, a different vote is required in which case such express provision shall govern and control the decision of such question. Directors shall be elected by a plurality of the votes of the shares present in person or represented by proxy at the meeting and entitled to vote on the election of directors.</w:t>
      </w:r>
    </w:p>
    <w:p>
      <w:pPr>
        <w:spacing w:after="0" w:line="144"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5. PROXIES. At each meeting of the stockholders, each stockholder having the right to vote may vote in person or may authorize another person or persons to act for him or her by proxy appointed by an instrument in writing subscribed by such stockholder and bearing a date not more than three (3) years prior to said meeting, unless said instrument provides for a longer period. All proxies must be filed with the Secretary of the corporation at the beginning of each meeting in order to be counted in any vote at the meeting. Except as may be otherwise provided in the Certificate of Incorporation, each stockholder shall have one vote for each share of stock having voting power, registered in his or her name on the books of the corporation on the record date set by the Board of Directors as provided in Article VII, Section 6 hereof.</w:t>
      </w:r>
    </w:p>
    <w:p>
      <w:pPr>
        <w:spacing w:after="0" w:line="146"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color w:val="auto"/>
        </w:rPr>
        <w:t>Section 6. SPECIAL MEETINGS. Special meetings of the stockholders, for any purpose, or purposes, unless otherwise prescribed by statute or by the Certificate of Incorporation, may be called by the President and shall be called by the Chairman of the Board, President or the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 Business transacted at any special meeting of stockholders shall be limited to the purposes stated in the notice.</w:t>
      </w:r>
    </w:p>
    <w:p>
      <w:pPr>
        <w:spacing w:after="0" w:line="144"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 xml:space="preserve">Section 7. NOTICE OF STOCKHOLDERS’ MEETINGS. Whenever stockholders are required or permitted to take any action at a meeting, a written notice of the meeting shall be given which notice shall state the place, date and hour of the meeting, and, in the case of a special meeting, the purpose or purposes for which the meeting is called. The written notice of any meeting shall be given to each stockholder entitled to vote at such meeting not less than ten (10) nor more than sixty (60) days before the date of the meeting. If mailed, notice is given when deposited in the United States mail, postage prepaid, directed to the stockholder at his or her address as it appears on the records of the corporation. If electronically transmitted, then notice is deemed given when transmitted and directed to a facsimile number or electronic mail address at which the stockholder has consented to receive notice. An affidavit of the secretary or an assistant secretary or of the transfer agent or other agent of the corporation that the notice has been given shall, in the absence of fraud, be </w:t>
      </w:r>
      <w:r>
        <w:rPr>
          <w:rFonts w:ascii="Times New Roman" w:cs="Times New Roman" w:eastAsia="Times New Roman" w:hAnsi="Times New Roman"/>
          <w:sz w:val="17"/>
          <w:szCs w:val="17"/>
          <w:i w:val="1"/>
          <w:iCs w:val="1"/>
          <w:color w:val="auto"/>
        </w:rPr>
        <w:t>prima facie</w:t>
      </w:r>
      <w:r>
        <w:rPr>
          <w:rFonts w:ascii="Times New Roman" w:cs="Times New Roman" w:eastAsia="Times New Roman" w:hAnsi="Times New Roman"/>
          <w:sz w:val="17"/>
          <w:szCs w:val="17"/>
          <w:color w:val="auto"/>
        </w:rPr>
        <w:t xml:space="preserve"> evidence of the facts stated therein.</w:t>
      </w:r>
    </w:p>
    <w:p>
      <w:pPr>
        <w:spacing w:after="0" w:line="140"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color w:val="auto"/>
        </w:rPr>
        <w:t>Section 8. MAINTENANCE AND INSPECTION OF STOCKHOLDER LIST. The officer who has charge of the stock ledger of the corporation shall prepare and make, at least ten (10) days before every meeting of stockholders, a complete list of the stockholders entitled to vote at the meeting, arranged in alphabetical order, and showing the address of each stockholder and the number of shares registered in the name of each stockholder. Such list shall be open to the examination of any stockholder, for any purpose germane to the meeting, during ordinary business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296" w:name="page297"/>
    <w:bookmarkEnd w:id="296"/>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hours, for a period of at least ten (10) days prior to the meeting, either at a place within the city where the meeting is to be held, which place shall be specified in the notice of the meeting, or, if not so specified, at the place where the meeting is to be held. The list shall also be produced and kept at the time and place of the meeting during the whole time thereof, and may be inspected by any stockholder who is present.</w:t>
      </w:r>
    </w:p>
    <w:p>
      <w:pPr>
        <w:spacing w:after="0" w:line="141"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color w:val="auto"/>
        </w:rPr>
        <w:t>Section 9. STOCKHOLDER ACTION BY WRITTEN CONSENT WITHOUT A MEETING. Unless otherwise provided in the Certificate of Incorporation, any action required to be taken at any annual or special meeting of stockholders of the corporation, or any action which may be taken at any annual or special meeting of such stockholders, may be taken without a meeting, without prior notice and without a vote, if a consent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Delaware, its principal place of business, or to an officer or agent of the corporation having custody of the book in which proceedings of meetings of stockholders are recorded. Except with respect to any telegram, cablegram or other electronic transmission, delivery made to a corporation’s registered office shall be by hand or by certified or registered mail, return receipt requested. Every written consent shall bear the date of signature of each stockholder who signs the consent and no written consent shall be effective to take the corporate action referred to therein unless, within sixty (60) days of the earliest dated consent delivered to the corporation in the manner required by this Section 9, written consents signed by a sufficient number of holders to take such corporate action are delivered to the corporation by delivery to its registered office in Delaware, its principal place of business or to an officer or agent of the corporation having custody of the book in which proceedings of meetings of stockholders are recorded.</w:t>
      </w:r>
    </w:p>
    <w:p>
      <w:pPr>
        <w:spacing w:after="0" w:line="141"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color w:val="auto"/>
        </w:rPr>
        <w:t xml:space="preserve">A telegram, cablegram or other electronic transmission consenting to an action to be taken and transmitted by a stockholder or proxyholder, or by a person or persons authorized to act for a stockholder or proxyholder, shall be deemed to be written, signed and dated for the purposes of this Section 9,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such telegram, cablegram or other electronic transmission sets forth or is delivered with information from which the corporation can determine (i) that the telegram, cablegram or other electronic transmission was transmitted by the stockholder or proxyholder or by a person or persons authorized to act for the stockholder or proxyholder and (ii)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Consents given by telegram, cablegram or other electronic transmission shall be deemed delivered if transmitted to the principal place of business of the corporation or to an officer or agent of the corporation having custody of the book in which proceedings of meetings of stockholders are recorded, and the telegram, cablegram or other electronic transmission is reproduced in paper form and filed with the book in which proceedings of meetings of stockholders are recorded.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297" w:name="page298"/>
    <w:bookmarkEnd w:id="297"/>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202020"/>
        </w:rPr>
        <w:t xml:space="preserve">Any copy, facsimile or other reliable reproduction of a consent in writing may be substituted or used in lieu of the original writing for any and all purposes for which the original writing could </w:t>
      </w:r>
      <w:r>
        <w:rPr>
          <w:rFonts w:ascii="Times New Roman" w:cs="Times New Roman" w:eastAsia="Times New Roman" w:hAnsi="Times New Roman"/>
          <w:sz w:val="17"/>
          <w:szCs w:val="17"/>
          <w:color w:val="000000"/>
        </w:rPr>
        <w:t>be</w:t>
      </w:r>
      <w:r>
        <w:rPr>
          <w:rFonts w:ascii="Times New Roman" w:cs="Times New Roman" w:eastAsia="Times New Roman" w:hAnsi="Times New Roman"/>
          <w:sz w:val="17"/>
          <w:szCs w:val="17"/>
          <w:color w:val="202020"/>
        </w:rPr>
        <w:t xml:space="preserve"> used, provided that such copy, facsimile or other reproduction shall be a complete reproduction of the entire original writing. Prompt notice of the taking of the corporate action without a meeting by less than unanimous written consent shall be given to those stockholders who have not consented </w:t>
      </w:r>
      <w:r>
        <w:rPr>
          <w:rFonts w:ascii="Times New Roman" w:cs="Times New Roman" w:eastAsia="Times New Roman" w:hAnsi="Times New Roman"/>
          <w:sz w:val="17"/>
          <w:szCs w:val="17"/>
          <w:color w:val="000000"/>
        </w:rPr>
        <w:t>in</w:t>
      </w:r>
      <w:r>
        <w:rPr>
          <w:rFonts w:ascii="Times New Roman" w:cs="Times New Roman" w:eastAsia="Times New Roman" w:hAnsi="Times New Roman"/>
          <w:sz w:val="17"/>
          <w:szCs w:val="17"/>
          <w:color w:val="202020"/>
        </w:rPr>
        <w:t xml:space="preserve"> writing.</w:t>
      </w:r>
    </w:p>
    <w:p>
      <w:pPr>
        <w:spacing w:after="0" w:line="14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color w:val="auto"/>
        </w:rPr>
        <w:t>ARTICLE III</w:t>
      </w:r>
    </w:p>
    <w:p>
      <w:pPr>
        <w:spacing w:after="0" w:line="162"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u w:val="single" w:color="auto"/>
          <w:color w:val="auto"/>
        </w:rPr>
        <w:t>DIRECTORS</w:t>
      </w:r>
    </w:p>
    <w:p>
      <w:pPr>
        <w:spacing w:after="0" w:line="162"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6"/>
          <w:szCs w:val="16"/>
          <w:color w:val="auto"/>
        </w:rPr>
        <w:t xml:space="preserve">Section 1. THE NUMBER OF DIRECTORS. Unless otherwise provided by law, the number of directors which shall constitute the whole Board of Directors shall be determined from time to time solely by resolution adopted by the affirmative vote of a majority of the directors, subject to any restrictions set forth in the Certificate of Incorporation. The directors need not be stockholders. The directors shall be elected at the annual meeting of the stockholders, except as provided in Section 2 of this Article, and each director elected shall hold office until his or her successor is elected and qualified;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however</w:t>
      </w:r>
      <w:r>
        <w:rPr>
          <w:rFonts w:ascii="Times New Roman" w:cs="Times New Roman" w:eastAsia="Times New Roman" w:hAnsi="Times New Roman"/>
          <w:sz w:val="16"/>
          <w:szCs w:val="16"/>
          <w:color w:val="auto"/>
        </w:rPr>
        <w:t>, that unless otherwise restricted by the Certificate of Incorporation or by law, any director or the entire Board of Directors may be removed, either with or without cause, from the Board of Directors at any meeting of stockholders by a majority of the stock represented and entitled to vote thereat.</w:t>
      </w:r>
    </w:p>
    <w:p>
      <w:pPr>
        <w:spacing w:after="0" w:line="136"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color w:val="auto"/>
        </w:rPr>
        <w:t>Section 2. VACANCIES. Vacancies on the Board of Directors by reason of death, resignation, retirement, disqualification, removal from office, or otherwise, and newly created directorships resulting from any increase in the authorized number of directors may be filled by a majority of the directors then in office, although less than a quorum, or by a sole remaining director. The directors so chosen shall hold office until the next annual election of directors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49"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3. POWERS. The property and business of the corporation shall be managed by or under the direction of its Board of Directors. In addition to the powers and authorities by these Bylaws expressly conferred upon them, the Board of Directors may exercise all such powers of the corporation and do all such lawful acts and things as are not by statute or by the Certificate of Incorporation or by these Bylaws directed or required to be exercised or done by the stockholders.</w:t>
      </w:r>
    </w:p>
    <w:p>
      <w:pPr>
        <w:spacing w:after="0" w:line="140"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4. PLACE OF DIRECTORS’ MEETINGS. The directors may hold their meetings and have one or more offices, and keep the books of the corporation outside of the State of Delaware.</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298" w:name="page299"/>
    <w:bookmarkEnd w:id="298"/>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5. REGULAR MEETINGS. Regular meetings of the Board of Directors may be held without notice at such time and place as shall from time to time be determined by the Board of Directors.</w:t>
      </w:r>
    </w:p>
    <w:p>
      <w:pPr>
        <w:spacing w:after="0" w:line="135"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color w:val="auto"/>
        </w:rPr>
        <w:t>Section 6. SPECIAL MEETINGS. Special meetings of the Board of Directors may be called by the President on forty-eight (48) hours notice to each director, either personally or by mail, e mail or by telegram; special meetings shall be called by the Chairman of the Board, President or the Secretary in like manner and on like notice on the written request of two directors unless the Board of Directors consists of only one director; in which case special meetings shall be called by the Chairman of the Board, President or Secretary in like manner or on like notice on the written request of the sole director.</w:t>
      </w:r>
    </w:p>
    <w:p>
      <w:pPr>
        <w:spacing w:after="0" w:line="141"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color w:val="auto"/>
        </w:rPr>
        <w:t>Section 7. QUORUM.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at such meeting may adjourn the meeting from time to time, without notice other than announcement at the meeting, until a quorum shall be present. If only one director is authorized, such sole director shall constitute a quorum.</w:t>
      </w:r>
    </w:p>
    <w:p>
      <w:pPr>
        <w:spacing w:after="0" w:line="141"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8. ACTION WITHOUT MEETING.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w:t>
      </w:r>
    </w:p>
    <w:p>
      <w:pPr>
        <w:spacing w:after="0" w:line="140"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9. TELEPHONIC MEETINGS.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40"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10. COMMITTEES OF DIRECTORS. The Board of Directors may, by resolution passed by a majority of the whole Board of Directors, designate one or more committees, each such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299" w:name="page300"/>
    <w:bookmarkEnd w:id="299"/>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 of the corporation’s property and assets, recommending to the stockholders a dissolution of the corporation or a revocation of a dissolution, or amending the Bylaws of the corporation; and, unless the resolution or the Certificate of Incorporation expressly so provide, no such committee shall have the power or authority to declare a dividend or to authorize the issuance of stock.</w:t>
      </w:r>
    </w:p>
    <w:p>
      <w:pPr>
        <w:spacing w:after="0" w:line="144"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11. MINUTES OF COMMITTEE MEETINGS. Each committee shall keep regular minutes of its meetings and report the same to the Board of Directors when required.</w:t>
      </w:r>
    </w:p>
    <w:p>
      <w:pPr>
        <w:spacing w:after="0" w:line="135" w:lineRule="exact"/>
        <w:rPr>
          <w:sz w:val="20"/>
          <w:szCs w:val="20"/>
          <w:color w:val="auto"/>
        </w:rPr>
      </w:pPr>
    </w:p>
    <w:p>
      <w:pPr>
        <w:jc w:val="both"/>
        <w:ind w:left="1220" w:right="1239" w:firstLine="1009"/>
        <w:spacing w:after="0" w:line="239" w:lineRule="auto"/>
        <w:rPr>
          <w:sz w:val="20"/>
          <w:szCs w:val="20"/>
          <w:color w:val="auto"/>
        </w:rPr>
      </w:pPr>
      <w:r>
        <w:rPr>
          <w:rFonts w:ascii="Times New Roman" w:cs="Times New Roman" w:eastAsia="Times New Roman" w:hAnsi="Times New Roman"/>
          <w:sz w:val="17"/>
          <w:szCs w:val="17"/>
          <w:color w:val="auto"/>
        </w:rPr>
        <w:t>Section 12. CHAIRMAN OF THE BOARD. The Board of Directors may designate one of its members to serve as Chairman of the Board, and if so, the Chairman of the Board shall, if present, preside at all meetings of the Board of Directors and stockholders, and exercise and perform such other powers and duties as may be from time to time assigned to him or her by the Board of Directors or prescribed by these Bylaws.</w:t>
      </w:r>
    </w:p>
    <w:p>
      <w:pPr>
        <w:spacing w:after="0" w:line="141"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color w:val="auto"/>
        </w:rPr>
        <w:t>Section 13. COMPENSATION OF DIRECTORS. Unless otherwise restricted by the Certificate of Incorporation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IV</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OFFICERS</w:t>
      </w:r>
    </w:p>
    <w:p>
      <w:pPr>
        <w:spacing w:after="0" w:line="162"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1. OFFICERS. The officers of this corporation shall be chosen by the Board of Directors and shall include a President and a Secretary. The corporation may also have at the discretion of the Board of Directors such other officers as are desired, including a Vice-Chairman of the Board of Directors, a Chief Executive Officer, a Chief Financial Officer or Treasurer, one or more Vice Presidents, one or more Assistant Secretaries and Assistant Treasurers, and such other officers as may be appointed in accordance with the provisions of Section 3 hereof. In the event there are two or more Vice Presidents, then one or more may be designated as Executive Vice President, Senior Vice President, or other similar or dissimilar title. At the time of the election of officers, the directors may by resolution determine the order of their rank. Any number of offices may be held by the same person, unless the Certificate of Incorporation or these Bylaws otherwise provide.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00" w:name="page301"/>
    <w:bookmarkEnd w:id="300"/>
    <w:p>
      <w:pPr>
        <w:jc w:val="both"/>
        <w:ind w:left="1220" w:right="1239" w:firstLine="1009"/>
        <w:spacing w:after="0" w:line="259" w:lineRule="auto"/>
        <w:rPr>
          <w:sz w:val="20"/>
          <w:szCs w:val="20"/>
          <w:color w:val="auto"/>
        </w:rPr>
      </w:pPr>
      <w:r>
        <w:rPr>
          <w:rFonts w:ascii="Times New Roman" w:cs="Times New Roman" w:eastAsia="Times New Roman" w:hAnsi="Times New Roman"/>
          <w:sz w:val="17"/>
          <w:szCs w:val="17"/>
          <w:color w:val="auto"/>
        </w:rPr>
        <w:t>Section 2. ELECTION OF OFFICERS. The Board of Directors, at its first meeting after each annual meeting of stockholders, shall choose the officers of the corporation.</w:t>
      </w:r>
    </w:p>
    <w:p>
      <w:pPr>
        <w:spacing w:after="0" w:line="125" w:lineRule="exact"/>
        <w:rPr>
          <w:sz w:val="20"/>
          <w:szCs w:val="20"/>
          <w:color w:val="auto"/>
        </w:rPr>
      </w:pPr>
    </w:p>
    <w:p>
      <w:pPr>
        <w:jc w:val="both"/>
        <w:ind w:left="1220" w:right="1239" w:firstLine="1009"/>
        <w:spacing w:after="0" w:line="241" w:lineRule="auto"/>
        <w:rPr>
          <w:sz w:val="20"/>
          <w:szCs w:val="20"/>
          <w:color w:val="auto"/>
        </w:rPr>
      </w:pPr>
      <w:r>
        <w:rPr>
          <w:rFonts w:ascii="Times New Roman" w:cs="Times New Roman" w:eastAsia="Times New Roman" w:hAnsi="Times New Roman"/>
          <w:sz w:val="17"/>
          <w:szCs w:val="17"/>
          <w:color w:val="auto"/>
        </w:rPr>
        <w:t>Section 3. SUBORDINATE OFFICERS.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40"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7"/>
          <w:szCs w:val="17"/>
          <w:color w:val="auto"/>
        </w:rPr>
        <w:t>Section 4. COMPENSATION OF OFFICERS. The salaries of all officers and agents of the corporation shall be fixed by the Board of Directors.</w:t>
      </w:r>
    </w:p>
    <w:p>
      <w:pPr>
        <w:spacing w:after="0" w:line="125" w:lineRule="exact"/>
        <w:rPr>
          <w:sz w:val="20"/>
          <w:szCs w:val="20"/>
          <w:color w:val="auto"/>
        </w:rPr>
      </w:pPr>
    </w:p>
    <w:p>
      <w:pPr>
        <w:jc w:val="both"/>
        <w:ind w:left="1220" w:right="1239" w:firstLine="1009"/>
        <w:spacing w:after="0" w:line="239" w:lineRule="auto"/>
        <w:rPr>
          <w:sz w:val="20"/>
          <w:szCs w:val="20"/>
          <w:color w:val="auto"/>
        </w:rPr>
      </w:pPr>
      <w:r>
        <w:rPr>
          <w:rFonts w:ascii="Times New Roman" w:cs="Times New Roman" w:eastAsia="Times New Roman" w:hAnsi="Times New Roman"/>
          <w:sz w:val="17"/>
          <w:szCs w:val="17"/>
          <w:color w:val="auto"/>
        </w:rPr>
        <w:t>Section 5. TERM OF OFFICE; REMOVAL AND VACANCIES. The officers of the corporation shall hold office until their successors are chosen and qualify in their stead. Any officer elected or appointed by the Board of Directors may be removed at any time by the affirmative vote of a majority of the Board of Directors. If the office of any officer or officers becomes vacant for any reason, the vacancy shall be filled by the Board of Directors.</w:t>
      </w:r>
    </w:p>
    <w:p>
      <w:pPr>
        <w:spacing w:after="0" w:line="141"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6. PRESIDENT. Subject to such supervisory powers, if any, as may be given by the Board of Directors to the Chairman of the Board, the President shall be the Chief Executive Officer of the corporation and shall, subject to the control of the Board of Directors, have general supervision, direction and control of the business and officers of the corporation. In the absence of the Chairman of the Board, the President shall preside at all meetings of the stockholders and at all meetings of the Board of Directors. He or she or they shall be an ex-officio member(s) of all committees and shall have the general powers and duties of management usually vested in the office of President and Chief Executive Officer of corporations, and shall have such other powers and duties as may be prescribed by the Board of Directors or these Bylaws.</w:t>
      </w:r>
    </w:p>
    <w:p>
      <w:pPr>
        <w:spacing w:after="0" w:line="146"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7. VICE PRESIDENTS. In the absence or disability of the President, the Vice Presidents in order of their rank as fixed by the Board of Directors, or if not ranked, the Vice President designated by the Board of Directors, shall perform all the duties of the President, and when so acting shall have all the powers of and be subject to all the restrictions upon the President. The Vice Presidents shall have such other duties as from time to time may be prescribed for them, respectively, by the Board of Directors.</w:t>
      </w:r>
    </w:p>
    <w:p>
      <w:pPr>
        <w:spacing w:after="0" w:line="140"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8. SECRETARY. The Secretary shall attend all sessions of the Board of Directors and all meetings of the stockholders and record all votes and the minutes of all proceedings in a book to be kept for that purpose; and shall perform like duties for the standing committees when required by the Board of Directors. He or she shall give, or cause to be given, notice of all meetings of the stockholders and of the Board of Directors, and shall perform such other duties as may be prescribed by the Board of Directors or these Bylaws. He or she shall keep in safe custody the seal of the corporation, and when authorized by the Board of Directors, affix the same to any instrument requiring it, and when so affixed it shall be attested by his or her signature or by the signature of an Assistant Secretary. The Board of Directors may give general authority to any other officer to affix the seal of the corporation and to attest the affixing by his or her signature.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301" w:name="page302"/>
    <w:bookmarkEnd w:id="301"/>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9. ASSISTANT SECRETARY. The Assistant Secretary, or if there be more than one, the Assistant Secretaries in the order determined by the Board of Directors, or if there be no such determination, the Assistant Secretary designated by the Board of Directors, shall, in the absence or disability of the Secretary, perform the duties and exercise the powers of the Secretary and shall perform such other duties and have such other powers as the Board of Directors may from time to time prescribe.</w:t>
      </w:r>
    </w:p>
    <w:p>
      <w:pPr>
        <w:spacing w:after="0" w:line="140"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color w:val="auto"/>
        </w:rPr>
        <w:t>Section 10. CHIEF FINANCIAL OFFICER OR TREASURER. The Chief Financial Officer or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or she shall disburse the funds of the corporation as may be ordered by the Board of Directors, taking proper vouchers for such disbursements, and shall render to the Board of Directors, at its regular meetings, or when the Board of Directors so requires, an account of all his or her transactions as Chief Financial Officer or Treasurer and of the financial condition of the corporation. If required by the Board of Directors, he or she shall give the corporation a bond,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w:t>
      </w:r>
    </w:p>
    <w:p>
      <w:pPr>
        <w:spacing w:after="0" w:line="148"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color w:val="auto"/>
        </w:rPr>
        <w:t>Section 11. ASSISTANT TREASURER. The Assistant Treasurer, or if there shall be more than one, the Assistant Treasurers in the order determined by the Board of Directors, or if there be no such determination, the Assistant Treasurer designated by the Board of Directors, shall, in the absence or disability of the Chief Financial Officer or Treasurer, perform the duties and exercise the powers of the Chief Financial Officer or Treasurer and shall perform such other duties and have such other powers as the Board of Directors may from time to time prescribe.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INDEMNIFICATION OF DIRECTORS AND OFFICERS</w:t>
      </w:r>
    </w:p>
    <w:p>
      <w:pPr>
        <w:spacing w:after="0" w:line="162" w:lineRule="exact"/>
        <w:rPr>
          <w:sz w:val="20"/>
          <w:szCs w:val="20"/>
          <w:color w:val="auto"/>
        </w:rPr>
      </w:pPr>
    </w:p>
    <w:p>
      <w:pPr>
        <w:jc w:val="both"/>
        <w:ind w:left="1220" w:right="1239" w:firstLine="1013"/>
        <w:spacing w:after="0" w:line="234" w:lineRule="auto"/>
        <w:tabs>
          <w:tab w:leader="none" w:pos="2566" w:val="left"/>
        </w:tabs>
        <w:numPr>
          <w:ilvl w:val="0"/>
          <w:numId w:val="1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indemnify to the maximum extent permitted by law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or officer of the corporation, or is or was serving at the request of the corporation as a director or officer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302" w:name="page303"/>
    <w:bookmarkEnd w:id="302"/>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135" w:lineRule="exact"/>
        <w:rPr>
          <w:sz w:val="20"/>
          <w:szCs w:val="20"/>
          <w:color w:val="auto"/>
        </w:rPr>
      </w:pPr>
    </w:p>
    <w:p>
      <w:pPr>
        <w:jc w:val="both"/>
        <w:ind w:left="1220" w:right="1239" w:firstLine="1013"/>
        <w:spacing w:after="0" w:line="234" w:lineRule="auto"/>
        <w:tabs>
          <w:tab w:leader="none" w:pos="2566"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indemnify to the maximum extent permitted by law any person who was or is a party or is threatened to be made a party to any threatened, pending or completed action or suit by or in the right of the corporation to procure a judgment in its favor by reason of the fact that he or she is or was a director or officer of the corporation, or is or was serving at the request of the corporation as a director or officer of another corporation, partnership, joint venture, trust or other enterprise against expenses (including attorneys’ fees) actually and reasonably incurred by him or her in connection with the defense or settlement of such action or suit if he or she acted in good faith and in a manner he or she reasonably believed to be in or not opposed to the best interests of the corporation and except that no such indemnification shall be made in respect of any claim, issue or matter as to which such person shall have been adjudged to be liable to the corporation unless and only to the extent that the Court of Chancery of Delaware or the court in which such action or suit was brought shall determine upon application that, despite the adjudication of liability but in view of all the circumstances of the case, such person is fairly and reasonably entitled to indemnity for such expenses which such Court of Chancery or such other court shall deem proper.</w:t>
      </w:r>
    </w:p>
    <w:p>
      <w:pPr>
        <w:spacing w:after="0" w:line="147" w:lineRule="exact"/>
        <w:rPr>
          <w:rFonts w:ascii="Times New Roman" w:cs="Times New Roman" w:eastAsia="Times New Roman" w:hAnsi="Times New Roman"/>
          <w:sz w:val="17"/>
          <w:szCs w:val="17"/>
          <w:color w:val="auto"/>
        </w:rPr>
      </w:pPr>
    </w:p>
    <w:p>
      <w:pPr>
        <w:jc w:val="both"/>
        <w:ind w:left="1220" w:right="1239" w:firstLine="1013"/>
        <w:spacing w:after="0" w:line="243" w:lineRule="auto"/>
        <w:tabs>
          <w:tab w:leader="none" w:pos="2566" w:val="left"/>
        </w:tabs>
        <w:numPr>
          <w:ilvl w:val="1"/>
          <w:numId w:val="1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 director or officer of the corporation shall be successful on the merits or otherwise in defense of any action, suit or proceeding referred to in paragraphs</w:t>
      </w:r>
    </w:p>
    <w:p>
      <w:pPr>
        <w:jc w:val="both"/>
        <w:ind w:left="1220" w:right="1239" w:firstLine="4"/>
        <w:spacing w:after="0" w:line="236" w:lineRule="auto"/>
        <w:tabs>
          <w:tab w:leader="none" w:pos="1466" w:val="left"/>
        </w:tabs>
        <w:numPr>
          <w:ilvl w:val="0"/>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 or in defense of any claim, issue or matter therein, he or she shall be indemnified against expenses (including attorneys’ fees) actually and reasonably incurred by him or her in connection therewith.</w:t>
      </w:r>
    </w:p>
    <w:p>
      <w:pPr>
        <w:spacing w:after="0" w:line="141" w:lineRule="exact"/>
        <w:rPr>
          <w:rFonts w:ascii="Times New Roman" w:cs="Times New Roman" w:eastAsia="Times New Roman" w:hAnsi="Times New Roman"/>
          <w:sz w:val="17"/>
          <w:szCs w:val="17"/>
          <w:color w:val="auto"/>
        </w:rPr>
      </w:pPr>
    </w:p>
    <w:p>
      <w:pPr>
        <w:jc w:val="both"/>
        <w:ind w:left="1220" w:right="1239" w:firstLine="1013"/>
        <w:spacing w:after="0" w:line="235" w:lineRule="auto"/>
        <w:tabs>
          <w:tab w:leader="none" w:pos="2566"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indemnification under paragraphs (a) and (b) (unless ordered by a court) shall be made by the corporation only as authorized in the specific case upon a determination that indemnification of the director or officer is proper in the circumstances because he or she has met the applicable standard of conduct set forth in paragraphs (a) and (b). Such determination shall be made (1) by a majority vote of the directors who are not parties to such action, suit or proceeding, even though less than a quorum, or (2) if there are no such directors, or if such directors so direct, by independent legal counsel in a written opinion, or (3) by the stockholders. The corporation, acting through its Board of Directors or otherwise, shall cause such determination to be made if so requested by any person who is indemnifiable under this Article V.</w:t>
      </w:r>
    </w:p>
    <w:p>
      <w:pPr>
        <w:spacing w:after="0" w:line="146" w:lineRule="exact"/>
        <w:rPr>
          <w:rFonts w:ascii="Times New Roman" w:cs="Times New Roman" w:eastAsia="Times New Roman" w:hAnsi="Times New Roman"/>
          <w:sz w:val="17"/>
          <w:szCs w:val="17"/>
          <w:color w:val="auto"/>
        </w:rPr>
      </w:pPr>
    </w:p>
    <w:p>
      <w:pPr>
        <w:jc w:val="both"/>
        <w:ind w:left="1220" w:right="1239" w:firstLine="1013"/>
        <w:spacing w:after="0" w:line="238" w:lineRule="auto"/>
        <w:tabs>
          <w:tab w:leader="none" w:pos="2566"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(including attorneys’ fees) incurred by an officer or director in defending any civil, criminal, administrative or investigative action, suit or proceeding shall be paid by the corporation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in this Article V.</w:t>
      </w:r>
    </w:p>
    <w:p>
      <w:pPr>
        <w:spacing w:after="0" w:line="140" w:lineRule="exact"/>
        <w:rPr>
          <w:rFonts w:ascii="Times New Roman" w:cs="Times New Roman" w:eastAsia="Times New Roman" w:hAnsi="Times New Roman"/>
          <w:sz w:val="17"/>
          <w:szCs w:val="17"/>
          <w:color w:val="auto"/>
        </w:rPr>
      </w:pPr>
    </w:p>
    <w:p>
      <w:pPr>
        <w:jc w:val="both"/>
        <w:ind w:left="1220" w:right="1239" w:firstLine="1013"/>
        <w:spacing w:after="0" w:line="241" w:lineRule="auto"/>
        <w:tabs>
          <w:tab w:leader="none" w:pos="2566"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and advancement of expenses provided by, or granted pursuant to, the other paragraphs of this Article V shall not be deemed exclusive of any other rights to which those seeking indemnification or advancement of expenses may be entitled under any</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03" w:name="page304"/>
    <w:bookmarkEnd w:id="303"/>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bylaw, agreement, vote of stockholders or disinterested directors or otherwise, both as to action in his or her official capacity and as to action in another capacity while holding such office.</w:t>
      </w:r>
    </w:p>
    <w:p>
      <w:pPr>
        <w:spacing w:after="0" w:line="125" w:lineRule="exact"/>
        <w:rPr>
          <w:sz w:val="20"/>
          <w:szCs w:val="20"/>
          <w:color w:val="auto"/>
        </w:rPr>
      </w:pPr>
    </w:p>
    <w:p>
      <w:pPr>
        <w:jc w:val="both"/>
        <w:ind w:left="1220" w:right="1239" w:firstLine="1013"/>
        <w:spacing w:after="0" w:line="236" w:lineRule="auto"/>
        <w:tabs>
          <w:tab w:leader="none" w:pos="256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may authorize, by a vote of a majority of a quorum of the Board of Directors, the corporation to purchase and maintain insurance on behalf of any person who is or was a director or officer of the corporation, or is or was serving at the request of the corporation as a director or officer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V.</w:t>
      </w:r>
    </w:p>
    <w:p>
      <w:pPr>
        <w:spacing w:after="0" w:line="144" w:lineRule="exact"/>
        <w:rPr>
          <w:rFonts w:ascii="Times New Roman" w:cs="Times New Roman" w:eastAsia="Times New Roman" w:hAnsi="Times New Roman"/>
          <w:sz w:val="17"/>
          <w:szCs w:val="17"/>
          <w:color w:val="auto"/>
        </w:rPr>
      </w:pPr>
    </w:p>
    <w:p>
      <w:pPr>
        <w:jc w:val="both"/>
        <w:ind w:left="1220" w:right="1239" w:firstLine="1013"/>
        <w:spacing w:after="0" w:line="235" w:lineRule="auto"/>
        <w:tabs>
          <w:tab w:leader="none" w:pos="256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this Article 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or officers so that any person who is or was a director or officer of such constituent corporation, or is or was serving at the request of such constituent corporation as a director or officer of another corporation, partnership, joint venture, trust or other enterprise, shall stand in the same position under the provisions of this Article V with respect to the resulting or surviving corporation as he or she would have with respect to such constituent corporation if its separate existence had continued.</w:t>
      </w:r>
    </w:p>
    <w:p>
      <w:pPr>
        <w:spacing w:after="0" w:line="146" w:lineRule="exact"/>
        <w:rPr>
          <w:rFonts w:ascii="Times New Roman" w:cs="Times New Roman" w:eastAsia="Times New Roman" w:hAnsi="Times New Roman"/>
          <w:sz w:val="17"/>
          <w:szCs w:val="17"/>
          <w:color w:val="auto"/>
        </w:rPr>
      </w:pPr>
    </w:p>
    <w:p>
      <w:pPr>
        <w:jc w:val="both"/>
        <w:ind w:left="1220" w:right="1239" w:firstLine="1013"/>
        <w:spacing w:after="0" w:line="236" w:lineRule="auto"/>
        <w:tabs>
          <w:tab w:leader="none" w:pos="256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section, references to “other enterprises” shall include employee benefit plans; references to “fines” shall include any excise taxes assessed on a person with respect to an employee benefit plan; and references to “serving at the request of the corporation” shall include service as a director or officer of the corporation which imposes duties on, or involves services by, such director or officer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interests of the corporation” as referred to in this section.</w:t>
      </w:r>
    </w:p>
    <w:p>
      <w:pPr>
        <w:spacing w:after="0" w:line="141" w:lineRule="exact"/>
        <w:rPr>
          <w:rFonts w:ascii="Times New Roman" w:cs="Times New Roman" w:eastAsia="Times New Roman" w:hAnsi="Times New Roman"/>
          <w:sz w:val="17"/>
          <w:szCs w:val="17"/>
          <w:color w:val="auto"/>
        </w:rPr>
      </w:pPr>
    </w:p>
    <w:p>
      <w:pPr>
        <w:jc w:val="both"/>
        <w:ind w:left="1220" w:right="1239" w:firstLine="1013"/>
        <w:spacing w:after="0" w:line="241" w:lineRule="auto"/>
        <w:tabs>
          <w:tab w:leader="none" w:pos="256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indemnification and advancement of expenses provided by, or granted pursuant to, this Article V shall, unless otherwise provided when authorized or ratified, continue as to a person who has ceased to be a director or officer and shall inure to the benefit of the heirs, executors and administrators of such a person.</w:t>
      </w:r>
    </w:p>
    <w:p>
      <w:pPr>
        <w:spacing w:after="0" w:line="139" w:lineRule="exact"/>
        <w:rPr>
          <w:rFonts w:ascii="Times New Roman" w:cs="Times New Roman" w:eastAsia="Times New Roman" w:hAnsi="Times New Roman"/>
          <w:sz w:val="17"/>
          <w:szCs w:val="17"/>
          <w:color w:val="auto"/>
        </w:rPr>
      </w:pPr>
    </w:p>
    <w:p>
      <w:pPr>
        <w:jc w:val="both"/>
        <w:ind w:left="1220" w:right="1239" w:firstLine="1013"/>
        <w:spacing w:after="0" w:line="246" w:lineRule="auto"/>
        <w:tabs>
          <w:tab w:leader="none" w:pos="2566" w:val="left"/>
        </w:tabs>
        <w:numPr>
          <w:ilvl w:val="0"/>
          <w:numId w:val="2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be required to indemnify a person in connection with an action, suit or proceeding (or part thereof) initiated by such person only if the action, suit or proceeding (or part thereof) was authorized by the Board of Directors of the corporation.</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304" w:name="page305"/>
    <w:bookmarkEnd w:id="304"/>
    <w:p>
      <w:pPr>
        <w:jc w:val="center"/>
        <w:ind w:right="19"/>
        <w:spacing w:after="0"/>
        <w:rPr>
          <w:sz w:val="20"/>
          <w:szCs w:val="20"/>
          <w:color w:val="auto"/>
        </w:rPr>
      </w:pPr>
      <w:r>
        <w:rPr>
          <w:rFonts w:ascii="Times New Roman" w:cs="Times New Roman" w:eastAsia="Times New Roman" w:hAnsi="Times New Roman"/>
          <w:sz w:val="17"/>
          <w:szCs w:val="17"/>
          <w:color w:val="auto"/>
        </w:rPr>
        <w:t>ARTICLE VI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INDEMNIFICATION OF EMPLOYEES AND AGENTS</w:t>
      </w:r>
    </w:p>
    <w:p>
      <w:pPr>
        <w:spacing w:after="0" w:line="162"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color w:val="auto"/>
        </w:rPr>
        <w:t>The corporation may indemnify every person who was or is a party or is or was threatened to be made a party to any action, suit, or proceeding, whether civil, criminal, administrative or investigative, by reason of the fact that he or she is or was an employee or agent of the corporation or, while an employee or agent of the corporation, is or was serving at the request of the corporation as an employee or agent or trustee of another corporation, partnership, joint venture, trust, employee benefit plan or other enterprise, against expenses (including attorneys’ fees), judgments, fines and amounts paid in settlement actually and reasonably incurred by him or her in connection with such action, suit or proceeding, to the extent permitted by applicable law.</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VII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CERTIFICATES OF STOCK</w:t>
      </w:r>
    </w:p>
    <w:p>
      <w:pPr>
        <w:spacing w:after="0" w:line="162"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1. CERTIFICATES. Every holder of stock of the corporation shall be entitled to have a certificate signed by, or in the name of the corporation by, the Chairman or Vice-Chairman of the Board of Directors, or the President or a Vice President, and by the Secretary or an Assistant Secretary, or the Chief Financial Officer or Treasurer or an Assistant Treasurer of the corporation, certifying the number of shares represented by the certificate owned by such stockholder in the corporation.</w:t>
      </w:r>
    </w:p>
    <w:p>
      <w:pPr>
        <w:spacing w:after="0" w:line="140"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2. SIGNATURES ON CERTIFICATES.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40"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 xml:space="preserve">Section 3. STATEMENT OF STOCK RIGHTS, PREFERENCES, PRIVILEGES.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which the corporation shall issue to represent such class or series of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except as otherwise provided in Section 202 of the General Corporation Law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05" w:name="page306"/>
    <w:bookmarkEnd w:id="305"/>
    <w:p>
      <w:pPr>
        <w:jc w:val="both"/>
        <w:ind w:left="1220" w:right="1239" w:firstLine="1009"/>
        <w:spacing w:after="0" w:line="251" w:lineRule="auto"/>
        <w:rPr>
          <w:sz w:val="20"/>
          <w:szCs w:val="20"/>
          <w:color w:val="auto"/>
        </w:rPr>
      </w:pPr>
      <w:r>
        <w:rPr>
          <w:rFonts w:ascii="Times New Roman" w:cs="Times New Roman" w:eastAsia="Times New Roman" w:hAnsi="Times New Roman"/>
          <w:sz w:val="16"/>
          <w:szCs w:val="16"/>
          <w:color w:val="auto"/>
        </w:rPr>
        <w:t>Section 4. LOST CERTIFICATES.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w:t>
      </w:r>
    </w:p>
    <w:p>
      <w:pPr>
        <w:spacing w:after="0" w:line="136" w:lineRule="exact"/>
        <w:rPr>
          <w:sz w:val="20"/>
          <w:szCs w:val="20"/>
          <w:color w:val="auto"/>
        </w:rPr>
      </w:pPr>
    </w:p>
    <w:p>
      <w:pPr>
        <w:jc w:val="both"/>
        <w:ind w:left="1220" w:right="1239" w:firstLine="1009"/>
        <w:spacing w:after="0" w:line="239" w:lineRule="auto"/>
        <w:rPr>
          <w:sz w:val="20"/>
          <w:szCs w:val="20"/>
          <w:color w:val="auto"/>
        </w:rPr>
      </w:pPr>
      <w:r>
        <w:rPr>
          <w:rFonts w:ascii="Times New Roman" w:cs="Times New Roman" w:eastAsia="Times New Roman" w:hAnsi="Times New Roman"/>
          <w:sz w:val="17"/>
          <w:szCs w:val="17"/>
          <w:color w:val="auto"/>
        </w:rPr>
        <w:t>Section 5. TRANSFERS OF STOCK.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w:t>
      </w:r>
    </w:p>
    <w:p>
      <w:pPr>
        <w:spacing w:after="0" w:line="141"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color w:val="auto"/>
        </w:rPr>
        <w:t xml:space="preserve">Section 6. FIXED RECORD DATE. order that the corporation may determine the stockholders entitled to notice of or to vote at any meeting of the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precede the date upon which the resolution fixing the record date is adopted by the Board of Directors, and which record date shall not be more than sixty nor less than ten (10) days before the date of such meeting. A determination of stockholders of record entitled to notice of or to vote at a meeting of stockholders shall apply to any adjournment of the meeting;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the Board of Directors may fix a new record date for the adjourned meeting. In order that the corporation may determine the stockholders entitled to consent to corporate action in writing without a meeting, the Board of Directors may fix a record date which shall not be more than ten (10) days after the date upon which the resolution fixing the record date is adopted by the Board of Directors.</w:t>
      </w:r>
    </w:p>
    <w:p>
      <w:pPr>
        <w:spacing w:after="0" w:line="149" w:lineRule="exact"/>
        <w:rPr>
          <w:sz w:val="20"/>
          <w:szCs w:val="20"/>
          <w:color w:val="auto"/>
        </w:rPr>
      </w:pPr>
    </w:p>
    <w:p>
      <w:pPr>
        <w:jc w:val="both"/>
        <w:ind w:left="1220" w:right="1239" w:firstLine="1009"/>
        <w:spacing w:after="0" w:line="239" w:lineRule="auto"/>
        <w:rPr>
          <w:sz w:val="20"/>
          <w:szCs w:val="20"/>
          <w:color w:val="auto"/>
        </w:rPr>
      </w:pPr>
      <w:r>
        <w:rPr>
          <w:rFonts w:ascii="Times New Roman" w:cs="Times New Roman" w:eastAsia="Times New Roman" w:hAnsi="Times New Roman"/>
          <w:sz w:val="17"/>
          <w:szCs w:val="17"/>
          <w:color w:val="auto"/>
        </w:rPr>
        <w:t>Section 7. REGISTERED STOCKHOLDERS.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VIII</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GENERAL PROVISIONS</w:t>
      </w:r>
    </w:p>
    <w:p>
      <w:pPr>
        <w:spacing w:after="0" w:line="162" w:lineRule="exact"/>
        <w:rPr>
          <w:sz w:val="20"/>
          <w:szCs w:val="20"/>
          <w:color w:val="auto"/>
        </w:rPr>
      </w:pPr>
    </w:p>
    <w:p>
      <w:pPr>
        <w:jc w:val="both"/>
        <w:ind w:left="1220" w:right="1239" w:firstLine="1009"/>
        <w:spacing w:after="0" w:line="239" w:lineRule="auto"/>
        <w:rPr>
          <w:sz w:val="20"/>
          <w:szCs w:val="20"/>
          <w:color w:val="auto"/>
        </w:rPr>
      </w:pPr>
      <w:r>
        <w:rPr>
          <w:rFonts w:ascii="Times New Roman" w:cs="Times New Roman" w:eastAsia="Times New Roman" w:hAnsi="Times New Roman"/>
          <w:sz w:val="17"/>
          <w:szCs w:val="17"/>
          <w:color w:val="auto"/>
        </w:rPr>
        <w:t>Section 1. DIVIDENDS. Dividends upon the capital stock of the corporation, subject to the provisions of the Certificate of Incorporation, if any, may be declared by the Board of Directors at any regular or special meeting, pursuant to and subject to law. Dividends may be paid in cash, in property, or in shares of the capital stock, subject to the provisions of the Certificate of Incorporation.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06" w:name="page307"/>
    <w:bookmarkEnd w:id="306"/>
    <w:p>
      <w:pPr>
        <w:jc w:val="both"/>
        <w:ind w:left="1220" w:right="1239" w:firstLine="1009"/>
        <w:spacing w:after="0" w:line="255" w:lineRule="auto"/>
        <w:rPr>
          <w:sz w:val="20"/>
          <w:szCs w:val="20"/>
          <w:color w:val="auto"/>
        </w:rPr>
      </w:pPr>
      <w:r>
        <w:rPr>
          <w:rFonts w:ascii="Times New Roman" w:cs="Times New Roman" w:eastAsia="Times New Roman" w:hAnsi="Times New Roman"/>
          <w:sz w:val="16"/>
          <w:szCs w:val="16"/>
          <w:color w:val="auto"/>
        </w:rPr>
        <w:t>Section 2. PAYMENT OF DIVIDENDS; DIRECTORS’ DUTIES. 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20"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3. CHECKS. All checks or demands for money and notes of the corporation shall be signed by such officer or officers as the Board of Directors may from time to time designate.</w:t>
      </w:r>
    </w:p>
    <w:p>
      <w:pPr>
        <w:spacing w:after="0" w:line="114"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7"/>
          <w:szCs w:val="17"/>
          <w:color w:val="auto"/>
        </w:rPr>
        <w:t>Section 4. FISCAL YEAR. The fiscal year of the corporation shall be fixed by resolution of the Board of Directors.</w:t>
      </w:r>
    </w:p>
    <w:p>
      <w:pPr>
        <w:spacing w:after="0" w:line="114"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5. CORPORATE SEAL. The corporate seal shall contain two concentric circles with the name of the corporation between the two circles and the date and state of incorporation appearing in the inner circle.</w:t>
      </w:r>
    </w:p>
    <w:p>
      <w:pPr>
        <w:spacing w:after="0" w:line="124"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color w:val="auto"/>
        </w:rPr>
        <w:t>Section 6. MANNER OF GIVING NOTICE. Whenever, under the provisions of the statutes or of the Certificate of Incorporation or of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telegram.</w:t>
      </w:r>
    </w:p>
    <w:p>
      <w:pPr>
        <w:spacing w:after="0" w:line="120" w:lineRule="exact"/>
        <w:rPr>
          <w:sz w:val="20"/>
          <w:szCs w:val="20"/>
          <w:color w:val="auto"/>
        </w:rPr>
      </w:pPr>
    </w:p>
    <w:p>
      <w:pPr>
        <w:jc w:val="both"/>
        <w:ind w:left="1220" w:right="1239" w:firstLine="1009"/>
        <w:spacing w:after="0" w:line="239" w:lineRule="auto"/>
        <w:rPr>
          <w:sz w:val="20"/>
          <w:szCs w:val="20"/>
          <w:color w:val="auto"/>
        </w:rPr>
      </w:pPr>
      <w:r>
        <w:rPr>
          <w:rFonts w:ascii="Times New Roman" w:cs="Times New Roman" w:eastAsia="Times New Roman" w:hAnsi="Times New Roman"/>
          <w:sz w:val="17"/>
          <w:szCs w:val="17"/>
          <w:color w:val="auto"/>
        </w:rPr>
        <w:t>Section 7. WAIVER OF NOTICE. Whenever any notice is required to be given under the provisions of the statutes or of the Certificate of Incorporation or of these Bylaws, a waiver thereof in writing or by electronic transmission to the extent permitted by the General Corporation Law of the State of Delaware, signed by the person or persons entitled to said notice, whether before or after the time stated therein, shall be deemed equivalent thereto.</w:t>
      </w:r>
    </w:p>
    <w:p>
      <w:pPr>
        <w:spacing w:after="0" w:line="130"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8. ANNUAL STATEMENT. The Board of Directors shall present at each annual meeting, and al any special meeting of the stockholders when called for by vote of the stockholders, a full and clear statement of the business and condition of the corporation.</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IX</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AMENDMENTS</w:t>
      </w:r>
    </w:p>
    <w:p>
      <w:pPr>
        <w:spacing w:after="0" w:line="162"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1. AMENDMENT BY DIRECTORS OR STOCKHOLDERS. Subject to the provisions of the Certificate of Incorporation, these Bylaws may be altered, amended or repealed or new Bylaws may be adopted by the stockholders or by the Board of Directors, when such power is conferred upon the Board of Directors by the Certificate of Incorporation,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Certificate of Incorporation it shall not divest or limit the power of the stockholders to adopt, amend or repeal Bylaws.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07" w:name="page308"/>
    <w:bookmarkEnd w:id="307"/>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2. AMENDMENT AND RESTATEMENT. These Bylaws amend and restate in their entirety the Bylaws adopted by the Board of Directors of the Corporation on May 27, 2011.</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ARTICLE X</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RIGHT OF FIRST REFUSAL</w:t>
      </w:r>
    </w:p>
    <w:p>
      <w:pPr>
        <w:spacing w:after="0" w:line="162"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1. RESTRICTION ON TRANSFER. No stockholder of the corporation shall transfer, assign, hypothecate, encumber, pledge or otherwise alienate (hereinafter “</w:t>
      </w:r>
      <w:r>
        <w:rPr>
          <w:rFonts w:ascii="Times New Roman" w:cs="Times New Roman" w:eastAsia="Times New Roman" w:hAnsi="Times New Roman"/>
          <w:sz w:val="17"/>
          <w:szCs w:val="17"/>
          <w:b w:val="1"/>
          <w:bCs w:val="1"/>
          <w:i w:val="1"/>
          <w:iCs w:val="1"/>
          <w:color w:val="auto"/>
        </w:rPr>
        <w:t>Transfer</w:t>
      </w:r>
      <w:r>
        <w:rPr>
          <w:rFonts w:ascii="Times New Roman" w:cs="Times New Roman" w:eastAsia="Times New Roman" w:hAnsi="Times New Roman"/>
          <w:sz w:val="17"/>
          <w:szCs w:val="17"/>
          <w:color w:val="auto"/>
        </w:rPr>
        <w:t>”) any shares of Common Stock of the corporation (the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owned by such stockholder unless such stockholder previously complied with all provisions of this Article X. Any Transfer not made in accordance with this Article X shall be void, and the corporation shall not treat the transferee in such transaction as a stockholder for any purpose.</w:t>
      </w:r>
    </w:p>
    <w:p>
      <w:pPr>
        <w:spacing w:after="0" w:line="140"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color w:val="auto"/>
        </w:rPr>
        <w:t>Section 2. NOTICE REQUIREMENT. If a stockholder seeks to Transfer any Common Stock, whether voluntarily or involuntarily, such stockholder (the “</w:t>
      </w:r>
      <w:r>
        <w:rPr>
          <w:rFonts w:ascii="Times New Roman" w:cs="Times New Roman" w:eastAsia="Times New Roman" w:hAnsi="Times New Roman"/>
          <w:sz w:val="17"/>
          <w:szCs w:val="17"/>
          <w:b w:val="1"/>
          <w:bCs w:val="1"/>
          <w:i w:val="1"/>
          <w:iCs w:val="1"/>
          <w:color w:val="auto"/>
        </w:rPr>
        <w:t>Offering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Stockholder</w:t>
      </w:r>
      <w:r>
        <w:rPr>
          <w:rFonts w:ascii="Times New Roman" w:cs="Times New Roman" w:eastAsia="Times New Roman" w:hAnsi="Times New Roman"/>
          <w:sz w:val="17"/>
          <w:szCs w:val="17"/>
          <w:color w:val="auto"/>
        </w:rPr>
        <w:t>”) shall first give simultaneous written notice of such intention (“</w:t>
      </w:r>
      <w:r>
        <w:rPr>
          <w:rFonts w:ascii="Times New Roman" w:cs="Times New Roman" w:eastAsia="Times New Roman" w:hAnsi="Times New Roman"/>
          <w:sz w:val="17"/>
          <w:szCs w:val="17"/>
          <w:b w:val="1"/>
          <w:bCs w:val="1"/>
          <w:i w:val="1"/>
          <w:iCs w:val="1"/>
          <w:color w:val="auto"/>
        </w:rPr>
        <w:t>Notice of Transfer</w:t>
      </w:r>
      <w:r>
        <w:rPr>
          <w:rFonts w:ascii="Times New Roman" w:cs="Times New Roman" w:eastAsia="Times New Roman" w:hAnsi="Times New Roman"/>
          <w:sz w:val="17"/>
          <w:szCs w:val="17"/>
          <w:color w:val="auto"/>
        </w:rPr>
        <w:t>”) to the Secretary of the corporation. The Notice of Transfer shall specify the number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shares of Common Stock to be transferred (the “</w:t>
      </w:r>
      <w:r>
        <w:rPr>
          <w:rFonts w:ascii="Times New Roman" w:cs="Times New Roman" w:eastAsia="Times New Roman" w:hAnsi="Times New Roman"/>
          <w:sz w:val="17"/>
          <w:szCs w:val="17"/>
          <w:b w:val="1"/>
          <w:bCs w:val="1"/>
          <w:i w:val="1"/>
          <w:iCs w:val="1"/>
          <w:color w:val="auto"/>
        </w:rPr>
        <w:t>Offered Shares</w:t>
      </w:r>
      <w:r>
        <w:rPr>
          <w:rFonts w:ascii="Times New Roman" w:cs="Times New Roman" w:eastAsia="Times New Roman" w:hAnsi="Times New Roman"/>
          <w:sz w:val="17"/>
          <w:szCs w:val="17"/>
          <w:color w:val="auto"/>
        </w:rPr>
        <w:t>”), and state the price and all other terms of the proposed transaction. The Notice of Transfer shall constitute an irrevocable offer to sell the Offered Shares during the periods described below.</w:t>
      </w:r>
    </w:p>
    <w:p>
      <w:pPr>
        <w:spacing w:after="0" w:line="141"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color w:val="auto"/>
        </w:rPr>
        <w:t>Section 3. OPTION OF THE CORPORATION. For twenty-five (25) days following the delivery of a Notice of Transfer (the “</w:t>
      </w:r>
      <w:r>
        <w:rPr>
          <w:rFonts w:ascii="Times New Roman" w:cs="Times New Roman" w:eastAsia="Times New Roman" w:hAnsi="Times New Roman"/>
          <w:sz w:val="17"/>
          <w:szCs w:val="17"/>
          <w:b w:val="1"/>
          <w:bCs w:val="1"/>
          <w:i w:val="1"/>
          <w:iCs w:val="1"/>
          <w:color w:val="auto"/>
        </w:rPr>
        <w:t>Option Period</w:t>
      </w:r>
      <w:r>
        <w:rPr>
          <w:rFonts w:ascii="Times New Roman" w:cs="Times New Roman" w:eastAsia="Times New Roman" w:hAnsi="Times New Roman"/>
          <w:sz w:val="17"/>
          <w:szCs w:val="17"/>
          <w:color w:val="auto"/>
        </w:rPr>
        <w:t>”), the corporation shall have an irrevocable right to purchase all or a portion of the Offered Shares in accordance with the terms stated in the Notice of Transfer. The right may be exercised by a written notice, signed by the President of the corporation (the “</w:t>
      </w:r>
      <w:r>
        <w:rPr>
          <w:rFonts w:ascii="Times New Roman" w:cs="Times New Roman" w:eastAsia="Times New Roman" w:hAnsi="Times New Roman"/>
          <w:sz w:val="17"/>
          <w:szCs w:val="17"/>
          <w:b w:val="1"/>
          <w:bCs w:val="1"/>
          <w:i w:val="1"/>
          <w:iCs w:val="1"/>
          <w:color w:val="auto"/>
        </w:rPr>
        <w:t>Corporation Notice</w:t>
      </w:r>
      <w:r>
        <w:rPr>
          <w:rFonts w:ascii="Times New Roman" w:cs="Times New Roman" w:eastAsia="Times New Roman" w:hAnsi="Times New Roman"/>
          <w:sz w:val="17"/>
          <w:szCs w:val="17"/>
          <w:color w:val="auto"/>
        </w:rPr>
        <w:t>”), stating that the corporation desires to purchase the Offered Shares and tendering the purchase price therefor. Such notice and the purchase price for the Offered Shares shall be delivered to the Offering Stockholder before expiration of the Option Period. Failure to so respond within the Option Period to the Notice of Transfer shall be deemed an irrevocable waiver by the corporation of its right to acquire the Offered Shares. The corporation shall effect the purchase of the Offered Shares, including payment of the purchase price, not more than five (5) business days after delivery of the Corporation Notice, and at such time the Offering Stockholder shall deliver to the corporation the certificate(s) representing the Offered Shares to be purchased by the corporation, each certificate to be properly endorsed for transfer. Any Common Stock so purchased by the corporation shall thereupon be cancelled and cease to be issued and outstanding shares of the corporation’s Common Stock.</w:t>
      </w:r>
    </w:p>
    <w:p>
      <w:pPr>
        <w:spacing w:after="0" w:line="146"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color w:val="auto"/>
        </w:rPr>
        <w:t>Section 4. SPECIAL PROVISIONS REGARDING EXCHANGES. If the Notice of Transfer specifies consideration other than cash, then the Offered Shares may be purchased in cash for the fair market value of such property, as determined in good faith by the Board of Directors. In the event that the Board of Directors decides to hire an independent appraiser in connection with such determination, all expenses for such independent appraiser shall be borne by the Offering Stockholder.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08" w:name="page309"/>
    <w:bookmarkEnd w:id="308"/>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5. EFFECT OF PURCHASE. For purposes of Section 3 of this Article X, the purchase price for Offered Shares shall be deemed tendered, and said Offered Shares shall be deemed purchased, at such time as the Offering Stockholder receives written notice enclosing a cashier’s check for the purchase price or stating that the purchase price has been delivered to a third party (such as counsel to the corporation) with instructions to deliver such amount to the Offering Stockholder upon surrender of certificates representing the Offered Shares, duly endorsed with signatures guaranteed. All rights accorded the Offering Stockholder with respect to the Offered Shares, other than the right to payment therefor, shall cease at that time. If payment is tendered directly to the Offering Stockholder, the Offering Stockholder shall promptly, but in no event later than five (5) business days, cause to be delivered certificate(s) representing the Offered Shares, duly endorsed with signatures guaranteed, to the corporation’s transfer agent for cancellation or transfer.</w:t>
      </w:r>
    </w:p>
    <w:p>
      <w:pPr>
        <w:spacing w:after="0" w:line="142" w:lineRule="exact"/>
        <w:rPr>
          <w:sz w:val="20"/>
          <w:szCs w:val="20"/>
          <w:color w:val="auto"/>
        </w:rPr>
      </w:pPr>
    </w:p>
    <w:p>
      <w:pPr>
        <w:jc w:val="both"/>
        <w:ind w:left="1220" w:right="1239" w:firstLine="1009"/>
        <w:spacing w:after="0" w:line="261" w:lineRule="auto"/>
        <w:rPr>
          <w:sz w:val="20"/>
          <w:szCs w:val="20"/>
          <w:color w:val="auto"/>
        </w:rPr>
      </w:pPr>
      <w:r>
        <w:rPr>
          <w:rFonts w:ascii="Times New Roman" w:cs="Times New Roman" w:eastAsia="Times New Roman" w:hAnsi="Times New Roman"/>
          <w:sz w:val="16"/>
          <w:szCs w:val="16"/>
          <w:color w:val="auto"/>
        </w:rPr>
        <w:t>Section 6. CERTAIN TRANSFERS EXEMPT. Notwithstanding anything else contained in this Article X to the contrary, an Offering Stockholder shall be permitted to make Transfers of certain shares of Common Stock held by such Offering Stockholder without complying with the provisions of Sections 1 through 5 of this Article X above if such Transfer is:</w:t>
      </w:r>
    </w:p>
    <w:p>
      <w:pPr>
        <w:spacing w:after="0" w:line="125" w:lineRule="exact"/>
        <w:rPr>
          <w:sz w:val="20"/>
          <w:szCs w:val="20"/>
          <w:color w:val="auto"/>
        </w:rPr>
      </w:pPr>
    </w:p>
    <w:p>
      <w:pPr>
        <w:jc w:val="both"/>
        <w:ind w:left="1220" w:right="1239" w:firstLine="1013"/>
        <w:spacing w:after="0" w:line="235" w:lineRule="auto"/>
        <w:tabs>
          <w:tab w:leader="none" w:pos="2566"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Offering Stockholder’s spouse, parents, children, or siblings or other members of the Offering Stockholder’s family (including relatives by marriage), or to a trust for the benefit of the Offering Stockholder or any of the foregoing members of his or her family, or to a custodian, trustee or other fiduciary for the account of the Offering Stockholder or any of the foregoing members of his or her family in connection with a bona fide estate planning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this Section shall not permit any Transfer to be made by the Offering Stockholder in connection with the dissolution of the Offering Stockholder’s marriage or the legal separation of the Offering Stockholder and Offering Stockholder’s spouse to such spouse on the account of any settlement of any community property or other marital property rights such spouse may have in such shares;</w:t>
      </w:r>
    </w:p>
    <w:p>
      <w:pPr>
        <w:spacing w:after="0" w:line="146" w:lineRule="exact"/>
        <w:rPr>
          <w:rFonts w:ascii="Times New Roman" w:cs="Times New Roman" w:eastAsia="Times New Roman" w:hAnsi="Times New Roman"/>
          <w:sz w:val="17"/>
          <w:szCs w:val="17"/>
          <w:color w:val="auto"/>
        </w:rPr>
      </w:pPr>
    </w:p>
    <w:p>
      <w:pPr>
        <w:ind w:left="2560" w:hanging="327"/>
        <w:spacing w:after="0"/>
        <w:tabs>
          <w:tab w:leader="none" w:pos="25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bequest or inheritance upon death;</w:t>
      </w:r>
    </w:p>
    <w:p>
      <w:pPr>
        <w:spacing w:after="0" w:line="161" w:lineRule="exact"/>
        <w:rPr>
          <w:rFonts w:ascii="Times New Roman" w:cs="Times New Roman" w:eastAsia="Times New Roman" w:hAnsi="Times New Roman"/>
          <w:sz w:val="17"/>
          <w:szCs w:val="17"/>
          <w:color w:val="auto"/>
        </w:rPr>
      </w:pPr>
    </w:p>
    <w:p>
      <w:pPr>
        <w:jc w:val="both"/>
        <w:ind w:left="1220" w:right="1239" w:firstLine="1013"/>
        <w:spacing w:after="0" w:line="246" w:lineRule="auto"/>
        <w:tabs>
          <w:tab w:leader="none" w:pos="2566"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any person, association or entity that, directly or indirectly, through one or more intermediaries, has voting control or has its voting controlled by, or is under common voting control with, such Offering Stockholder;</w:t>
      </w:r>
    </w:p>
    <w:p>
      <w:pPr>
        <w:spacing w:after="0" w:line="134" w:lineRule="exact"/>
        <w:rPr>
          <w:rFonts w:ascii="Times New Roman" w:cs="Times New Roman" w:eastAsia="Times New Roman" w:hAnsi="Times New Roman"/>
          <w:sz w:val="17"/>
          <w:szCs w:val="17"/>
          <w:color w:val="auto"/>
        </w:rPr>
      </w:pPr>
    </w:p>
    <w:p>
      <w:pPr>
        <w:ind w:left="2560" w:hanging="327"/>
        <w:spacing w:after="0"/>
        <w:tabs>
          <w:tab w:leader="none" w:pos="2560"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way of a bona fide gift;</w:t>
      </w:r>
    </w:p>
    <w:p>
      <w:pPr>
        <w:spacing w:after="0" w:line="161" w:lineRule="exact"/>
        <w:rPr>
          <w:rFonts w:ascii="Times New Roman" w:cs="Times New Roman" w:eastAsia="Times New Roman" w:hAnsi="Times New Roman"/>
          <w:sz w:val="17"/>
          <w:szCs w:val="17"/>
          <w:color w:val="auto"/>
        </w:rPr>
      </w:pPr>
    </w:p>
    <w:p>
      <w:pPr>
        <w:ind w:left="1220" w:right="1279" w:firstLine="1013"/>
        <w:spacing w:after="0" w:line="259" w:lineRule="auto"/>
        <w:tabs>
          <w:tab w:leader="none" w:pos="2566"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connection with a Change of Control (as defined in Section 7 of this Article X below); or</w:t>
      </w:r>
    </w:p>
    <w:p>
      <w:pPr>
        <w:spacing w:after="0" w:line="124" w:lineRule="exact"/>
        <w:rPr>
          <w:rFonts w:ascii="Times New Roman" w:cs="Times New Roman" w:eastAsia="Times New Roman" w:hAnsi="Times New Roman"/>
          <w:sz w:val="17"/>
          <w:szCs w:val="17"/>
          <w:color w:val="auto"/>
        </w:rPr>
      </w:pPr>
    </w:p>
    <w:p>
      <w:pPr>
        <w:jc w:val="both"/>
        <w:ind w:left="1220" w:right="1239" w:firstLine="1013"/>
        <w:spacing w:after="0" w:line="246" w:lineRule="auto"/>
        <w:tabs>
          <w:tab w:leader="none" w:pos="2566" w:val="left"/>
        </w:tabs>
        <w:numPr>
          <w:ilvl w:val="0"/>
          <w:numId w:val="2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an alternative right of first refusal or similar right granted by the Offering Stockholder to the corporation, including in certain circumstances, but not limited to, restricted stock purchase agreements, co-sale agreements and equity incentive award plans.</w:t>
      </w:r>
    </w:p>
    <w:p>
      <w:pPr>
        <w:spacing w:after="0" w:line="135" w:lineRule="exact"/>
        <w:rPr>
          <w:sz w:val="20"/>
          <w:szCs w:val="20"/>
          <w:color w:val="auto"/>
        </w:rPr>
      </w:pPr>
    </w:p>
    <w:p>
      <w:pPr>
        <w:ind w:left="1220" w:right="1239" w:firstLine="1009"/>
        <w:spacing w:after="0" w:line="259" w:lineRule="auto"/>
        <w:rPr>
          <w:sz w:val="20"/>
          <w:szCs w:val="20"/>
          <w:color w:val="auto"/>
        </w:rPr>
      </w:pPr>
      <w:r>
        <w:rPr>
          <w:rFonts w:ascii="Times New Roman" w:cs="Times New Roman" w:eastAsia="Times New Roman" w:hAnsi="Times New Roman"/>
          <w:sz w:val="17"/>
          <w:szCs w:val="17"/>
          <w:color w:val="auto"/>
        </w:rPr>
        <w:t>Any Transfer set forth in clauses (a) through (f) of this Section 6 may be referred to herein as a “</w:t>
      </w:r>
      <w:r>
        <w:rPr>
          <w:rFonts w:ascii="Times New Roman" w:cs="Times New Roman" w:eastAsia="Times New Roman" w:hAnsi="Times New Roman"/>
          <w:sz w:val="17"/>
          <w:szCs w:val="17"/>
          <w:b w:val="1"/>
          <w:bCs w:val="1"/>
          <w:i w:val="1"/>
          <w:iCs w:val="1"/>
          <w:color w:val="auto"/>
        </w:rPr>
        <w:t>Permitted Transfer</w:t>
      </w:r>
      <w:r>
        <w:rPr>
          <w:rFonts w:ascii="Times New Roman" w:cs="Times New Roman" w:eastAsia="Times New Roman" w:hAnsi="Times New Roman"/>
          <w:sz w:val="17"/>
          <w:szCs w:val="17"/>
          <w:color w:val="auto"/>
        </w:rPr>
        <w:t>.”</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09" w:name="page310"/>
    <w:bookmarkEnd w:id="309"/>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color w:val="auto"/>
        </w:rPr>
        <w:t>Section 7. LIMITATIONS ON RIGHT OF FIRST REFUSAL. The restrictions imposed by this Article X shall not apply to and shall terminate upon (i) the closing of a firmly underwritten public offering of the Corporation’s Common Stock or (ii) the closing of any transaction or series of related transactions constituting (a) a reorganization, merger, consolidation or sale of all or substantially all of the corporation’s stock, as a result of which transaction or series of related transactions the corporation’s stockholders of record as constituted immediately prior to such transaction or series of related transactions hold less than a majority of the outstanding voting power of the surviving or acquiring entity after the consummation of such transaction or series of related transactions; or (b) a sale of all or substantially all of the assets of the corporation (each of clauses (a) and (b) a “</w:t>
      </w:r>
      <w:r>
        <w:rPr>
          <w:rFonts w:ascii="Times New Roman" w:cs="Times New Roman" w:eastAsia="Times New Roman" w:hAnsi="Times New Roman"/>
          <w:sz w:val="17"/>
          <w:szCs w:val="17"/>
          <w:b w:val="1"/>
          <w:bCs w:val="1"/>
          <w:i w:val="1"/>
          <w:iCs w:val="1"/>
          <w:color w:val="auto"/>
        </w:rPr>
        <w:t>Change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Control</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7"/>
          <w:szCs w:val="17"/>
          <w:color w:val="auto"/>
        </w:rPr>
        <w:t>Section 8. WAIVER. The provisions of this Article X may be waived with respect to any Transfer only in writing signed by the corporation.</w:t>
      </w:r>
    </w:p>
    <w:p>
      <w:pPr>
        <w:spacing w:after="0" w:line="125"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9. ASSIGNMENT; ALTERNATIVE RIGHTS. The corporation may assign its rights under this Article X or grant alternative rights of first refusal or similar rights to a third party or parties.</w:t>
      </w:r>
    </w:p>
    <w:p>
      <w:pPr>
        <w:spacing w:after="0" w:line="135"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Section 10. LEGEND. Any and all certificates representing any shares of Common Stock shall bear a legend referring to the restrictions imposed by this Article X in substantially the form below:</w:t>
      </w:r>
    </w:p>
    <w:p>
      <w:pPr>
        <w:spacing w:after="0" w:line="135" w:lineRule="exact"/>
        <w:rPr>
          <w:sz w:val="20"/>
          <w:szCs w:val="20"/>
          <w:color w:val="auto"/>
        </w:rPr>
      </w:pPr>
    </w:p>
    <w:p>
      <w:pPr>
        <w:jc w:val="both"/>
        <w:ind w:left="2240" w:right="1739"/>
        <w:spacing w:after="0" w:line="239" w:lineRule="auto"/>
        <w:rPr>
          <w:sz w:val="20"/>
          <w:szCs w:val="20"/>
          <w:color w:val="auto"/>
        </w:rPr>
      </w:pPr>
      <w:r>
        <w:rPr>
          <w:rFonts w:ascii="Times New Roman" w:cs="Times New Roman" w:eastAsia="Times New Roman" w:hAnsi="Times New Roman"/>
          <w:sz w:val="17"/>
          <w:szCs w:val="17"/>
          <w:color w:val="auto"/>
        </w:rPr>
        <w:t>“THE SHARES EVIDENCED HEREBY ARE SUBJECT TO A RIGHT OF FIRST REFUSAL OPTION IN FAVOR OF THE CORPORATION AND/OR ITS ASSIGNEE(S), AS PROVIDED IN THE BYLAWS OF THE CORPORATION, A COPY OF WHICH IS ON FILE WITH THE SECRETARY OF THE CORPORATION.”</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202020"/>
        </w:rPr>
        <w:t>[Remainder of page intentionally left blank]</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10" w:name="page311"/>
    <w:bookmarkEnd w:id="310"/>
    <w:p>
      <w:pPr>
        <w:ind w:left="3240"/>
        <w:spacing w:after="0"/>
        <w:rPr>
          <w:sz w:val="20"/>
          <w:szCs w:val="20"/>
          <w:color w:val="auto"/>
        </w:rPr>
      </w:pPr>
      <w:r>
        <w:rPr>
          <w:rFonts w:ascii="Times New Roman" w:cs="Times New Roman" w:eastAsia="Times New Roman" w:hAnsi="Times New Roman"/>
          <w:sz w:val="17"/>
          <w:szCs w:val="17"/>
          <w:b w:val="1"/>
          <w:bCs w:val="1"/>
          <w:color w:val="auto"/>
        </w:rPr>
        <w:t>CERTIFICATE OF SECRETARY</w:t>
      </w:r>
    </w:p>
    <w:p>
      <w:pPr>
        <w:spacing w:after="0" w:line="16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I, the undersigned, do hereby certify:</w:t>
      </w:r>
    </w:p>
    <w:p>
      <w:pPr>
        <w:spacing w:after="0" w:line="162" w:lineRule="exact"/>
        <w:rPr>
          <w:sz w:val="20"/>
          <w:szCs w:val="20"/>
          <w:color w:val="auto"/>
        </w:rPr>
      </w:pPr>
    </w:p>
    <w:p>
      <w:pPr>
        <w:ind w:left="1220" w:right="1259" w:firstLine="1013"/>
        <w:spacing w:after="0" w:line="259" w:lineRule="auto"/>
        <w:tabs>
          <w:tab w:leader="none" w:pos="2566" w:val="left"/>
        </w:tabs>
        <w:numPr>
          <w:ilvl w:val="0"/>
          <w:numId w:val="20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I am the duly elected and acting Secretary of Genoa Pharmaceuticals, Inc., a Delaware corporation (the “</w:t>
      </w:r>
      <w:r>
        <w:rPr>
          <w:rFonts w:ascii="Times New Roman" w:cs="Times New Roman" w:eastAsia="Times New Roman" w:hAnsi="Times New Roman"/>
          <w:sz w:val="17"/>
          <w:szCs w:val="17"/>
          <w:b w:val="1"/>
          <w:bCs w:val="1"/>
          <w:i w:val="1"/>
          <w:iCs w:val="1"/>
          <w:color w:val="auto"/>
        </w:rPr>
        <w:t>Corporation</w:t>
      </w:r>
      <w:r>
        <w:rPr>
          <w:rFonts w:ascii="Times New Roman" w:cs="Times New Roman" w:eastAsia="Times New Roman" w:hAnsi="Times New Roman"/>
          <w:sz w:val="17"/>
          <w:szCs w:val="17"/>
          <w:color w:val="auto"/>
        </w:rPr>
        <w:t>”); and</w:t>
      </w:r>
    </w:p>
    <w:p>
      <w:pPr>
        <w:spacing w:after="0" w:line="124" w:lineRule="exact"/>
        <w:rPr>
          <w:rFonts w:ascii="Times New Roman" w:cs="Times New Roman" w:eastAsia="Times New Roman" w:hAnsi="Times New Roman"/>
          <w:sz w:val="17"/>
          <w:szCs w:val="17"/>
          <w:color w:val="auto"/>
        </w:rPr>
      </w:pPr>
    </w:p>
    <w:p>
      <w:pPr>
        <w:ind w:left="1220" w:right="1259" w:firstLine="1013"/>
        <w:spacing w:after="0" w:line="259" w:lineRule="auto"/>
        <w:tabs>
          <w:tab w:leader="none" w:pos="2566" w:val="left"/>
        </w:tabs>
        <w:numPr>
          <w:ilvl w:val="0"/>
          <w:numId w:val="203"/>
        </w:numPr>
        <w:rPr>
          <w:rFonts w:ascii="Times New Roman" w:cs="Times New Roman" w:eastAsia="Times New Roman" w:hAnsi="Times New Roman"/>
          <w:sz w:val="17"/>
          <w:szCs w:val="17"/>
          <w:color w:val="202020"/>
        </w:rPr>
      </w:pPr>
      <w:r>
        <w:rPr>
          <w:rFonts w:ascii="Times New Roman" w:cs="Times New Roman" w:eastAsia="Times New Roman" w:hAnsi="Times New Roman"/>
          <w:sz w:val="17"/>
          <w:szCs w:val="17"/>
          <w:color w:val="202020"/>
        </w:rPr>
        <w:t>That the foregoing bylaws constitute the bylaws of the Corporation as duly adopted at a meeting held by the Board of Directors of the Corporation on November 4, 20</w:t>
      </w:r>
      <w:r>
        <w:rPr>
          <w:rFonts w:ascii="Times New Roman" w:cs="Times New Roman" w:eastAsia="Times New Roman" w:hAnsi="Times New Roman"/>
          <w:sz w:val="17"/>
          <w:szCs w:val="17"/>
          <w:color w:val="000000"/>
        </w:rPr>
        <w:t>1</w:t>
      </w:r>
      <w:r>
        <w:rPr>
          <w:rFonts w:ascii="Times New Roman" w:cs="Times New Roman" w:eastAsia="Times New Roman" w:hAnsi="Times New Roman"/>
          <w:sz w:val="17"/>
          <w:szCs w:val="17"/>
          <w:color w:val="202020"/>
        </w:rPr>
        <w:t>1.</w:t>
      </w:r>
    </w:p>
    <w:p>
      <w:pPr>
        <w:spacing w:after="0" w:line="125" w:lineRule="exact"/>
        <w:rPr>
          <w:sz w:val="20"/>
          <w:szCs w:val="20"/>
          <w:color w:val="auto"/>
        </w:rPr>
      </w:pPr>
    </w:p>
    <w:p>
      <w:pPr>
        <w:ind w:left="1220" w:right="1239" w:firstLine="1009"/>
        <w:spacing w:after="0" w:line="259" w:lineRule="auto"/>
        <w:rPr>
          <w:sz w:val="20"/>
          <w:szCs w:val="20"/>
          <w:color w:val="auto"/>
        </w:rPr>
      </w:pPr>
      <w:r>
        <w:rPr>
          <w:rFonts w:ascii="Times New Roman" w:cs="Times New Roman" w:eastAsia="Times New Roman" w:hAnsi="Times New Roman"/>
          <w:sz w:val="17"/>
          <w:szCs w:val="17"/>
          <w:color w:val="202020"/>
        </w:rPr>
        <w:t>IN WITNESS WHEREOF, I have hereunto subscribed my name this 4th day of November, 2011.</w:t>
      </w:r>
    </w:p>
    <w:p>
      <w:pPr>
        <w:spacing w:after="0" w:line="1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Mark W. Surber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8890</wp:posOffset>
            </wp:positionV>
            <wp:extent cx="2082800" cy="698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2082800" cy="698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202020"/>
        </w:rPr>
        <w:t>Mark W. Surber, Ph.D., Secretary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311" w:name="page312"/>
    <w:bookmarkEnd w:id="311"/>
    <w:p>
      <w:pPr>
        <w:ind w:left="8760"/>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-680085</wp:posOffset>
            </wp:positionH>
            <wp:positionV relativeFrom="paragraph">
              <wp:posOffset>71755</wp:posOffset>
            </wp:positionV>
            <wp:extent cx="7087870" cy="43053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087870" cy="4305300"/>
                    </a:xfrm>
                    <a:prstGeom prst="rect">
                      <a:avLst/>
                    </a:prstGeom>
                    <a:noFill/>
                  </pic:spPr>
                </pic:pic>
              </a:graphicData>
            </a:graphic>
          </wp:anchor>
        </w:drawing>
      </w:r>
    </w:p>
    <w:p>
      <w:pPr>
        <w:sectPr>
          <w:pgSz w:w="11900" w:h="16838" w:orient="portrait"/>
          <w:cols w:equalWidth="0" w:num="1">
            <w:col w:w="9560"/>
          </w:cols>
          <w:pgMar w:left="1440" w:top="620" w:right="899" w:bottom="1440" w:gutter="0" w:footer="0" w:header="0"/>
        </w:sectPr>
      </w:pPr>
    </w:p>
    <w:bookmarkStart w:id="312" w:name="page313"/>
    <w:bookmarkEnd w:id="3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1035050</wp:posOffset>
            </wp:positionH>
            <wp:positionV relativeFrom="page">
              <wp:posOffset>575945</wp:posOffset>
            </wp:positionV>
            <wp:extent cx="5485765" cy="65747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5485765" cy="65747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3" w:name="page314"/>
    <w:bookmarkEnd w:id="313"/>
    <w:p>
      <w:pPr>
        <w:ind w:left="7000"/>
        <w:spacing w:after="0"/>
        <w:rPr>
          <w:sz w:val="20"/>
          <w:szCs w:val="20"/>
          <w:color w:val="auto"/>
        </w:rPr>
      </w:pPr>
      <w:r>
        <w:rPr>
          <w:rFonts w:ascii="Times New Roman" w:cs="Times New Roman" w:eastAsia="Times New Roman" w:hAnsi="Times New Roman"/>
          <w:sz w:val="16"/>
          <w:szCs w:val="16"/>
          <w:b w:val="1"/>
          <w:bCs w:val="1"/>
          <w:color w:val="auto"/>
        </w:rPr>
        <w:t>Exhibit 4.2</w:t>
      </w:r>
    </w:p>
    <w:p>
      <w:pPr>
        <w:spacing w:after="0" w:line="173" w:lineRule="exact"/>
        <w:rPr>
          <w:sz w:val="20"/>
          <w:szCs w:val="20"/>
          <w:color w:val="auto"/>
        </w:rPr>
      </w:pPr>
    </w:p>
    <w:p>
      <w:pPr>
        <w:jc w:val="center"/>
        <w:ind w:left="1220" w:right="1279"/>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INVESTORS’ RIGHTS AGREEMENT</w:t>
      </w:r>
    </w:p>
    <w:p>
      <w:pPr>
        <w:spacing w:after="0" w:line="162"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mended and</w:t>
      </w:r>
      <w:r>
        <w:rPr>
          <w:rFonts w:ascii="Times New Roman" w:cs="Times New Roman" w:eastAsia="Times New Roman" w:hAnsi="Times New Roman"/>
          <w:sz w:val="17"/>
          <w:szCs w:val="17"/>
          <w:b w:val="1"/>
          <w:bCs w:val="1"/>
          <w:color w:val="auto"/>
        </w:rPr>
        <w:t xml:space="preserve"> R</w:t>
      </w:r>
      <w:r>
        <w:rPr>
          <w:rFonts w:ascii="Times New Roman" w:cs="Times New Roman" w:eastAsia="Times New Roman" w:hAnsi="Times New Roman"/>
          <w:sz w:val="11"/>
          <w:szCs w:val="11"/>
          <w:b w:val="1"/>
          <w:bCs w:val="1"/>
          <w:color w:val="auto"/>
        </w:rPr>
        <w:t>estated</w:t>
      </w:r>
      <w:r>
        <w:rPr>
          <w:rFonts w:ascii="Times New Roman" w:cs="Times New Roman" w:eastAsia="Times New Roman" w:hAnsi="Times New Roman"/>
          <w:sz w:val="17"/>
          <w:szCs w:val="17"/>
          <w:b w:val="1"/>
          <w:bCs w:val="1"/>
          <w:color w:val="auto"/>
        </w:rPr>
        <w:t xml:space="preserve"> I</w:t>
      </w:r>
      <w:r>
        <w:rPr>
          <w:rFonts w:ascii="Times New Roman" w:cs="Times New Roman" w:eastAsia="Times New Roman" w:hAnsi="Times New Roman"/>
          <w:sz w:val="11"/>
          <w:szCs w:val="11"/>
          <w:b w:val="1"/>
          <w:bCs w:val="1"/>
          <w:color w:val="auto"/>
        </w:rPr>
        <w:t>nvestors</w:t>
      </w:r>
      <w:r>
        <w:rPr>
          <w:rFonts w:ascii="Times New Roman" w:cs="Times New Roman" w:eastAsia="Times New Roman" w:hAnsi="Times New Roman"/>
          <w:sz w:val="17"/>
          <w:szCs w:val="17"/>
          <w:b w:val="1"/>
          <w:bCs w:val="1"/>
          <w:color w:val="auto"/>
        </w:rPr>
        <w:t>’ R</w:t>
      </w:r>
      <w:r>
        <w:rPr>
          <w:rFonts w:ascii="Times New Roman" w:cs="Times New Roman" w:eastAsia="Times New Roman" w:hAnsi="Times New Roman"/>
          <w:sz w:val="11"/>
          <w:szCs w:val="11"/>
          <w:b w:val="1"/>
          <w:bCs w:val="1"/>
          <w:color w:val="auto"/>
        </w:rPr>
        <w:t>ights</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t>
      </w:r>
      <w:r>
        <w:rPr>
          <w:rFonts w:ascii="Times New Roman" w:cs="Times New Roman" w:eastAsia="Times New Roman" w:hAnsi="Times New Roman"/>
          <w:sz w:val="17"/>
          <w:szCs w:val="17"/>
          <w:b w:val="1"/>
          <w:bCs w:val="1"/>
          <w:i w:val="1"/>
          <w:iCs w:val="1"/>
          <w:color w:val="auto"/>
        </w:rPr>
        <w:t>Agreement</w:t>
      </w:r>
      <w:r>
        <w:rPr>
          <w:rFonts w:ascii="Times New Roman" w:cs="Times New Roman" w:eastAsia="Times New Roman" w:hAnsi="Times New Roman"/>
          <w:sz w:val="17"/>
          <w:szCs w:val="17"/>
          <w:color w:val="auto"/>
        </w:rPr>
        <w:t>”) is made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of April 25, 2025 by and among Avalyn Pharma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xml:space="preserve">”), and each of the investors listed on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b w:val="1"/>
          <w:bCs w:val="1"/>
          <w:i w:val="1"/>
          <w:iCs w:val="1"/>
          <w:color w:val="auto"/>
        </w:rPr>
        <w:t>Preferred Investors</w:t>
      </w:r>
      <w:r>
        <w:rPr>
          <w:rFonts w:ascii="Times New Roman" w:cs="Times New Roman" w:eastAsia="Times New Roman" w:hAnsi="Times New Roman"/>
          <w:sz w:val="17"/>
          <w:szCs w:val="17"/>
          <w:color w:val="auto"/>
        </w:rPr>
        <w:t xml:space="preserve">”) and each of the Company’s stockholders, who are Fully Converted Preferred Holders (as defined herein), listed on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hereto (together with the Preferred Investors and any subsequent investors or transferees who become parties hereto are referred to in this Agreement as the “</w:t>
      </w:r>
      <w:r>
        <w:rPr>
          <w:rFonts w:ascii="Times New Roman" w:cs="Times New Roman" w:eastAsia="Times New Roman" w:hAnsi="Times New Roman"/>
          <w:sz w:val="17"/>
          <w:szCs w:val="17"/>
          <w:b w:val="1"/>
          <w:bCs w:val="1"/>
          <w:i w:val="1"/>
          <w:iCs w:val="1"/>
          <w:color w:val="auto"/>
        </w:rPr>
        <w:t>Investors</w:t>
      </w:r>
      <w:r>
        <w:rPr>
          <w:rFonts w:ascii="Times New Roman" w:cs="Times New Roman" w:eastAsia="Times New Roman" w:hAnsi="Times New Roman"/>
          <w:sz w:val="17"/>
          <w:szCs w:val="17"/>
          <w:color w:val="auto"/>
        </w:rPr>
        <w:t>”).</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2"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color w:val="auto"/>
        </w:rPr>
        <w:t>WHEREAS, certain of the Investors (the “</w:t>
      </w:r>
      <w:r>
        <w:rPr>
          <w:rFonts w:ascii="Times New Roman" w:cs="Times New Roman" w:eastAsia="Times New Roman" w:hAnsi="Times New Roman"/>
          <w:sz w:val="17"/>
          <w:szCs w:val="17"/>
          <w:b w:val="1"/>
          <w:bCs w:val="1"/>
          <w:i w:val="1"/>
          <w:iCs w:val="1"/>
          <w:color w:val="auto"/>
        </w:rPr>
        <w:t>Existing Investors</w:t>
      </w:r>
      <w:r>
        <w:rPr>
          <w:rFonts w:ascii="Times New Roman" w:cs="Times New Roman" w:eastAsia="Times New Roman" w:hAnsi="Times New Roman"/>
          <w:sz w:val="17"/>
          <w:szCs w:val="17"/>
          <w:color w:val="auto"/>
        </w:rPr>
        <w:t>”) hold shares of the Company’s Preferred Stock and possess registration rights, information rights, rights of first offer, and other rights pursuant to that certain Amended and Restated Investors’ Rights Agreement dated as of September 22, 2023, by and among the Company and such Existing Investors (as amended, the “</w:t>
      </w:r>
      <w:r>
        <w:rPr>
          <w:rFonts w:ascii="Times New Roman" w:cs="Times New Roman" w:eastAsia="Times New Roman" w:hAnsi="Times New Roman"/>
          <w:sz w:val="17"/>
          <w:szCs w:val="17"/>
          <w:b w:val="1"/>
          <w:bCs w:val="1"/>
          <w:i w:val="1"/>
          <w:iCs w:val="1"/>
          <w:color w:val="auto"/>
        </w:rPr>
        <w:t>Prior Agreement</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1220" w:right="1239" w:firstLine="1009"/>
        <w:spacing w:after="0" w:line="241" w:lineRule="auto"/>
        <w:rPr>
          <w:sz w:val="20"/>
          <w:szCs w:val="20"/>
          <w:color w:val="auto"/>
        </w:rPr>
      </w:pPr>
      <w:r>
        <w:rPr>
          <w:rFonts w:ascii="Times New Roman" w:cs="Times New Roman" w:eastAsia="Times New Roman" w:hAnsi="Times New Roman"/>
          <w:sz w:val="17"/>
          <w:szCs w:val="17"/>
          <w:color w:val="auto"/>
        </w:rPr>
        <w:t>WHEREAS, the undersigned Existing Investors are holders of at least a majority of the Registrable Securities (as defined in the Prior Agreement), and desire to amend and restate the Prior Agreement in its entirety and to accept the rights created pursuant to this Agreement in lieu of the rights granted to them under the Prior Agreement; and</w:t>
      </w:r>
    </w:p>
    <w:p>
      <w:pPr>
        <w:spacing w:after="0" w:line="140"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6"/>
          <w:szCs w:val="16"/>
          <w:color w:val="auto"/>
        </w:rPr>
        <w:t>WHEREAS, certain of the Investors are parties to that certain Series D Preferred Stock Purchase Agreement of even date herewith by and among the Company and such Investors (the “</w:t>
      </w:r>
      <w:r>
        <w:rPr>
          <w:rFonts w:ascii="Times New Roman" w:cs="Times New Roman" w:eastAsia="Times New Roman" w:hAnsi="Times New Roman"/>
          <w:sz w:val="16"/>
          <w:szCs w:val="16"/>
          <w:b w:val="1"/>
          <w:bCs w:val="1"/>
          <w:i w:val="1"/>
          <w:iCs w:val="1"/>
          <w:color w:val="auto"/>
        </w:rPr>
        <w:t>Purchase Agreement</w:t>
      </w:r>
      <w:r>
        <w:rPr>
          <w:rFonts w:ascii="Times New Roman" w:cs="Times New Roman" w:eastAsia="Times New Roman" w:hAnsi="Times New Roman"/>
          <w:sz w:val="16"/>
          <w:szCs w:val="16"/>
          <w:color w:val="auto"/>
        </w:rPr>
        <w:t>”), under which certain of the Company’s and such Investors’ obligations are conditioned upon the execution and delivery of this Agreement by such Investors, Existing Investors holding at least a majority of the Registrable Securities, and the Company.</w:t>
      </w:r>
    </w:p>
    <w:p>
      <w:pPr>
        <w:spacing w:after="0" w:line="129"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color w:val="auto"/>
        </w:rPr>
        <w:t>NOW, THEREFORE, the Company and the Existing Investors hereby agree that the Prior Agreement shall be amended and restated, and the parties to this Agreement further agree as follows:</w:t>
      </w:r>
    </w:p>
    <w:p>
      <w:pPr>
        <w:spacing w:after="0" w:line="47" w:lineRule="exact"/>
        <w:rPr>
          <w:sz w:val="20"/>
          <w:szCs w:val="20"/>
          <w:color w:val="auto"/>
        </w:rPr>
      </w:pPr>
    </w:p>
    <w:p>
      <w:pPr>
        <w:ind w:left="2140" w:hanging="411"/>
        <w:spacing w:after="0"/>
        <w:tabs>
          <w:tab w:leader="none" w:pos="2140" w:val="left"/>
        </w:tabs>
        <w:numPr>
          <w:ilvl w:val="0"/>
          <w:numId w:val="2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r>
        <w:rPr>
          <w:rFonts w:ascii="Times New Roman" w:cs="Times New Roman" w:eastAsia="Times New Roman" w:hAnsi="Times New Roman"/>
          <w:sz w:val="17"/>
          <w:szCs w:val="17"/>
          <w:color w:val="auto"/>
        </w:rPr>
        <w:t>. For purposes of this Agreement:</w:t>
      </w:r>
    </w:p>
    <w:p>
      <w:pPr>
        <w:spacing w:after="0" w:line="162"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Affiliate</w:t>
      </w:r>
      <w:r>
        <w:rPr>
          <w:rFonts w:ascii="Times New Roman" w:cs="Times New Roman" w:eastAsia="Times New Roman" w:hAnsi="Times New Roman"/>
          <w:sz w:val="17"/>
          <w:szCs w:val="17"/>
          <w:color w:val="auto"/>
        </w:rPr>
        <w:t>” means, with respect to any specified Person or its successor(s), any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Person who, directly or indirectly, controls, is controlled by, or is under common control with such Person or its successor(s), including, without limitation, any general partner, managing member, limited partner, member, manager, officer, director or trustee of such Person or its successor(s), or any venture capital fund or other investment fund now or hereafter existing that is managed by</w:t>
      </w:r>
    </w:p>
    <w:p>
      <w:pPr>
        <w:spacing w:after="0" w:line="200" w:lineRule="exact"/>
        <w:rPr>
          <w:sz w:val="20"/>
          <w:szCs w:val="20"/>
          <w:color w:val="auto"/>
        </w:rPr>
      </w:pP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314" w:name="page315"/>
    <w:bookmarkEnd w:id="314"/>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such Person or its successors(s), controlled by one or more general partners, managing members or investment managers or advisers of, or shares the same management company or investment manager or adviser with, such Person or its successor(s). For purposes of this definition, the term “control” when used with respect to any Person shall mean the power to direct the management or policies of such Person, directly or indirectly, whether through ownership of voting securities, by contract or otherwise, and the terms “controlling” and “controlled” shall have meanings correlative to the foregoing.</w:t>
      </w:r>
    </w:p>
    <w:p>
      <w:pPr>
        <w:spacing w:after="0" w:line="137" w:lineRule="exact"/>
        <w:rPr>
          <w:sz w:val="20"/>
          <w:szCs w:val="20"/>
          <w:color w:val="auto"/>
        </w:rPr>
      </w:pPr>
    </w:p>
    <w:p>
      <w:pPr>
        <w:ind w:left="1720"/>
        <w:spacing w:after="0"/>
        <w:tabs>
          <w:tab w:leader="none" w:pos="208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Board</w:t>
      </w:r>
      <w:r>
        <w:rPr>
          <w:rFonts w:ascii="Times New Roman" w:cs="Times New Roman" w:eastAsia="Times New Roman" w:hAnsi="Times New Roman"/>
          <w:sz w:val="16"/>
          <w:szCs w:val="16"/>
          <w:color w:val="auto"/>
        </w:rPr>
        <w:t>” means the Company’s Board of Directors.</w:t>
      </w:r>
    </w:p>
    <w:p>
      <w:pPr>
        <w:spacing w:after="0" w:line="162"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CFIUS</w:t>
      </w:r>
      <w:r>
        <w:rPr>
          <w:rFonts w:ascii="Times New Roman" w:cs="Times New Roman" w:eastAsia="Times New Roman" w:hAnsi="Times New Roman"/>
          <w:sz w:val="17"/>
          <w:szCs w:val="17"/>
          <w:color w:val="auto"/>
        </w:rPr>
        <w:t>” means the Committee on Foreign Investment in the United States,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member agency thereof acting in such capacity.</w:t>
      </w:r>
    </w:p>
    <w:p>
      <w:pPr>
        <w:spacing w:after="0" w:line="117"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of Control</w:t>
      </w:r>
      <w:r>
        <w:rPr>
          <w:rFonts w:ascii="Times New Roman" w:cs="Times New Roman" w:eastAsia="Times New Roman" w:hAnsi="Times New Roman"/>
          <w:sz w:val="17"/>
          <w:szCs w:val="17"/>
          <w:color w:val="auto"/>
        </w:rPr>
        <w:t>” means a transaction or series of related transactions in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Person, or a group of related Persons, acquires from stockholders of the Company shares representing more than fifty percent (50%) of the outstanding voting power of the Company.</w:t>
      </w:r>
    </w:p>
    <w:p>
      <w:pPr>
        <w:spacing w:after="0" w:line="130"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means shares of the Company’s common stock, par value $0.001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per share.</w:t>
      </w:r>
    </w:p>
    <w:p>
      <w:pPr>
        <w:spacing w:after="0" w:line="117"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Competitor</w:t>
      </w:r>
      <w:r>
        <w:rPr>
          <w:rFonts w:ascii="Times New Roman" w:cs="Times New Roman" w:eastAsia="Times New Roman" w:hAnsi="Times New Roman"/>
          <w:sz w:val="17"/>
          <w:szCs w:val="17"/>
          <w:color w:val="auto"/>
        </w:rPr>
        <w:t>” means a Person engaged, directly or indirectly (including through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partnership, limited liability company, corporation, joint venture or similar arrangement (whether now existing or formed hereafter)), in the business of the Company, but shall not include (i) any financial investment firm or collective investment vehicle that, together with its Affiliates, holds less than twenty percent (20)% of the outstanding equity of any Competitor and does not, nor do any of its Affiliates, have a right to designate any members of the board of directors of any Competitor, or (ii) any of the Investing Funds (as defined below).</w:t>
      </w:r>
    </w:p>
    <w:p>
      <w:pPr>
        <w:spacing w:after="0" w:line="136"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1.7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Damages</w:t>
      </w:r>
      <w:r>
        <w:rPr>
          <w:rFonts w:ascii="Times New Roman" w:cs="Times New Roman" w:eastAsia="Times New Roman" w:hAnsi="Times New Roman"/>
          <w:sz w:val="17"/>
          <w:szCs w:val="17"/>
          <w:color w:val="auto"/>
        </w:rPr>
        <w:t>” means any loss, damage, claim or liability (joint or several) to which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party hereto may become subject under the Securities Act, the Exchange Act, or other federal or state law, insofar as such loss, damage, claim or liability (or any action in respect thereof) arises out of or is based upon (i) any untrue statement or alleged untrue statement of a material fact contained in any registration statement of the Company, including any preliminary prospectus or final prospectus contained therein or any amendments or supplements thereto; (ii) an omission or alleged omission to state therein a material fact required to be stated therein, or necessary to make the statements therein not misleading; or (iii) any violation or alleged violation by the indemnifying party (or any of its agents or Affiliates) of the Securities Act, the Exchange Act, any state securities law, or any rule or regulation promulgated under the Securities Act, the Exchange Act, or any state securities law.</w:t>
      </w:r>
    </w:p>
    <w:p>
      <w:pPr>
        <w:spacing w:after="0" w:line="144"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Derivative Securities</w:t>
      </w:r>
      <w:r>
        <w:rPr>
          <w:rFonts w:ascii="Times New Roman" w:cs="Times New Roman" w:eastAsia="Times New Roman" w:hAnsi="Times New Roman"/>
          <w:sz w:val="17"/>
          <w:szCs w:val="17"/>
          <w:color w:val="auto"/>
        </w:rPr>
        <w:t>” means any securities or rights convertible into, or exercisable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exchangeable for (in each case, directly or indirectly), Common Stock, including options and warrants.</w:t>
      </w:r>
    </w:p>
    <w:p>
      <w:pPr>
        <w:spacing w:after="0" w:line="13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DPA</w:t>
      </w:r>
      <w:r>
        <w:rPr>
          <w:rFonts w:ascii="Times New Roman" w:cs="Times New Roman" w:eastAsia="Times New Roman" w:hAnsi="Times New Roman"/>
          <w:sz w:val="17"/>
          <w:szCs w:val="17"/>
          <w:color w:val="auto"/>
        </w:rPr>
        <w:t>” means Section 721 of the Defense Production Act of 1950, as amended (50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U.S.C. § 4565), and all rules and regulations thereunder, including as codified at 31 C.F.R. Part 800 and Part 801.</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15" w:name="page316"/>
    <w:bookmarkEnd w:id="315"/>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1.10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Eventide</w:t>
      </w:r>
      <w:r>
        <w:rPr>
          <w:rFonts w:ascii="Times New Roman" w:cs="Times New Roman" w:eastAsia="Times New Roman" w:hAnsi="Times New Roman"/>
          <w:sz w:val="17"/>
          <w:szCs w:val="17"/>
          <w:color w:val="auto"/>
        </w:rPr>
        <w:t>” means Mutual Fund Series Trust, on behalf of Eventide Healthcare &amp;</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Life Sciences Fund.</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1.11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Exchange Act</w:t>
      </w:r>
      <w:r>
        <w:rPr>
          <w:rFonts w:ascii="Times New Roman" w:cs="Times New Roman" w:eastAsia="Times New Roman" w:hAnsi="Times New Roman"/>
          <w:sz w:val="17"/>
          <w:szCs w:val="17"/>
          <w:color w:val="auto"/>
        </w:rPr>
        <w:t>” means the Securities Exchange Act of 1934, as amended,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rules and regulations promulgated thereunder.</w:t>
      </w:r>
    </w:p>
    <w:p>
      <w:pPr>
        <w:spacing w:after="0" w:line="117"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1.12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Excluded Registration</w:t>
      </w:r>
      <w:r>
        <w:rPr>
          <w:rFonts w:ascii="Times New Roman" w:cs="Times New Roman" w:eastAsia="Times New Roman" w:hAnsi="Times New Roman"/>
          <w:sz w:val="17"/>
          <w:szCs w:val="17"/>
          <w:color w:val="auto"/>
        </w:rPr>
        <w:t>” means (i) a registration relating to the sale or grant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to employees of the Company or a subsidiary pursuant to a stock option, stock purchase, or similar plan; (ii) a registration relating to an SEC Rule 145 transaction;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w:t>
      </w:r>
    </w:p>
    <w:p>
      <w:pPr>
        <w:spacing w:after="0" w:line="136" w:lineRule="exact"/>
        <w:rPr>
          <w:sz w:val="20"/>
          <w:szCs w:val="20"/>
          <w:color w:val="auto"/>
        </w:rPr>
      </w:pPr>
    </w:p>
    <w:p>
      <w:pPr>
        <w:ind w:left="172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1.13</w:t>
      </w:r>
      <w:r>
        <w:rPr>
          <w:sz w:val="20"/>
          <w:szCs w:val="20"/>
          <w:color w:val="auto"/>
        </w:rPr>
        <w:tab/>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F-Prime</w:t>
      </w:r>
      <w:r>
        <w:rPr>
          <w:rFonts w:ascii="Times New Roman" w:cs="Times New Roman" w:eastAsia="Times New Roman" w:hAnsi="Times New Roman"/>
          <w:sz w:val="16"/>
          <w:szCs w:val="16"/>
          <w:color w:val="auto"/>
        </w:rPr>
        <w:t>” means F-Prime Capital Partners Healthcare Fund V LP.</w:t>
      </w:r>
    </w:p>
    <w:p>
      <w:pPr>
        <w:spacing w:after="0" w:line="162"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1.14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S-1</w:t>
      </w:r>
      <w:r>
        <w:rPr>
          <w:rFonts w:ascii="Times New Roman" w:cs="Times New Roman" w:eastAsia="Times New Roman" w:hAnsi="Times New Roman"/>
          <w:sz w:val="17"/>
          <w:szCs w:val="17"/>
          <w:color w:val="auto"/>
        </w:rPr>
        <w:t>” means such form under the Securities Act as in effect on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or any successor registration form under the Securities Act subsequently adopted by the SEC.</w:t>
      </w:r>
    </w:p>
    <w:p>
      <w:pPr>
        <w:spacing w:after="0" w:line="130"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1.15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Form S-3</w:t>
      </w:r>
      <w:r>
        <w:rPr>
          <w:rFonts w:ascii="Times New Roman" w:cs="Times New Roman" w:eastAsia="Times New Roman" w:hAnsi="Times New Roman"/>
          <w:sz w:val="17"/>
          <w:szCs w:val="17"/>
          <w:color w:val="auto"/>
        </w:rPr>
        <w:t>” means such form under the Securities Act as in effect on the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hereof or any registration form under the Securities Act subsequently adopted by the SEC that permits incorporation of substantial information by reference to other documents filed by the Company with the SEC.</w:t>
      </w:r>
    </w:p>
    <w:p>
      <w:pPr>
        <w:spacing w:after="0" w:line="133"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1.16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Fully Converted Preferred Holder</w:t>
      </w:r>
      <w:r>
        <w:rPr>
          <w:rFonts w:ascii="Times New Roman" w:cs="Times New Roman" w:eastAsia="Times New Roman" w:hAnsi="Times New Roman"/>
          <w:sz w:val="17"/>
          <w:szCs w:val="17"/>
          <w:color w:val="auto"/>
        </w:rPr>
        <w:t>” means any Investor with respect to whom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shares of Preferred Stock were converted to shares of Mandatory Conversion Common Stock pursuant to the Special Mandatory Conversion, as defined and as set forth in Article Fourth, Part B, Section 5A of the Restated Certificate.</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1.17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GAAP</w:t>
      </w:r>
      <w:r>
        <w:rPr>
          <w:rFonts w:ascii="Times New Roman" w:cs="Times New Roman" w:eastAsia="Times New Roman" w:hAnsi="Times New Roman"/>
          <w:sz w:val="17"/>
          <w:szCs w:val="17"/>
          <w:color w:val="auto"/>
        </w:rPr>
        <w:t>” means generally accepted accounting principles in the United States.</w:t>
      </w:r>
    </w:p>
    <w:p>
      <w:pPr>
        <w:spacing w:after="0" w:line="162"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1.18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means (a) any Investor owning Registrable Securities and (b) solely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purposes of </w:t>
      </w:r>
      <w:r>
        <w:rPr>
          <w:rFonts w:ascii="Times New Roman" w:cs="Times New Roman" w:eastAsia="Times New Roman" w:hAnsi="Times New Roman"/>
          <w:sz w:val="17"/>
          <w:szCs w:val="17"/>
          <w:u w:val="single" w:color="auto"/>
          <w:color w:val="auto"/>
        </w:rPr>
        <w:t>Sections 2.11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2.12</w:t>
      </w:r>
      <w:r>
        <w:rPr>
          <w:rFonts w:ascii="Times New Roman" w:cs="Times New Roman" w:eastAsia="Times New Roman" w:hAnsi="Times New Roman"/>
          <w:sz w:val="17"/>
          <w:szCs w:val="17"/>
          <w:color w:val="auto"/>
        </w:rPr>
        <w:t>, any Fully Converted Preferred Holder.</w:t>
      </w:r>
    </w:p>
    <w:p>
      <w:pPr>
        <w:spacing w:after="0" w:line="117"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1.19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Immediate Family Member</w:t>
      </w:r>
      <w:r>
        <w:rPr>
          <w:rFonts w:ascii="Times New Roman" w:cs="Times New Roman" w:eastAsia="Times New Roman" w:hAnsi="Times New Roman"/>
          <w:sz w:val="17"/>
          <w:szCs w:val="17"/>
          <w:color w:val="auto"/>
        </w:rPr>
        <w:t>” means a child, stepchild, grandchild, parent,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stepparent, grandparent, spouse, life partner or similar statutorily recognized domestic partner, sibling, mother-in-law, father-in-law, son-in-law, daughter-in- law, brother-in-law, or sister-in-law, including adoptive relationships, of a natural person referred to herein.</w:t>
      </w:r>
    </w:p>
    <w:p>
      <w:pPr>
        <w:spacing w:after="0" w:line="133"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1.20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Initiating Holders</w:t>
      </w:r>
      <w:r>
        <w:rPr>
          <w:rFonts w:ascii="Times New Roman" w:cs="Times New Roman" w:eastAsia="Times New Roman" w:hAnsi="Times New Roman"/>
          <w:sz w:val="17"/>
          <w:szCs w:val="17"/>
          <w:color w:val="auto"/>
        </w:rPr>
        <w:t>” means, collectively, Holders who properly initiate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registration request under this Agreement.</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1.21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IPO</w:t>
      </w:r>
      <w:r>
        <w:rPr>
          <w:rFonts w:ascii="Times New Roman" w:cs="Times New Roman" w:eastAsia="Times New Roman" w:hAnsi="Times New Roman"/>
          <w:sz w:val="17"/>
          <w:szCs w:val="17"/>
          <w:color w:val="auto"/>
        </w:rPr>
        <w:t>” means the Company’s first underwritten public offering of its Common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under the Securities Act.</w:t>
      </w:r>
    </w:p>
    <w:p>
      <w:pPr>
        <w:spacing w:after="0" w:line="117" w:lineRule="exact"/>
        <w:rPr>
          <w:sz w:val="20"/>
          <w:szCs w:val="20"/>
          <w:color w:val="auto"/>
        </w:rPr>
      </w:pPr>
    </w:p>
    <w:p>
      <w:pPr>
        <w:jc w:val="both"/>
        <w:ind w:left="1220" w:right="1239" w:firstLine="505"/>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1.22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Major Investor</w:t>
      </w:r>
      <w:r>
        <w:rPr>
          <w:rFonts w:ascii="Times New Roman" w:cs="Times New Roman" w:eastAsia="Times New Roman" w:hAnsi="Times New Roman"/>
          <w:sz w:val="16"/>
          <w:szCs w:val="16"/>
          <w:color w:val="auto"/>
        </w:rPr>
        <w:t>” means (i) any Investor that, individually or together with such</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Investor’s Affiliates, holds at least 11,453,189 shares of Common Stock issuable or issued upon conversion of the Preferred Stock (as adjusted for any stock split, stock dividend, combination or</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16" w:name="page317"/>
    <w:bookmarkEnd w:id="316"/>
    <w:p>
      <w:pPr>
        <w:jc w:val="both"/>
        <w:ind w:left="1220" w:right="1239"/>
        <w:spacing w:after="0" w:line="235" w:lineRule="auto"/>
        <w:rPr>
          <w:sz w:val="20"/>
          <w:szCs w:val="20"/>
          <w:color w:val="auto"/>
        </w:rPr>
      </w:pPr>
      <w:r>
        <w:rPr>
          <w:rFonts w:ascii="Times New Roman" w:cs="Times New Roman" w:eastAsia="Times New Roman" w:hAnsi="Times New Roman"/>
          <w:sz w:val="17"/>
          <w:szCs w:val="17"/>
          <w:color w:val="auto"/>
        </w:rPr>
        <w:t>other recapitalization or reclassification effected after the date hereof) other than Mandatory Conversion Common Stock; and (ii) without limitation to the rights of any such Investor pursuant to clause (i), (a) each of Suvretta and SR One shall be considered a Major Investor for so long as such Investor or its Affiliates continues to hold that number of shares of Series D Preferred Stock held on the date of this Agreement (as adjusted for any stock split, stock dividend, combination or other recapitalization or reclassification effected after the date hereof), or shares of Common Stock issued upon conversion of such shares of Series D Preferred Stock,</w:t>
      </w:r>
    </w:p>
    <w:p>
      <w:pPr>
        <w:spacing w:after="0" w:line="3" w:lineRule="exact"/>
        <w:rPr>
          <w:sz w:val="20"/>
          <w:szCs w:val="20"/>
          <w:color w:val="auto"/>
        </w:rPr>
      </w:pPr>
    </w:p>
    <w:p>
      <w:pPr>
        <w:jc w:val="both"/>
        <w:ind w:left="1220" w:right="1239" w:firstLine="4"/>
        <w:spacing w:after="0" w:line="233" w:lineRule="auto"/>
        <w:tabs>
          <w:tab w:leader="none" w:pos="1478"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of F-Prime, RiverVest and Novo shall be considered a Major Investor for so long as such Investor continues to hold the aggregate number of shares of Series C Preferred Stock purchased by such Investor pursuant to the terms of that certain Series C Preferred Stock Purchase Agreement, dated as of September 22, 2023 by and among the Company and certain Investors (as adjusted for any stock split, stock dividend, combination or other recapitalization or reclassification effected after the date hereof), or shares of Common Stock issued upon conversion of such shares of Series C Preferred Stock other than Mandatory Conversion Common Stock and (c) each of Norwest and Pivotal shall be considered a Major Investor for so long as such Investor continues to hold the aggregate number of shares of Series B Preferred Stock purchased by such Investor pursuant to the terms of that certain Series B Preferred Stock Purchase Agreement, dated as of April 24, 2020, by and among the Company and certain Investors (as adjusted for any stock split, stock dividend, combination or other recapitalization or reclassification effected after the date hereof), or shares of Common Stock issued upon conversion of such shares of Series B Preferred Stock other than Mandatory Conversion Common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no shares of Mandatory Conversion Common Stock issued to a Converted Preferred Holder shall be aggregated with any shares of Common Stock issued or issuable upon conversion of Preferred Stock held by such Converted Preferred Holder or such Converted Preferred Holder’s Affiliates for the purposes of determining whether such Converted Preferred Holder or any of its Affiliates constitutes a Major Investor.</w:t>
      </w:r>
    </w:p>
    <w:p>
      <w:pPr>
        <w:spacing w:after="0" w:line="136"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1.23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Mandatory Conversion Common Stock</w:t>
      </w:r>
      <w:r>
        <w:rPr>
          <w:rFonts w:ascii="Times New Roman" w:cs="Times New Roman" w:eastAsia="Times New Roman" w:hAnsi="Times New Roman"/>
          <w:sz w:val="17"/>
          <w:szCs w:val="17"/>
          <w:color w:val="auto"/>
        </w:rPr>
        <w:t>” means shares of Common Stock issued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upon the conversion shares of Preferred Stock pursuant to a Special Mandatory Conversion, as defined and as set forth in Article Fourth, Part B, Section 5A of the Restated Certificate.</w:t>
      </w:r>
    </w:p>
    <w:p>
      <w:pPr>
        <w:spacing w:after="0" w:line="130"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1.24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New Securities</w:t>
      </w:r>
      <w:r>
        <w:rPr>
          <w:rFonts w:ascii="Times New Roman" w:cs="Times New Roman" w:eastAsia="Times New Roman" w:hAnsi="Times New Roman"/>
          <w:sz w:val="17"/>
          <w:szCs w:val="17"/>
          <w:color w:val="auto"/>
        </w:rPr>
        <w:t>” means, collectively, equity securities of the Company or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subsidiaries, whether or not currently authorized, as well as rights, options, or warrants to purchase such equity securities, or securities of any type whatsoever that are, or may become, convertible or exchangeable into or exercisable for such equity securities.</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1.25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Norwest</w:t>
      </w:r>
      <w:r>
        <w:rPr>
          <w:rFonts w:ascii="Times New Roman" w:cs="Times New Roman" w:eastAsia="Times New Roman" w:hAnsi="Times New Roman"/>
          <w:sz w:val="17"/>
          <w:szCs w:val="17"/>
          <w:color w:val="auto"/>
        </w:rPr>
        <w:t>” means Norwest Venture Partners XV, LP, together with its Affiliates.</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1.26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Novo</w:t>
      </w:r>
      <w:r>
        <w:rPr>
          <w:rFonts w:ascii="Times New Roman" w:cs="Times New Roman" w:eastAsia="Times New Roman" w:hAnsi="Times New Roman"/>
          <w:sz w:val="17"/>
          <w:szCs w:val="17"/>
          <w:color w:val="auto"/>
        </w:rPr>
        <w:t>” means Novo Holdings A/S.</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1.27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PXV</w:t>
      </w:r>
      <w:r>
        <w:rPr>
          <w:rFonts w:ascii="Times New Roman" w:cs="Times New Roman" w:eastAsia="Times New Roman" w:hAnsi="Times New Roman"/>
          <w:sz w:val="17"/>
          <w:szCs w:val="17"/>
          <w:color w:val="auto"/>
        </w:rPr>
        <w:t>” means Perceptive Xontogeny Venture Fund II, LP.</w:t>
      </w:r>
    </w:p>
    <w:p>
      <w:pPr>
        <w:spacing w:after="0" w:line="162"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1.28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Person</w:t>
      </w:r>
      <w:r>
        <w:rPr>
          <w:rFonts w:ascii="Times New Roman" w:cs="Times New Roman" w:eastAsia="Times New Roman" w:hAnsi="Times New Roman"/>
          <w:sz w:val="17"/>
          <w:szCs w:val="17"/>
          <w:color w:val="auto"/>
        </w:rPr>
        <w:t>” means any individual, corporation, partnership, trust, limited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association or other entity.</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1.29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Pivotal</w:t>
      </w:r>
      <w:r>
        <w:rPr>
          <w:rFonts w:ascii="Times New Roman" w:cs="Times New Roman" w:eastAsia="Times New Roman" w:hAnsi="Times New Roman"/>
          <w:sz w:val="17"/>
          <w:szCs w:val="17"/>
          <w:color w:val="auto"/>
        </w:rPr>
        <w:t>” means Pivotal bioVenture Partners Fund I, L.P., together with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1.30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Preferred Director</w:t>
      </w:r>
      <w:r>
        <w:rPr>
          <w:rFonts w:ascii="Times New Roman" w:cs="Times New Roman" w:eastAsia="Times New Roman" w:hAnsi="Times New Roman"/>
          <w:sz w:val="17"/>
          <w:szCs w:val="17"/>
          <w:color w:val="auto"/>
        </w:rPr>
        <w:t>” means each Series A/B Director, Series C Director and Series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 Director.</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17" w:name="page318"/>
    <w:bookmarkEnd w:id="317"/>
    <w:p>
      <w:pPr>
        <w:ind w:left="1720"/>
        <w:spacing w:after="0"/>
        <w:tabs>
          <w:tab w:leader="none" w:pos="2160" w:val="left"/>
        </w:tabs>
        <w:rPr>
          <w:sz w:val="20"/>
          <w:szCs w:val="20"/>
          <w:color w:val="auto"/>
        </w:rPr>
      </w:pPr>
      <w:r>
        <w:rPr>
          <w:rFonts w:ascii="Times New Roman" w:cs="Times New Roman" w:eastAsia="Times New Roman" w:hAnsi="Times New Roman"/>
          <w:sz w:val="17"/>
          <w:szCs w:val="17"/>
          <w:b w:val="1"/>
          <w:bCs w:val="1"/>
          <w:color w:val="auto"/>
        </w:rPr>
        <w:t>1.31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Preferred Stock</w:t>
      </w:r>
      <w:r>
        <w:rPr>
          <w:rFonts w:ascii="Times New Roman" w:cs="Times New Roman" w:eastAsia="Times New Roman" w:hAnsi="Times New Roman"/>
          <w:sz w:val="17"/>
          <w:szCs w:val="17"/>
          <w:color w:val="auto"/>
        </w:rPr>
        <w:t>” means, collectively, the Series A Preferred Stock, the Series B</w:t>
      </w:r>
    </w:p>
    <w:p>
      <w:pPr>
        <w:spacing w:after="0" w:line="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Preferred Stock, the Series C Preferred Stock and the Series D Preferred Stock.</w:t>
      </w:r>
    </w:p>
    <w:p>
      <w:pPr>
        <w:spacing w:after="0" w:line="149" w:lineRule="exact"/>
        <w:rPr>
          <w:sz w:val="20"/>
          <w:szCs w:val="20"/>
          <w:color w:val="auto"/>
        </w:rPr>
      </w:pPr>
    </w:p>
    <w:p>
      <w:pPr>
        <w:jc w:val="both"/>
        <w:ind w:left="1220" w:right="1239" w:firstLine="505"/>
        <w:spacing w:after="0" w:line="234" w:lineRule="auto"/>
        <w:rPr>
          <w:sz w:val="20"/>
          <w:szCs w:val="20"/>
          <w:color w:val="auto"/>
        </w:rPr>
      </w:pPr>
      <w:r>
        <w:rPr>
          <w:rFonts w:ascii="Times New Roman" w:cs="Times New Roman" w:eastAsia="Times New Roman" w:hAnsi="Times New Roman"/>
          <w:sz w:val="17"/>
          <w:szCs w:val="17"/>
          <w:b w:val="1"/>
          <w:bCs w:val="1"/>
          <w:color w:val="auto"/>
        </w:rPr>
        <w:t xml:space="preserve">1.32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Registrable Securities</w:t>
      </w:r>
      <w:r>
        <w:rPr>
          <w:rFonts w:ascii="Times New Roman" w:cs="Times New Roman" w:eastAsia="Times New Roman" w:hAnsi="Times New Roman"/>
          <w:sz w:val="17"/>
          <w:szCs w:val="17"/>
          <w:color w:val="auto"/>
        </w:rPr>
        <w:t>” means (a) the Common Stock issuable or issued upon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conversion of the Preferred Stock, excluding, other than for the purposes of </w:t>
      </w:r>
      <w:r>
        <w:rPr>
          <w:rFonts w:ascii="Times New Roman" w:cs="Times New Roman" w:eastAsia="Times New Roman" w:hAnsi="Times New Roman"/>
          <w:sz w:val="17"/>
          <w:szCs w:val="17"/>
          <w:u w:val="single" w:color="auto"/>
          <w:color w:val="auto"/>
        </w:rPr>
        <w:t>Sections 2.11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2.12</w:t>
      </w:r>
      <w:r>
        <w:rPr>
          <w:rFonts w:ascii="Times New Roman" w:cs="Times New Roman" w:eastAsia="Times New Roman" w:hAnsi="Times New Roman"/>
          <w:sz w:val="17"/>
          <w:szCs w:val="17"/>
          <w:color w:val="auto"/>
        </w:rPr>
        <w:t xml:space="preserve"> herein, any Mandatory Conversion Common Stock; (b) any Common Stock, or any Common Stock issued or issuable (directly or indirectly) upon conversion and/or exercise of any other securities of the Company, acquired by the Investors after the date hereof, excluding, other than for the purposes of </w:t>
      </w:r>
      <w:r>
        <w:rPr>
          <w:rFonts w:ascii="Times New Roman" w:cs="Times New Roman" w:eastAsia="Times New Roman" w:hAnsi="Times New Roman"/>
          <w:sz w:val="17"/>
          <w:szCs w:val="17"/>
          <w:u w:val="single" w:color="auto"/>
          <w:color w:val="auto"/>
        </w:rPr>
        <w:t>Sections 2.11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2.12</w:t>
      </w:r>
      <w:r>
        <w:rPr>
          <w:rFonts w:ascii="Times New Roman" w:cs="Times New Roman" w:eastAsia="Times New Roman" w:hAnsi="Times New Roman"/>
          <w:sz w:val="17"/>
          <w:szCs w:val="17"/>
          <w:color w:val="auto"/>
        </w:rPr>
        <w:t xml:space="preserve"> herein, any Mandatory Conversion Common Stock; and (c) any Common Stock issued as (or issuable upon the conversion or exercise of any warrant, right, or other security that is issued as) a dividend or other distribution with respect to, or in exchange for or in replacement of, the shares referenced in clauses (a) and (b) above; excluding in all cases, however, any Registrable Securities sold by a Person in a transaction in which the applicable rights under this Agreement are not assigned pursuant to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excluding for purposes of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any shares for which registration rights have terminated pursuant to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of this Agreement. For the avoidance of doubt, any shares of Mandatory Conversion Common Stock shall be deemed Registrable Securities solely for the purposes of </w:t>
      </w:r>
      <w:r>
        <w:rPr>
          <w:rFonts w:ascii="Times New Roman" w:cs="Times New Roman" w:eastAsia="Times New Roman" w:hAnsi="Times New Roman"/>
          <w:sz w:val="17"/>
          <w:szCs w:val="17"/>
          <w:u w:val="single" w:color="auto"/>
          <w:color w:val="auto"/>
        </w:rPr>
        <w:t>Sections 2.11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2.12</w:t>
      </w:r>
      <w:r>
        <w:rPr>
          <w:rFonts w:ascii="Times New Roman" w:cs="Times New Roman" w:eastAsia="Times New Roman" w:hAnsi="Times New Roman"/>
          <w:sz w:val="17"/>
          <w:szCs w:val="17"/>
          <w:color w:val="auto"/>
        </w:rPr>
        <w:t xml:space="preserve"> of this Agreement.</w:t>
      </w:r>
    </w:p>
    <w:p>
      <w:pPr>
        <w:spacing w:after="0" w:line="148"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1.33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Registrable Securities then outstanding</w:t>
      </w:r>
      <w:r>
        <w:rPr>
          <w:rFonts w:ascii="Times New Roman" w:cs="Times New Roman" w:eastAsia="Times New Roman" w:hAnsi="Times New Roman"/>
          <w:sz w:val="17"/>
          <w:szCs w:val="17"/>
          <w:color w:val="auto"/>
        </w:rPr>
        <w:t>” means the number of shares determined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adding the number of shares of outstanding Common Stock that are Registrable Securities and the number of shares of Common Stock issuable (directly or indirectly) pursuant to then exercisable and/or convertible securities that are Registrable Securities.</w:t>
      </w:r>
    </w:p>
    <w:p>
      <w:pPr>
        <w:spacing w:after="0" w:line="133"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1.34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Restated Certificate</w:t>
      </w:r>
      <w:r>
        <w:rPr>
          <w:rFonts w:ascii="Times New Roman" w:cs="Times New Roman" w:eastAsia="Times New Roman" w:hAnsi="Times New Roman"/>
          <w:sz w:val="17"/>
          <w:szCs w:val="17"/>
          <w:color w:val="auto"/>
        </w:rPr>
        <w:t>” means the Company’s Amended and Restated Certificate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Incorporation (as it may be amended and/or restated from time to time).</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1.35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Restricted Securities</w:t>
      </w:r>
      <w:r>
        <w:rPr>
          <w:rFonts w:ascii="Times New Roman" w:cs="Times New Roman" w:eastAsia="Times New Roman" w:hAnsi="Times New Roman"/>
          <w:sz w:val="17"/>
          <w:szCs w:val="17"/>
          <w:color w:val="auto"/>
        </w:rPr>
        <w:t>” means the securities of the Company required to bear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legend set forth in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hereof.</w:t>
      </w:r>
    </w:p>
    <w:p>
      <w:pPr>
        <w:spacing w:after="0" w:line="117" w:lineRule="exact"/>
        <w:rPr>
          <w:sz w:val="20"/>
          <w:szCs w:val="20"/>
          <w:color w:val="auto"/>
        </w:rPr>
      </w:pPr>
    </w:p>
    <w:p>
      <w:pPr>
        <w:ind w:left="1220" w:right="1299" w:firstLine="505"/>
        <w:spacing w:after="0" w:line="438" w:lineRule="auto"/>
        <w:rPr>
          <w:sz w:val="20"/>
          <w:szCs w:val="20"/>
          <w:color w:val="auto"/>
        </w:rPr>
      </w:pPr>
      <w:r>
        <w:rPr>
          <w:rFonts w:ascii="Times New Roman" w:cs="Times New Roman" w:eastAsia="Times New Roman" w:hAnsi="Times New Roman"/>
          <w:sz w:val="17"/>
          <w:szCs w:val="17"/>
          <w:b w:val="1"/>
          <w:bCs w:val="1"/>
          <w:color w:val="auto"/>
        </w:rPr>
        <w:t xml:space="preserve">1.36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RiverVest</w:t>
      </w:r>
      <w:r>
        <w:rPr>
          <w:rFonts w:ascii="Times New Roman" w:cs="Times New Roman" w:eastAsia="Times New Roman" w:hAnsi="Times New Roman"/>
          <w:sz w:val="17"/>
          <w:szCs w:val="17"/>
          <w:color w:val="auto"/>
        </w:rPr>
        <w:t>” means RiverVest Venture Fund IV, L.P., RiverVest Venture Fund III,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L.P. and RiverVest Venture Fund III (Ohio), L.P.</w:t>
      </w:r>
    </w:p>
    <w:p>
      <w:pPr>
        <w:spacing w:after="0" w:line="1"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1.37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Rock Springs</w:t>
      </w:r>
      <w:r>
        <w:rPr>
          <w:rFonts w:ascii="Times New Roman" w:cs="Times New Roman" w:eastAsia="Times New Roman" w:hAnsi="Times New Roman"/>
          <w:sz w:val="17"/>
          <w:szCs w:val="17"/>
          <w:color w:val="auto"/>
        </w:rPr>
        <w:t>” means Rock Springs Capital Master Fund LP and Four Pines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Master Fund LP.</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1.38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w:t>
      </w:r>
      <w:r>
        <w:rPr>
          <w:rFonts w:ascii="Times New Roman" w:cs="Times New Roman" w:eastAsia="Times New Roman" w:hAnsi="Times New Roman"/>
          <w:sz w:val="17"/>
          <w:szCs w:val="17"/>
          <w:color w:val="auto"/>
        </w:rPr>
        <w:t>” means the Securities and Exchange Commission.</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6"/>
          <w:szCs w:val="16"/>
          <w:b w:val="1"/>
          <w:bCs w:val="1"/>
          <w:color w:val="auto"/>
        </w:rPr>
        <w:t xml:space="preserve">1.39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i w:val="1"/>
          <w:iCs w:val="1"/>
          <w:color w:val="auto"/>
        </w:rPr>
        <w:t>SEC Rule 144</w:t>
      </w:r>
      <w:r>
        <w:rPr>
          <w:rFonts w:ascii="Times New Roman" w:cs="Times New Roman" w:eastAsia="Times New Roman" w:hAnsi="Times New Roman"/>
          <w:sz w:val="16"/>
          <w:szCs w:val="16"/>
          <w:color w:val="auto"/>
        </w:rPr>
        <w:t>” means Rule 144 promulgated by the SEC under the Securities Act.</w:t>
      </w:r>
    </w:p>
    <w:p>
      <w:pPr>
        <w:spacing w:after="0" w:line="173" w:lineRule="exact"/>
        <w:rPr>
          <w:sz w:val="20"/>
          <w:szCs w:val="20"/>
          <w:color w:val="auto"/>
        </w:rPr>
      </w:pPr>
    </w:p>
    <w:p>
      <w:pPr>
        <w:ind w:left="172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1.40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 Rule 145</w:t>
      </w:r>
      <w:r>
        <w:rPr>
          <w:rFonts w:ascii="Times New Roman" w:cs="Times New Roman" w:eastAsia="Times New Roman" w:hAnsi="Times New Roman"/>
          <w:sz w:val="17"/>
          <w:szCs w:val="17"/>
          <w:color w:val="auto"/>
        </w:rPr>
        <w:t>” means Rule 145 promulgated by the SEC under the Securities</w:t>
      </w:r>
    </w:p>
    <w:p>
      <w:pPr>
        <w:spacing w:after="0" w:line="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Act.</w:t>
      </w:r>
    </w:p>
    <w:p>
      <w:pPr>
        <w:spacing w:after="0" w:line="140"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1.41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means the Securities Act of 1933, as amended, and the rules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regulations promulgated thereunder.</w:t>
      </w: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18" w:name="page319"/>
    <w:bookmarkEnd w:id="318"/>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1.42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Selling Expenses</w:t>
      </w:r>
      <w:r>
        <w:rPr>
          <w:rFonts w:ascii="Times New Roman" w:cs="Times New Roman" w:eastAsia="Times New Roman" w:hAnsi="Times New Roman"/>
          <w:sz w:val="17"/>
          <w:szCs w:val="17"/>
          <w:color w:val="auto"/>
        </w:rPr>
        <w:t>” means all underwriting discounts, selling commissions,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stock transfer taxes applicable to the sale of Registrable Securities, and fees and disbursements of counsel for any Holder, except for the fees and disbursements of the Selling Holder Counsel borne and paid by the Company as provided in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1.43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A/B Director</w:t>
      </w:r>
      <w:r>
        <w:rPr>
          <w:rFonts w:ascii="Times New Roman" w:cs="Times New Roman" w:eastAsia="Times New Roman" w:hAnsi="Times New Roman"/>
          <w:sz w:val="17"/>
          <w:szCs w:val="17"/>
          <w:color w:val="auto"/>
        </w:rPr>
        <w:t>” means any director of the Company that the holders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record of the Series A Preferred Stock and Series B Preferred Stock are entitled to elect, voting together as a separate series, pursuant to the Restated Certificate.</w:t>
      </w:r>
    </w:p>
    <w:p>
      <w:pPr>
        <w:spacing w:after="0" w:line="13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1.44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C Director</w:t>
      </w:r>
      <w:r>
        <w:rPr>
          <w:rFonts w:ascii="Times New Roman" w:cs="Times New Roman" w:eastAsia="Times New Roman" w:hAnsi="Times New Roman"/>
          <w:sz w:val="17"/>
          <w:szCs w:val="17"/>
          <w:color w:val="auto"/>
        </w:rPr>
        <w:t>” means any director of the Company that the holders of record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Series C Preferred Stock are entitled to elect, voting exclusively and as a separate series, pursuant to the Restated Certificate.</w:t>
      </w:r>
    </w:p>
    <w:p>
      <w:pPr>
        <w:spacing w:after="0" w:line="13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1.45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D Director</w:t>
      </w:r>
      <w:r>
        <w:rPr>
          <w:rFonts w:ascii="Times New Roman" w:cs="Times New Roman" w:eastAsia="Times New Roman" w:hAnsi="Times New Roman"/>
          <w:sz w:val="17"/>
          <w:szCs w:val="17"/>
          <w:color w:val="auto"/>
        </w:rPr>
        <w:t>” means any director of the Company that the holders of record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Series D Preferred Stock are entitled to elect, voting exclusively and as a separate series, pursuant to the Restated Certificate.</w:t>
      </w:r>
    </w:p>
    <w:p>
      <w:pPr>
        <w:spacing w:after="0" w:line="130" w:lineRule="exact"/>
        <w:rPr>
          <w:sz w:val="20"/>
          <w:szCs w:val="20"/>
          <w:color w:val="auto"/>
        </w:rPr>
      </w:pPr>
    </w:p>
    <w:p>
      <w:pPr>
        <w:ind w:left="172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C/D Directors</w:t>
      </w:r>
      <w:r>
        <w:rPr>
          <w:rFonts w:ascii="Times New Roman" w:cs="Times New Roman" w:eastAsia="Times New Roman" w:hAnsi="Times New Roman"/>
          <w:sz w:val="17"/>
          <w:szCs w:val="17"/>
          <w:color w:val="auto"/>
        </w:rPr>
        <w:t>” means, collectively, the Series C Directors and Series D</w:t>
      </w:r>
    </w:p>
    <w:p>
      <w:pPr>
        <w:spacing w:after="0" w:line="2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color w:val="auto"/>
        </w:rPr>
        <w:t>Director.</w:t>
      </w:r>
    </w:p>
    <w:p>
      <w:pPr>
        <w:spacing w:after="0" w:line="149"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1.47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A Preferred Stock</w:t>
      </w:r>
      <w:r>
        <w:rPr>
          <w:rFonts w:ascii="Times New Roman" w:cs="Times New Roman" w:eastAsia="Times New Roman" w:hAnsi="Times New Roman"/>
          <w:sz w:val="17"/>
          <w:szCs w:val="17"/>
          <w:color w:val="auto"/>
        </w:rPr>
        <w:t>” means shares of the Company’s Series A Preferred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par value $0.001 per share.</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1.48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B Preferred Stock</w:t>
      </w:r>
      <w:r>
        <w:rPr>
          <w:rFonts w:ascii="Times New Roman" w:cs="Times New Roman" w:eastAsia="Times New Roman" w:hAnsi="Times New Roman"/>
          <w:sz w:val="17"/>
          <w:szCs w:val="17"/>
          <w:color w:val="auto"/>
        </w:rPr>
        <w:t>” means shares of the Company’s Series B Preferred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par value $0.001 per share.</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1.49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C Preferred Stock</w:t>
      </w:r>
      <w:r>
        <w:rPr>
          <w:rFonts w:ascii="Times New Roman" w:cs="Times New Roman" w:eastAsia="Times New Roman" w:hAnsi="Times New Roman"/>
          <w:sz w:val="17"/>
          <w:szCs w:val="17"/>
          <w:color w:val="auto"/>
        </w:rPr>
        <w:t>” means shares of the Company’s Series C-1 Preferred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par value $0.001 per share, and Series C-2 Preferred Stock, par value $0.001 per share.</w:t>
      </w:r>
    </w:p>
    <w:p>
      <w:pPr>
        <w:spacing w:after="0" w:line="117"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1.50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Series D Preferred Stock</w:t>
      </w:r>
      <w:r>
        <w:rPr>
          <w:rFonts w:ascii="Times New Roman" w:cs="Times New Roman" w:eastAsia="Times New Roman" w:hAnsi="Times New Roman"/>
          <w:sz w:val="17"/>
          <w:szCs w:val="17"/>
          <w:color w:val="auto"/>
        </w:rPr>
        <w:t>” means shares of the Company’s Series D Preferred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Stock, par value $0.001 per share.</w:t>
      </w:r>
    </w:p>
    <w:p>
      <w:pPr>
        <w:spacing w:after="0" w:line="11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1.51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SR One</w:t>
      </w:r>
      <w:r>
        <w:rPr>
          <w:rFonts w:ascii="Times New Roman" w:cs="Times New Roman" w:eastAsia="Times New Roman" w:hAnsi="Times New Roman"/>
          <w:sz w:val="17"/>
          <w:szCs w:val="17"/>
          <w:color w:val="auto"/>
        </w:rPr>
        <w:t>” means SR One Capital Fund II Aggregator, LP and AMZL, LP.</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1.52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Suvretta</w:t>
      </w:r>
      <w:r>
        <w:rPr>
          <w:rFonts w:ascii="Times New Roman" w:cs="Times New Roman" w:eastAsia="Times New Roman" w:hAnsi="Times New Roman"/>
          <w:sz w:val="17"/>
          <w:szCs w:val="17"/>
          <w:color w:val="auto"/>
        </w:rPr>
        <w:t>” means Suvretta Capital Management, LLC and its Affiliates.</w:t>
      </w:r>
    </w:p>
    <w:p>
      <w:pPr>
        <w:spacing w:after="0" w:line="162"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1.53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Surveyor</w:t>
      </w:r>
      <w:r>
        <w:rPr>
          <w:rFonts w:ascii="Times New Roman" w:cs="Times New Roman" w:eastAsia="Times New Roman" w:hAnsi="Times New Roman"/>
          <w:sz w:val="17"/>
          <w:szCs w:val="17"/>
          <w:color w:val="auto"/>
        </w:rPr>
        <w:t>” means Citadel Multi-Strategy Equities Master Fund Ltd. and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w:t>
      </w:r>
    </w:p>
    <w:p>
      <w:pPr>
        <w:spacing w:after="0" w:line="117" w:lineRule="exact"/>
        <w:rPr>
          <w:sz w:val="20"/>
          <w:szCs w:val="20"/>
          <w:color w:val="auto"/>
        </w:rPr>
      </w:pPr>
    </w:p>
    <w:p>
      <w:pPr>
        <w:ind w:left="1720"/>
        <w:spacing w:after="0"/>
        <w:tabs>
          <w:tab w:leader="none" w:pos="2180" w:val="left"/>
        </w:tabs>
        <w:rPr>
          <w:sz w:val="20"/>
          <w:szCs w:val="20"/>
          <w:color w:val="auto"/>
        </w:rPr>
      </w:pPr>
      <w:r>
        <w:rPr>
          <w:rFonts w:ascii="Times New Roman" w:cs="Times New Roman" w:eastAsia="Times New Roman" w:hAnsi="Times New Roman"/>
          <w:sz w:val="17"/>
          <w:szCs w:val="17"/>
          <w:b w:val="1"/>
          <w:bCs w:val="1"/>
          <w:color w:val="auto"/>
        </w:rPr>
        <w:t>1.54</w:t>
      </w:r>
      <w:r>
        <w:rPr>
          <w:sz w:val="20"/>
          <w:szCs w:val="20"/>
          <w:color w:val="auto"/>
        </w:rPr>
        <w:tab/>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1.55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Vida</w:t>
      </w:r>
      <w:r>
        <w:rPr>
          <w:rFonts w:ascii="Times New Roman" w:cs="Times New Roman" w:eastAsia="Times New Roman" w:hAnsi="Times New Roman"/>
          <w:sz w:val="17"/>
          <w:szCs w:val="17"/>
          <w:color w:val="auto"/>
        </w:rPr>
        <w:t>” means Vida Ventures III, LP and Vida Ventures III-A, LP.</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19" w:name="page320"/>
    <w:bookmarkEnd w:id="319"/>
    <w:p>
      <w:pPr>
        <w:ind w:left="2240" w:hanging="511"/>
        <w:spacing w:after="0"/>
        <w:tabs>
          <w:tab w:leader="none" w:pos="2240" w:val="left"/>
        </w:tabs>
        <w:numPr>
          <w:ilvl w:val="0"/>
          <w:numId w:val="2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Registration Rights</w:t>
      </w:r>
      <w:r>
        <w:rPr>
          <w:rFonts w:ascii="Times New Roman" w:cs="Times New Roman" w:eastAsia="Times New Roman" w:hAnsi="Times New Roman"/>
          <w:sz w:val="17"/>
          <w:szCs w:val="17"/>
          <w:color w:val="auto"/>
        </w:rPr>
        <w:t>. The Company covenants and agrees as follows:</w:t>
      </w:r>
    </w:p>
    <w:p>
      <w:pPr>
        <w:spacing w:after="0" w:line="162" w:lineRule="exact"/>
        <w:rPr>
          <w:sz w:val="20"/>
          <w:szCs w:val="20"/>
          <w:color w:val="auto"/>
        </w:rPr>
      </w:pPr>
    </w:p>
    <w:p>
      <w:pPr>
        <w:ind w:left="1720"/>
        <w:spacing w:after="0"/>
        <w:tabs>
          <w:tab w:leader="none" w:pos="222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6"/>
          <w:szCs w:val="16"/>
          <w:b w:val="1"/>
          <w:bCs w:val="1"/>
          <w:color w:val="auto"/>
        </w:rPr>
        <w:t>Demand Registration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1220" w:right="1239" w:firstLine="1013"/>
        <w:spacing w:after="0" w:line="235" w:lineRule="auto"/>
        <w:tabs>
          <w:tab w:leader="none" w:pos="2592" w:val="left"/>
        </w:tabs>
        <w:numPr>
          <w:ilvl w:val="1"/>
          <w:numId w:val="2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Form S-1 Demand</w:t>
      </w:r>
      <w:r>
        <w:rPr>
          <w:rFonts w:ascii="Times New Roman" w:cs="Times New Roman" w:eastAsia="Times New Roman" w:hAnsi="Times New Roman"/>
          <w:sz w:val="17"/>
          <w:szCs w:val="17"/>
          <w:color w:val="auto"/>
        </w:rPr>
        <w:t>. If at any time after the earlier of (i) three (3) years 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date of this Agreement or (ii) one hundred eighty (180) days after the effective date of the registration statement for the IPO, the Company receives a request from Holders of at least twenty- five percent (25%) of the Registrable Securities then outstanding that the Company file a Form S- 1 registration statement with respect to outstanding Registrable Securities of such Holders having an anticipated aggregate offering price, net of Selling Expenses, of at least $5,000,000, then the Company shall (i) within ten (10) days after the date such request is given, give notice thereof (the “</w:t>
      </w:r>
      <w:r>
        <w:rPr>
          <w:rFonts w:ascii="Times New Roman" w:cs="Times New Roman" w:eastAsia="Times New Roman" w:hAnsi="Times New Roman"/>
          <w:sz w:val="17"/>
          <w:szCs w:val="17"/>
          <w:b w:val="1"/>
          <w:bCs w:val="1"/>
          <w:i w:val="1"/>
          <w:iCs w:val="1"/>
          <w:color w:val="auto"/>
        </w:rPr>
        <w:t>Demand Notice</w:t>
      </w:r>
      <w:r>
        <w:rPr>
          <w:rFonts w:ascii="Times New Roman" w:cs="Times New Roman" w:eastAsia="Times New Roman" w:hAnsi="Times New Roman"/>
          <w:sz w:val="17"/>
          <w:szCs w:val="17"/>
          <w:color w:val="auto"/>
        </w:rPr>
        <w:t>”) to all Holders other than the Initiating Holders; and</w:t>
      </w:r>
    </w:p>
    <w:p>
      <w:pPr>
        <w:spacing w:after="0" w:line="4" w:lineRule="exact"/>
        <w:rPr>
          <w:rFonts w:ascii="Times New Roman" w:cs="Times New Roman" w:eastAsia="Times New Roman" w:hAnsi="Times New Roman"/>
          <w:sz w:val="17"/>
          <w:szCs w:val="17"/>
          <w:b w:val="1"/>
          <w:bCs w:val="1"/>
          <w:color w:val="auto"/>
        </w:rPr>
      </w:pPr>
    </w:p>
    <w:p>
      <w:pPr>
        <w:jc w:val="both"/>
        <w:ind w:left="1220" w:right="1239" w:firstLine="4"/>
        <w:spacing w:after="0" w:line="234" w:lineRule="auto"/>
        <w:tabs>
          <w:tab w:leader="none" w:pos="1478"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soon as practicable, and in any event within sixty (60) days after the date such request is given by the Initiating Holders, file a Form S-1 registration statement under the Securities Act covering all Registrable Securities that the Initiating Holders requested to be registered and any additional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36" w:lineRule="exact"/>
        <w:rPr>
          <w:rFonts w:ascii="Times New Roman" w:cs="Times New Roman" w:eastAsia="Times New Roman" w:hAnsi="Times New Roman"/>
          <w:sz w:val="17"/>
          <w:szCs w:val="17"/>
          <w:color w:val="auto"/>
        </w:rPr>
      </w:pPr>
    </w:p>
    <w:p>
      <w:pPr>
        <w:jc w:val="both"/>
        <w:ind w:left="1220" w:right="1239" w:firstLine="1013"/>
        <w:spacing w:after="0" w:line="235" w:lineRule="auto"/>
        <w:tabs>
          <w:tab w:leader="none" w:pos="2592" w:val="left"/>
        </w:tabs>
        <w:numPr>
          <w:ilvl w:val="1"/>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Form S-3 Demand</w:t>
      </w:r>
      <w:r>
        <w:rPr>
          <w:rFonts w:ascii="Times New Roman" w:cs="Times New Roman" w:eastAsia="Times New Roman" w:hAnsi="Times New Roman"/>
          <w:sz w:val="17"/>
          <w:szCs w:val="17"/>
          <w:color w:val="auto"/>
        </w:rPr>
        <w:t>. If at any time when it is eligible to use a Form S-3</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registration statement, the Company receives from any Holder or Holders of at least fifteen percent (15%) of the Registrable Securities then outstanding a request that the Company file a Form S-3 registration statement with respect to outstanding Registrable Securities of such Holder or Holders having an anticipated aggregate offering price, net of Selling Expenses, of at least $5,000,000, then the Company shall (i) within ten (10) days after the date such request is given, give a Demand Notice to all Holders other than the Initiating Holders; and (ii) as soon as practicable, and in any event within forty-five (45) days after the date such request is given by the Initiating Holders, file a Form S-3 registration statement under the Securities Act covering all Registrable Securities requested to be included in such registration by any other Holders, as specified by notice given by each such Holder to the Company within twenty (20) days of the date the Demand Notice is given, and in each case, subject to the limitations of </w:t>
      </w:r>
      <w:r>
        <w:rPr>
          <w:rFonts w:ascii="Times New Roman" w:cs="Times New Roman" w:eastAsia="Times New Roman" w:hAnsi="Times New Roman"/>
          <w:sz w:val="17"/>
          <w:szCs w:val="17"/>
          <w:u w:val="single" w:color="auto"/>
          <w:color w:val="auto"/>
        </w:rPr>
        <w:t>Section 2.1(c)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w:t>
      </w:r>
    </w:p>
    <w:p>
      <w:pPr>
        <w:spacing w:after="0" w:line="143" w:lineRule="exact"/>
        <w:rPr>
          <w:rFonts w:ascii="Times New Roman" w:cs="Times New Roman" w:eastAsia="Times New Roman" w:hAnsi="Times New Roman"/>
          <w:sz w:val="17"/>
          <w:szCs w:val="17"/>
          <w:b w:val="1"/>
          <w:bCs w:val="1"/>
          <w:color w:val="auto"/>
        </w:rPr>
      </w:pPr>
    </w:p>
    <w:p>
      <w:pPr>
        <w:jc w:val="both"/>
        <w:ind w:left="1220" w:right="1239" w:firstLine="1013"/>
        <w:spacing w:after="0" w:line="234" w:lineRule="auto"/>
        <w:tabs>
          <w:tab w:leader="none" w:pos="2592" w:val="left"/>
        </w:tabs>
        <w:numPr>
          <w:ilvl w:val="1"/>
          <w:numId w:val="2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Notwithstanding the foregoing obligations, if the Company furnishes to Holders requesting a registration pursuant to this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 certificate signed by the Company’s chief executive officer stating that in the good faith judgment of the Board it would be materially detrimental to the Company and its stockholders for such registration statement to be filed, to become effective or to remain effective for as long as such registration statement would otherwise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filing, and any time periods with respect to filing or effectiveness thereof shall be tolled correspondingly, for a period of not more than ninety (90) days after the request of the Initiating Holders is given for any registration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or 2.1(b); provided, however, that the Company may not invoke this right more than once in any twelve (12) month period; and provided further that the Company shall not register any securities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20" w:name="page321"/>
    <w:bookmarkEnd w:id="320"/>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for its own account or that of any other stockholder during such ninety (90) day period, other than an Excluded Registration.</w:t>
      </w:r>
    </w:p>
    <w:p>
      <w:pPr>
        <w:spacing w:after="0" w:line="125" w:lineRule="exact"/>
        <w:rPr>
          <w:sz w:val="20"/>
          <w:szCs w:val="20"/>
          <w:color w:val="auto"/>
        </w:rPr>
      </w:pPr>
    </w:p>
    <w:p>
      <w:pPr>
        <w:jc w:val="both"/>
        <w:ind w:left="1220" w:right="1239" w:firstLine="1013"/>
        <w:spacing w:after="0" w:line="249" w:lineRule="auto"/>
        <w:tabs>
          <w:tab w:leader="none" w:pos="2592" w:val="left"/>
        </w:tabs>
        <w:numPr>
          <w:ilvl w:val="1"/>
          <w:numId w:val="2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Company shall not be obligated to effect, or to take any action to effect, any registration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(i) during the period that is sixty (60) days before the Company’s good faith estimate of the date of filing of, and ending on a date that is one hundred eighty (180) days after the effective date of, a Company-initiated registration, provided, that the Company is actively employing in good faith commercially reasonable efforts to cause such registration statement to become effective; (ii) after the Company has effected two (2) registrations pursuant to </w:t>
      </w:r>
      <w:r>
        <w:rPr>
          <w:rFonts w:ascii="Times New Roman" w:cs="Times New Roman" w:eastAsia="Times New Roman" w:hAnsi="Times New Roman"/>
          <w:sz w:val="16"/>
          <w:szCs w:val="16"/>
          <w:u w:val="single" w:color="auto"/>
          <w:color w:val="auto"/>
        </w:rPr>
        <w:t>Section 2.1(a)</w:t>
      </w:r>
      <w:r>
        <w:rPr>
          <w:rFonts w:ascii="Times New Roman" w:cs="Times New Roman" w:eastAsia="Times New Roman" w:hAnsi="Times New Roman"/>
          <w:sz w:val="16"/>
          <w:szCs w:val="16"/>
          <w:color w:val="auto"/>
        </w:rPr>
        <w:t xml:space="preserve">; or (iii) if the Initiating Holders propose to dispose of shares of Registrable Securities that may be immediately registered on Form S-3 pursuant to a request made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xml:space="preserve">. The Company shall not be obligated to effect, or to take any action to effect, any registration pursuant to </w:t>
      </w:r>
      <w:r>
        <w:rPr>
          <w:rFonts w:ascii="Times New Roman" w:cs="Times New Roman" w:eastAsia="Times New Roman" w:hAnsi="Times New Roman"/>
          <w:sz w:val="16"/>
          <w:szCs w:val="16"/>
          <w:u w:val="single" w:color="auto"/>
          <w:color w:val="auto"/>
        </w:rPr>
        <w:t>Section 2.1(b)</w:t>
      </w:r>
      <w:r>
        <w:rPr>
          <w:rFonts w:ascii="Times New Roman" w:cs="Times New Roman" w:eastAsia="Times New Roman" w:hAnsi="Times New Roman"/>
          <w:sz w:val="16"/>
          <w:szCs w:val="16"/>
          <w:color w:val="auto"/>
        </w:rPr>
        <w:t>: (i) during the period that is thirty</w:t>
      </w:r>
    </w:p>
    <w:p>
      <w:pPr>
        <w:spacing w:after="0" w:line="1" w:lineRule="exact"/>
        <w:rPr>
          <w:rFonts w:ascii="Times New Roman" w:cs="Times New Roman" w:eastAsia="Times New Roman" w:hAnsi="Times New Roman"/>
          <w:sz w:val="16"/>
          <w:szCs w:val="16"/>
          <w:b w:val="1"/>
          <w:bCs w:val="1"/>
          <w:color w:val="auto"/>
        </w:rPr>
      </w:pPr>
    </w:p>
    <w:p>
      <w:pPr>
        <w:jc w:val="both"/>
        <w:ind w:left="1220" w:right="1239" w:firstLine="4"/>
        <w:spacing w:after="0" w:line="233" w:lineRule="auto"/>
        <w:tabs>
          <w:tab w:leader="none" w:pos="154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days before the Company’s good faith estimate of the date of filing of, and ending on a date that is ninety (90) days after the effective date of, a Company-initiated registration, provided, that the Company is actively employing in good faith commercially reasonable efforts to cause such registration statement to become effective; or (ii) if the Company has effected two (2) registrations pursuant to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within the twelve (12) month period immediately preceding the date of such request. A registration shall not be counted as “effected” for purposes of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 xml:space="preserve"> until such time as the applicable registration statement covering all Registrable Securities requested to be registered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applicable, has been declared effective by the SEC, unless the Initiating Holders withdraw their request for such registration (other than a withdrawal following a material adverse change to the Company), elect not to pay the registration expenses therefor, and forfeit their right to one demand registration statement pursuant to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in which case such withdrawn registration statement shall be counted as “effected” for purposes of this </w:t>
      </w:r>
      <w:r>
        <w:rPr>
          <w:rFonts w:ascii="Times New Roman" w:cs="Times New Roman" w:eastAsia="Times New Roman" w:hAnsi="Times New Roman"/>
          <w:sz w:val="17"/>
          <w:szCs w:val="17"/>
          <w:u w:val="single" w:color="auto"/>
          <w:color w:val="auto"/>
        </w:rPr>
        <w:t>Section 2.1(d)</w:t>
      </w:r>
      <w:r>
        <w:rPr>
          <w:rFonts w:ascii="Times New Roman" w:cs="Times New Roman" w:eastAsia="Times New Roman" w:hAnsi="Times New Roman"/>
          <w:sz w:val="17"/>
          <w:szCs w:val="17"/>
          <w:color w:val="auto"/>
        </w:rPr>
        <w:t>.</w:t>
      </w:r>
    </w:p>
    <w:p>
      <w:pPr>
        <w:spacing w:after="0" w:line="139"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2.2 Company Registration</w:t>
      </w:r>
      <w:r>
        <w:rPr>
          <w:rFonts w:ascii="Times New Roman" w:cs="Times New Roman" w:eastAsia="Times New Roman" w:hAnsi="Times New Roman"/>
          <w:sz w:val="17"/>
          <w:szCs w:val="17"/>
          <w:color w:val="auto"/>
        </w:rPr>
        <w:t>. If the Company proposes to register (including, for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purpose, a registration effected by the Company for stockholders other than the Holders) any of its Common Stock under the Securities Act in connection with the public offering of such securities solely for cash (other than in an Excluded Registration), the Company shall, at such time, promptly give each Holder notice of such registration. Upon the request of each Holder given within twenty (20) days after such notice is given by the Company, the Company shall, subject to the provisions of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cause to be registered all of the Registrable Securities that each such Holder has requested to be included in such registration. The Company shall have the right to terminate or withdraw any registration initiated by it under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before the effective date of such registration, whether or not any Holder has elected to include Registrable Securities in such registration. The expenses (other than Selling Expenses) of such withdrawn registration shall be borne by the Company in accordance with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w:t>
      </w:r>
    </w:p>
    <w:p>
      <w:pPr>
        <w:spacing w:after="0" w:line="142" w:lineRule="exact"/>
        <w:rPr>
          <w:sz w:val="20"/>
          <w:szCs w:val="20"/>
          <w:color w:val="auto"/>
        </w:rPr>
      </w:pPr>
    </w:p>
    <w:p>
      <w:pPr>
        <w:ind w:left="1720"/>
        <w:spacing w:after="0"/>
        <w:tabs>
          <w:tab w:leader="none" w:pos="222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6"/>
          <w:szCs w:val="16"/>
          <w:b w:val="1"/>
          <w:bCs w:val="1"/>
          <w:color w:val="auto"/>
        </w:rPr>
        <w:t>Underwriting Requirements</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1220" w:right="1239" w:firstLine="1013"/>
        <w:spacing w:after="0" w:line="238" w:lineRule="auto"/>
        <w:tabs>
          <w:tab w:leader="none" w:pos="2592" w:val="left"/>
        </w:tabs>
        <w:numPr>
          <w:ilvl w:val="0"/>
          <w:numId w:val="2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If,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the Initiating Holders intend to distribute the Registrable Securities covered by their request by means of an underwriting, they shall so advise the Company as a part of their request made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and the Company shall include such information in the Demand Notice. The underwriter(s) will be selected by the Company and shall be reasonably acceptable to a majority in interest of the Initiating Holders. In such event, the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21" w:name="page322"/>
    <w:bookmarkEnd w:id="321"/>
    <w:p>
      <w:pPr>
        <w:jc w:val="both"/>
        <w:ind w:left="1220" w:right="1239"/>
        <w:spacing w:after="0" w:line="234" w:lineRule="auto"/>
        <w:rPr>
          <w:sz w:val="20"/>
          <w:szCs w:val="20"/>
          <w:color w:val="auto"/>
        </w:rPr>
      </w:pPr>
      <w:r>
        <w:rPr>
          <w:rFonts w:ascii="Times New Roman" w:cs="Times New Roman" w:eastAsia="Times New Roman" w:hAnsi="Times New Roman"/>
          <w:sz w:val="17"/>
          <w:szCs w:val="17"/>
          <w:color w:val="auto"/>
        </w:rPr>
        <w:t xml:space="preserve">right of any Holder to include such Holder’s Registrable Securities in such registration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as provided in </w:t>
      </w:r>
      <w:r>
        <w:rPr>
          <w:rFonts w:ascii="Times New Roman" w:cs="Times New Roman" w:eastAsia="Times New Roman" w:hAnsi="Times New Roman"/>
          <w:sz w:val="17"/>
          <w:szCs w:val="17"/>
          <w:u w:val="single" w:color="auto"/>
          <w:color w:val="auto"/>
        </w:rPr>
        <w:t>Section 2.4(e)</w:t>
      </w:r>
      <w:r>
        <w:rPr>
          <w:rFonts w:ascii="Times New Roman" w:cs="Times New Roman" w:eastAsia="Times New Roman" w:hAnsi="Times New Roman"/>
          <w:sz w:val="17"/>
          <w:szCs w:val="17"/>
          <w:color w:val="auto"/>
        </w:rPr>
        <w:t xml:space="preserve"> enter into an underwriting agreement in customary form with the underwriter(s) selected for such underwriting. Notwithstanding any other provision of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if the managing underwriter(s) advise(s) the Initiating Holders in writing that marketing factors require a limitation on the number of shares to be underwritten, then the Initiating Holders shall so advise all Holders of Registrable Securities that otherwise would be underwritten pursuant hereto, and the number of Registrable Securities that may be included in the underwriting shall be allocated among such Holders of Registrable Securities, including the Initiating Holders, in proportion (as nearly as practicable) to the number of Registrable Securities owned by each Holder or in such other proportion as shall mutually be agreed to by all such selling Holders; provided, however, that the number of Registrable Securities held by the Holders to be included in such underwriting shall not be reduced unless all other securities are first entirely excluded from the underwriting. To facilitate the allocation of shares in accordance with the above provisions, the Company or the underwriters may round the number of shares allocated to any Holder to the nearest one hundred (100) shares.</w:t>
      </w:r>
    </w:p>
    <w:p>
      <w:pPr>
        <w:spacing w:after="0" w:line="143" w:lineRule="exact"/>
        <w:rPr>
          <w:sz w:val="20"/>
          <w:szCs w:val="20"/>
          <w:color w:val="auto"/>
        </w:rPr>
      </w:pPr>
    </w:p>
    <w:p>
      <w:pPr>
        <w:jc w:val="both"/>
        <w:ind w:left="1220" w:right="1239" w:firstLine="1013"/>
        <w:spacing w:after="0" w:line="248" w:lineRule="auto"/>
        <w:tabs>
          <w:tab w:leader="none" w:pos="2592" w:val="left"/>
        </w:tabs>
        <w:numPr>
          <w:ilvl w:val="1"/>
          <w:numId w:val="2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 connection with any offering involving an underwriting of shares of the Company’s capital stock pursuant to </w:t>
      </w:r>
      <w:r>
        <w:rPr>
          <w:rFonts w:ascii="Times New Roman" w:cs="Times New Roman" w:eastAsia="Times New Roman" w:hAnsi="Times New Roman"/>
          <w:sz w:val="16"/>
          <w:szCs w:val="16"/>
          <w:u w:val="single" w:color="auto"/>
          <w:color w:val="auto"/>
        </w:rPr>
        <w:t>Section 2.2</w:t>
      </w:r>
      <w:r>
        <w:rPr>
          <w:rFonts w:ascii="Times New Roman" w:cs="Times New Roman" w:eastAsia="Times New Roman" w:hAnsi="Times New Roman"/>
          <w:sz w:val="16"/>
          <w:szCs w:val="16"/>
          <w:color w:val="auto"/>
        </w:rPr>
        <w:t>, the Company shall not be required to include any of the Holders’ Registrable Securities in such underwriting unless the Holders accept the terms of the underwriting as agreed upon between the Company and its underwriters, and then only in such quantity as the underwriters in their sole discretion determine will not jeopardize the success of the offering by the Company. If the total number of securities, including Registrable Securities, requested by stockholders to be included in such offering exceeds the number of securities to be sold (other than by the Company) that the underwriters in their reasonable discretion determine is compatible with the success of the offering, then the Company shall be required to include in the offering only that number of such securities, including Registrable Securities, which the underwriters and the Company in their sole discretion determine will not jeopardize the success of the offering. If the underwriters determine that less than all of the Registrable Securities requested to be registered can be included in such offering, then the Registrable Securities that are included in such offering shall be allocated among the selling Holders in proportion (as nearly as practicable to) the number of Registrable Securities owned by each selling Holder or in such other proportions as shall mutually be agreed to by all such selling Holders. To facilitate the allocation of shares in accordance with the above provisions, the Company or the underwriters may round the number of shares allocated to any Holder to the nearest one hundred (100) shares. Notwithstanding the foregoing, in no event shall (i) the number of Registrable Securities included in the offering be reduced unless all other securities (other than securities to be sold by the Company) are first entirely excluded from the offering, or</w:t>
      </w:r>
    </w:p>
    <w:p>
      <w:pPr>
        <w:spacing w:after="0" w:line="189" w:lineRule="exact"/>
        <w:rPr>
          <w:rFonts w:ascii="Times New Roman" w:cs="Times New Roman" w:eastAsia="Times New Roman" w:hAnsi="Times New Roman"/>
          <w:sz w:val="16"/>
          <w:szCs w:val="16"/>
          <w:b w:val="1"/>
          <w:bCs w:val="1"/>
          <w:color w:val="auto"/>
        </w:rPr>
      </w:pPr>
    </w:p>
    <w:p>
      <w:pPr>
        <w:jc w:val="both"/>
        <w:ind w:left="1220" w:right="1239" w:firstLine="4"/>
        <w:spacing w:after="0" w:line="233" w:lineRule="auto"/>
        <w:tabs>
          <w:tab w:leader="none" w:pos="1471" w:val="left"/>
        </w:tabs>
        <w:numPr>
          <w:ilvl w:val="0"/>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Registrable Securities included in the offering be reduced below thirty percent (30%) of the total number of securities included in such offering, unless such offering is the IPO, in which case the selling Holders may be excluded further if the underwriters make the determination described above and no other stockholder’s securities are included in such offering. For purposes of the provision in this </w:t>
      </w:r>
      <w:r>
        <w:rPr>
          <w:rFonts w:ascii="Times New Roman" w:cs="Times New Roman" w:eastAsia="Times New Roman" w:hAnsi="Times New Roman"/>
          <w:sz w:val="17"/>
          <w:szCs w:val="17"/>
          <w:u w:val="single" w:color="auto"/>
          <w:color w:val="auto"/>
        </w:rPr>
        <w:t>Section 2.3(b)</w:t>
      </w:r>
      <w:r>
        <w:rPr>
          <w:rFonts w:ascii="Times New Roman" w:cs="Times New Roman" w:eastAsia="Times New Roman" w:hAnsi="Times New Roman"/>
          <w:sz w:val="17"/>
          <w:szCs w:val="17"/>
          <w:color w:val="auto"/>
        </w:rPr>
        <w:t xml:space="preserve"> concerning apportionment, for any selling Holder that is a partnership, limited liability company, or corporation, the partners, members, retired partners, retired members, stockholders, and Affiliates of such Holder, or the estates and Immediate Family Members of any such partners, retired</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22" w:name="page323"/>
    <w:bookmarkEnd w:id="322"/>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partners, members, and retired members and any trusts for the benefit of any of the foregoing Persons, shall be deemed to be a single “selling Holder,” and any pro rata reduction with respect to such “selling Holder” shall be based upon the aggregate number of Registrable Securities owned by all Persons included in such “selling Holder,” as defined in this sentence.</w:t>
      </w:r>
    </w:p>
    <w:p>
      <w:pPr>
        <w:spacing w:after="0" w:line="140" w:lineRule="exact"/>
        <w:rPr>
          <w:sz w:val="20"/>
          <w:szCs w:val="20"/>
          <w:color w:val="auto"/>
        </w:rPr>
      </w:pPr>
    </w:p>
    <w:p>
      <w:pPr>
        <w:jc w:val="both"/>
        <w:ind w:left="1220" w:right="1239" w:firstLine="1013"/>
        <w:spacing w:after="0" w:line="241" w:lineRule="auto"/>
        <w:tabs>
          <w:tab w:leader="none" w:pos="2592" w:val="left"/>
        </w:tabs>
        <w:numPr>
          <w:ilvl w:val="0"/>
          <w:numId w:val="2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For purposes of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a registration shall not be counted as “effected” if, as a result of an exercise of the underwriter’s cutback provisions in </w:t>
      </w:r>
      <w:r>
        <w:rPr>
          <w:rFonts w:ascii="Times New Roman" w:cs="Times New Roman" w:eastAsia="Times New Roman" w:hAnsi="Times New Roman"/>
          <w:sz w:val="17"/>
          <w:szCs w:val="17"/>
          <w:u w:val="single" w:color="auto"/>
          <w:color w:val="auto"/>
        </w:rPr>
        <w:t>Section 2.3(a)</w:t>
      </w:r>
      <w:r>
        <w:rPr>
          <w:rFonts w:ascii="Times New Roman" w:cs="Times New Roman" w:eastAsia="Times New Roman" w:hAnsi="Times New Roman"/>
          <w:sz w:val="17"/>
          <w:szCs w:val="17"/>
          <w:color w:val="auto"/>
        </w:rPr>
        <w:t>, fewer than fifty percent (50%) of the total number of Registrable Securities that Holders have requested to be included in such registration statement are actually included.</w:t>
      </w:r>
    </w:p>
    <w:p>
      <w:pPr>
        <w:spacing w:after="0" w:line="136"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2.4 Obligations of the Company </w:t>
      </w:r>
      <w:r>
        <w:rPr>
          <w:rFonts w:ascii="Times New Roman" w:cs="Times New Roman" w:eastAsia="Times New Roman" w:hAnsi="Times New Roman"/>
          <w:sz w:val="17"/>
          <w:szCs w:val="17"/>
          <w:color w:val="auto"/>
        </w:rPr>
        <w:t>. Whenever required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effect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registration of any Registrable Securities, the Company shall, as expeditiously as reasonably possible:</w:t>
      </w:r>
    </w:p>
    <w:p>
      <w:pPr>
        <w:spacing w:after="0" w:line="134" w:lineRule="exact"/>
        <w:rPr>
          <w:sz w:val="20"/>
          <w:szCs w:val="20"/>
          <w:color w:val="auto"/>
        </w:rPr>
      </w:pPr>
    </w:p>
    <w:p>
      <w:pPr>
        <w:jc w:val="both"/>
        <w:ind w:left="1220" w:right="1239" w:firstLine="1013"/>
        <w:spacing w:after="0" w:line="248" w:lineRule="auto"/>
        <w:tabs>
          <w:tab w:leader="none" w:pos="2592" w:val="left"/>
        </w:tabs>
        <w:numPr>
          <w:ilvl w:val="1"/>
          <w:numId w:val="21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then outstanding registered thereunder, keep such registration statement effective for a period of up to one hundred twenty (120) days or, if earlier, until the distribution contemplated in the registration statement has been completed; provided, however, that (i) such one hundred twenty (120) day period shall be extended for a period of time equal to the period the Holder refrains, at the request of an underwriter of Common Stock (or other securities) of the Company, from selling any securities included in such registration and (ii) in the case of any registration of Registrable Securities on Form S-3 that are intended to be offered on a continuous or delayed basis, subject to compliance with applicable SEC rules, such one hundred twenty</w:t>
      </w:r>
    </w:p>
    <w:p>
      <w:pPr>
        <w:spacing w:after="0" w:line="8" w:lineRule="exact"/>
        <w:rPr>
          <w:rFonts w:ascii="Times New Roman" w:cs="Times New Roman" w:eastAsia="Times New Roman" w:hAnsi="Times New Roman"/>
          <w:sz w:val="16"/>
          <w:szCs w:val="16"/>
          <w:b w:val="1"/>
          <w:bCs w:val="1"/>
          <w:color w:val="auto"/>
        </w:rPr>
      </w:pPr>
    </w:p>
    <w:p>
      <w:pPr>
        <w:ind w:left="1220" w:right="1239" w:firstLine="4"/>
        <w:spacing w:after="0" w:line="238" w:lineRule="auto"/>
        <w:tabs>
          <w:tab w:leader="none" w:pos="1674"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 period shall be extended for up to ninety (90) days, if necessary, to keep the registration statement effective until all such Registrable Securities are sold;</w:t>
      </w:r>
    </w:p>
    <w:p>
      <w:pPr>
        <w:spacing w:after="0" w:line="140" w:lineRule="exact"/>
        <w:rPr>
          <w:rFonts w:ascii="Times New Roman" w:cs="Times New Roman" w:eastAsia="Times New Roman" w:hAnsi="Times New Roman"/>
          <w:sz w:val="17"/>
          <w:szCs w:val="17"/>
          <w:color w:val="auto"/>
        </w:rPr>
      </w:pPr>
    </w:p>
    <w:p>
      <w:pPr>
        <w:jc w:val="both"/>
        <w:ind w:left="1220" w:right="1239" w:firstLine="1013"/>
        <w:spacing w:after="0" w:line="241" w:lineRule="auto"/>
        <w:tabs>
          <w:tab w:leader="none" w:pos="2592" w:val="left"/>
        </w:tabs>
        <w:numPr>
          <w:ilvl w:val="1"/>
          <w:numId w:val="2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prepare and file with the SEC such amendments and supplements to such registration statement, and the prospectus used in connection with such registration statement, as may be necessary to comply with the Securities Act in order to enable the disposition of all securities covered by such registration statement;</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1013"/>
        <w:spacing w:after="0" w:line="241" w:lineRule="auto"/>
        <w:tabs>
          <w:tab w:leader="none" w:pos="2592" w:val="left"/>
        </w:tabs>
        <w:numPr>
          <w:ilvl w:val="1"/>
          <w:numId w:val="2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furnish to the selling Holders such numbers of copies of a prospectus, including a preliminary prospectus, as required by the Securities Act, and such other documents as the Holders may reasonably request in order to facilitate their disposition of their Registrable Securities;</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1013"/>
        <w:spacing w:after="0" w:line="238" w:lineRule="auto"/>
        <w:tabs>
          <w:tab w:leader="none" w:pos="2592" w:val="left"/>
        </w:tabs>
        <w:numPr>
          <w:ilvl w:val="1"/>
          <w:numId w:val="2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use its commercially reasonable efforts to register and qualify the securities covered by such registration statement under such other securities or blue-sky laws of such jurisdictions as shall be reasonably requested by the selling Holders;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the Company shall not be required to qualify to do business or to file a general consent to service of process in any such states or jurisdictions, unless the Company is already subject to service in such jurisdiction and except as may be required by the Securities Act;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23" w:name="page324"/>
    <w:bookmarkEnd w:id="323"/>
    <w:p>
      <w:pPr>
        <w:jc w:val="both"/>
        <w:ind w:left="1220" w:right="1239" w:firstLine="1013"/>
        <w:spacing w:after="0" w:line="246" w:lineRule="auto"/>
        <w:tabs>
          <w:tab w:leader="none" w:pos="2592"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the event of any underwritten public offering, enter into and perform its obligations under an underwriting agreement, in usual and customary form, with the underwriter(s) of such offering;</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41" w:lineRule="auto"/>
        <w:tabs>
          <w:tab w:leader="none" w:pos="2592"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use its commercially reasonable efforts to cause all such Registrable Securities covered by such registration statement to be listed on a national securities exchange or trading system and each securities exchange and trading system (if any) on which similar securities issued by the Company are then listed;</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1013"/>
        <w:spacing w:after="0" w:line="246" w:lineRule="auto"/>
        <w:tabs>
          <w:tab w:leader="none" w:pos="2592"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provide a transfer agent and registrar for all Registrable Securities registered pursuant to this Agreement and provide a CUSIP number for all such Registrable Securities, in each case not later than the effective date of such registration;</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36" w:lineRule="auto"/>
        <w:tabs>
          <w:tab w:leader="none" w:pos="2592"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promptly make available for inspection by the selling Holders, any underwriter(s) participating in any disposition pursuant to such registration statement, and any attorney or accountant or other agent retained by any such underwriter or selected by the selling Holders, all financial and other records, pertinent corporate documents, and properties of the Company, and cause the Company’s officers, directors, employees, and independent accountants to supply all information reasonably requested by any such seller, underwriter, attorney, accountant, or agent, in each case, as necessary or advisable to verify the accuracy of the information in such registration statement and to conduct appropriate due diligence in connection therewith;</w:t>
      </w:r>
    </w:p>
    <w:p>
      <w:pPr>
        <w:spacing w:after="0" w:line="141" w:lineRule="exact"/>
        <w:rPr>
          <w:rFonts w:ascii="Times New Roman" w:cs="Times New Roman" w:eastAsia="Times New Roman" w:hAnsi="Times New Roman"/>
          <w:sz w:val="17"/>
          <w:szCs w:val="17"/>
          <w:b w:val="1"/>
          <w:bCs w:val="1"/>
          <w:color w:val="auto"/>
        </w:rPr>
      </w:pPr>
    </w:p>
    <w:p>
      <w:pPr>
        <w:jc w:val="both"/>
        <w:ind w:left="1220" w:right="1239" w:firstLine="1013"/>
        <w:spacing w:after="0" w:line="246" w:lineRule="auto"/>
        <w:tabs>
          <w:tab w:leader="none" w:pos="2592"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notify each selling Holder, promptly after the Company receives notice thereof, of the time when such registration statement has been declared effective or a supplement to any prospectus forming a part of such registration statement has been filed;</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46" w:lineRule="auto"/>
        <w:tabs>
          <w:tab w:leader="none" w:pos="2592"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after such registration statement becomes effective, notify each selling Holder of any request by the SEC that the Company amend or supplement such registration statement or prospectus; and</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34" w:lineRule="auto"/>
        <w:tabs>
          <w:tab w:leader="none" w:pos="2592" w:val="left"/>
        </w:tabs>
        <w:numPr>
          <w:ilvl w:val="0"/>
          <w:numId w:val="2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use best efforts to furnish, at the request of any Holder requesting registration of Registrable Securities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on the date that such Registrable Securities are delivered to the underwriters for sale in connection with a registration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if such securities are being sold through underwriters, or, if such securities are not being sold through underwriters, on the date that the registration statement with respect to such securities becomes effective, (i) an opinion, dated such date, of the counsel representing the Company for the purposes of such registration, in form and substance as is customarily given to underwriters in an underwritten public offering, addressed to the underwriters, if any, and to the Holders requesting registration of Registrable Securities and (ii) a letter, dated such date, from the independent certified public accountants of the Company, in form and substance as is customarily given by independent certified public accountants to underwriters in an underwritten public offering, addressed to the underwriters, if any, and to the Holders requesting registration of Registrable Securities (to the extent the then-applicable standards of professional conduct permit said letter to be addressed to the Holders).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24" w:name="page325"/>
    <w:bookmarkEnd w:id="324"/>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In addition, the Company shall ensure that, at all times after any registration statement covering a public offering of securities of the Company under the Securities Act shall have become effective, its insider trading policy shall provide that the Company’s directors may implement a trading program under Rule 10b5-1 of the Exchange Act, subject to customary limitations with respect to the possession of material, non-public information and trading black-out periods.</w:t>
      </w:r>
    </w:p>
    <w:p>
      <w:pPr>
        <w:spacing w:after="0" w:line="136"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2.5 Furnish Information</w:t>
      </w:r>
      <w:r>
        <w:rPr>
          <w:rFonts w:ascii="Times New Roman" w:cs="Times New Roman" w:eastAsia="Times New Roman" w:hAnsi="Times New Roman"/>
          <w:sz w:val="17"/>
          <w:szCs w:val="17"/>
          <w:color w:val="auto"/>
        </w:rPr>
        <w:t>. It shall be a condition precedent to the obligations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Company to take any action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with respect to the Registrable Securities of any selling Holder that such Holder shall furnish to the Company such information regarding itself, the Registrable Securities held by it, and the intended method of disposition of such securities as is reasonably required to effect the registration of such Holder’s Registrable Securities.</w:t>
      </w:r>
    </w:p>
    <w:p>
      <w:pPr>
        <w:spacing w:after="0" w:line="140" w:lineRule="exact"/>
        <w:rPr>
          <w:sz w:val="20"/>
          <w:szCs w:val="20"/>
          <w:color w:val="auto"/>
        </w:rPr>
      </w:pPr>
    </w:p>
    <w:p>
      <w:pPr>
        <w:jc w:val="both"/>
        <w:ind w:left="1220" w:right="1239" w:firstLine="505"/>
        <w:spacing w:after="0" w:line="234" w:lineRule="auto"/>
        <w:rPr>
          <w:sz w:val="20"/>
          <w:szCs w:val="20"/>
          <w:color w:val="auto"/>
        </w:rPr>
      </w:pPr>
      <w:r>
        <w:rPr>
          <w:rFonts w:ascii="Times New Roman" w:cs="Times New Roman" w:eastAsia="Times New Roman" w:hAnsi="Times New Roman"/>
          <w:sz w:val="17"/>
          <w:szCs w:val="17"/>
          <w:b w:val="1"/>
          <w:bCs w:val="1"/>
          <w:color w:val="auto"/>
        </w:rPr>
        <w:t>2.6 Expenses of Registration</w:t>
      </w:r>
      <w:r>
        <w:rPr>
          <w:rFonts w:ascii="Times New Roman" w:cs="Times New Roman" w:eastAsia="Times New Roman" w:hAnsi="Times New Roman"/>
          <w:sz w:val="17"/>
          <w:szCs w:val="17"/>
          <w:color w:val="auto"/>
        </w:rPr>
        <w:t>. All expenses (other than Selling Expenses) incurred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connection with registrations, filings, or qualifications pursuant to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including all registration, filing, and qualification fees; printers’ and accounting fees; fees and disbursements of counsel for the Company; and the reasonable fees and disbursements, not to exceed $25,000 per registration, of one counsel for the selling Holders (“</w:t>
      </w:r>
      <w:r>
        <w:rPr>
          <w:rFonts w:ascii="Times New Roman" w:cs="Times New Roman" w:eastAsia="Times New Roman" w:hAnsi="Times New Roman"/>
          <w:sz w:val="17"/>
          <w:szCs w:val="17"/>
          <w:b w:val="1"/>
          <w:bCs w:val="1"/>
          <w:i w:val="1"/>
          <w:iCs w:val="1"/>
          <w:color w:val="auto"/>
        </w:rPr>
        <w:t>Selling Holder Counsel</w:t>
      </w:r>
      <w:r>
        <w:rPr>
          <w:rFonts w:ascii="Times New Roman" w:cs="Times New Roman" w:eastAsia="Times New Roman" w:hAnsi="Times New Roman"/>
          <w:sz w:val="17"/>
          <w:szCs w:val="17"/>
          <w:color w:val="auto"/>
        </w:rPr>
        <w:t xml:space="preserve">”), shall be borne and paid by the Company; provided, however, that the Company shall not be required to pay for any expenses of any registration proceeding begun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if the registration request is subsequently withdrawn at the request of the Holders of a majority of the Registrable Securities to be registered (in which case all selling Holders shall bear such expenses pro rata based upon the number of Registrable Securities that were to be included in the withdrawn registration), unless the Holders of a majority of the Registrable Securities agree to forfeit their right to one registration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as the case may be; provided further that if, at the time of such withdrawal, the Holders shall have learned of a material adverse change in the financial condition, business, or prospects of the Company from that known to the Holders at the time of their request and have withdrawn the request with reasonable promptness after learning of such information, then the Holders shall not be required to pay any of such expenses and shall not forfeit their right to one registration pursuant to </w:t>
      </w:r>
      <w:r>
        <w:rPr>
          <w:rFonts w:ascii="Times New Roman" w:cs="Times New Roman" w:eastAsia="Times New Roman" w:hAnsi="Times New Roman"/>
          <w:sz w:val="17"/>
          <w:szCs w:val="17"/>
          <w:u w:val="single" w:color="auto"/>
          <w:color w:val="auto"/>
        </w:rPr>
        <w:t>Section 2.1(a)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 xml:space="preserve">. All Selling Expenses relating to Registrable Securities registered pursuant to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xml:space="preserve"> shall be borne and paid by the Holders pro rata on the basis of the number of Registrable Securities registered on their behalf.</w:t>
      </w:r>
    </w:p>
    <w:p>
      <w:pPr>
        <w:spacing w:after="0" w:line="141"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2.7 Delay of Registration</w:t>
      </w:r>
      <w:r>
        <w:rPr>
          <w:rFonts w:ascii="Times New Roman" w:cs="Times New Roman" w:eastAsia="Times New Roman" w:hAnsi="Times New Roman"/>
          <w:sz w:val="17"/>
          <w:szCs w:val="17"/>
          <w:color w:val="auto"/>
        </w:rPr>
        <w:t>. No Holder shall have any right to obtain or seek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injunction restraining or otherwise delaying any registration pursuant to this Agreement as the result of any controversy that might arise with respect to the interpretation or implementation of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2.8 Indemnification</w:t>
      </w:r>
      <w:r>
        <w:rPr>
          <w:rFonts w:ascii="Times New Roman" w:cs="Times New Roman" w:eastAsia="Times New Roman" w:hAnsi="Times New Roman"/>
          <w:sz w:val="17"/>
          <w:szCs w:val="17"/>
          <w:color w:val="auto"/>
        </w:rPr>
        <w:t>. If any Registrable Securities are included in a registration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statement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jc w:val="both"/>
        <w:ind w:left="1220" w:right="1239" w:firstLine="1013"/>
        <w:spacing w:after="0" w:line="236" w:lineRule="auto"/>
        <w:tabs>
          <w:tab w:leader="none" w:pos="2592" w:val="left"/>
        </w:tabs>
        <w:numPr>
          <w:ilvl w:val="0"/>
          <w:numId w:val="2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permitted by law, the Company will indemnify and hold harmless each selling Holder, and the partners, members, officers, directors, and stockholders of each such Holder; legal counsel, accountants and investment managers for each such Holder; any underwriter (as defined in the Securities Act) for each such Holder; and each Person, if any, who controls such Holder or underwriter within the meaning of the Securities Act or the Exchange Act, against any Damages, and the Company will pay to each such Holder, underwriter, controlling Person, or other aforementioned Person any legal or other expenses reasonably incurred thereby in connection with investigating or defending any claim or proceeding from which Damages may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25" w:name="page326"/>
    <w:bookmarkEnd w:id="325"/>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 xml:space="preserve">result, as such expenses are incurred; provided, however, that the indemnity agreement contained in this </w:t>
      </w:r>
      <w:r>
        <w:rPr>
          <w:rFonts w:ascii="Times New Roman" w:cs="Times New Roman" w:eastAsia="Times New Roman" w:hAnsi="Times New Roman"/>
          <w:sz w:val="17"/>
          <w:szCs w:val="17"/>
          <w:u w:val="single" w:color="auto"/>
          <w:color w:val="auto"/>
        </w:rPr>
        <w:t>Section 2.8(a)</w:t>
      </w:r>
      <w:r>
        <w:rPr>
          <w:rFonts w:ascii="Times New Roman" w:cs="Times New Roman" w:eastAsia="Times New Roman" w:hAnsi="Times New Roman"/>
          <w:sz w:val="17"/>
          <w:szCs w:val="17"/>
          <w:color w:val="auto"/>
        </w:rPr>
        <w:t xml:space="preserve"> shall not apply to amounts paid in settlement of any such claim or proceeding if such settlement is effected without the consent of the Company, which consent shall not be unreasonably withheld, nor shall the Company be liable for any Damages to the extent that they arise out of or are based upon actions or omissions made in reliance upon and in conformity with written information furnished by or on behalf of any such Holder, underwriter, controlling Person, or other aforementioned Person expressly for use in connection with such registration.</w:t>
      </w:r>
    </w:p>
    <w:p>
      <w:pPr>
        <w:spacing w:after="0" w:line="144" w:lineRule="exact"/>
        <w:rPr>
          <w:sz w:val="20"/>
          <w:szCs w:val="20"/>
          <w:color w:val="auto"/>
        </w:rPr>
      </w:pPr>
    </w:p>
    <w:p>
      <w:pPr>
        <w:jc w:val="both"/>
        <w:ind w:left="1220" w:right="1239" w:firstLine="1013"/>
        <w:spacing w:after="0" w:line="234" w:lineRule="auto"/>
        <w:tabs>
          <w:tab w:leader="none" w:pos="2592" w:val="left"/>
        </w:tabs>
        <w:numPr>
          <w:ilvl w:val="0"/>
          <w:numId w:val="2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the extent permitted by law, each selling Holder, severally and not jointly, will indemnify and hold harmless the Company, and each of its directors, each of its officers who has signed the registration statement, each Person (if any), who controls the Company within the meaning of the Securities Act, legal counsel and accountants for the Company, any underwriter (as defined in the Securities Act), any other Holder selling securities in such registration statement, and any controlling Person of any such underwriter or other Holder, against any Damages, in each case only to the extent that such Damages arise out of or are based upon actions or omissions made in reliance upon and in conformity with written information furnished by or on behalf of such selling Holder expressly for use in connection with such registration; and each such selling Holder will pay to the Company and each other aforementioned Person any legal or other expenses reasonably incurred thereby in connection with investigating or defending any claim or proceeding from which Damages may result, as such expenses are incurred; provided, however, that the indemnity agreement contained in this </w:t>
      </w:r>
      <w:r>
        <w:rPr>
          <w:rFonts w:ascii="Times New Roman" w:cs="Times New Roman" w:eastAsia="Times New Roman" w:hAnsi="Times New Roman"/>
          <w:sz w:val="17"/>
          <w:szCs w:val="17"/>
          <w:u w:val="single" w:color="auto"/>
          <w:color w:val="auto"/>
        </w:rPr>
        <w:t>Section 2.8(b)</w:t>
      </w:r>
      <w:r>
        <w:rPr>
          <w:rFonts w:ascii="Times New Roman" w:cs="Times New Roman" w:eastAsia="Times New Roman" w:hAnsi="Times New Roman"/>
          <w:sz w:val="17"/>
          <w:szCs w:val="17"/>
          <w:color w:val="auto"/>
        </w:rPr>
        <w:t xml:space="preserve"> shall not apply to amounts paid in settlement of any such claim or proceeding if such settlement is effected without the consent of the Holder, which consent shall not be unreasonably withheld; and provided further that in no event shall the aggregate amounts payable by any Holder by way of indemnity or contribution under </w:t>
      </w:r>
      <w:r>
        <w:rPr>
          <w:rFonts w:ascii="Times New Roman" w:cs="Times New Roman" w:eastAsia="Times New Roman" w:hAnsi="Times New Roman"/>
          <w:sz w:val="17"/>
          <w:szCs w:val="17"/>
          <w:u w:val="single" w:color="auto"/>
          <w:color w:val="auto"/>
        </w:rPr>
        <w:t>Sections 2.8(b)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2.8(d)</w:t>
      </w:r>
      <w:r>
        <w:rPr>
          <w:rFonts w:ascii="Times New Roman" w:cs="Times New Roman" w:eastAsia="Times New Roman" w:hAnsi="Times New Roman"/>
          <w:sz w:val="17"/>
          <w:szCs w:val="17"/>
          <w:color w:val="auto"/>
        </w:rPr>
        <w:t xml:space="preserve"> exceed the proceeds from the offering received by such Holder (net of any Selling Expenses paid by such Holder), except in the case of fraud or willful misconduct by such Holder.</w:t>
      </w:r>
    </w:p>
    <w:p>
      <w:pPr>
        <w:spacing w:after="0" w:line="142" w:lineRule="exact"/>
        <w:rPr>
          <w:rFonts w:ascii="Times New Roman" w:cs="Times New Roman" w:eastAsia="Times New Roman" w:hAnsi="Times New Roman"/>
          <w:sz w:val="17"/>
          <w:szCs w:val="17"/>
          <w:b w:val="1"/>
          <w:bCs w:val="1"/>
          <w:color w:val="auto"/>
        </w:rPr>
      </w:pPr>
    </w:p>
    <w:p>
      <w:pPr>
        <w:jc w:val="both"/>
        <w:ind w:left="1220" w:right="1239" w:firstLine="1013"/>
        <w:spacing w:after="0" w:line="234" w:lineRule="auto"/>
        <w:tabs>
          <w:tab w:leader="none" w:pos="2592" w:val="left"/>
        </w:tabs>
        <w:numPr>
          <w:ilvl w:val="0"/>
          <w:numId w:val="2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Promptly after receipt by an indemnified party under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of notice of the commencement of any action (including any governmental action) for which a party may be entitled to indemnification hereunder, such indemnified party will, if a claim in respect thereof is to be made against any indemnifying party under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give the indemnifying party notice of the commencement thereof. The indemnifying party shall have the right to participate in such action and, to the extent the indemnifying party so desires, participate jointly with any other indemnifying party to which notice has been given, and to assume the defense thereof with counsel mutually satisfactory to the parties; provided, however, that an indemnified party (together with all other indemnified parties that may be represented without conflict by one counsel) shall have the right to retain one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action. The failure to give notice to the indemnifying party within a reasonable time of the commencement of any such action shall relieve such indemnifying party of any liability to the indemnified party under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to the extent that such failure materially prejudices the indemnifying party’s ability to defend such action. The failure to give notice to the indemnifying party will not relieve it of any liability that it may have to any indemnified party otherwise than under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26" w:name="page327"/>
    <w:bookmarkEnd w:id="326"/>
    <w:p>
      <w:pPr>
        <w:jc w:val="both"/>
        <w:ind w:left="1220" w:right="1239" w:firstLine="1013"/>
        <w:spacing w:after="0" w:line="233" w:lineRule="auto"/>
        <w:tabs>
          <w:tab w:leader="none" w:pos="2592"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provide for just and equitable contribution to joint liability under the Securities Act in any case in which either (i) any party otherwise entitled to indemnification hereunder makes a claim for indemnification pursuant to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provides for indemnification in such case, or (ii) contribution under the Securities Act may be required on the part of any party hereto for which indemnification is provided under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then, and in each such case, such parties will contribute to the aggregate losses, claims, damages, liabilities, or expenses to which they may be subject (after contribution from others) in such proportion as is appropriate to reflect the relative fault of each of the indemnifying party and the indemnified party in connection with the statements, omissions, or other actions that resulted in such loss, claim, damage, liability, or expense, as well as to reflect any other relevant equitable considerations. The relative fault of the indemnifying party and of the indemnified party shall be determined by reference to, among other things, whether the untrue or allegedly untrue statement of a material fact, or the omission or alleged omission of a material fact, relates to information supplied by the indemnifying party or by the indemnified party and the parties’ relative intent, knowledge, access to information, and opportunity to correct or prevent such statement or omission; provided, however, that, in any such case, (1) no Holder will be required to contribute any amount in excess of the public offering price of all such Registrable Securities offered and sold by such Holder pursuant to such registration statement, and (2) no Person guilty of fraudulent misrepresentation (within the meaning of Section 11(f) of the Securities Act) will be entitled to contribution from any Person who was not guilty of such fraudulent misrepresentation; and provided further that in no event shall a Holder’s liability pursuant to this </w:t>
      </w:r>
      <w:r>
        <w:rPr>
          <w:rFonts w:ascii="Times New Roman" w:cs="Times New Roman" w:eastAsia="Times New Roman" w:hAnsi="Times New Roman"/>
          <w:sz w:val="17"/>
          <w:szCs w:val="17"/>
          <w:u w:val="single" w:color="auto"/>
          <w:color w:val="auto"/>
        </w:rPr>
        <w:t>Section 2.8(d)</w:t>
      </w:r>
      <w:r>
        <w:rPr>
          <w:rFonts w:ascii="Times New Roman" w:cs="Times New Roman" w:eastAsia="Times New Roman" w:hAnsi="Times New Roman"/>
          <w:sz w:val="17"/>
          <w:szCs w:val="17"/>
          <w:color w:val="auto"/>
        </w:rPr>
        <w:t xml:space="preserve">, when combined with the amounts paid or payable by such Holder pursuant to </w:t>
      </w:r>
      <w:r>
        <w:rPr>
          <w:rFonts w:ascii="Times New Roman" w:cs="Times New Roman" w:eastAsia="Times New Roman" w:hAnsi="Times New Roman"/>
          <w:sz w:val="17"/>
          <w:szCs w:val="17"/>
          <w:u w:val="single" w:color="auto"/>
          <w:color w:val="auto"/>
        </w:rPr>
        <w:t>Section 2.8(b)</w:t>
      </w:r>
      <w:r>
        <w:rPr>
          <w:rFonts w:ascii="Times New Roman" w:cs="Times New Roman" w:eastAsia="Times New Roman" w:hAnsi="Times New Roman"/>
          <w:sz w:val="17"/>
          <w:szCs w:val="17"/>
          <w:color w:val="auto"/>
        </w:rPr>
        <w:t>, exceed the proceeds from the offering received by such Holder (net of any Selling Expenses paid by such Holder), except in the case of willful misconduct or fraud by such Holder.</w:t>
      </w:r>
    </w:p>
    <w:p>
      <w:pPr>
        <w:spacing w:after="0" w:line="152" w:lineRule="exact"/>
        <w:rPr>
          <w:rFonts w:ascii="Times New Roman" w:cs="Times New Roman" w:eastAsia="Times New Roman" w:hAnsi="Times New Roman"/>
          <w:sz w:val="17"/>
          <w:szCs w:val="17"/>
          <w:b w:val="1"/>
          <w:bCs w:val="1"/>
          <w:color w:val="auto"/>
        </w:rPr>
      </w:pPr>
    </w:p>
    <w:p>
      <w:pPr>
        <w:jc w:val="both"/>
        <w:ind w:left="1220" w:right="1239" w:firstLine="1013"/>
        <w:spacing w:after="0" w:line="241" w:lineRule="auto"/>
        <w:tabs>
          <w:tab w:leader="none" w:pos="2592"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1013"/>
        <w:spacing w:after="0" w:line="241" w:lineRule="auto"/>
        <w:tabs>
          <w:tab w:leader="none" w:pos="2592" w:val="left"/>
        </w:tabs>
        <w:numPr>
          <w:ilvl w:val="0"/>
          <w:numId w:val="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Unless otherwise superseded by an underwriting agreement entered into in connection with the underwritten public offering, the obligations of the Company and Holders under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shall survive the completion of any offering of Registrable Securities in a registration under this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and otherwise shall survive the termination of this Agreement.</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327" w:name="page328"/>
    <w:bookmarkEnd w:id="327"/>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2.9 Reports Under Exchange Act</w:t>
      </w:r>
      <w:r>
        <w:rPr>
          <w:rFonts w:ascii="Times New Roman" w:cs="Times New Roman" w:eastAsia="Times New Roman" w:hAnsi="Times New Roman"/>
          <w:sz w:val="17"/>
          <w:szCs w:val="17"/>
          <w:color w:val="auto"/>
        </w:rPr>
        <w:t>. With a view to making available to the Holders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benefits of SEC Rule 144 and any other rule or regulation of the SEC that may at any time permit a Holder to sell securities of the Company to the public without registration or pursuant to a registration on Form S-3, the Company shall:</w:t>
      </w:r>
    </w:p>
    <w:p>
      <w:pPr>
        <w:spacing w:after="0" w:line="137" w:lineRule="exact"/>
        <w:rPr>
          <w:sz w:val="20"/>
          <w:szCs w:val="20"/>
          <w:color w:val="auto"/>
        </w:rPr>
      </w:pPr>
    </w:p>
    <w:p>
      <w:pPr>
        <w:jc w:val="both"/>
        <w:ind w:left="1220" w:right="1239" w:firstLine="1013"/>
        <w:spacing w:after="0" w:line="246" w:lineRule="auto"/>
        <w:tabs>
          <w:tab w:leader="none" w:pos="2592" w:val="left"/>
        </w:tabs>
        <w:numPr>
          <w:ilvl w:val="1"/>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make and keep available adequate current public information, as those terms are understood and defined in SEC Rule 144, at all times after the effective date of the registration statement filed by the Company for the IPO;</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41" w:lineRule="auto"/>
        <w:tabs>
          <w:tab w:leader="none" w:pos="2592" w:val="left"/>
        </w:tabs>
        <w:numPr>
          <w:ilvl w:val="1"/>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use commercially reasonable efforts to file with the SEC in a timely manner all reports and other documents required of the Company under the Securities Act and the Exchange Act (at any time after the Company has become subject to such reporting requirements); and</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1013"/>
        <w:spacing w:after="0" w:line="239" w:lineRule="auto"/>
        <w:tabs>
          <w:tab w:leader="none" w:pos="2592" w:val="left"/>
        </w:tabs>
        <w:numPr>
          <w:ilvl w:val="1"/>
          <w:numId w:val="2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furnish to any Holder, so long as the Holder owns any Registrable Securities, forthwith upon request (i) to the extent accurate, a written statement by the Company that it has complied with the reporting requirements of SEC Rule 144 (at any time after ninety</w:t>
      </w:r>
    </w:p>
    <w:p>
      <w:pPr>
        <w:spacing w:after="0" w:line="1" w:lineRule="exact"/>
        <w:rPr>
          <w:rFonts w:ascii="Times New Roman" w:cs="Times New Roman" w:eastAsia="Times New Roman" w:hAnsi="Times New Roman"/>
          <w:sz w:val="17"/>
          <w:szCs w:val="17"/>
          <w:b w:val="1"/>
          <w:bCs w:val="1"/>
          <w:color w:val="auto"/>
        </w:rPr>
      </w:pPr>
    </w:p>
    <w:p>
      <w:pPr>
        <w:jc w:val="both"/>
        <w:ind w:left="1220" w:right="1239" w:firstLine="4"/>
        <w:spacing w:after="0" w:line="233" w:lineRule="auto"/>
        <w:tabs>
          <w:tab w:leader="none" w:pos="1545"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the effective date of the registration statement filed by the Company for the IPO), the Securities Act, and the Exchange Act (at any time after the Company has become subject to such reporting requirements), or that it qualifies as a registrant whose securities may be resold pursuant to Form S-3 (at any time after the Company so qualifies) and (ii) such other information as may be reasonably requested in availing any Holder of any rule or regulation of the SEC that permits the selling of any such securities without registration (at any time after the Company has become subject to the reporting requirements under the Exchange Act) or pursuant to Form S-3 (at any time after the Company so qualifies to use such form).</w:t>
      </w:r>
    </w:p>
    <w:p>
      <w:pPr>
        <w:spacing w:after="0" w:line="142"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2.10 Limitations on Subsequent Registration Rights</w:t>
      </w:r>
      <w:r>
        <w:rPr>
          <w:rFonts w:ascii="Times New Roman" w:cs="Times New Roman" w:eastAsia="Times New Roman" w:hAnsi="Times New Roman"/>
          <w:sz w:val="17"/>
          <w:szCs w:val="17"/>
          <w:color w:val="auto"/>
        </w:rPr>
        <w:t>. From and after the date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the Company shall not, without the prior written consent of the Holders of at least a majority of the Registrable Securities then outstanding, enter into any agreement with any holder or prospective holder of any securities of the Company that would (a) allow such holder or prospective holder to include such securities in any registration unless, under the terms of such agreement, such holder or prospective holder may include such securities in any such registration only to the extent that the inclusion of such securities will not reduce the number of the Registrable Securities of the Holders that are included or (b) allow such holder or prospective holder to initiate a demand for registration of any securities held by such holder or prospective holder;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this limitation shall not apply to any additional Investor who becomes a party to this Agreement in accordance with </w:t>
      </w:r>
      <w:r>
        <w:rPr>
          <w:rFonts w:ascii="Times New Roman" w:cs="Times New Roman" w:eastAsia="Times New Roman" w:hAnsi="Times New Roman"/>
          <w:sz w:val="17"/>
          <w:szCs w:val="17"/>
          <w:u w:val="single" w:color="auto"/>
          <w:color w:val="auto"/>
        </w:rPr>
        <w:t>Section 6.9</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2.11 “Market Stand-off” Agreement</w:t>
      </w:r>
      <w:r>
        <w:rPr>
          <w:rFonts w:ascii="Times New Roman" w:cs="Times New Roman" w:eastAsia="Times New Roman" w:hAnsi="Times New Roman"/>
          <w:sz w:val="17"/>
          <w:szCs w:val="17"/>
          <w:color w:val="auto"/>
        </w:rPr>
        <w:t>. Each Holder hereby agrees that it will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without the prior written consent of the managing underwriter, during the period commencing on the date of the final prospectus relating to IPO, and ending on the date specified by the Company and the managing underwriter (such period not to exceed one hundred eighty (180) days): (a)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(directly or indirectly) for Common Stock held immediately before the effective date of the registration statement for the IPO or (b) enter into any swap or other arrangement that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28" w:name="page329"/>
    <w:bookmarkEnd w:id="328"/>
    <w:p>
      <w:pPr>
        <w:jc w:val="both"/>
        <w:ind w:left="1220" w:right="1239"/>
        <w:spacing w:after="0" w:line="248" w:lineRule="auto"/>
        <w:rPr>
          <w:sz w:val="20"/>
          <w:szCs w:val="20"/>
          <w:color w:val="auto"/>
        </w:rPr>
      </w:pPr>
      <w:r>
        <w:rPr>
          <w:rFonts w:ascii="Times New Roman" w:cs="Times New Roman" w:eastAsia="Times New Roman" w:hAnsi="Times New Roman"/>
          <w:sz w:val="16"/>
          <w:szCs w:val="16"/>
          <w:color w:val="auto"/>
        </w:rPr>
        <w:t xml:space="preserve">transfers to another, in whole or in part, any of the economic consequences of ownership of such securities, whether any such transaction described in clause (a) or (b) above is to be settled by delivery of Common Stock or other securities, in cash, or otherwise. The foregoing provisions of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shall apply only to the IPO, shall not apply to distributions to current or former partners, members or stockholders of a Holder or to the transfer of any shares owned by a Holder in the Company to its Affiliates or any of the Holder’s stockholders, members, partners or other equity holders; provided that the Affiliate, stockholder member, partner or other equity holder of the Holder agrees to be bound in writing by the restrictions set forth herein, shall not apply to transactions (including, without limitation, any swap, hedge or similar agreement or arrangement) or announcements, in each case, relating to securities acquired in the IPO or in open market or other transactions from and after the IPO or that otherwise do not involve or relate to shares of Common Stock owned by a Holder prior to the IPO, shall not apply to the sale of any shares to an underwriter pursuant to an underwriting agreement and shall be applicable to the Holders only if all officers, directors and all stockholders individually owning more than one percent (1%) of the Company’s outstanding Common Stock (after giving effect to the conversion into Common Stock of all outstanding Preferred Stock) are subject to the same restrictions. The underwriters in connection with such registration are intended third-party beneficiaries of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and shall have the right, power and authority to enforce the provisions hereof as though they were a party hereto. Each Holder further agrees to execute such agreements as may be reasonably requested by the underwriters in connection with such registration that are consistent with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or that are necessary to give further effect thereto. In the event that the Company or the managing underwriter waives or terminates any of the restrictions contained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or in a lock-up agreement with respect to the securities of any Holder, officer, director or greater than one percent stockholder of the Company (in any such case, the “</w:t>
      </w:r>
      <w:r>
        <w:rPr>
          <w:rFonts w:ascii="Times New Roman" w:cs="Times New Roman" w:eastAsia="Times New Roman" w:hAnsi="Times New Roman"/>
          <w:sz w:val="16"/>
          <w:szCs w:val="16"/>
          <w:b w:val="1"/>
          <w:bCs w:val="1"/>
          <w:color w:val="auto"/>
        </w:rPr>
        <w:t>Released Securities</w:t>
      </w:r>
      <w:r>
        <w:rPr>
          <w:rFonts w:ascii="Times New Roman" w:cs="Times New Roman" w:eastAsia="Times New Roman" w:hAnsi="Times New Roman"/>
          <w:sz w:val="16"/>
          <w:szCs w:val="16"/>
          <w:color w:val="auto"/>
        </w:rPr>
        <w:t xml:space="preserve">”), the restrictions contained in this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xml:space="preserve"> and in any lock-up agreements executed by the Holders shall be waived or terminated, as applicable, to the same extent and with respect to the same percentage of securities of each Holder as the percentage of Released Securities represent with respect to the securities held by the applicable Holder, officer, director or greater than one percent stockholder.</w:t>
      </w:r>
    </w:p>
    <w:p>
      <w:pPr>
        <w:spacing w:after="0" w:line="328" w:lineRule="exact"/>
        <w:rPr>
          <w:sz w:val="20"/>
          <w:szCs w:val="20"/>
          <w:color w:val="auto"/>
        </w:rPr>
      </w:pPr>
    </w:p>
    <w:p>
      <w:pPr>
        <w:ind w:left="1720"/>
        <w:spacing w:after="0"/>
        <w:tabs>
          <w:tab w:leader="none" w:pos="2260" w:val="left"/>
        </w:tabs>
        <w:rPr>
          <w:sz w:val="20"/>
          <w:szCs w:val="20"/>
          <w:color w:val="auto"/>
        </w:rPr>
      </w:pPr>
      <w:r>
        <w:rPr>
          <w:rFonts w:ascii="Times New Roman" w:cs="Times New Roman" w:eastAsia="Times New Roman" w:hAnsi="Times New Roman"/>
          <w:sz w:val="17"/>
          <w:szCs w:val="17"/>
          <w:b w:val="1"/>
          <w:bCs w:val="1"/>
          <w:color w:val="auto"/>
        </w:rPr>
        <w:t>2.12</w:t>
      </w:r>
      <w:r>
        <w:rPr>
          <w:sz w:val="20"/>
          <w:szCs w:val="20"/>
          <w:color w:val="auto"/>
        </w:rPr>
        <w:tab/>
      </w:r>
      <w:r>
        <w:rPr>
          <w:rFonts w:ascii="Times New Roman" w:cs="Times New Roman" w:eastAsia="Times New Roman" w:hAnsi="Times New Roman"/>
          <w:sz w:val="16"/>
          <w:szCs w:val="16"/>
          <w:b w:val="1"/>
          <w:bCs w:val="1"/>
          <w:color w:val="auto"/>
        </w:rPr>
        <w:t>Restrictions on Transfer</w:t>
      </w:r>
      <w:r>
        <w:rPr>
          <w:rFonts w:ascii="Times New Roman" w:cs="Times New Roman" w:eastAsia="Times New Roman" w:hAnsi="Times New Roman"/>
          <w:sz w:val="16"/>
          <w:szCs w:val="16"/>
          <w:color w:val="auto"/>
        </w:rPr>
        <w:t>.</w:t>
      </w:r>
    </w:p>
    <w:p>
      <w:pPr>
        <w:spacing w:after="0" w:line="166" w:lineRule="exact"/>
        <w:rPr>
          <w:sz w:val="20"/>
          <w:szCs w:val="20"/>
          <w:color w:val="auto"/>
        </w:rPr>
      </w:pPr>
    </w:p>
    <w:p>
      <w:pPr>
        <w:jc w:val="both"/>
        <w:ind w:left="1220" w:right="1239" w:firstLine="1013"/>
        <w:spacing w:after="0" w:line="235" w:lineRule="auto"/>
        <w:tabs>
          <w:tab w:leader="none" w:pos="2592" w:val="left"/>
        </w:tabs>
        <w:numPr>
          <w:ilvl w:val="0"/>
          <w:numId w:val="2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Preferred Stock and the Registrable Securities shall not be sold, pledged, or otherwise transferred, and the Company shall not recognize and shall issue stop-transfer instructions to its transfer agent with respect to any such sale, pledge, or transfer, except upon the conditions specified in this Agreement, which conditions are intended to ensure compliance with the provisions of the Securities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IPO, pursuant to SEC Rule 144, in each case, to be bound by the terms of this Agreement.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29" w:name="page330"/>
    <w:bookmarkEnd w:id="329"/>
    <w:p>
      <w:pPr>
        <w:jc w:val="both"/>
        <w:ind w:left="1220" w:right="1239" w:firstLine="1013"/>
        <w:spacing w:after="0" w:line="239" w:lineRule="auto"/>
        <w:tabs>
          <w:tab w:leader="none" w:pos="2592" w:val="left"/>
        </w:tabs>
        <w:numPr>
          <w:ilvl w:val="0"/>
          <w:numId w:val="2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be notated with a legend substantially in the following form:</w:t>
      </w:r>
    </w:p>
    <w:p>
      <w:pPr>
        <w:spacing w:after="0" w:line="141" w:lineRule="exact"/>
        <w:rPr>
          <w:sz w:val="20"/>
          <w:szCs w:val="20"/>
          <w:color w:val="auto"/>
        </w:rPr>
      </w:pPr>
    </w:p>
    <w:p>
      <w:pPr>
        <w:jc w:val="both"/>
        <w:ind w:left="1720" w:right="1739"/>
        <w:spacing w:after="0" w:line="238" w:lineRule="auto"/>
        <w:rPr>
          <w:sz w:val="20"/>
          <w:szCs w:val="20"/>
          <w:color w:val="auto"/>
        </w:rPr>
      </w:pPr>
      <w:r>
        <w:rPr>
          <w:rFonts w:ascii="Times New Roman" w:cs="Times New Roman" w:eastAsia="Times New Roman" w:hAnsi="Times New Roman"/>
          <w:sz w:val="17"/>
          <w:szCs w:val="17"/>
          <w:color w:val="auto"/>
        </w:rPr>
        <w:t>THE SECURITIES REPRESENTED HEREBY HAVE BEEN ACQUIRED FOR INVESTMENT AND HAVE NOT BEEN REGISTERED UNDER THE SECURITIES ACT OF 1933, AS AMENDED. SUCH SHARES MAY NOT BE SOLD, PLEDGED, OR TRANSFERRED IN THE ABSENCE OF SUCH REGISTRATION OR A VALID EXEMPTION FROM THE REGISTRATION AND PROSPECTUS DELIVERY REQUIREMENTS OF SAID ACT.</w:t>
      </w:r>
    </w:p>
    <w:p>
      <w:pPr>
        <w:spacing w:after="0" w:line="140" w:lineRule="exact"/>
        <w:rPr>
          <w:sz w:val="20"/>
          <w:szCs w:val="20"/>
          <w:color w:val="auto"/>
        </w:rPr>
      </w:pPr>
    </w:p>
    <w:p>
      <w:pPr>
        <w:jc w:val="both"/>
        <w:ind w:left="1720" w:right="1739"/>
        <w:spacing w:after="0" w:line="239" w:lineRule="auto"/>
        <w:rPr>
          <w:sz w:val="20"/>
          <w:szCs w:val="20"/>
          <w:color w:val="auto"/>
        </w:rPr>
      </w:pPr>
      <w:r>
        <w:rPr>
          <w:rFonts w:ascii="Times New Roman" w:cs="Times New Roman" w:eastAsia="Times New Roman" w:hAnsi="Times New Roman"/>
          <w:sz w:val="17"/>
          <w:szCs w:val="17"/>
          <w:color w:val="auto"/>
        </w:rPr>
        <w:t>THE SECURITIES REPRESENTED HEREBY MAY BE TRANSFERRED ONLY IN ACCORDANCE WITH THE TERMS OF AN INVESTORS’ RIGHTS AGREEMENT BETWEEN THE COMPANY AND THE STOCKHOLDER, A COPY OF WHICH IS ON FILE WITH THE SECRETARY OF THE COMPANY.</w:t>
      </w:r>
    </w:p>
    <w:p>
      <w:pPr>
        <w:spacing w:after="0" w:line="141" w:lineRule="exact"/>
        <w:rPr>
          <w:sz w:val="20"/>
          <w:szCs w:val="20"/>
          <w:color w:val="auto"/>
        </w:rPr>
      </w:pPr>
    </w:p>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 xml:space="preserve">The Holders consent to the Company making a notation in its records and giving instructions to any transfer agent of the Restricted Securities in order to implement the restrictions on transfer set forth in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jc w:val="both"/>
        <w:ind w:left="1220" w:right="1239" w:firstLine="1013"/>
        <w:spacing w:after="0" w:line="248" w:lineRule="auto"/>
        <w:tabs>
          <w:tab w:leader="none" w:pos="2592" w:val="left"/>
        </w:tabs>
        <w:numPr>
          <w:ilvl w:val="1"/>
          <w:numId w:val="2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The holder of such Restricted Securities, by acceptance of ownership thereof, agrees to comply in all respects with the provisions of this </w:t>
      </w:r>
      <w:r>
        <w:rPr>
          <w:rFonts w:ascii="Times New Roman" w:cs="Times New Roman" w:eastAsia="Times New Roman" w:hAnsi="Times New Roman"/>
          <w:sz w:val="16"/>
          <w:szCs w:val="16"/>
          <w:u w:val="single" w:color="auto"/>
          <w:color w:val="auto"/>
        </w:rPr>
        <w:t>Section 2</w:t>
      </w:r>
      <w:r>
        <w:rPr>
          <w:rFonts w:ascii="Times New Roman" w:cs="Times New Roman" w:eastAsia="Times New Roman" w:hAnsi="Times New Roman"/>
          <w:sz w:val="16"/>
          <w:szCs w:val="16"/>
          <w:color w:val="auto"/>
        </w:rPr>
        <w:t>. Before any proposed sale, pledge, or transfer of any Restricted Securities, unless there is in effect a registration statement under the Securities Act covering the proposed transaction, or following the IPO, the transfer is made pursuant to SEC Rule 144, the Holder thereof shall give notice to the Company of such Holder’s intention to effect such sale, pledge, or transfer; provided that no such notice shall be required if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Securities Act;</w:t>
      </w:r>
    </w:p>
    <w:p>
      <w:pPr>
        <w:spacing w:after="0" w:line="7" w:lineRule="exact"/>
        <w:rPr>
          <w:rFonts w:ascii="Times New Roman" w:cs="Times New Roman" w:eastAsia="Times New Roman" w:hAnsi="Times New Roman"/>
          <w:sz w:val="16"/>
          <w:szCs w:val="16"/>
          <w:b w:val="1"/>
          <w:bCs w:val="1"/>
          <w:color w:val="auto"/>
        </w:rPr>
      </w:pPr>
    </w:p>
    <w:p>
      <w:pPr>
        <w:jc w:val="both"/>
        <w:ind w:left="1220" w:right="1239" w:firstLine="4"/>
        <w:spacing w:after="0" w:line="233" w:lineRule="auto"/>
        <w:tabs>
          <w:tab w:leader="none" w:pos="1480" w:val="left"/>
        </w:tabs>
        <w:numPr>
          <w:ilvl w:val="0"/>
          <w:numId w:val="2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Securities Act, whereupon the Holder of such Restricted Securities shall be entitled to sell, pledge, or transfer such Restricted Securities in accordance with the terms of the notice given by the Holder to the Company. The Company will not require such a notice, legal opinion or “no action” letter (1) in any transaction in compliance with SEC Rule 144 or (2) in any transaction in which such Holder distributes Restricted Securities to an Affiliate of such Holder for no consideration;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that, </w:t>
      </w:r>
      <w:r>
        <w:rPr>
          <w:rFonts w:ascii="Times New Roman" w:cs="Times New Roman" w:eastAsia="Times New Roman" w:hAnsi="Times New Roman"/>
          <w:sz w:val="17"/>
          <w:szCs w:val="17"/>
          <w:color w:val="auto"/>
        </w:rPr>
        <w:t>other than in connection with a transaction in compliance with SEC Rule 144 following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IPO</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each transferee agrees in writing to be subject to the terms of this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Each certificate, instrument, or book entry representing the Restricted Securities transferred as above provided shall bear, except if such</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30" w:name="page331"/>
    <w:bookmarkEnd w:id="330"/>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 xml:space="preserve">transfer is made pursuant to SEC Rule 144 or an effective registration statement, the appropriate restrictive legend set forth in </w:t>
      </w:r>
      <w:r>
        <w:rPr>
          <w:rFonts w:ascii="Times New Roman" w:cs="Times New Roman" w:eastAsia="Times New Roman" w:hAnsi="Times New Roman"/>
          <w:sz w:val="17"/>
          <w:szCs w:val="17"/>
          <w:u w:val="single" w:color="auto"/>
          <w:color w:val="auto"/>
        </w:rPr>
        <w:t>Section 2.12(b)</w:t>
      </w:r>
      <w:r>
        <w:rPr>
          <w:rFonts w:ascii="Times New Roman" w:cs="Times New Roman" w:eastAsia="Times New Roman" w:hAnsi="Times New Roman"/>
          <w:sz w:val="17"/>
          <w:szCs w:val="17"/>
          <w:color w:val="auto"/>
        </w:rPr>
        <w:t>, except that such certificate, instrument, or book entry shall not bear such restrictive legend if, in the opinion of counsel for such Holder and the Company, such legend is not required in order to establish compliance with any provisions of the Securities Act.</w:t>
      </w:r>
    </w:p>
    <w:p>
      <w:pPr>
        <w:spacing w:after="0" w:line="141" w:lineRule="exact"/>
        <w:rPr>
          <w:sz w:val="20"/>
          <w:szCs w:val="20"/>
          <w:color w:val="auto"/>
        </w:rPr>
      </w:pPr>
    </w:p>
    <w:p>
      <w:pPr>
        <w:jc w:val="both"/>
        <w:ind w:left="1220" w:right="1239" w:firstLine="1013"/>
        <w:spacing w:after="0" w:line="233" w:lineRule="auto"/>
        <w:tabs>
          <w:tab w:leader="none" w:pos="2592" w:val="left"/>
        </w:tabs>
        <w:numPr>
          <w:ilvl w:val="0"/>
          <w:numId w:val="2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 shall, if requested by the Holder, use its commercially reasonable efforts to (i) cause the removal of any restrictive legend related to compliance with the federal securities laws set forth on the Registrable Securities, (ii) cause its legal counsel to deliver an opinion, if necessary, to the transfer agent in connection with the instruction under clause (i) to the effect that removal of such legends in such circumstances may be effected in compliance under the Securities Act, and (iii) issue Registrable Securities without any such legend in certificated or book-entry form or by electronic delivery (if then eligible for such delivery through the facilities of The Depository Trust Company), at the Holder’s option, within two (2) trading days of such request, if (A) the Registrable Securities are registered for resale under the Securities Act pursuant to an effective registration statement and the Holder has sold or transferred such Registrable Securities pursuant to such then-effective Registration Statement (in which case the Holder shall submit a letter agreement reasonably satisfactory to the Company and its transfer agent with respect to such sale pursuant to such then-effective Registration Statement), (B) the Registrable Securities may be sold by the Holder without restriction under SEC Rule 144(b)(1) (as evidenced by customary non-affiliate certifications), including without limitation, any volume and manner of sale restrictions and without any requirement that “current public information” (within the meaning of SEC Rule 144 under the Securities Act) be available at the time of sale of such securities, including as a result of SEC Rule 144(i) under the Securities Act, or (C) the Holder has sold or transferred Registrable Securities in compliance with SEC Rule 144 (in which case the Holder shall submit a letter agreement reasonably satisfactory to the Company and its transfer agent with respect to ongoing compliance with SEC Rule 144 under the Securities Act).</w:t>
      </w:r>
    </w:p>
    <w:p>
      <w:pPr>
        <w:spacing w:after="0" w:line="152"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2.13 Termination of Registration Rights</w:t>
      </w:r>
      <w:r>
        <w:rPr>
          <w:rFonts w:ascii="Times New Roman" w:cs="Times New Roman" w:eastAsia="Times New Roman" w:hAnsi="Times New Roman"/>
          <w:sz w:val="17"/>
          <w:szCs w:val="17"/>
          <w:color w:val="auto"/>
        </w:rPr>
        <w:t>. The right of any Holder to request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registration or inclusion of Registrable Securities in any registration pursuant to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shall terminate upon the earliest to occur of: (a) the closing of a Deemed Liquidation Event (as defined in the Restated Certificate); (b) at such time as Rule 144 or another similar exemption under the Securities Act is available for the sale of all of such Holder’s shares without limitation during a three-month period without registration; and (c) the fifth anniversary of the consummation of the IPO.</w:t>
      </w:r>
    </w:p>
    <w:p>
      <w:pPr>
        <w:spacing w:after="0" w:line="136" w:lineRule="exact"/>
        <w:rPr>
          <w:sz w:val="20"/>
          <w:szCs w:val="20"/>
          <w:color w:val="auto"/>
        </w:rPr>
      </w:pPr>
    </w:p>
    <w:p>
      <w:pPr>
        <w:ind w:left="2280" w:hanging="551"/>
        <w:spacing w:after="0"/>
        <w:tabs>
          <w:tab w:leader="none" w:pos="2280" w:val="left"/>
        </w:tabs>
        <w:numPr>
          <w:ilvl w:val="0"/>
          <w:numId w:val="2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Information and Observer Rights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3.1 Delivery of Financial Statements</w:t>
      </w:r>
      <w:r>
        <w:rPr>
          <w:rFonts w:ascii="Times New Roman" w:cs="Times New Roman" w:eastAsia="Times New Roman" w:hAnsi="Times New Roman"/>
          <w:sz w:val="17"/>
          <w:szCs w:val="17"/>
          <w:color w:val="auto"/>
        </w:rPr>
        <w:t>. The Company shall deliver to each Major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Investor,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Board has not reasonably determined that such Major Investor is a Competitor of the Company:</w:t>
      </w:r>
    </w:p>
    <w:p>
      <w:pPr>
        <w:spacing w:after="0" w:line="134" w:lineRule="exact"/>
        <w:rPr>
          <w:sz w:val="20"/>
          <w:szCs w:val="20"/>
          <w:color w:val="auto"/>
        </w:rPr>
      </w:pPr>
    </w:p>
    <w:p>
      <w:pPr>
        <w:jc w:val="both"/>
        <w:ind w:left="1220" w:right="1239" w:firstLine="1013"/>
        <w:spacing w:after="0" w:line="238" w:lineRule="auto"/>
        <w:tabs>
          <w:tab w:leader="none" w:pos="2592" w:val="left"/>
        </w:tabs>
        <w:numPr>
          <w:ilvl w:val="0"/>
          <w:numId w:val="2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practicable, but in any event within one hundred twenty (120) days after the end of each fiscal year of the Company, (A) a balance sheet as of the end of such year, (B) statements of income and of cash flows for such year and (C) a statement of stockholders’ equity as of the end of such year, all such financial statements audited and certified by an independent public accountant selected by the Board; provided, however, that the Board (including</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31" w:name="page332"/>
    <w:bookmarkEnd w:id="331"/>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 xml:space="preserve">a majority of the Preferred Directors then-serving) may waive the audit requirement in any given fiscal year for the financial statements set forth in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left="1220" w:right="1239" w:firstLine="1013"/>
        <w:spacing w:after="0" w:line="238" w:lineRule="auto"/>
        <w:tabs>
          <w:tab w:leader="none" w:pos="259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practicable, but in any event within forty-five (45) days after the end of each quarter of each fiscal year of the Company, unaudited statements of income and of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013"/>
        <w:spacing w:after="0" w:line="239" w:lineRule="auto"/>
        <w:tabs>
          <w:tab w:leader="none" w:pos="259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practicable, but in any event no later than thirty (30) days before the end of each fiscal year, a budget and business plan for the next fiscal year (collectively, the “</w:t>
      </w:r>
      <w:r>
        <w:rPr>
          <w:rFonts w:ascii="Times New Roman" w:cs="Times New Roman" w:eastAsia="Times New Roman" w:hAnsi="Times New Roman"/>
          <w:sz w:val="17"/>
          <w:szCs w:val="17"/>
          <w:b w:val="1"/>
          <w:bCs w:val="1"/>
          <w:i w:val="1"/>
          <w:iCs w:val="1"/>
          <w:color w:val="auto"/>
        </w:rPr>
        <w:t>Budget</w:t>
      </w:r>
      <w:r>
        <w:rPr>
          <w:rFonts w:ascii="Times New Roman" w:cs="Times New Roman" w:eastAsia="Times New Roman" w:hAnsi="Times New Roman"/>
          <w:sz w:val="17"/>
          <w:szCs w:val="17"/>
          <w:color w:val="auto"/>
        </w:rPr>
        <w:t>”), prepared on a monthly basis, including balance sheets, income statements, and statements of cash flow for such months and, promptly after prepared, any other budgets or revised budgets prepared by the Company; and</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013"/>
        <w:spacing w:after="0" w:line="236" w:lineRule="auto"/>
        <w:tabs>
          <w:tab w:leader="none" w:pos="259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as soon as practicable, but in any event within forty-five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Major Investors to calculate their respective percentage equity ownership in the Company.</w:t>
      </w:r>
    </w:p>
    <w:p>
      <w:pPr>
        <w:spacing w:after="0" w:line="141" w:lineRule="exact"/>
        <w:rPr>
          <w:rFonts w:ascii="Times New Roman" w:cs="Times New Roman" w:eastAsia="Times New Roman" w:hAnsi="Times New Roman"/>
          <w:sz w:val="17"/>
          <w:szCs w:val="17"/>
          <w:b w:val="1"/>
          <w:bCs w:val="1"/>
          <w:color w:val="auto"/>
        </w:rPr>
      </w:pPr>
    </w:p>
    <w:p>
      <w:pPr>
        <w:jc w:val="both"/>
        <w:ind w:left="1220" w:right="1239" w:firstLine="1013"/>
        <w:spacing w:after="0" w:line="236" w:lineRule="auto"/>
        <w:tabs>
          <w:tab w:leader="none" w:pos="259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other information relating to the financial condition, business, prospects, or corporate affairs of the Company as any Major Investor may from time-to-time reasonably request; provided, however, that the Company shall not be obligated under this Section 3.1 to provide information (i) that the Company reasonably determines in good faith to be a trade secret or similar highly confidential information (unless covered by an enforceable confidentiality agreement, in a form reasonably acceptable to the Company); or (ii) the disclosure of which would adversely affect the attorney-client privilege between the Company and its counsel.</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013"/>
        <w:spacing w:after="0" w:line="243" w:lineRule="auto"/>
        <w:tabs>
          <w:tab w:leader="none" w:pos="259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Subsidiaries</w:t>
      </w:r>
      <w:r>
        <w:rPr>
          <w:rFonts w:ascii="Times New Roman" w:cs="Times New Roman" w:eastAsia="Times New Roman" w:hAnsi="Times New Roman"/>
          <w:sz w:val="17"/>
          <w:szCs w:val="17"/>
          <w:color w:val="auto"/>
        </w:rPr>
        <w:t>. If, for any period, the Company has any subsidiary whose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accounts are consolidated with those of the Company, then in respect of such period the financial statements delivered pursuant to the foregoing sections shall be the consolidated and consolidating financial statements of the Company and all such consolidated subsidiaries.</w:t>
      </w:r>
    </w:p>
    <w:p>
      <w:pPr>
        <w:spacing w:after="0" w:line="133" w:lineRule="exact"/>
        <w:rPr>
          <w:rFonts w:ascii="Times New Roman" w:cs="Times New Roman" w:eastAsia="Times New Roman" w:hAnsi="Times New Roman"/>
          <w:sz w:val="17"/>
          <w:szCs w:val="17"/>
          <w:b w:val="1"/>
          <w:bCs w:val="1"/>
          <w:color w:val="auto"/>
        </w:rPr>
      </w:pPr>
    </w:p>
    <w:p>
      <w:pPr>
        <w:jc w:val="both"/>
        <w:ind w:left="1220" w:right="1239" w:firstLine="1013"/>
        <w:spacing w:after="0" w:line="237" w:lineRule="auto"/>
        <w:tabs>
          <w:tab w:leader="none" w:pos="2592" w:val="left"/>
        </w:tabs>
        <w:numPr>
          <w:ilvl w:val="0"/>
          <w:numId w:val="2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Registration</w:t>
      </w:r>
      <w:r>
        <w:rPr>
          <w:rFonts w:ascii="Times New Roman" w:cs="Times New Roman" w:eastAsia="Times New Roman" w:hAnsi="Times New Roman"/>
          <w:sz w:val="17"/>
          <w:szCs w:val="17"/>
          <w:color w:val="auto"/>
        </w:rPr>
        <w:t>. Notwithstanding anything else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contrary, the Company may cease providing the information set forth in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during the period starting with the date sixty (60) days before the Company’s good-faith estimate of the date of filing of a registration statement if it reasonably concludes it must do so to comply with the SEC rules applicable to such registration statement and related offering;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Company’s covenants under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shall be reinstated at such time as the Company is no longer actively employing its commercially reasonable efforts to cause such registration statement to become effective.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32" w:name="page333"/>
    <w:bookmarkEnd w:id="332"/>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3.2 Inspection</w:t>
      </w:r>
      <w:r>
        <w:rPr>
          <w:rFonts w:ascii="Times New Roman" w:cs="Times New Roman" w:eastAsia="Times New Roman" w:hAnsi="Times New Roman"/>
          <w:sz w:val="17"/>
          <w:szCs w:val="17"/>
          <w:color w:val="auto"/>
        </w:rPr>
        <w:t>. The Company shall permit each Major Investor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Board of Directors has not reasonably determined that such Major Investor is a Competitor of the Company), or any of its authorized representatives, at such Major Investor’s expense, to visit and inspect the Company’s properties; examine its corporate and financial records; and discuss the Company’s affairs, finances, and accounts with its officers, during normal business hours of the Company as may be reasonably requested by the Major Investor in connection with monitoring or making decisions with respect to its investment in the Company; provided, however, that the Company shall not be obligated pursuant to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to provide access to any information that it reasonably and in good faith considers to be a trade secret or confidential information (unless covered by an enforceable confidentiality agreement, in form acceptable to the Company) or the disclosure of which would adversely affect the attorney-client privilege between the Company and its counsel.</w:t>
      </w:r>
    </w:p>
    <w:p>
      <w:pPr>
        <w:spacing w:after="0" w:line="142"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3.3 Observer Right</w:t>
      </w:r>
      <w:r>
        <w:rPr>
          <w:rFonts w:ascii="Times New Roman" w:cs="Times New Roman" w:eastAsia="Times New Roman" w:hAnsi="Times New Roman"/>
          <w:sz w:val="17"/>
          <w:szCs w:val="17"/>
          <w:color w:val="auto"/>
        </w:rPr>
        <w:t>. As long as Eventide owns not less than 10,241,145 shares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Preferred Stock (or an equivalent amount of Common Stock issued upon conversion thereof other than Mandatory Conversion Common Stock) (in each case as adjusted for any stock split, stock dividend, combination or other recapitalization or reclassification effected after the date hereof), the Company shall invite a representative of Eventide to attend all meetings of the Board in a nonvoting observer capacity and, in this respect, shall give such representative copies of all notices, minutes, consents, and other materials that it provides to the Board at the same time and in the same manner as provided to the Board; provided, however, that such representative shall agree to hold in confidence and trust and to act in a fiduciary manner with respect to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result in disclosure of trade secrets or a conflict of interest.</w:t>
      </w:r>
    </w:p>
    <w:p>
      <w:pPr>
        <w:spacing w:after="0" w:line="138"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3.4 Termination of Information and Inspection Rights and Observer Rights</w:t>
      </w:r>
      <w:r>
        <w:rPr>
          <w:rFonts w:ascii="Times New Roman" w:cs="Times New Roman" w:eastAsia="Times New Roman" w:hAnsi="Times New Roman"/>
          <w:sz w:val="17"/>
          <w:szCs w:val="17"/>
          <w:color w:val="auto"/>
        </w:rPr>
        <w: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covenants set forth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3.3</w:t>
      </w:r>
      <w:r>
        <w:rPr>
          <w:rFonts w:ascii="Times New Roman" w:cs="Times New Roman" w:eastAsia="Times New Roman" w:hAnsi="Times New Roman"/>
          <w:sz w:val="17"/>
          <w:szCs w:val="17"/>
          <w:color w:val="auto"/>
        </w:rPr>
        <w:t xml:space="preserve"> shall terminate and be of no further force or effect: (a) immediately before the consummation of the IPO; (b) when the Company first becomes subject to the periodic reporting requirements of Section 12(g) or 15(d) of the Exchange Act; (c) upon the consummation of a Deemed Liquidation Event (as defined in the Restated Certificate); or (d) upon a Change of Control.</w:t>
      </w:r>
    </w:p>
    <w:p>
      <w:pPr>
        <w:spacing w:after="0" w:line="140"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3.5 Confidentiality</w:t>
      </w:r>
      <w:r>
        <w:rPr>
          <w:rFonts w:ascii="Times New Roman" w:cs="Times New Roman" w:eastAsia="Times New Roman" w:hAnsi="Times New Roman"/>
          <w:sz w:val="17"/>
          <w:szCs w:val="17"/>
          <w:color w:val="auto"/>
        </w:rPr>
        <w:t>. Each Investor agrees that such Investor will keep confidential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and will not disclose, divulge, or use for any purpose (other than to monitor its investment in the Company) any confidential information obtained from the Company pursuant to the terms of this Agreement (including notice of the Company’s intention to file a registration statement), unless such confidential information (a) is known or becomes known to the public in general (other than as a result of a breach of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xml:space="preserve"> by such Investor), (b) is or has been independently developed or conceived by the Investor without use of the Company’s confidential information, or (c) is or has been made known or disclosed to the Investor by a third party without a breach of any obligation of confidentiality such third party may have to the Company; provided, however, that an Investor may disclose confidential information (i) to its attorneys, accountants, consultants, and other professionals to the extent reasonably necessary to obtain their services in connection with monitoring its investment in the Company, if such person is bound by an ethical duty to keep such information confidential or such person agrees to be bound by the provisions of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33" w:name="page334"/>
    <w:bookmarkEnd w:id="333"/>
    <w:p>
      <w:pPr>
        <w:jc w:val="both"/>
        <w:ind w:left="1220" w:right="1239" w:firstLine="4"/>
        <w:spacing w:after="0" w:line="235" w:lineRule="auto"/>
        <w:tabs>
          <w:tab w:leader="none" w:pos="1510" w:val="left"/>
        </w:tabs>
        <w:numPr>
          <w:ilvl w:val="0"/>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any prospective purchaser of any Registrable Securities from such Investor, if such prospective purchaser agrees to be bound by the provisions of this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(iii) to any existing or prospective Affiliate, partner, member, stockholder, or wholly owned subsidiary of such Investor in the ordinary course of business, provided that such Investor informs such Person that such information is confidential and directs such Person to maintain the confidentiality of such information; (iv) as may otherwise be required by law, regulation, rule, court order or subpoena, provided that the Investor promptly notifies the Company of such disclosure and takes reasonable steps to minimize the extent of any such required disclosure or (v) to the extent required in connection with any routine or periodic examination or similar process by any regulatory or self- regulatory body or authority not specifically directed at the Company or the confidential information obtained from the Company pursuant to the terms of the Agreement, including, without limitation, quarterly or annual reports.</w:t>
      </w:r>
    </w:p>
    <w:p>
      <w:pPr>
        <w:spacing w:after="0" w:line="138" w:lineRule="exact"/>
        <w:rPr>
          <w:sz w:val="20"/>
          <w:szCs w:val="20"/>
          <w:color w:val="auto"/>
        </w:rPr>
      </w:pPr>
    </w:p>
    <w:p>
      <w:pPr>
        <w:ind w:left="2100" w:hanging="371"/>
        <w:spacing w:after="0"/>
        <w:tabs>
          <w:tab w:leader="none" w:pos="2100" w:val="left"/>
        </w:tabs>
        <w:numPr>
          <w:ilvl w:val="0"/>
          <w:numId w:val="2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Rights to Future Stock Issuances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4.1 Right of First Offer</w:t>
      </w:r>
      <w:r>
        <w:rPr>
          <w:rFonts w:ascii="Times New Roman" w:cs="Times New Roman" w:eastAsia="Times New Roman" w:hAnsi="Times New Roman"/>
          <w:sz w:val="17"/>
          <w:szCs w:val="17"/>
          <w:color w:val="auto"/>
        </w:rPr>
        <w:t>. Subject to the terms and conditions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applicable securities laws, if the Company proposes to offer or sell any New Securities, the Company shall first offer such New Securities to each of the Major Investors. The Major Investors shall be entitled to apportion the right of first offer hereby granted to them in such proportions as the Major Investors deem appropriate, among (a) the Major Investors, (b) Affiliates of the Major Investors and (c) the beneficial interest holders, such as limited partners, members or any other Person having “beneficial ownership,” as such term is defined in Rule 13d-3 promulgated under the Exchange Act, of any Major Investor (“</w:t>
      </w:r>
      <w:r>
        <w:rPr>
          <w:rFonts w:ascii="Times New Roman" w:cs="Times New Roman" w:eastAsia="Times New Roman" w:hAnsi="Times New Roman"/>
          <w:sz w:val="17"/>
          <w:szCs w:val="17"/>
          <w:b w:val="1"/>
          <w:bCs w:val="1"/>
          <w:i w:val="1"/>
          <w:iCs w:val="1"/>
          <w:color w:val="auto"/>
        </w:rPr>
        <w:t>Investor Beneficial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Owners</w:t>
      </w:r>
      <w:r>
        <w:rPr>
          <w:rFonts w:ascii="Times New Roman" w:cs="Times New Roman" w:eastAsia="Times New Roman" w:hAnsi="Times New Roman"/>
          <w:sz w:val="17"/>
          <w:szCs w:val="17"/>
          <w:color w:val="auto"/>
        </w:rPr>
        <w:t>”); provided that, each such Affiliate or Investor Beneficial Owner (y) is not a</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Competitor, unless such party’s purchase of New Securities is otherwise consented to by the Board of Directors, (z) agrees to enter into this Agreement and each of the Amended and Restated Voting Agreement and the Amended and Restated Right of First Refusal and Co-Sale Agreement of even date herewith among the Company, the Investors and the other parties named therein, as an “Investor” under each such agreement.</w:t>
      </w:r>
    </w:p>
    <w:p>
      <w:pPr>
        <w:spacing w:after="0" w:line="138"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4.2 Offer Notice</w:t>
      </w:r>
      <w:r>
        <w:rPr>
          <w:rFonts w:ascii="Times New Roman" w:cs="Times New Roman" w:eastAsia="Times New Roman" w:hAnsi="Times New Roman"/>
          <w:sz w:val="17"/>
          <w:szCs w:val="17"/>
          <w:color w:val="auto"/>
        </w:rPr>
        <w:t>. The Company shall give notice (the “</w:t>
      </w:r>
      <w:r>
        <w:rPr>
          <w:rFonts w:ascii="Times New Roman" w:cs="Times New Roman" w:eastAsia="Times New Roman" w:hAnsi="Times New Roman"/>
          <w:sz w:val="17"/>
          <w:szCs w:val="17"/>
          <w:b w:val="1"/>
          <w:bCs w:val="1"/>
          <w:i w:val="1"/>
          <w:iCs w:val="1"/>
          <w:color w:val="auto"/>
        </w:rPr>
        <w:t>Offer Notice</w:t>
      </w:r>
      <w:r>
        <w:rPr>
          <w:rFonts w:ascii="Times New Roman" w:cs="Times New Roman" w:eastAsia="Times New Roman" w:hAnsi="Times New Roman"/>
          <w:sz w:val="17"/>
          <w:szCs w:val="17"/>
          <w:color w:val="auto"/>
        </w:rPr>
        <w:t>”) to each Major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Investor, stating (a) its bona fide intention to offer such New Securities, (b) the number of such New Securities to be offered, and (c)the price and terms, if any, upon which it proposes to offer such New Securities.</w:t>
      </w:r>
    </w:p>
    <w:p>
      <w:pPr>
        <w:spacing w:after="0" w:line="133"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4.3 Election to Purchase</w:t>
      </w:r>
      <w:r>
        <w:rPr>
          <w:rFonts w:ascii="Times New Roman" w:cs="Times New Roman" w:eastAsia="Times New Roman" w:hAnsi="Times New Roman"/>
          <w:sz w:val="17"/>
          <w:szCs w:val="17"/>
          <w:color w:val="auto"/>
        </w:rPr>
        <w:t>. By notification to the Company within twenty (20) days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after the Offer Notice is given, each Major Investor may elect to purchase or otherwise acquire, at the price and on the terms specified in the Offer Notice, up to that portion of such New Securities which equals the proportion that the Common Stock then held by such Major Investor (including all shares of Common Stock then outstanding or issuable (directly or indirectly) upon conversion and/or exercise, as applicable, of the Preferred Stock and any other Derivative Securities then held by such Major Investor, but excluding any Mandatory Conversion Common Stock held by such Major Investor) bears to the total Common Stock of the Company then outstanding, or issuable (directly or indirectly) upon conversion and/or exercise, as applicable, of the Preferred Stock and any other Derivative Securities then outstanding. At the expiration of such twenty (20) day period, the Company shall promptly notify each Major Investor that elects to purchase or acquire all the shares available to it (each, a “</w:t>
      </w:r>
      <w:r>
        <w:rPr>
          <w:rFonts w:ascii="Times New Roman" w:cs="Times New Roman" w:eastAsia="Times New Roman" w:hAnsi="Times New Roman"/>
          <w:sz w:val="17"/>
          <w:szCs w:val="17"/>
          <w:b w:val="1"/>
          <w:bCs w:val="1"/>
          <w:i w:val="1"/>
          <w:iCs w:val="1"/>
          <w:color w:val="auto"/>
        </w:rPr>
        <w:t>Fully Exercising Investor</w:t>
      </w:r>
      <w:r>
        <w:rPr>
          <w:rFonts w:ascii="Times New Roman" w:cs="Times New Roman" w:eastAsia="Times New Roman" w:hAnsi="Times New Roman"/>
          <w:sz w:val="17"/>
          <w:szCs w:val="17"/>
          <w:color w:val="auto"/>
        </w:rPr>
        <w:t>”) of any other Major Investor’s failure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34" w:name="page335"/>
    <w:bookmarkEnd w:id="334"/>
    <w:p>
      <w:pPr>
        <w:jc w:val="both"/>
        <w:ind w:left="1220" w:right="1239"/>
        <w:spacing w:after="0" w:line="235" w:lineRule="auto"/>
        <w:rPr>
          <w:sz w:val="20"/>
          <w:szCs w:val="20"/>
          <w:color w:val="auto"/>
        </w:rPr>
      </w:pPr>
      <w:r>
        <w:rPr>
          <w:rFonts w:ascii="Times New Roman" w:cs="Times New Roman" w:eastAsia="Times New Roman" w:hAnsi="Times New Roman"/>
          <w:sz w:val="17"/>
          <w:szCs w:val="17"/>
          <w:color w:val="auto"/>
        </w:rPr>
        <w:t xml:space="preserve">to do likewise. During the ten (10) day period commencing after the Company has given such notice, each Fully Exercising Investor may, by giving notice to the Company, elect to purchase or acquire, in addition to the number of shares specified above, up to that portion of the New Securities for which Major Investors were entitled to subscribe but that were not subscribed for by the Major Investors which is equal to the proportion that the Common Stock issued and held, or issuable (directly or indirectly) upon conversion and/or exercise, as applicable, of Preferred Stock and any other Derivative Securities then held, by such Fully Exercising Investor bears to the Common Stock issued and held, or issuable (directly or indirectly) upon conversion and/or exercise, as applicable, of the Preferred Stock and any other Derivative Securities then held, by all Fully Exercising Investors who wish to purchase such unsubscribed shares. The closing of any sale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shall occur within the later of one hundred and twenty (120) days of the date that the Offer Notice is given and the date of initial sale of New Securities pursuant to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4.4 Failure to Purchase</w:t>
      </w:r>
      <w:r>
        <w:rPr>
          <w:rFonts w:ascii="Times New Roman" w:cs="Times New Roman" w:eastAsia="Times New Roman" w:hAnsi="Times New Roman"/>
          <w:sz w:val="17"/>
          <w:szCs w:val="17"/>
          <w:color w:val="auto"/>
        </w:rPr>
        <w:t>. If all New Securities referred to in the Offer Notice are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elected to be purchased or acquired as provided in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 xml:space="preserve">, the Company may, during the ninety (90) day period following the expiration of the period provided in </w:t>
      </w:r>
      <w:r>
        <w:rPr>
          <w:rFonts w:ascii="Times New Roman" w:cs="Times New Roman" w:eastAsia="Times New Roman" w:hAnsi="Times New Roman"/>
          <w:sz w:val="17"/>
          <w:szCs w:val="17"/>
          <w:u w:val="single" w:color="auto"/>
          <w:color w:val="auto"/>
        </w:rPr>
        <w:t>Section 4.3</w:t>
      </w:r>
      <w:r>
        <w:rPr>
          <w:rFonts w:ascii="Times New Roman" w:cs="Times New Roman" w:eastAsia="Times New Roman" w:hAnsi="Times New Roman"/>
          <w:sz w:val="17"/>
          <w:szCs w:val="17"/>
          <w:color w:val="auto"/>
        </w:rPr>
        <w:t xml:space="preserve">, offer and sell the remaining unsubscribed portion of such New Securities to any Person or Persons at a price not less than, and upon terms no more favorable to the offeree than, those specified in the Offer Notice. If the Company does not enter into an agreement for the sale of the New Securities within such period, or if such agreement is not consummated within thirty (30) days of the execution thereof, the right provided hereunder shall be deemed to be revived and such New Securities shall not be offered unless first reoffered to the Major Investors in accordance with this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4.5 Exceptions to Right of First Offer</w:t>
      </w:r>
      <w:r>
        <w:rPr>
          <w:rFonts w:ascii="Times New Roman" w:cs="Times New Roman" w:eastAsia="Times New Roman" w:hAnsi="Times New Roman"/>
          <w:sz w:val="17"/>
          <w:szCs w:val="17"/>
          <w:color w:val="auto"/>
        </w:rPr>
        <w:t>. The right of first offer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not be applicable to: (a) Exempted Securities (as defined in the Restated Certificate); (b) shares of Common Stock issued in the IPO; (c) the issuance of shares of Series D Preferred Stock to Additional Purchasers (as defined in the Purchase Agreement) pursuant to Section 1.3 of the Purchase Agreement; and (d) transactions which have been waived in accordance with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6.6</w:t>
      </w:r>
      <w:r>
        <w:rPr>
          <w:rFonts w:ascii="Times New Roman" w:cs="Times New Roman" w:eastAsia="Times New Roman" w:hAnsi="Times New Roman"/>
          <w:sz w:val="17"/>
          <w:szCs w:val="17"/>
          <w:color w:val="auto"/>
        </w:rPr>
        <w:t xml:space="preserve"> hereof.</w:t>
      </w:r>
    </w:p>
    <w:p>
      <w:pPr>
        <w:spacing w:after="0" w:line="140"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4.6 Termination</w:t>
      </w:r>
      <w:r>
        <w:rPr>
          <w:rFonts w:ascii="Times New Roman" w:cs="Times New Roman" w:eastAsia="Times New Roman" w:hAnsi="Times New Roman"/>
          <w:sz w:val="17"/>
          <w:szCs w:val="17"/>
          <w:color w:val="auto"/>
        </w:rPr>
        <w:t>. The covenants set forth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4</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terminate and be of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further force or effect: (a) immediately before the consummation of the IPO; (b) when the Company first becomes subject to the periodic reporting requirements of Section 12(g) or 15(d) of the Exchange Act; (c) upon a Deemed Liquidation Event, as such term is defined in the Restated Certificate, whichever event occurs first.</w:t>
      </w:r>
    </w:p>
    <w:p>
      <w:pPr>
        <w:spacing w:after="0" w:line="137" w:lineRule="exact"/>
        <w:rPr>
          <w:sz w:val="20"/>
          <w:szCs w:val="20"/>
          <w:color w:val="auto"/>
        </w:rPr>
      </w:pPr>
    </w:p>
    <w:p>
      <w:pPr>
        <w:ind w:left="2060" w:hanging="331"/>
        <w:spacing w:after="0"/>
        <w:tabs>
          <w:tab w:leader="none" w:pos="2060" w:val="left"/>
        </w:tabs>
        <w:numPr>
          <w:ilvl w:val="0"/>
          <w:numId w:val="2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Additional Covenants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5.1 Insurance</w:t>
      </w:r>
      <w:r>
        <w:rPr>
          <w:rFonts w:ascii="Times New Roman" w:cs="Times New Roman" w:eastAsia="Times New Roman" w:hAnsi="Times New Roman"/>
          <w:sz w:val="17"/>
          <w:szCs w:val="17"/>
          <w:color w:val="auto"/>
        </w:rPr>
        <w:t>. The Company shall at all times maintain director and officer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insurance in an amount and on terms and conditions satisfactory to the Board, including a majority of the Preferred Directors then-serving). The Company will use commercially reasonable efforts to cause such insurance policy to be maintained until such time as the Board, including a majority of the Preferred Directors then-serving, determines that such insurance should be discontinued. The policy shall not be cancelable by the Company without prior approval by the Board, including a majority of the Preferred Directors then-serving.</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35" w:name="page336"/>
    <w:bookmarkEnd w:id="335"/>
    <w:p>
      <w:pPr>
        <w:jc w:val="both"/>
        <w:ind w:left="1220" w:right="1239" w:firstLine="505"/>
        <w:spacing w:after="0" w:line="237" w:lineRule="auto"/>
        <w:rPr>
          <w:sz w:val="20"/>
          <w:szCs w:val="20"/>
          <w:color w:val="auto"/>
        </w:rPr>
      </w:pPr>
      <w:r>
        <w:rPr>
          <w:rFonts w:ascii="Times New Roman" w:cs="Times New Roman" w:eastAsia="Times New Roman" w:hAnsi="Times New Roman"/>
          <w:sz w:val="17"/>
          <w:szCs w:val="17"/>
          <w:b w:val="1"/>
          <w:bCs w:val="1"/>
          <w:color w:val="auto"/>
        </w:rPr>
        <w:t>5.2 Employee Agreements</w:t>
      </w:r>
      <w:r>
        <w:rPr>
          <w:rFonts w:ascii="Times New Roman" w:cs="Times New Roman" w:eastAsia="Times New Roman" w:hAnsi="Times New Roman"/>
          <w:sz w:val="17"/>
          <w:szCs w:val="17"/>
          <w:color w:val="auto"/>
        </w:rPr>
        <w:t>. The Company will cause each person now or hereafter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employed by it or by any subsidiary (or engaged by the Company or any subsidiary as a consultant/independent contractor) with access to confidential information and/or trade secrets to enter into a nondisclosure and proprietary rights assignment agreement, which shall include a one (1) year non-solicitation agreement. In addition, the Company shall not amend, modify, terminate, waive, or otherwise alter, in whole or in part, any of the above-referenced agreements or any restricted stock agreement between the Company and any employee, without the consent of a majority of the Preferred Directors then-serving.</w:t>
      </w:r>
    </w:p>
    <w:p>
      <w:pPr>
        <w:spacing w:after="0" w:line="138"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5.3 Employee Stock</w:t>
      </w:r>
      <w:r>
        <w:rPr>
          <w:rFonts w:ascii="Times New Roman" w:cs="Times New Roman" w:eastAsia="Times New Roman" w:hAnsi="Times New Roman"/>
          <w:sz w:val="17"/>
          <w:szCs w:val="17"/>
          <w:color w:val="auto"/>
        </w:rPr>
        <w:t>. Unless otherwise approved by the Board, including a majority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Preferred Directors then-serving,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 six (36) months, without any vesting acceleration rights, and (ii) a market stand-off provision substantially similar to that in </w:t>
      </w:r>
      <w:r>
        <w:rPr>
          <w:rFonts w:ascii="Times New Roman" w:cs="Times New Roman" w:eastAsia="Times New Roman" w:hAnsi="Times New Roman"/>
          <w:sz w:val="17"/>
          <w:szCs w:val="17"/>
          <w:u w:val="single" w:color="auto"/>
          <w:color w:val="auto"/>
        </w:rPr>
        <w:t>Section 2.11</w:t>
      </w:r>
      <w:r>
        <w:rPr>
          <w:rFonts w:ascii="Times New Roman" w:cs="Times New Roman" w:eastAsia="Times New Roman" w:hAnsi="Times New Roman"/>
          <w:sz w:val="17"/>
          <w:szCs w:val="17"/>
          <w:color w:val="auto"/>
        </w:rPr>
        <w:t xml:space="preserve"> of this Agreement. In addition, unless otherwise approved by the Board, including a majority of the Preferred Directors then-serving, the Company shall retain a “right of first refusal” on employee transfers and shall have the right to repurchase unvested shares at cost upon termination of employment or service of a holder of restricted stock.</w:t>
      </w:r>
    </w:p>
    <w:p>
      <w:pPr>
        <w:spacing w:after="0" w:line="140"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5.4 Board Matters Requiring Approval of Preferred Directors</w:t>
      </w:r>
      <w:r>
        <w:rPr>
          <w:rFonts w:ascii="Times New Roman" w:cs="Times New Roman" w:eastAsia="Times New Roman" w:hAnsi="Times New Roman"/>
          <w:sz w:val="17"/>
          <w:szCs w:val="17"/>
          <w:color w:val="auto"/>
        </w:rPr>
        <w:t>. The Company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covenants and agrees with each of the Investors that it shall not, without approval of the Board, which approval must include the affirmative vote of a majority of the Preferred Directors then-serving, including the affirmative vote of at least a majority of the Series C/D Directors then- serving:</w:t>
      </w:r>
    </w:p>
    <w:p>
      <w:pPr>
        <w:spacing w:after="0" w:line="141" w:lineRule="exact"/>
        <w:rPr>
          <w:sz w:val="20"/>
          <w:szCs w:val="20"/>
          <w:color w:val="auto"/>
        </w:rPr>
      </w:pPr>
    </w:p>
    <w:p>
      <w:pPr>
        <w:jc w:val="both"/>
        <w:ind w:left="1220" w:right="1239" w:firstLine="1013"/>
        <w:spacing w:after="0" w:line="246" w:lineRule="auto"/>
        <w:tabs>
          <w:tab w:leader="none" w:pos="2592"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make, or permit any subsidiary to make, any loan or advance to, or own any stock or other securities of, any subsidiary or other corporation, partnership, or other entity unless it is wholly owned by the Company;</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39" w:lineRule="auto"/>
        <w:tabs>
          <w:tab w:leader="none" w:pos="2592" w:val="left"/>
        </w:tabs>
        <w:numPr>
          <w:ilvl w:val="0"/>
          <w:numId w:val="2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make, or permit any subsidiary to make, any loan or advance to any Person, including, without limitation, any employee or director of the Company or any subsidiary, except advances and similar expenditures in the ordinary course of business or under the terms of an employee stock or option plan previously approved by the Board or approved by the Board, including a majority of the Preferred Directors subsequent to the date hereof;</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36" w:name="page337"/>
    <w:bookmarkEnd w:id="336"/>
    <w:p>
      <w:pPr>
        <w:jc w:val="both"/>
        <w:ind w:left="1220" w:right="1239" w:firstLine="1013"/>
        <w:spacing w:after="0" w:line="246"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guarantee, directly or indirectly, or permit any subsidiary to guarantee, directly or indirectly, any indebtedness except for trade accounts of the Company or any subsidiary arising in the ordinary course of business;</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39"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make any investment other than investments in prime commercial paper, money market funds, certificates of deposit in any United States bank having a net worth in excess of $100,000,000 or obligations issued or guaranteed by the United States of America, in each case having a maturity not in excess of one year, or that are otherwise consistent with an investment policy approved by the Board, including a majority of the Preferred Directors;</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013"/>
        <w:spacing w:after="0" w:line="246"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incur any aggregate indebtedness in excess of $250,000 that is not already included in a budget approved by the Board, including a majority of the Preferred Directors, other than trade credit incurred in the ordinary course of business;</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013"/>
        <w:spacing w:after="0" w:line="239"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otherwise enter into or be a party to any transaction with any director, officer, or employee of the Company or any “associate” (as defined in Rule 12b-2 promulgated under the Exchange Act) of any such Person, except for transactions contemplated by this Agreement, the Purchase Agreement, and the other Transaction Agreements (as defined in the Purchase Agreement);</w:t>
      </w:r>
    </w:p>
    <w:p>
      <w:pPr>
        <w:spacing w:after="0" w:line="140" w:lineRule="exact"/>
        <w:rPr>
          <w:rFonts w:ascii="Times New Roman" w:cs="Times New Roman" w:eastAsia="Times New Roman" w:hAnsi="Times New Roman"/>
          <w:sz w:val="17"/>
          <w:szCs w:val="17"/>
          <w:b w:val="1"/>
          <w:bCs w:val="1"/>
          <w:color w:val="auto"/>
        </w:rPr>
      </w:pPr>
    </w:p>
    <w:p>
      <w:pPr>
        <w:ind w:left="1220" w:right="1239" w:firstLine="1013"/>
        <w:spacing w:after="0" w:line="259"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hire, terminate, or change the compensation of the executive officers, including approving any option grants or stock awards to executive officers;</w:t>
      </w:r>
    </w:p>
    <w:p>
      <w:pPr>
        <w:spacing w:after="0" w:line="124" w:lineRule="exact"/>
        <w:rPr>
          <w:rFonts w:ascii="Times New Roman" w:cs="Times New Roman" w:eastAsia="Times New Roman" w:hAnsi="Times New Roman"/>
          <w:sz w:val="17"/>
          <w:szCs w:val="17"/>
          <w:b w:val="1"/>
          <w:bCs w:val="1"/>
          <w:color w:val="auto"/>
        </w:rPr>
      </w:pPr>
    </w:p>
    <w:p>
      <w:pPr>
        <w:ind w:left="1220" w:right="1239" w:firstLine="1013"/>
        <w:spacing w:after="0" w:line="259"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change the principal business of the Company, enter new lines of business, or exit the current line of business;</w:t>
      </w:r>
    </w:p>
    <w:p>
      <w:pPr>
        <w:spacing w:after="0" w:line="124" w:lineRule="exact"/>
        <w:rPr>
          <w:rFonts w:ascii="Times New Roman" w:cs="Times New Roman" w:eastAsia="Times New Roman" w:hAnsi="Times New Roman"/>
          <w:sz w:val="17"/>
          <w:szCs w:val="17"/>
          <w:b w:val="1"/>
          <w:bCs w:val="1"/>
          <w:color w:val="auto"/>
        </w:rPr>
      </w:pPr>
    </w:p>
    <w:p>
      <w:pPr>
        <w:ind w:left="1220" w:right="1239" w:firstLine="1013"/>
        <w:spacing w:after="0" w:line="259"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sell, assign, license, pledge, or encumber material technology or intellectual property, other than immaterial licenses granted in the ordinary course of business; or</w:t>
      </w:r>
    </w:p>
    <w:p>
      <w:pPr>
        <w:spacing w:after="0" w:line="124" w:lineRule="exact"/>
        <w:rPr>
          <w:rFonts w:ascii="Times New Roman" w:cs="Times New Roman" w:eastAsia="Times New Roman" w:hAnsi="Times New Roman"/>
          <w:sz w:val="17"/>
          <w:szCs w:val="17"/>
          <w:b w:val="1"/>
          <w:bCs w:val="1"/>
          <w:color w:val="auto"/>
        </w:rPr>
      </w:pPr>
    </w:p>
    <w:p>
      <w:pPr>
        <w:ind w:left="1220" w:right="1239" w:firstLine="1013"/>
        <w:spacing w:after="0" w:line="259" w:lineRule="auto"/>
        <w:tabs>
          <w:tab w:leader="none" w:pos="2592"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increase the number of shares of Common Stock reserved for issuance under the Company’s 2022 Equity Incentive Plan or establish a new equity incentive plan; or</w:t>
      </w:r>
    </w:p>
    <w:p>
      <w:pPr>
        <w:spacing w:after="0" w:line="124" w:lineRule="exact"/>
        <w:rPr>
          <w:rFonts w:ascii="Times New Roman" w:cs="Times New Roman" w:eastAsia="Times New Roman" w:hAnsi="Times New Roman"/>
          <w:sz w:val="17"/>
          <w:szCs w:val="17"/>
          <w:b w:val="1"/>
          <w:bCs w:val="1"/>
          <w:color w:val="auto"/>
        </w:rPr>
      </w:pPr>
    </w:p>
    <w:p>
      <w:pPr>
        <w:ind w:left="2600" w:hanging="367"/>
        <w:spacing w:after="0"/>
        <w:tabs>
          <w:tab w:leader="none" w:pos="2600" w:val="left"/>
        </w:tabs>
        <w:numPr>
          <w:ilvl w:val="0"/>
          <w:numId w:val="2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hire or terminate the Company’s Chief Executive Officer.</w:t>
      </w:r>
    </w:p>
    <w:p>
      <w:pPr>
        <w:spacing w:after="0" w:line="158" w:lineRule="exact"/>
        <w:rPr>
          <w:sz w:val="20"/>
          <w:szCs w:val="20"/>
          <w:color w:val="auto"/>
        </w:rPr>
      </w:pPr>
    </w:p>
    <w:p>
      <w:pPr>
        <w:jc w:val="both"/>
        <w:ind w:left="1220" w:right="1239" w:firstLine="505"/>
        <w:spacing w:after="0" w:line="234" w:lineRule="auto"/>
        <w:rPr>
          <w:sz w:val="20"/>
          <w:szCs w:val="20"/>
          <w:color w:val="auto"/>
        </w:rPr>
      </w:pPr>
      <w:r>
        <w:rPr>
          <w:rFonts w:ascii="Times New Roman" w:cs="Times New Roman" w:eastAsia="Times New Roman" w:hAnsi="Times New Roman"/>
          <w:sz w:val="17"/>
          <w:szCs w:val="17"/>
          <w:b w:val="1"/>
          <w:bCs w:val="1"/>
          <w:color w:val="auto"/>
        </w:rPr>
        <w:t>5.5 Board Matters</w:t>
      </w:r>
      <w:r>
        <w:rPr>
          <w:rFonts w:ascii="Times New Roman" w:cs="Times New Roman" w:eastAsia="Times New Roman" w:hAnsi="Times New Roman"/>
          <w:sz w:val="17"/>
          <w:szCs w:val="17"/>
          <w:color w:val="auto"/>
        </w:rPr>
        <w:t>. Unless otherwise determined by the Board, including a majority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Preferred Directors then-serving, the Board shall meet at least quarterly and for a total of at least four (4) Board meetings per calendar year in accordance with an agreed-upon schedule. The Company shall reimburse the non-employee directors and observers for all reasonable out-of-pocket travel expenses incurred including, without limitation, airfare and hotel accommodation expenses (consistent with the Company’s travel policy), in connection with attending meetings of the Board. Upon the request of the Preferred Directors, any Board committee shall include (i) at least three (3) Preferred Directors, (ii) at least one Series A/B Director, (iii) at least one Series C Director and (iv) at least one Series D Director. The Company shall cause to be established, as soon as practicable after the request of the Preferred Directors, and will maintain, an audit and compensation committee, each of which shall consist solely of non-management directors. Each Preferred Director shall be entitled in such persons’ discretion to be a member of any Board committee established from time to time. Notwithstanding anything to the contrary in the Company’s Bylaws or otherwise, and unless otherwise waived by the Board, including a majority</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37" w:name="page338"/>
    <w:bookmarkEnd w:id="337"/>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of the Preferred Directors then-serving, the presence (in-person or telephonically) of a majority of the Preferred Directors then-serving shall be required in order to convene a meeting of the Board.</w:t>
      </w:r>
    </w:p>
    <w:p>
      <w:pPr>
        <w:spacing w:after="0" w:line="131"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5.6 Sale of Company; Investor Counsel</w:t>
      </w:r>
      <w:r>
        <w:rPr>
          <w:rFonts w:ascii="Times New Roman" w:cs="Times New Roman" w:eastAsia="Times New Roman" w:hAnsi="Times New Roman"/>
          <w:sz w:val="17"/>
          <w:szCs w:val="17"/>
          <w:color w:val="auto"/>
        </w:rPr>
        <w:t>. In the event of a transaction which is a Sale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 (as defined in the Voting Agreement of even date herewith among the Investors and the Company), the reasonable fees and disbursements, not to exceed $25,000, of one counsel for the Major Investors (“</w:t>
      </w:r>
      <w:r>
        <w:rPr>
          <w:rFonts w:ascii="Times New Roman" w:cs="Times New Roman" w:eastAsia="Times New Roman" w:hAnsi="Times New Roman"/>
          <w:sz w:val="17"/>
          <w:szCs w:val="17"/>
          <w:b w:val="1"/>
          <w:bCs w:val="1"/>
          <w:i w:val="1"/>
          <w:iCs w:val="1"/>
          <w:color w:val="auto"/>
        </w:rPr>
        <w:t>Investor Counsel</w:t>
      </w:r>
      <w:r>
        <w:rPr>
          <w:rFonts w:ascii="Times New Roman" w:cs="Times New Roman" w:eastAsia="Times New Roman" w:hAnsi="Times New Roman"/>
          <w:sz w:val="17"/>
          <w:szCs w:val="17"/>
          <w:color w:val="auto"/>
        </w:rPr>
        <w:t>”), in their capacities as stockholders, shall be borne and paid by the Company. At the outset of considering a transaction which, if consummated would constitute a Sale of the Company, the Company shall obtain the ability to share with the Investor Counsel (and such counsel’s clients) and shall share the confidential information (including without limitation the initial and all subsequent drafts of memoranda of understanding, letters of intent and other transaction documents and related noncompete, employment, consulting and other compensation agreements and plans) pertaining to and memorializing any of the transactions which, individually or when aggregated with others would constitute the Sale of the Company.</w:t>
      </w:r>
    </w:p>
    <w:p>
      <w:pPr>
        <w:spacing w:after="0" w:line="142" w:lineRule="exact"/>
        <w:rPr>
          <w:sz w:val="20"/>
          <w:szCs w:val="20"/>
          <w:color w:val="auto"/>
        </w:rPr>
      </w:pPr>
    </w:p>
    <w:p>
      <w:pPr>
        <w:jc w:val="both"/>
        <w:ind w:left="1220" w:right="1239" w:firstLine="505"/>
        <w:spacing w:after="0" w:line="234" w:lineRule="auto"/>
        <w:rPr>
          <w:sz w:val="20"/>
          <w:szCs w:val="20"/>
          <w:color w:val="auto"/>
        </w:rPr>
      </w:pPr>
      <w:r>
        <w:rPr>
          <w:rFonts w:ascii="Times New Roman" w:cs="Times New Roman" w:eastAsia="Times New Roman" w:hAnsi="Times New Roman"/>
          <w:sz w:val="17"/>
          <w:szCs w:val="17"/>
          <w:b w:val="1"/>
          <w:bCs w:val="1"/>
          <w:color w:val="auto"/>
        </w:rPr>
        <w:t>5.7 Indemnification Matters</w:t>
      </w:r>
      <w:r>
        <w:rPr>
          <w:rFonts w:ascii="Times New Roman" w:cs="Times New Roman" w:eastAsia="Times New Roman" w:hAnsi="Times New Roman"/>
          <w:sz w:val="17"/>
          <w:szCs w:val="17"/>
          <w:color w:val="auto"/>
        </w:rPr>
        <w:t>. The Company hereby acknowledges that one (1) or more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directors nominated to serve on the Board by the Investors (each a “</w:t>
      </w:r>
      <w:r>
        <w:rPr>
          <w:rFonts w:ascii="Times New Roman" w:cs="Times New Roman" w:eastAsia="Times New Roman" w:hAnsi="Times New Roman"/>
          <w:sz w:val="17"/>
          <w:szCs w:val="17"/>
          <w:b w:val="1"/>
          <w:bCs w:val="1"/>
          <w:i w:val="1"/>
          <w:iCs w:val="1"/>
          <w:color w:val="auto"/>
        </w:rPr>
        <w:t>Fund Director</w:t>
      </w:r>
      <w:r>
        <w:rPr>
          <w:rFonts w:ascii="Times New Roman" w:cs="Times New Roman" w:eastAsia="Times New Roman" w:hAnsi="Times New Roman"/>
          <w:sz w:val="17"/>
          <w:szCs w:val="17"/>
          <w:color w:val="auto"/>
        </w:rPr>
        <w:t>”) may have certain rights to indemnification, advancement of expenses and/or insurance provided by one or more of the Investors and certain of their affiliates (collectively, the “</w:t>
      </w:r>
      <w:r>
        <w:rPr>
          <w:rFonts w:ascii="Times New Roman" w:cs="Times New Roman" w:eastAsia="Times New Roman" w:hAnsi="Times New Roman"/>
          <w:sz w:val="17"/>
          <w:szCs w:val="17"/>
          <w:b w:val="1"/>
          <w:bCs w:val="1"/>
          <w:i w:val="1"/>
          <w:iCs w:val="1"/>
          <w:color w:val="auto"/>
        </w:rPr>
        <w:t>Fund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Indemnitors</w:t>
      </w:r>
      <w:r>
        <w:rPr>
          <w:rFonts w:ascii="Times New Roman" w:cs="Times New Roman" w:eastAsia="Times New Roman" w:hAnsi="Times New Roman"/>
          <w:sz w:val="17"/>
          <w:szCs w:val="17"/>
          <w:color w:val="auto"/>
        </w:rPr>
        <w:t>”). The Company hereby agrees (a) that it is the indemnitor of first resort (i.e., its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Company’s Certificate of Incorporation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of the rights of recovery of such Fund Director against the Company. The Fund Directors and the Fund Indemnitors are intended third-party beneficiaries of this Section 5.7 and shall have the right, power and authority to enforce the provisions of this Section 5.7 as though they were a party to this Agreement.</w:t>
      </w:r>
    </w:p>
    <w:p>
      <w:pPr>
        <w:spacing w:after="0" w:line="137"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5.8 Successor Indemnification</w:t>
      </w:r>
      <w:r>
        <w:rPr>
          <w:rFonts w:ascii="Times New Roman" w:cs="Times New Roman" w:eastAsia="Times New Roman" w:hAnsi="Times New Roman"/>
          <w:sz w:val="17"/>
          <w:szCs w:val="17"/>
          <w:color w:val="auto"/>
        </w:rPr>
        <w:t>. If the Company or any of its successors or assignees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as in effect immediately before such transaction, whether such obligations are contained in the Company’s Bylaws, the Restated Certificate, or elsewhere, as the case may be.</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38" w:name="page339"/>
    <w:bookmarkEnd w:id="338"/>
    <w:p>
      <w:pPr>
        <w:jc w:val="both"/>
        <w:ind w:left="1220" w:right="1239" w:firstLine="505"/>
        <w:spacing w:after="0" w:line="249" w:lineRule="auto"/>
        <w:rPr>
          <w:sz w:val="20"/>
          <w:szCs w:val="20"/>
          <w:color w:val="auto"/>
        </w:rPr>
      </w:pPr>
      <w:r>
        <w:rPr>
          <w:rFonts w:ascii="Times New Roman" w:cs="Times New Roman" w:eastAsia="Times New Roman" w:hAnsi="Times New Roman"/>
          <w:sz w:val="16"/>
          <w:szCs w:val="16"/>
          <w:b w:val="1"/>
          <w:bCs w:val="1"/>
          <w:color w:val="auto"/>
        </w:rPr>
        <w:t>5.9 Right to Conduct Activities</w:t>
      </w:r>
      <w:r>
        <w:rPr>
          <w:rFonts w:ascii="Times New Roman" w:cs="Times New Roman" w:eastAsia="Times New Roman" w:hAnsi="Times New Roman"/>
          <w:sz w:val="16"/>
          <w:szCs w:val="16"/>
          <w:color w:val="auto"/>
        </w:rPr>
        <w:t>. The Company hereby agrees and acknowledges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each of Suvretta, PXV, SR One, Eventide, Norwest, Pivotal, F-Prime, RiverVest, Novo, Vida, [***], Surveyor and Rock Springs (collectively, the “</w:t>
      </w:r>
      <w:r>
        <w:rPr>
          <w:rFonts w:ascii="Times New Roman" w:cs="Times New Roman" w:eastAsia="Times New Roman" w:hAnsi="Times New Roman"/>
          <w:sz w:val="16"/>
          <w:szCs w:val="16"/>
          <w:b w:val="1"/>
          <w:bCs w:val="1"/>
          <w:i w:val="1"/>
          <w:iCs w:val="1"/>
          <w:color w:val="auto"/>
        </w:rPr>
        <w:t>Investing Funds</w:t>
      </w:r>
      <w:r>
        <w:rPr>
          <w:rFonts w:ascii="Times New Roman" w:cs="Times New Roman" w:eastAsia="Times New Roman" w:hAnsi="Times New Roman"/>
          <w:sz w:val="16"/>
          <w:szCs w:val="16"/>
          <w:color w:val="auto"/>
        </w:rPr>
        <w:t>”) are professional investment funds, and as such (a) makes or holds investments in, or trades in public securities of, companies that are or may become engaged in activities that are competitive with the Company’s business, as it is currently conducted or as it may be conducted in the future and (b) invests in and reviews the business plans and related proprietary information of numerous portfolio companies and enterprises, some of which may be deemed competitive with the Company’s business (as currently conducted or as currently propose to be conducted). The Company hereby agrees that, to the extent permitted under applicable law, the Investing Funds shall not be liable to the Company for any claim arising out of, or based upon (i) the investment by any Investing Fund in any entity competitive with the Company, or (ii) actions taken by any partner, officer or other representative of the Investing Funds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 Subject to clauses (x) and (y) above, nothing in this Agreement or any other agreement with the Company shall preclude, create an obligation or duty, or in any way restrict, the Investing Funds from evaluating or purchasing securities, including publicly traded securities, of a particular enterprise, whether or not such enterprise has products or services which compete with those of the Company.</w:t>
      </w:r>
    </w:p>
    <w:p>
      <w:pPr>
        <w:spacing w:after="0" w:line="321"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5.10 Foreign Corrupt Practices Act Enforcement Actions</w:t>
      </w:r>
      <w:r>
        <w:rPr>
          <w:rFonts w:ascii="Times New Roman" w:cs="Times New Roman" w:eastAsia="Times New Roman" w:hAnsi="Times New Roman"/>
          <w:sz w:val="17"/>
          <w:szCs w:val="17"/>
          <w:color w:val="auto"/>
        </w:rPr>
        <w:t>. The Company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promptly notify Norwest should the Company become aware of any Enforcement Action (as defined in the Purchase Agreement).</w:t>
      </w:r>
    </w:p>
    <w:p>
      <w:pPr>
        <w:spacing w:after="0" w:line="130" w:lineRule="exact"/>
        <w:rPr>
          <w:sz w:val="20"/>
          <w:szCs w:val="20"/>
          <w:color w:val="auto"/>
        </w:rPr>
      </w:pPr>
    </w:p>
    <w:p>
      <w:pPr>
        <w:jc w:val="both"/>
        <w:ind w:left="1220" w:right="1239" w:firstLine="505"/>
        <w:spacing w:after="0" w:line="254" w:lineRule="auto"/>
        <w:rPr>
          <w:sz w:val="20"/>
          <w:szCs w:val="20"/>
          <w:color w:val="auto"/>
        </w:rPr>
      </w:pPr>
      <w:r>
        <w:rPr>
          <w:rFonts w:ascii="Times New Roman" w:cs="Times New Roman" w:eastAsia="Times New Roman" w:hAnsi="Times New Roman"/>
          <w:sz w:val="16"/>
          <w:szCs w:val="16"/>
          <w:b w:val="1"/>
          <w:bCs w:val="1"/>
          <w:color w:val="auto"/>
        </w:rPr>
        <w:t>5.11 CFIUS Filing Requirement and CFIUS Satisfied Condition</w:t>
      </w:r>
      <w:r>
        <w:rPr>
          <w:rFonts w:ascii="Times New Roman" w:cs="Times New Roman" w:eastAsia="Times New Roman" w:hAnsi="Times New Roman"/>
          <w:sz w:val="16"/>
          <w:szCs w:val="16"/>
          <w:color w:val="auto"/>
        </w:rPr>
        <w:t>. If and only if (i)</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CFIUS requests or requires that the Company or an Investor file a notice or declaration with CFIUS pursuant to the DPA, with respect to an Investor’s investment in the Company (the “</w:t>
      </w:r>
      <w:r>
        <w:rPr>
          <w:rFonts w:ascii="Times New Roman" w:cs="Times New Roman" w:eastAsia="Times New Roman" w:hAnsi="Times New Roman"/>
          <w:sz w:val="16"/>
          <w:szCs w:val="16"/>
          <w:b w:val="1"/>
          <w:bCs w:val="1"/>
          <w:i w:val="1"/>
          <w:iCs w:val="1"/>
          <w:color w:val="auto"/>
        </w:rPr>
        <w:t>Covered Transaction</w:t>
      </w:r>
      <w:r>
        <w:rPr>
          <w:rFonts w:ascii="Times New Roman" w:cs="Times New Roman" w:eastAsia="Times New Roman" w:hAnsi="Times New Roman"/>
          <w:sz w:val="16"/>
          <w:szCs w:val="16"/>
          <w:color w:val="auto"/>
        </w:rPr>
        <w:t>”), or (ii) the Company and an Investor (each of the Investors described in</w:t>
      </w:r>
    </w:p>
    <w:p>
      <w:pPr>
        <w:jc w:val="both"/>
        <w:ind w:left="1220" w:right="1239" w:firstLine="4"/>
        <w:spacing w:after="0" w:line="233" w:lineRule="auto"/>
        <w:tabs>
          <w:tab w:leader="none" w:pos="1439" w:val="left"/>
        </w:tabs>
        <w:numPr>
          <w:ilvl w:val="0"/>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(ii) a “</w:t>
      </w:r>
      <w:r>
        <w:rPr>
          <w:rFonts w:ascii="Times New Roman" w:cs="Times New Roman" w:eastAsia="Times New Roman" w:hAnsi="Times New Roman"/>
          <w:sz w:val="17"/>
          <w:szCs w:val="17"/>
          <w:b w:val="1"/>
          <w:bCs w:val="1"/>
          <w:i w:val="1"/>
          <w:iCs w:val="1"/>
          <w:color w:val="auto"/>
        </w:rPr>
        <w:t>Non-U.S. Investor</w:t>
      </w:r>
      <w:r>
        <w:rPr>
          <w:rFonts w:ascii="Times New Roman" w:cs="Times New Roman" w:eastAsia="Times New Roman" w:hAnsi="Times New Roman"/>
          <w:sz w:val="17"/>
          <w:szCs w:val="17"/>
          <w:color w:val="auto"/>
        </w:rPr>
        <w:t>”) mutually determine in good faith that a filing with CFIUS with respect to the Covered Transaction is advisable or required by applicable law, then in either case, (i) or (ii) (either to constitute a “</w:t>
      </w:r>
      <w:r>
        <w:rPr>
          <w:rFonts w:ascii="Times New Roman" w:cs="Times New Roman" w:eastAsia="Times New Roman" w:hAnsi="Times New Roman"/>
          <w:sz w:val="17"/>
          <w:szCs w:val="17"/>
          <w:b w:val="1"/>
          <w:bCs w:val="1"/>
          <w:i w:val="1"/>
          <w:iCs w:val="1"/>
          <w:color w:val="auto"/>
        </w:rPr>
        <w:t>CFIUS Filing Requirement</w:t>
      </w:r>
      <w:r>
        <w:rPr>
          <w:rFonts w:ascii="Times New Roman" w:cs="Times New Roman" w:eastAsia="Times New Roman" w:hAnsi="Times New Roman"/>
          <w:sz w:val="17"/>
          <w:szCs w:val="17"/>
          <w:color w:val="auto"/>
        </w:rPr>
        <w:t xml:space="preserve">”): (x) the Company and such Non-U.S. Investor shall, and shall cause any affiliates to, cooperate and promptly make a CFIUS filing in the requested, required or advisable form in accordance with the DPA; and (y) the Company and the Investors shall, and shall cause any affiliates to, use commercially reasonable efforts to obtain, as applicable, the CFIUS Satisfied Condition (as defined below). For the avoidance of doubt, neither the Company nor a Non-U.S. Investor shall have any obligation to accept or take any action, condition or restriction with respect to the Covered Transactions in order to achieve the CFIUS Satisfied Condition. In the event of a CFIUS Filing Requirement, no future provisions of the Restated Certificate or any other agreement serving a similar purpose with respect to a future acquisition of shares by a Non-U.S. Investor shall apply to any Non-U.S. Investor making filings pursuant to the DPA under this </w:t>
      </w:r>
      <w:r>
        <w:rPr>
          <w:rFonts w:ascii="Times New Roman" w:cs="Times New Roman" w:eastAsia="Times New Roman" w:hAnsi="Times New Roman"/>
          <w:sz w:val="17"/>
          <w:szCs w:val="17"/>
          <w:u w:val="single" w:color="auto"/>
          <w:color w:val="auto"/>
        </w:rPr>
        <w:t>Section 3.6</w:t>
      </w:r>
      <w:r>
        <w:rPr>
          <w:rFonts w:ascii="Times New Roman" w:cs="Times New Roman" w:eastAsia="Times New Roman" w:hAnsi="Times New Roman"/>
          <w:sz w:val="17"/>
          <w:szCs w:val="17"/>
          <w:color w:val="auto"/>
        </w:rPr>
        <w:t xml:space="preserve"> unless and until the date that is ten (10) business days after the CFIUS Satisfied Condition is achieved. The “</w:t>
      </w:r>
      <w:r>
        <w:rPr>
          <w:rFonts w:ascii="Times New Roman" w:cs="Times New Roman" w:eastAsia="Times New Roman" w:hAnsi="Times New Roman"/>
          <w:sz w:val="17"/>
          <w:szCs w:val="17"/>
          <w:b w:val="1"/>
          <w:bCs w:val="1"/>
          <w:i w:val="1"/>
          <w:iCs w:val="1"/>
          <w:color w:val="auto"/>
        </w:rPr>
        <w:t>CFIUS Satisfied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Condition</w:t>
      </w:r>
      <w:r>
        <w:rPr>
          <w:rFonts w:ascii="Times New Roman" w:cs="Times New Roman" w:eastAsia="Times New Roman" w:hAnsi="Times New Roman"/>
          <w:sz w:val="17"/>
          <w:szCs w:val="17"/>
          <w:color w:val="auto"/>
        </w:rPr>
        <w:t>” shall be achieved when (1) the Company and the Non-U.S. Investor shall have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received written notification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39" w:name="page340"/>
    <w:bookmarkEnd w:id="339"/>
    <w:p>
      <w:pPr>
        <w:jc w:val="both"/>
        <w:ind w:left="1220" w:right="1239"/>
        <w:spacing w:after="0" w:line="234" w:lineRule="auto"/>
        <w:rPr>
          <w:sz w:val="20"/>
          <w:szCs w:val="20"/>
          <w:color w:val="auto"/>
        </w:rPr>
      </w:pPr>
      <w:r>
        <w:rPr>
          <w:rFonts w:ascii="Times New Roman" w:cs="Times New Roman" w:eastAsia="Times New Roman" w:hAnsi="Times New Roman"/>
          <w:sz w:val="17"/>
          <w:szCs w:val="17"/>
          <w:color w:val="auto"/>
        </w:rPr>
        <w:t>from CFIUS stating that: (A) CFIUS has concluded that the Covered Transactions do not constitute a “covered transaction” subject to review under the DPA; or (B) the assessment, review or investigation of the Covered Transactions under the DPA has concluded, and there are no unresolved national security concerns with respect to the Covered Transaction; (2) CFIUS has sent a report to the President of the United States requesting the President’s decision with respect to the Covered Transactions and either (A) the fifteen day period under the DPA subsequent to the President’s receipt of the CFIUS report during which the President may announce his decision to take action to suspend, prohibit or place any limitations on the Covered Transaction has expired without any such action being taken or (B) the President of the United States has announced a decision not to take any action to suspend, prohibit or place any limitations on the Covered Transactions; or (3) CFIUS has provided written notice that it is not able to complete action under the DPA with respect to the Covered Transaction on the basis of a CFIUS declaration, but CFIUS has not requested that the Company and the Non-U.S. Investor submit a CFIUS notice and has not initiated a unilateral CFIUS review, and the Company and the Non-U.S. Investor reasonably decide that the notification from CFIUS that it is not able to complete action is sufficient to constitute the CFIUS Satisfied Condition.</w:t>
      </w:r>
    </w:p>
    <w:p>
      <w:pPr>
        <w:spacing w:after="0" w:line="142"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5.12 Termination of Covenants</w:t>
      </w:r>
      <w:r>
        <w:rPr>
          <w:rFonts w:ascii="Times New Roman" w:cs="Times New Roman" w:eastAsia="Times New Roman" w:hAnsi="Times New Roman"/>
          <w:sz w:val="17"/>
          <w:szCs w:val="17"/>
          <w:color w:val="auto"/>
        </w:rPr>
        <w:t>. The covenants set forth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 and be of no further force or effect: (a) immediately before the consummation of the IPO; (b) when the Company first becomes subject to the periodic reporting requirements of Section 12(g) or 15(d) of the Exchange Act; or (c) upon the consummation of a Deemed Liquidation Event, whichever event occurs first.</w:t>
      </w:r>
    </w:p>
    <w:p>
      <w:pPr>
        <w:spacing w:after="0" w:line="137" w:lineRule="exact"/>
        <w:rPr>
          <w:sz w:val="20"/>
          <w:szCs w:val="20"/>
          <w:color w:val="auto"/>
        </w:rPr>
      </w:pPr>
    </w:p>
    <w:p>
      <w:pPr>
        <w:ind w:left="2140" w:hanging="411"/>
        <w:spacing w:after="0"/>
        <w:tabs>
          <w:tab w:leader="none" w:pos="2140" w:val="left"/>
        </w:tabs>
        <w:numPr>
          <w:ilvl w:val="0"/>
          <w:numId w:val="2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220" w:right="1239" w:firstLine="505"/>
        <w:spacing w:after="0" w:line="249" w:lineRule="auto"/>
        <w:rPr>
          <w:sz w:val="20"/>
          <w:szCs w:val="20"/>
          <w:color w:val="auto"/>
        </w:rPr>
      </w:pPr>
      <w:r>
        <w:rPr>
          <w:rFonts w:ascii="Times New Roman" w:cs="Times New Roman" w:eastAsia="Times New Roman" w:hAnsi="Times New Roman"/>
          <w:sz w:val="16"/>
          <w:szCs w:val="16"/>
          <w:b w:val="1"/>
          <w:bCs w:val="1"/>
          <w:color w:val="auto"/>
        </w:rPr>
        <w:t>6.1 Successors and Assigns</w:t>
      </w:r>
      <w:r>
        <w:rPr>
          <w:rFonts w:ascii="Times New Roman" w:cs="Times New Roman" w:eastAsia="Times New Roman" w:hAnsi="Times New Roman"/>
          <w:sz w:val="16"/>
          <w:szCs w:val="16"/>
          <w:color w:val="auto"/>
        </w:rPr>
        <w:t>. The rights under this Agreement may be assigned (but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only with all related obligations) by a Holder to a transferee of Registrable Securities that (a) is an Affiliate of a Holder; (b) is a Holder’s Immediate Family Member or trust for the benefit of an individual Holder or one or more of such Holder’s Immediate Family Members; or (c) after such transfer, holds at least 5,000 shares of Registrable Securities (subject to appropriate adjustment for stock splits, stock dividends, stock combinations, and other recapitalizations); provided, however, that (i) the Company is, within a reasonable time after such transfer, furnished with written notice of the name and address of such transferee and the Registrable Securities with respect to which such rights are being transferred; and (ii) such transferee agrees in a written instrument delivered to the Company to be bound by and subject to the terms and conditions of this Agreement, including the provisions of </w:t>
      </w:r>
      <w:r>
        <w:rPr>
          <w:rFonts w:ascii="Times New Roman" w:cs="Times New Roman" w:eastAsia="Times New Roman" w:hAnsi="Times New Roman"/>
          <w:sz w:val="16"/>
          <w:szCs w:val="16"/>
          <w:u w:val="single" w:color="auto"/>
          <w:color w:val="auto"/>
        </w:rPr>
        <w:t>Section 2.11</w:t>
      </w:r>
      <w:r>
        <w:rPr>
          <w:rFonts w:ascii="Times New Roman" w:cs="Times New Roman" w:eastAsia="Times New Roman" w:hAnsi="Times New Roman"/>
          <w:sz w:val="16"/>
          <w:szCs w:val="16"/>
          <w:color w:val="auto"/>
        </w:rPr>
        <w:t>. For the purposes of determining the number of shares of Registrable Securities held by a transferee, the holdings of a transferee (1) that is an Affiliate or stockholder of a Holder; (2) who is a Holder’s Immediate Family Member; or (3) that is a trust for the benefit of an individual Holder or such Holder’s Immediate Family Member shall be aggregated together and with those of the transferring Holder; provided further that all transferees who would not qualify individually for assignment of rights shall have a single attorney-in-fact for the purpose of exercising any rights, receiving notices, or taking any action under this Agreement. The terms and conditions of this Agreement inure to the benefit of and are binding upon the respective successors and permitted assignees of the parties. Nothing in this Agreement, express or implied, is intended to confer upon any party other than the parties hereto or their respective successors and permitted assignees any rights, remedies, obligations or liabilities under or by reason of this Agreement, except as expressly provided herein.</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40" w:name="page341"/>
    <w:bookmarkEnd w:id="340"/>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6.2 Governing Law</w:t>
      </w:r>
      <w:r>
        <w:rPr>
          <w:rFonts w:ascii="Times New Roman" w:cs="Times New Roman" w:eastAsia="Times New Roman" w:hAnsi="Times New Roman"/>
          <w:sz w:val="17"/>
          <w:szCs w:val="17"/>
          <w:color w:val="auto"/>
        </w:rPr>
        <w:t>. This Agreement and any controversy arising out of or relating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Agreement shall be governed by and construed in accordance with the internal laws of the State of Delaware, without regard to conflict of law principles that would result in the application of any law other than the laws of the State of Delaware.</w:t>
      </w:r>
    </w:p>
    <w:p>
      <w:pPr>
        <w:spacing w:after="0" w:line="133"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6.3 Counterparts</w:t>
      </w:r>
      <w:r>
        <w:rPr>
          <w:rFonts w:ascii="Times New Roman" w:cs="Times New Roman" w:eastAsia="Times New Roman" w:hAnsi="Times New Roman"/>
          <w:sz w:val="17"/>
          <w:szCs w:val="17"/>
          <w:color w:val="auto"/>
        </w:rPr>
        <w:t>. This Agreement may be executed in two or more counterparts,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which shall be deemed an original, but all of which together shall constitute one and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140"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6.4 Titles and Subtitles</w:t>
      </w:r>
      <w:r>
        <w:rPr>
          <w:rFonts w:ascii="Times New Roman" w:cs="Times New Roman" w:eastAsia="Times New Roman" w:hAnsi="Times New Roman"/>
          <w:sz w:val="17"/>
          <w:szCs w:val="17"/>
          <w:color w:val="auto"/>
        </w:rPr>
        <w:t>. The titles and subtitles used in this Agreement are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convenience only and are not to be considered in construing or interpreting this Agreement.</w:t>
      </w:r>
    </w:p>
    <w:p>
      <w:pPr>
        <w:spacing w:after="0" w:line="117" w:lineRule="exact"/>
        <w:rPr>
          <w:sz w:val="20"/>
          <w:szCs w:val="20"/>
          <w:color w:val="auto"/>
        </w:rPr>
      </w:pPr>
    </w:p>
    <w:p>
      <w:pPr>
        <w:jc w:val="both"/>
        <w:ind w:left="1220" w:right="1239" w:firstLine="505"/>
        <w:spacing w:after="0" w:line="234" w:lineRule="auto"/>
        <w:rPr>
          <w:sz w:val="20"/>
          <w:szCs w:val="20"/>
          <w:color w:val="auto"/>
        </w:rPr>
      </w:pPr>
      <w:r>
        <w:rPr>
          <w:rFonts w:ascii="Times New Roman" w:cs="Times New Roman" w:eastAsia="Times New Roman" w:hAnsi="Times New Roman"/>
          <w:sz w:val="17"/>
          <w:szCs w:val="17"/>
          <w:b w:val="1"/>
          <w:bCs w:val="1"/>
          <w:color w:val="auto"/>
        </w:rPr>
        <w:t>6.5 Notices</w:t>
      </w:r>
      <w:r>
        <w:rPr>
          <w:rFonts w:ascii="Times New Roman" w:cs="Times New Roman" w:eastAsia="Times New Roman" w:hAnsi="Times New Roman"/>
          <w:sz w:val="17"/>
          <w:szCs w:val="17"/>
          <w:color w:val="auto"/>
        </w:rPr>
        <w:t>. All notices and other communications given or made pursuant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shall be in writing and shall be deemed effectively given upon the earlier of actual receipt or: (a) personal delivery to the party to be notified, (b) when sent, if sent by electronic mail or facsimile during normal business hours of the recipient, and if not sent during normal business hours, then on the recipient’s next business day, (c) five (5) days after having been sent by registered or certified mail, return receipt requested, postage prepaid, or (d) one (1) business day after the business day of deposit with a nationally recognized overnight courier, freight prepaid, specifying next business day delivery, with written verification of receipt. Subject to the limitations set forth in Section 232(e) of the Delaware General Corporation Law (the “</w:t>
      </w:r>
      <w:r>
        <w:rPr>
          <w:rFonts w:ascii="Times New Roman" w:cs="Times New Roman" w:eastAsia="Times New Roman" w:hAnsi="Times New Roman"/>
          <w:sz w:val="17"/>
          <w:szCs w:val="17"/>
          <w:b w:val="1"/>
          <w:bCs w:val="1"/>
          <w:i w:val="1"/>
          <w:iCs w:val="1"/>
          <w:color w:val="auto"/>
        </w:rPr>
        <w:t>DGCL</w:t>
      </w:r>
      <w:r>
        <w:rPr>
          <w:rFonts w:ascii="Times New Roman" w:cs="Times New Roman" w:eastAsia="Times New Roman" w:hAnsi="Times New Roman"/>
          <w:sz w:val="17"/>
          <w:szCs w:val="17"/>
          <w:color w:val="auto"/>
        </w:rPr>
        <w:t xml:space="preserve">”), each Investor consents to the delivery of any notice or communications to stockholders given by the Company under this Agreement, the DGCL, the Restated Certificate or the Company’s bylaws by (i) facsimile telecommunication to the facsimile number set forth on the signature page or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7"/>
          <w:szCs w:val="17"/>
          <w:color w:val="auto"/>
        </w:rPr>
        <w:t xml:space="preserve"> hereto, as applicable (or to any other facsimile number for the Investor in the Company’s records), (ii) electronic mail to the electronic mail address set forth on the signature page or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color w:val="auto"/>
        </w:rPr>
        <w:t xml:space="preserve"> hereto, as applicable, (or to any other electronic mail address for the Investor in the Company’s records), or (iii) any other form of electronic transmission (as defined in the DGCL) directed to Investor. This consent may be revoked by an Investor by written notice to the Company and may be deemed revoked in the circumstances specified in Section 232 of the DGCL. If notice is given to the Company, it shall be sent to Avalyn Pharma Inc., 245 First Street, 18th Floor, Cambridge, MA 02142, marked “Attention: Chief Executive Officer”, and a copy (which shall not constitute notice) shall also be sent to Goodwin Procter LLP, 100 Northern Avenue, Boston, Massachusetts 02210, Attn: Mitchell Bloom and Stephanie Richards.</w:t>
      </w:r>
    </w:p>
    <w:p>
      <w:pPr>
        <w:spacing w:after="0" w:line="137"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6.6 Amendments and Waivers</w:t>
      </w:r>
      <w:r>
        <w:rPr>
          <w:rFonts w:ascii="Times New Roman" w:cs="Times New Roman" w:eastAsia="Times New Roman" w:hAnsi="Times New Roman"/>
          <w:sz w:val="17"/>
          <w:szCs w:val="17"/>
          <w:color w:val="auto"/>
        </w:rPr>
        <w:t>. Any term of this Agreement may be amended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observance of any term of this Agreement may be waived (either generally or in a particular instance, and either retroactively or prospectively) only with the written consent of (i) the Company and (ii) the Holders of at least a majority of the Registrable Securities then outstanding; provided, however that the Company may in its sole discretion waive compliance with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xml:space="preserve"> (and the Company’s failure to object promptly in writing after notification of a proposed assignment allegedly in violation of </w:t>
      </w:r>
      <w:r>
        <w:rPr>
          <w:rFonts w:ascii="Times New Roman" w:cs="Times New Roman" w:eastAsia="Times New Roman" w:hAnsi="Times New Roman"/>
          <w:sz w:val="17"/>
          <w:szCs w:val="17"/>
          <w:u w:val="single" w:color="auto"/>
          <w:color w:val="auto"/>
        </w:rPr>
        <w:t>Section 2.12(c)</w:t>
      </w:r>
      <w:r>
        <w:rPr>
          <w:rFonts w:ascii="Times New Roman" w:cs="Times New Roman" w:eastAsia="Times New Roman" w:hAnsi="Times New Roman"/>
          <w:sz w:val="17"/>
          <w:szCs w:val="17"/>
          <w:color w:val="auto"/>
        </w:rPr>
        <w:t xml:space="preserve"> shall be deemed to be a waiver); provided, further that any provision hereof may be waived by any waiving party on such party’s own behalf, without the consent of any other party; provided, further that any amendment, modification,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41" w:name="page342"/>
    <w:bookmarkEnd w:id="341"/>
    <w:p>
      <w:pPr>
        <w:jc w:val="both"/>
        <w:ind w:left="1220" w:right="1239"/>
        <w:spacing w:after="0" w:line="248" w:lineRule="auto"/>
        <w:rPr>
          <w:sz w:val="20"/>
          <w:szCs w:val="20"/>
          <w:color w:val="auto"/>
        </w:rPr>
      </w:pPr>
      <w:r>
        <w:rPr>
          <w:rFonts w:ascii="Times New Roman" w:cs="Times New Roman" w:eastAsia="Times New Roman" w:hAnsi="Times New Roman"/>
          <w:sz w:val="16"/>
          <w:szCs w:val="16"/>
          <w:color w:val="auto"/>
        </w:rPr>
        <w:t xml:space="preserve">termination or waiver of </w:t>
      </w:r>
      <w:r>
        <w:rPr>
          <w:rFonts w:ascii="Times New Roman" w:cs="Times New Roman" w:eastAsia="Times New Roman" w:hAnsi="Times New Roman"/>
          <w:sz w:val="16"/>
          <w:szCs w:val="16"/>
          <w:u w:val="single" w:color="auto"/>
          <w:color w:val="auto"/>
        </w:rPr>
        <w:t>Section 6.15</w:t>
      </w:r>
      <w:r>
        <w:rPr>
          <w:rFonts w:ascii="Times New Roman" w:cs="Times New Roman" w:eastAsia="Times New Roman" w:hAnsi="Times New Roman"/>
          <w:sz w:val="16"/>
          <w:szCs w:val="16"/>
          <w:color w:val="auto"/>
        </w:rPr>
        <w:t xml:space="preserve"> will only be effective against an Investor if such Investor has provided written consent with respect to such amendment, modification, termination or waiver; and provided, further, that neither the definitions of “DPA” or “CFIUS,” </w:t>
      </w:r>
      <w:r>
        <w:rPr>
          <w:rFonts w:ascii="Times New Roman" w:cs="Times New Roman" w:eastAsia="Times New Roman" w:hAnsi="Times New Roman"/>
          <w:sz w:val="16"/>
          <w:szCs w:val="16"/>
          <w:u w:val="single" w:color="auto"/>
          <w:color w:val="auto"/>
        </w:rPr>
        <w:t>Section 5.11</w:t>
      </w:r>
      <w:r>
        <w:rPr>
          <w:rFonts w:ascii="Times New Roman" w:cs="Times New Roman" w:eastAsia="Times New Roman" w:hAnsi="Times New Roman"/>
          <w:sz w:val="16"/>
          <w:szCs w:val="16"/>
          <w:color w:val="auto"/>
        </w:rPr>
        <w:t xml:space="preserve"> nor this provision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may be amended without the written consent of Novo. Notwithstanding the foregoing, (a) this Agreement may not be amended or terminated and the observance of any term hereof may not be waived with respect to any Investor unless such amendment, termination, or waiver applies to all Investors in the same fashion (it being agreed that a waiver of the provisions of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with respect to a particular transaction shall be deemed to apply to all Major Investors in the same fashion if such waiver does so by its terms, notwithstanding the fact that certain Major Investors may nonetheless, by agreement with the Company, purchase securities in such transaction), (b) </w:t>
      </w:r>
      <w:r>
        <w:rPr>
          <w:rFonts w:ascii="Times New Roman" w:cs="Times New Roman" w:eastAsia="Times New Roman" w:hAnsi="Times New Roman"/>
          <w:sz w:val="16"/>
          <w:szCs w:val="16"/>
          <w:u w:val="single" w:color="auto"/>
          <w:color w:val="auto"/>
        </w:rPr>
        <w:t>Sections 3.1</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u w:val="single" w:color="auto"/>
          <w:color w:val="auto"/>
        </w:rPr>
        <w:t>3.2</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and any other section of this Agreement applicable to the Major Investors (including this clause (b) of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may be amended, modified, terminated or waived with only the written consent of the Company and the holders of at least a majority of the Registrable Securities then outstanding and held by the Major Investors. Notwithstanding the foregoing,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chedule</w:t>
      </w:r>
      <w:r>
        <w:rPr>
          <w:rFonts w:ascii="Times New Roman" w:cs="Times New Roman" w:eastAsia="Times New Roman" w:hAnsi="Times New Roman"/>
          <w:sz w:val="16"/>
          <w:szCs w:val="16"/>
          <w:b w:val="1"/>
          <w:bCs w:val="1"/>
          <w:color w:val="auto"/>
        </w:rPr>
        <w:t xml:space="preserve"> B </w:t>
      </w:r>
      <w:r>
        <w:rPr>
          <w:rFonts w:ascii="Times New Roman" w:cs="Times New Roman" w:eastAsia="Times New Roman" w:hAnsi="Times New Roman"/>
          <w:sz w:val="16"/>
          <w:szCs w:val="16"/>
          <w:color w:val="auto"/>
        </w:rPr>
        <w:t>hereto may be amended by the Company from time to time to add transferees of 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Registrable Securities in compliance with the terms of this Agreement without the consent of the other parties; and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 xml:space="preserve"> hereto may also be amended by the Company after the date of this Agreement without the consent of the other parties to add information regarding any additional Investor who becomes a party to this Agreement in accordance with </w:t>
      </w:r>
      <w:r>
        <w:rPr>
          <w:rFonts w:ascii="Times New Roman" w:cs="Times New Roman" w:eastAsia="Times New Roman" w:hAnsi="Times New Roman"/>
          <w:sz w:val="16"/>
          <w:szCs w:val="16"/>
          <w:u w:val="single" w:color="auto"/>
          <w:color w:val="auto"/>
        </w:rPr>
        <w:t>Section 6.9</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A</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S</w:t>
      </w:r>
      <w:r>
        <w:rPr>
          <w:rFonts w:ascii="Times New Roman" w:cs="Times New Roman" w:eastAsia="Times New Roman" w:hAnsi="Times New Roman"/>
          <w:sz w:val="10"/>
          <w:szCs w:val="10"/>
          <w:b w:val="1"/>
          <w:bCs w:val="1"/>
          <w:color w:val="auto"/>
        </w:rPr>
        <w:t>chedule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B</w:t>
      </w:r>
      <w:r>
        <w:rPr>
          <w:rFonts w:ascii="Times New Roman" w:cs="Times New Roman" w:eastAsia="Times New Roman" w:hAnsi="Times New Roman"/>
          <w:sz w:val="16"/>
          <w:szCs w:val="16"/>
          <w:color w:val="auto"/>
        </w:rPr>
        <w:t xml:space="preserve"> hereto may be amended by the Company after the date of this Agreement without the consent of the other parties with respect to a Preferred Investor if and when such Preferred Investor becomes a Converted Preferred Holder. The Company shall give prompt written notice of any amendment, modification or termination hereof or waiver hereunder to any party hereto whose rights and/or obligations were affected by such amendment, modification, termination, or waiver and that did not consent in writing to such amendment, modification, termination, or waiver; provided that the failure to provide such notice shall not invalidate any amendment, modification, termination or waiver in accordance with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Any amendment, modification, termination, or waiver effected in accordance with this </w:t>
      </w:r>
      <w:r>
        <w:rPr>
          <w:rFonts w:ascii="Times New Roman" w:cs="Times New Roman" w:eastAsia="Times New Roman" w:hAnsi="Times New Roman"/>
          <w:sz w:val="16"/>
          <w:szCs w:val="16"/>
          <w:u w:val="single" w:color="auto"/>
          <w:color w:val="auto"/>
        </w:rPr>
        <w:t>Section 6.6</w:t>
      </w:r>
      <w:r>
        <w:rPr>
          <w:rFonts w:ascii="Times New Roman" w:cs="Times New Roman" w:eastAsia="Times New Roman" w:hAnsi="Times New Roman"/>
          <w:sz w:val="16"/>
          <w:szCs w:val="16"/>
          <w:color w:val="auto"/>
        </w:rPr>
        <w:t xml:space="preserve"> shall be binding on all parties hereto, regardless of whether any such party has consented thereto or received notice thereof. No waivers of or exceptions to any term, condition, or provision of this Agreement, in any one or more instances, shall be deemed to be or construed as a further or continuing waiver of any such term, condition, or provision. Notwithstanding anything to the contrary herein, in the event that (a) the rights of the Major Investors to purchase New Securities under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are waived with respect to a particular offering of New Securities after the date hereof and (b) certain Major Investors nonetheless purchase New Securities in such offering, each Major Investor shall be given the opportunity under </w:t>
      </w:r>
      <w:r>
        <w:rPr>
          <w:rFonts w:ascii="Times New Roman" w:cs="Times New Roman" w:eastAsia="Times New Roman" w:hAnsi="Times New Roman"/>
          <w:sz w:val="16"/>
          <w:szCs w:val="16"/>
          <w:u w:val="single" w:color="auto"/>
          <w:color w:val="auto"/>
        </w:rPr>
        <w:t>Section 4</w:t>
      </w:r>
      <w:r>
        <w:rPr>
          <w:rFonts w:ascii="Times New Roman" w:cs="Times New Roman" w:eastAsia="Times New Roman" w:hAnsi="Times New Roman"/>
          <w:sz w:val="16"/>
          <w:szCs w:val="16"/>
          <w:color w:val="auto"/>
        </w:rPr>
        <w:t xml:space="preserve"> to purchase its pro rata share of any securities made available for purchase by the Major Investors in such offering.</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42" w:name="page343"/>
    <w:bookmarkEnd w:id="342"/>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6.7 Severability</w:t>
      </w:r>
      <w:r>
        <w:rPr>
          <w:rFonts w:ascii="Times New Roman" w:cs="Times New Roman" w:eastAsia="Times New Roman" w:hAnsi="Times New Roman"/>
          <w:sz w:val="17"/>
          <w:szCs w:val="17"/>
          <w:color w:val="auto"/>
        </w:rPr>
        <w:t>. If any provision or provisions of this Agreement shall be held by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court of competent jurisdiction to be invalid, void, illegal or otherwise unenforceable for any reason whatsoever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spacing w:after="0" w:line="136"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6.8 Aggregation of Stock</w:t>
      </w:r>
      <w:r>
        <w:rPr>
          <w:rFonts w:ascii="Times New Roman" w:cs="Times New Roman" w:eastAsia="Times New Roman" w:hAnsi="Times New Roman"/>
          <w:sz w:val="17"/>
          <w:szCs w:val="17"/>
          <w:color w:val="auto"/>
        </w:rPr>
        <w:t>. All shares of Registrable Securities held or acquired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Affiliates shall be aggregated together for the purpose of determining the availability of any rights under this Agreement and such Affiliates may apportion such rights as among themselves in any manner they deem appropriate.</w:t>
      </w:r>
    </w:p>
    <w:p>
      <w:pPr>
        <w:spacing w:after="0" w:line="133" w:lineRule="exact"/>
        <w:rPr>
          <w:sz w:val="20"/>
          <w:szCs w:val="20"/>
          <w:color w:val="auto"/>
        </w:rPr>
      </w:pPr>
    </w:p>
    <w:p>
      <w:pPr>
        <w:jc w:val="both"/>
        <w:ind w:left="1220" w:right="1239" w:firstLine="505"/>
        <w:spacing w:after="0" w:line="237" w:lineRule="auto"/>
        <w:rPr>
          <w:sz w:val="20"/>
          <w:szCs w:val="20"/>
          <w:color w:val="auto"/>
        </w:rPr>
      </w:pPr>
      <w:r>
        <w:rPr>
          <w:rFonts w:ascii="Times New Roman" w:cs="Times New Roman" w:eastAsia="Times New Roman" w:hAnsi="Times New Roman"/>
          <w:sz w:val="17"/>
          <w:szCs w:val="17"/>
          <w:b w:val="1"/>
          <w:bCs w:val="1"/>
          <w:color w:val="auto"/>
        </w:rPr>
        <w:t>6.9 Additional Investors</w:t>
      </w:r>
      <w:r>
        <w:rPr>
          <w:rFonts w:ascii="Times New Roman" w:cs="Times New Roman" w:eastAsia="Times New Roman" w:hAnsi="Times New Roman"/>
          <w:sz w:val="17"/>
          <w:szCs w:val="17"/>
          <w:color w:val="auto"/>
        </w:rPr>
        <w:t>. Notwithstanding anything to the contrary contained herein, if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issues additional shares of Series D Preferred Stock after the date hereof, whether pursuant to the Purchase Agreement or otherwise, any purchaser of such shares of Series D Preferred Stock may become a party to this Agreement by executing and delivering an additional counterpart signature page to this Agreement, and thereafter shall be deemed an “Investor” for all purposes hereunder. No action or consent by the Investors shall be required for such joinder to this Agreement by such additional Investor, so long as such additional Investor has agreed in writing to be bound by all of the obligations as an “Investor” hereunder.</w:t>
      </w:r>
    </w:p>
    <w:p>
      <w:pPr>
        <w:spacing w:after="0" w:line="138"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6.10 Entire Agreement</w:t>
      </w:r>
      <w:r>
        <w:rPr>
          <w:rFonts w:ascii="Times New Roman" w:cs="Times New Roman" w:eastAsia="Times New Roman" w:hAnsi="Times New Roman"/>
          <w:sz w:val="17"/>
          <w:szCs w:val="17"/>
          <w:color w:val="auto"/>
        </w:rPr>
        <w:t>. This Agreement (including any Schedules and Exhibits hereto)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constitutes the full and entire understanding and agreement among the parties with respect to the subject matter hereof, and any other written or oral agreement relating to the subject matter hereof existing between the parties is expressly canceled. Upon the effectiveness of this Agreement, the Prior Agreement shall be deemed amended and restated and superseded and replaced in its entirety by this Agreement, and shall be of no further force or effect.</w:t>
      </w:r>
    </w:p>
    <w:p>
      <w:pPr>
        <w:spacing w:after="0" w:line="140" w:lineRule="exact"/>
        <w:rPr>
          <w:sz w:val="20"/>
          <w:szCs w:val="20"/>
          <w:color w:val="auto"/>
        </w:rPr>
      </w:pPr>
    </w:p>
    <w:p>
      <w:pPr>
        <w:jc w:val="both"/>
        <w:ind w:left="1220" w:right="1239" w:firstLine="505"/>
        <w:spacing w:after="0" w:line="251" w:lineRule="auto"/>
        <w:rPr>
          <w:sz w:val="20"/>
          <w:szCs w:val="20"/>
          <w:color w:val="auto"/>
        </w:rPr>
      </w:pPr>
      <w:r>
        <w:rPr>
          <w:rFonts w:ascii="Times New Roman" w:cs="Times New Roman" w:eastAsia="Times New Roman" w:hAnsi="Times New Roman"/>
          <w:sz w:val="16"/>
          <w:szCs w:val="16"/>
          <w:b w:val="1"/>
          <w:bCs w:val="1"/>
          <w:color w:val="auto"/>
        </w:rPr>
        <w:t>6.11 Dispute Resolution</w:t>
      </w:r>
      <w:r>
        <w:rPr>
          <w:rFonts w:ascii="Times New Roman" w:cs="Times New Roman" w:eastAsia="Times New Roman" w:hAnsi="Times New Roman"/>
          <w:sz w:val="16"/>
          <w:szCs w:val="16"/>
          <w:color w:val="auto"/>
        </w:rPr>
        <w:t>. The parties (a) hereby irrevocably and unconditionally submit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the jurisdiction of the state courts of Delaware and to the jurisdiction of the United States District Court for the District of Delaware for the purpose of any suit, action or other proceeding arising out of or based upon this Agreement, (b) agree not to commence any suit, action or other proceeding arising out of or based upon this Agreement except in the state courts of Delaware or the United States District Court for the District of Delaware, and (c) hereby waive, and agree not to assert, by way of motion, as a defense, or otherwise, in any such suit, action or proceeding, any claim that it is not subject personally to the jurisdiction of the above-named courts, that its property is exempt or immune from attachment or execution, that the suit, action or proceeding is brought in an inconvenient forum, that the venue of the suit, action or proceeding is improper or that this Agreement or the subject matter hereof may not be enforced in or by such court.</w:t>
      </w:r>
    </w:p>
    <w:p>
      <w:pPr>
        <w:spacing w:after="0" w:line="133"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6.12 WAIVER OF JURY TRIAL</w:t>
      </w:r>
      <w:r>
        <w:rPr>
          <w:rFonts w:ascii="Times New Roman" w:cs="Times New Roman" w:eastAsia="Times New Roman" w:hAnsi="Times New Roman"/>
          <w:sz w:val="17"/>
          <w:szCs w:val="17"/>
          <w:color w:val="auto"/>
        </w:rPr>
        <w:t>. EACH PARTY HEREBY WAIVES ITS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A JURY TRIAL OF ANY CLAIM OR CAUSE OF ACTION BASED UPON OR ARISING OUT OF THIS AGREEMENT, THE OTHER TRANSACTION DOCUMENTS, THE SECURITIES OR THE SUBJECT MATTER HEREOF OR THEREOF. THE SCOPE OF THIS WAIVER IS INTENDED TO BE ALL-ENCOMPASSING OF ANY AND ALL DISPUTES THAT MAY BE FILED IN ANY COURT AND THAT RELATE TO THE SUBJECT MATTER</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43" w:name="page344"/>
    <w:bookmarkEnd w:id="343"/>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OF THIS TRANSACTION, INCLUDING, WITHOUT LIMITATION, CONTRACT CLAIMS, TORT CLAIMS (INCLUDING NEGLIGENCE), BREACH OF DUTY CLAIMS, AND ALL OTHER COMMON LAW AND STATUTORY CLAIMS. THIS SECTION HAS BEEN FULLY DISCUSSED BY EACH OF THE PARTIES HERETO AND THESE PROVISIONS WILL NOT BE SUBJECT TO ANY EXCEPTIONS. EACH PARTY HERETO HEREBY FURTHER WARRANTS AND REPRESENTS THAT SUCH PARTY HAS REVIEWED THIS WAIVER WITH ITS LEGAL COUNSEL, AND THAT SUCH PARTY KNOWINGLY AND VOLUNTARILY WAIVES ITS JURY TRIAL RIGHTS FOLLOWING CONSULTATION WITH LEGAL COUNSEL.</w:t>
      </w:r>
    </w:p>
    <w:p>
      <w:pPr>
        <w:spacing w:after="0" w:line="137" w:lineRule="exact"/>
        <w:rPr>
          <w:sz w:val="20"/>
          <w:szCs w:val="20"/>
          <w:color w:val="auto"/>
        </w:rPr>
      </w:pPr>
    </w:p>
    <w:p>
      <w:pPr>
        <w:jc w:val="both"/>
        <w:ind w:left="1220" w:right="1239" w:firstLine="505"/>
        <w:spacing w:after="0" w:line="237" w:lineRule="auto"/>
        <w:rPr>
          <w:sz w:val="20"/>
          <w:szCs w:val="20"/>
          <w:color w:val="auto"/>
        </w:rPr>
      </w:pPr>
      <w:r>
        <w:rPr>
          <w:rFonts w:ascii="Times New Roman" w:cs="Times New Roman" w:eastAsia="Times New Roman" w:hAnsi="Times New Roman"/>
          <w:sz w:val="17"/>
          <w:szCs w:val="17"/>
          <w:b w:val="1"/>
          <w:bCs w:val="1"/>
          <w:color w:val="auto"/>
        </w:rPr>
        <w:t>6.13 Delays or Omissions</w:t>
      </w:r>
      <w:r>
        <w:rPr>
          <w:rFonts w:ascii="Times New Roman" w:cs="Times New Roman" w:eastAsia="Times New Roman" w:hAnsi="Times New Roman"/>
          <w:sz w:val="17"/>
          <w:szCs w:val="17"/>
          <w:color w:val="auto"/>
        </w:rPr>
        <w:t>. No delay or omission to exercise any right, power, or remedy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accruing to any party under this Agreement, upon any breach or default of any other party under this Agreement, shall impair any such right, power, or remedy of such nonbreaching or non-defaulting party, nor shall it be construed to be a waiver of or acquiescence to any such breach or default, or to any similar breach or default thereafter occurring, nor shall any waiver of any single breach or default be deemed a waiver of any other breach or default theretofore or thereafter occurring. All remedies, whether under this Agreement or by law or otherwise afforded to any party, shall be cumulative and not alternative.</w:t>
      </w:r>
    </w:p>
    <w:p>
      <w:pPr>
        <w:spacing w:after="0" w:line="138"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6.14 Acknowledgment</w:t>
      </w:r>
      <w:r>
        <w:rPr>
          <w:rFonts w:ascii="Times New Roman" w:cs="Times New Roman" w:eastAsia="Times New Roman" w:hAnsi="Times New Roman"/>
          <w:sz w:val="17"/>
          <w:szCs w:val="17"/>
          <w:color w:val="auto"/>
        </w:rPr>
        <w:t>. The Company acknowledges that the Investors are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business of venture capital investing and therefore review the business plans and related proprietary information of many enterprises, including enterprises which may have products or services which compete directly or indirectly with those of the Company. Nothing in this Agreement shall preclude or in any way restrict the Investors from investing or participating in any particular enterprise whether or not such enterprise has products or services which compete with those of the Company.</w:t>
      </w:r>
    </w:p>
    <w:p>
      <w:pPr>
        <w:spacing w:after="0" w:line="136"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6.15 Limitation of Liability</w:t>
      </w:r>
      <w:r>
        <w:rPr>
          <w:rFonts w:ascii="Times New Roman" w:cs="Times New Roman" w:eastAsia="Times New Roman" w:hAnsi="Times New Roman"/>
          <w:sz w:val="17"/>
          <w:szCs w:val="17"/>
          <w:color w:val="auto"/>
        </w:rPr>
        <w:t>. The total liability, in the aggregate, of each Investor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its officers, directors, affiliates, employees and agents, for any and all claims, losses, costs or damages, including attorneys’ and accountants’ fees and expenses and costs of any nature whatsoever or claims or expenses resulting from or in any way related to such Investor’s breach of any of the Transaction Agreements (other than a Management Rights Letter) (each as defined in the Purchase Agreement) shall be several and not joint with the other stockholders and shall not exceed the total purchase price paid to the Company by such Investor for shares of Preferred Stock. Nothing in any of the Transaction Agreements shall restrict any Investor’s freedom to operate any of its Affiliates.</w:t>
      </w:r>
    </w:p>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w:t>
      </w:r>
      <w:r>
        <w:rPr>
          <w:rFonts w:ascii="Times New Roman" w:cs="Times New Roman" w:eastAsia="Times New Roman" w:hAnsi="Times New Roman"/>
          <w:sz w:val="11"/>
          <w:szCs w:val="11"/>
          <w:i w:val="1"/>
          <w:iCs w:val="1"/>
          <w:color w:val="auto"/>
        </w:rPr>
        <w:t>ignature</w:t>
      </w:r>
      <w:r>
        <w:rPr>
          <w:rFonts w:ascii="Times New Roman" w:cs="Times New Roman" w:eastAsia="Times New Roman" w:hAnsi="Times New Roman"/>
          <w:sz w:val="17"/>
          <w:szCs w:val="17"/>
          <w:i w:val="1"/>
          <w:iCs w:val="1"/>
          <w:color w:val="auto"/>
        </w:rPr>
        <w:t xml:space="preserve"> P</w:t>
      </w:r>
      <w:r>
        <w:rPr>
          <w:rFonts w:ascii="Times New Roman" w:cs="Times New Roman" w:eastAsia="Times New Roman" w:hAnsi="Times New Roman"/>
          <w:sz w:val="11"/>
          <w:szCs w:val="11"/>
          <w:i w:val="1"/>
          <w:iCs w:val="1"/>
          <w:color w:val="auto"/>
        </w:rPr>
        <w:t>ages</w:t>
      </w:r>
      <w:r>
        <w:rPr>
          <w:rFonts w:ascii="Times New Roman" w:cs="Times New Roman" w:eastAsia="Times New Roman" w:hAnsi="Times New Roman"/>
          <w:sz w:val="17"/>
          <w:szCs w:val="17"/>
          <w:i w:val="1"/>
          <w:iCs w:val="1"/>
          <w:color w:val="auto"/>
        </w:rPr>
        <w:t xml:space="preserve"> F</w:t>
      </w:r>
      <w:r>
        <w:rPr>
          <w:rFonts w:ascii="Times New Roman" w:cs="Times New Roman" w:eastAsia="Times New Roman" w:hAnsi="Times New Roman"/>
          <w:sz w:val="11"/>
          <w:szCs w:val="11"/>
          <w:i w:val="1"/>
          <w:iCs w:val="1"/>
          <w:color w:val="auto"/>
        </w:rPr>
        <w:t>ollow</w:t>
      </w:r>
      <w:r>
        <w:rPr>
          <w:rFonts w:ascii="Times New Roman" w:cs="Times New Roman" w:eastAsia="Times New Roman" w:hAnsi="Times New Roman"/>
          <w:sz w:val="17"/>
          <w:szCs w:val="17"/>
          <w:i w:val="1"/>
          <w:iCs w:val="1"/>
          <w:color w:val="auto"/>
        </w:rPr>
        <w:t>]</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44" w:name="page345"/>
    <w:bookmarkEnd w:id="344"/>
    <w:p>
      <w:pPr>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the parties have executed this Amended and Restated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Investors’ Rights Agreement as of the date first written above.</w:t>
      </w:r>
    </w:p>
    <w:p>
      <w:pPr>
        <w:spacing w:after="0" w:line="13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COMPANY:</w:t>
      </w:r>
    </w:p>
    <w:p>
      <w:pPr>
        <w:spacing w:after="0" w:line="16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6" w:lineRule="exact"/>
        <w:rPr>
          <w:sz w:val="20"/>
          <w:szCs w:val="20"/>
          <w:color w:val="auto"/>
        </w:rPr>
      </w:pPr>
    </w:p>
    <w:p>
      <w:pPr>
        <w:ind w:left="4500"/>
        <w:spacing w:after="0"/>
        <w:tabs>
          <w:tab w:leader="none" w:pos="4940" w:val="left"/>
        </w:tabs>
        <w:rPr>
          <w:sz w:val="20"/>
          <w:szCs w:val="20"/>
          <w:color w:val="auto"/>
        </w:rPr>
      </w:pPr>
      <w:r>
        <w:rPr>
          <w:rFonts w:ascii="Times New Roman" w:cs="Times New Roman" w:eastAsia="Times New Roman" w:hAnsi="Times New Roman"/>
          <w:sz w:val="17"/>
          <w:szCs w:val="17"/>
          <w:color w:val="auto"/>
        </w:rPr>
        <w:t>By:</w:t>
        <w:tab/>
        <w:t>/s/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3157220</wp:posOffset>
            </wp:positionH>
            <wp:positionV relativeFrom="paragraph">
              <wp:posOffset>8890</wp:posOffset>
            </wp:positionV>
            <wp:extent cx="1788795" cy="698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ind w:left="4500"/>
        <w:spacing w:after="0"/>
        <w:rPr>
          <w:sz w:val="20"/>
          <w:szCs w:val="20"/>
          <w:color w:val="auto"/>
        </w:rPr>
      </w:pPr>
      <w:r>
        <w:rPr>
          <w:rFonts w:ascii="Times New Roman" w:cs="Times New Roman" w:eastAsia="Times New Roman" w:hAnsi="Times New Roman"/>
          <w:sz w:val="17"/>
          <w:szCs w:val="17"/>
          <w:color w:val="auto"/>
        </w:rPr>
        <w:t>Name:Lyn Baranowski</w:t>
      </w:r>
    </w:p>
    <w:p>
      <w:pPr>
        <w:ind w:left="450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786130</wp:posOffset>
            </wp:positionV>
            <wp:extent cx="54857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345" w:name="page346"/>
    <w:bookmarkEnd w:id="345"/>
    <w:p>
      <w:pPr>
        <w:ind w:left="7000"/>
        <w:spacing w:after="0"/>
        <w:rPr>
          <w:sz w:val="20"/>
          <w:szCs w:val="20"/>
          <w:color w:val="auto"/>
        </w:rPr>
      </w:pPr>
      <w:r>
        <w:rPr>
          <w:rFonts w:ascii="Times New Roman" w:cs="Times New Roman" w:eastAsia="Times New Roman" w:hAnsi="Times New Roman"/>
          <w:sz w:val="16"/>
          <w:szCs w:val="16"/>
          <w:b w:val="1"/>
          <w:bCs w:val="1"/>
          <w:color w:val="auto"/>
        </w:rPr>
        <w:t>Exhibit 4.3</w:t>
      </w:r>
    </w:p>
    <w:p>
      <w:pPr>
        <w:spacing w:after="0" w:line="198" w:lineRule="exact"/>
        <w:rPr>
          <w:sz w:val="20"/>
          <w:szCs w:val="20"/>
          <w:color w:val="auto"/>
        </w:rPr>
      </w:pPr>
    </w:p>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THIS WARRANT AND THE UNDERLYING SECURITIES ISSUABLE UPON EXERCISE OF THIS WARRANT HAVE NOT BEEN REGISTERED UNDER THE SECURITIES ACT OF 1933, AS AMENDED. THEY MAY NOT BE SOLD, OFFERED FOR SALE, PLEDGED, HYPOTHECATED, OR OTHERWISE TRANSFERRED EXCEPT PURSUANT TO AN EFFECTIVE REGISTRATION STATEMENT UNDER THE SECURITIES ACT OF 1933, AS AMENDED, OR AN OPINION OF COUNSEL REASONABLY SATISFACTORY TO THE COMPANY THAT REGISTRATION IS NOT REQUIRED UNDER SUCH ACT OR UNLESS SOLD PURSUANT TO RULE 144 UNDER SUCH ACT.</w:t>
      </w:r>
    </w:p>
    <w:p>
      <w:pPr>
        <w:spacing w:after="0" w:line="165" w:lineRule="exact"/>
        <w:rPr>
          <w:sz w:val="20"/>
          <w:szCs w:val="20"/>
          <w:color w:val="auto"/>
        </w:rPr>
      </w:pPr>
    </w:p>
    <w:p>
      <w:pPr>
        <w:ind w:left="1220"/>
        <w:spacing w:after="0"/>
        <w:tabs>
          <w:tab w:leader="none" w:pos="5420" w:val="left"/>
        </w:tabs>
        <w:rPr>
          <w:sz w:val="20"/>
          <w:szCs w:val="20"/>
          <w:color w:val="auto"/>
        </w:rPr>
      </w:pPr>
      <w:r>
        <w:rPr>
          <w:rFonts w:ascii="Times New Roman" w:cs="Times New Roman" w:eastAsia="Times New Roman" w:hAnsi="Times New Roman"/>
          <w:sz w:val="14"/>
          <w:szCs w:val="14"/>
          <w:color w:val="auto"/>
        </w:rPr>
        <w:t>Warrant No. 1</w:t>
      </w:r>
      <w:r>
        <w:rPr>
          <w:sz w:val="20"/>
          <w:szCs w:val="20"/>
          <w:color w:val="auto"/>
        </w:rPr>
        <w:tab/>
      </w:r>
      <w:r>
        <w:rPr>
          <w:rFonts w:ascii="Times New Roman" w:cs="Times New Roman" w:eastAsia="Times New Roman" w:hAnsi="Times New Roman"/>
          <w:sz w:val="14"/>
          <w:szCs w:val="14"/>
          <w:color w:val="auto"/>
        </w:rPr>
        <w:t>D</w:t>
      </w:r>
      <w:r>
        <w:rPr>
          <w:rFonts w:ascii="Times New Roman" w:cs="Times New Roman" w:eastAsia="Times New Roman" w:hAnsi="Times New Roman"/>
          <w:sz w:val="16"/>
          <w:szCs w:val="16"/>
          <w:color w:val="auto"/>
        </w:rPr>
        <w:t>ate of Issuance: January 13, 2025</w:t>
      </w:r>
    </w:p>
    <w:p>
      <w:pPr>
        <w:spacing w:after="0" w:line="17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color w:val="auto"/>
        </w:rPr>
        <w:t>Number of Shares: 4,287,641</w:t>
      </w:r>
    </w:p>
    <w:p>
      <w:pPr>
        <w:spacing w:after="0" w:line="12"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color w:val="auto"/>
        </w:rPr>
        <w:t>(subject to adjustment)</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STOCK PURCHASE WARRANT</w:t>
      </w:r>
    </w:p>
    <w:p>
      <w:pPr>
        <w:spacing w:after="0" w:line="166"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color w:val="auto"/>
        </w:rPr>
        <w:t>Avalyn Pharma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for value received, hereby certifies that Bruce Montgomery, M.D. (the “</w:t>
      </w:r>
      <w:r>
        <w:rPr>
          <w:rFonts w:ascii="Times New Roman" w:cs="Times New Roman" w:eastAsia="Times New Roman" w:hAnsi="Times New Roman"/>
          <w:sz w:val="17"/>
          <w:szCs w:val="17"/>
          <w:u w:val="single" w:color="auto"/>
          <w:color w:val="auto"/>
        </w:rPr>
        <w:t>Registered Holder</w:t>
      </w:r>
      <w:r>
        <w:rPr>
          <w:rFonts w:ascii="Times New Roman" w:cs="Times New Roman" w:eastAsia="Times New Roman" w:hAnsi="Times New Roman"/>
          <w:sz w:val="17"/>
          <w:szCs w:val="17"/>
          <w:color w:val="auto"/>
        </w:rPr>
        <w:t>”), is entitled, subject to the terms set forth below, to purchase from the Company, at any time after the date hereof and on or before the Expiration Date (as defined in Section 8) the number of shares set forth above of Common Stock of the Company at a price of $0.29 per share (subject to adjustment as provided herein). The shares purchasable upon exercise of this Warrant, and the purchase price per share, as adjusted from time to time pursuant to the provisions of this Warrant, are hereinafter referred to as the “</w:t>
      </w:r>
      <w:r>
        <w:rPr>
          <w:rFonts w:ascii="Times New Roman" w:cs="Times New Roman" w:eastAsia="Times New Roman" w:hAnsi="Times New Roman"/>
          <w:sz w:val="17"/>
          <w:szCs w:val="17"/>
          <w:u w:val="single" w:color="auto"/>
          <w:color w:val="auto"/>
        </w:rPr>
        <w:t>Warrant Stock</w:t>
      </w:r>
      <w:r>
        <w:rPr>
          <w:rFonts w:ascii="Times New Roman" w:cs="Times New Roman" w:eastAsia="Times New Roman" w:hAnsi="Times New Roman"/>
          <w:sz w:val="17"/>
          <w:szCs w:val="17"/>
          <w:color w:val="auto"/>
        </w:rPr>
        <w:t>” and the “</w:t>
      </w:r>
      <w:r>
        <w:rPr>
          <w:rFonts w:ascii="Times New Roman" w:cs="Times New Roman" w:eastAsia="Times New Roman" w:hAnsi="Times New Roman"/>
          <w:sz w:val="17"/>
          <w:szCs w:val="17"/>
          <w:u w:val="single" w:color="auto"/>
          <w:color w:val="auto"/>
        </w:rPr>
        <w:t>Purchase Price</w:t>
      </w:r>
      <w:r>
        <w:rPr>
          <w:rFonts w:ascii="Times New Roman" w:cs="Times New Roman" w:eastAsia="Times New Roman" w:hAnsi="Times New Roman"/>
          <w:sz w:val="17"/>
          <w:szCs w:val="17"/>
          <w:color w:val="auto"/>
        </w:rPr>
        <w:t>,” respectively.</w:t>
      </w:r>
    </w:p>
    <w:p>
      <w:pPr>
        <w:spacing w:after="0" w:line="140" w:lineRule="exact"/>
        <w:rPr>
          <w:sz w:val="20"/>
          <w:szCs w:val="20"/>
          <w:color w:val="auto"/>
        </w:rPr>
      </w:pPr>
    </w:p>
    <w:p>
      <w:pPr>
        <w:jc w:val="both"/>
        <w:ind w:left="1220" w:right="1239" w:firstLine="509"/>
        <w:spacing w:after="0" w:line="243" w:lineRule="auto"/>
        <w:tabs>
          <w:tab w:leader="none" w:pos="1906"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Number of Shares</w:t>
      </w:r>
      <w:r>
        <w:rPr>
          <w:rFonts w:ascii="Times New Roman" w:cs="Times New Roman" w:eastAsia="Times New Roman" w:hAnsi="Times New Roman"/>
          <w:sz w:val="17"/>
          <w:szCs w:val="17"/>
          <w:color w:val="auto"/>
        </w:rPr>
        <w:t>. Subject to the terms and conditions hereinafter set forth,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Holder is entitled, upon surrender of this Warrant, to purchase from the Company the number of shares (subject to adjustment as provided herein) of Warrant Stock first set forth above.</w:t>
      </w:r>
    </w:p>
    <w:p>
      <w:pPr>
        <w:spacing w:after="0" w:line="133" w:lineRule="exact"/>
        <w:rPr>
          <w:rFonts w:ascii="Times New Roman" w:cs="Times New Roman" w:eastAsia="Times New Roman" w:hAnsi="Times New Roman"/>
          <w:sz w:val="17"/>
          <w:szCs w:val="17"/>
          <w:color w:val="auto"/>
        </w:rPr>
      </w:pPr>
    </w:p>
    <w:p>
      <w:pPr>
        <w:jc w:val="both"/>
        <w:ind w:left="1220" w:right="1239" w:firstLine="509"/>
        <w:spacing w:after="0" w:line="248" w:lineRule="auto"/>
        <w:tabs>
          <w:tab w:leader="none" w:pos="1906"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Exercise</w:t>
      </w:r>
      <w:r>
        <w:rPr>
          <w:rFonts w:ascii="Times New Roman" w:cs="Times New Roman" w:eastAsia="Times New Roman" w:hAnsi="Times New Roman"/>
          <w:sz w:val="17"/>
          <w:szCs w:val="17"/>
          <w:color w:val="auto"/>
        </w:rPr>
        <w:t>. This Warrant shall be exercisable, in whole or in part, during the period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commencing on the earliest to occur of an IPO, a SPAC or a Change of Control (each as defined herein) and ending at 5:00 p.m. eastern time on the Expiration Date (as defined herein).</w:t>
      </w:r>
    </w:p>
    <w:p>
      <w:pPr>
        <w:spacing w:after="0" w:line="129" w:lineRule="exact"/>
        <w:rPr>
          <w:rFonts w:ascii="Times New Roman" w:cs="Times New Roman" w:eastAsia="Times New Roman" w:hAnsi="Times New Roman"/>
          <w:sz w:val="17"/>
          <w:szCs w:val="17"/>
          <w:color w:val="auto"/>
        </w:rPr>
      </w:pPr>
    </w:p>
    <w:p>
      <w:pPr>
        <w:jc w:val="both"/>
        <w:ind w:left="1220" w:right="1239" w:firstLine="1013"/>
        <w:spacing w:after="0" w:line="237" w:lineRule="auto"/>
        <w:tabs>
          <w:tab w:leader="none" w:pos="2592" w:val="left"/>
        </w:tabs>
        <w:numPr>
          <w:ilvl w:val="1"/>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Manner of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may be exercised by the Registered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Holder, in whole or in part, by surrendering this Warrant, with the purchase/exercise form appended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duly executed by such Registered Holder or by such Registered Holder’s duly authorized attorney, at such office or agency as the Company may designate, accompanied by payment in full of the Purchase Price payable in respect of the number of shares of Warrant Stock purchased upon such exercise. The Purchase Price may be paid by cash, check, wire transfer, or by the surrender of promissory notes or other instruments representing indebtedness of the Company to the Registered Holder.</w:t>
      </w:r>
    </w:p>
    <w:p>
      <w:pPr>
        <w:spacing w:after="0" w:line="200" w:lineRule="exact"/>
        <w:rPr>
          <w:sz w:val="20"/>
          <w:szCs w:val="20"/>
          <w:color w:val="auto"/>
        </w:rPr>
      </w:pPr>
    </w:p>
    <w:p>
      <w:pPr>
        <w:spacing w:after="0" w:line="2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346" w:name="page347"/>
    <w:bookmarkEnd w:id="346"/>
    <w:p>
      <w:pPr>
        <w:jc w:val="both"/>
        <w:ind w:left="1220" w:right="1239" w:firstLine="1013"/>
        <w:spacing w:after="0" w:line="238" w:lineRule="auto"/>
        <w:tabs>
          <w:tab w:leader="none" w:pos="2592"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Effective Time of Exercise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exercise of this Warrant shall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have been effected immediately prior to the close of business on the day on which this Warrant shall have been surrendered to the Company as provided in Section 2(a). At such time, the person or persons in whose name or names any certificates for Warrant Stock shall be issuable upon such exercise as provided in Section 2(d) shall be deemed to have become the holder or holders of record of the Warrant Stock represented by such certificates.</w:t>
      </w:r>
    </w:p>
    <w:p>
      <w:pPr>
        <w:spacing w:after="0" w:line="140" w:lineRule="exact"/>
        <w:rPr>
          <w:rFonts w:ascii="Times New Roman" w:cs="Times New Roman" w:eastAsia="Times New Roman" w:hAnsi="Times New Roman"/>
          <w:sz w:val="17"/>
          <w:szCs w:val="17"/>
          <w:color w:val="auto"/>
        </w:rPr>
      </w:pPr>
    </w:p>
    <w:p>
      <w:pPr>
        <w:ind w:left="2600" w:hanging="367"/>
        <w:spacing w:after="0"/>
        <w:tabs>
          <w:tab w:leader="none" w:pos="2600"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Net Issue Exercise</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jc w:val="both"/>
        <w:ind w:left="1220" w:right="1239" w:firstLine="1518"/>
        <w:spacing w:after="0" w:line="237" w:lineRule="auto"/>
        <w:tabs>
          <w:tab w:leader="none" w:pos="2935" w:val="left"/>
        </w:tabs>
        <w:numPr>
          <w:ilvl w:val="1"/>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lieu of exercising this Warrant in the manner provided in Section 2(a), the Registered Holder may elect to receive shares equal to the value of this Warrant (or the portion thereof being canceled) by surrender of this Warrant to the Company together with notice of such election on the purchase/exercise form appended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duly executed by such Registered Holder or such Registered Holder’s duly authorized attorney, in which event the Company shall issue to such Registered Holder a number of shares of Warrant Stock computed using the following formula:</w:t>
      </w:r>
    </w:p>
    <w:p>
      <w:pPr>
        <w:spacing w:after="0" w:line="163"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vMerge w:val="restart"/>
          </w:tcPr>
          <w:p>
            <w:pPr>
              <w:ind w:left="1300"/>
              <w:spacing w:after="0"/>
              <w:rPr>
                <w:sz w:val="20"/>
                <w:szCs w:val="20"/>
                <w:color w:val="auto"/>
              </w:rPr>
            </w:pPr>
            <w:r>
              <w:rPr>
                <w:rFonts w:ascii="Times New Roman" w:cs="Times New Roman" w:eastAsia="Times New Roman" w:hAnsi="Times New Roman"/>
                <w:sz w:val="17"/>
                <w:szCs w:val="17"/>
                <w:color w:val="auto"/>
              </w:rPr>
              <w:t>X =</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8"/>
              </w:rPr>
              <w:t>Y(A-B)</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3500" w:type="dxa"/>
            <w:vAlign w:val="bottom"/>
            <w:gridSpan w:val="2"/>
            <w:vMerge w:val="restart"/>
          </w:tcPr>
          <w:p>
            <w:pPr>
              <w:jc w:val="center"/>
              <w:ind w:right="2500"/>
              <w:spacing w:after="0"/>
              <w:rPr>
                <w:sz w:val="20"/>
                <w:szCs w:val="20"/>
                <w:color w:val="auto"/>
              </w:rPr>
            </w:pPr>
            <w:r>
              <w:rPr>
                <w:rFonts w:ascii="Times New Roman" w:cs="Times New Roman" w:eastAsia="Times New Roman" w:hAnsi="Times New Roman"/>
                <w:sz w:val="17"/>
                <w:szCs w:val="17"/>
                <w:color w:val="auto"/>
                <w:w w:val="97"/>
              </w:rPr>
              <w:t>A</w:t>
            </w:r>
          </w:p>
        </w:tc>
        <w:tc>
          <w:tcPr>
            <w:tcW w:w="0" w:type="dxa"/>
            <w:vAlign w:val="bottom"/>
          </w:tcPr>
          <w:p>
            <w:pPr>
              <w:spacing w:after="0"/>
              <w:rPr>
                <w:sz w:val="1"/>
                <w:szCs w:val="1"/>
                <w:color w:val="auto"/>
              </w:rPr>
            </w:pPr>
          </w:p>
        </w:tc>
      </w:tr>
      <w:tr>
        <w:trPr>
          <w:trHeight w:val="126"/>
        </w:trPr>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29"/>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Where</w:t>
            </w:r>
          </w:p>
        </w:tc>
        <w:tc>
          <w:tcPr>
            <w:tcW w:w="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X =</w:t>
            </w: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The number of shares of Warrant Stock to be issued to the Registered</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Holder.</w:t>
            </w: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70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Y =</w:t>
            </w: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w w:val="98"/>
              </w:rPr>
              <w:t>The number of shares of Warrant Stock purchasable under this Warrant (at</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the date of such calculation).</w:t>
            </w:r>
          </w:p>
        </w:tc>
        <w:tc>
          <w:tcPr>
            <w:tcW w:w="0" w:type="dxa"/>
            <w:vAlign w:val="bottom"/>
          </w:tcPr>
          <w:p>
            <w:pPr>
              <w:spacing w:after="0"/>
              <w:rPr>
                <w:sz w:val="1"/>
                <w:szCs w:val="1"/>
                <w:color w:val="auto"/>
              </w:rPr>
            </w:pPr>
          </w:p>
        </w:tc>
      </w:tr>
      <w:tr>
        <w:trPr>
          <w:trHeight w:val="350"/>
        </w:trPr>
        <w:tc>
          <w:tcPr>
            <w:tcW w:w="70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 =</w:t>
            </w: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The fair market value of one share of Warrant Stock (at the date of such</w:t>
            </w:r>
          </w:p>
        </w:tc>
        <w:tc>
          <w:tcPr>
            <w:tcW w:w="0" w:type="dxa"/>
            <w:vAlign w:val="bottom"/>
          </w:tcPr>
          <w:p>
            <w:pPr>
              <w:spacing w:after="0"/>
              <w:rPr>
                <w:sz w:val="1"/>
                <w:szCs w:val="1"/>
                <w:color w:val="auto"/>
              </w:rPr>
            </w:pPr>
          </w:p>
        </w:tc>
      </w:tr>
      <w:tr>
        <w:trPr>
          <w:trHeight w:val="218"/>
        </w:trPr>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calculation).</w:t>
            </w:r>
          </w:p>
        </w:tc>
        <w:tc>
          <w:tcPr>
            <w:tcW w:w="10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700" w:type="dxa"/>
            <w:vAlign w:val="bottom"/>
          </w:tcPr>
          <w:p>
            <w:pPr>
              <w:spacing w:after="0"/>
              <w:rPr>
                <w:sz w:val="24"/>
                <w:szCs w:val="24"/>
                <w:color w:val="auto"/>
              </w:rPr>
            </w:pPr>
          </w:p>
        </w:tc>
        <w:tc>
          <w:tcPr>
            <w:tcW w:w="6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 =</w:t>
            </w:r>
          </w:p>
        </w:tc>
        <w:tc>
          <w:tcPr>
            <w:tcW w:w="5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auto"/>
              </w:rPr>
              <w:t>The Purchase Price (as adjusted to the date of such calculation).</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1220" w:right="1239" w:firstLine="1514"/>
        <w:spacing w:after="0" w:line="259" w:lineRule="auto"/>
        <w:rPr>
          <w:sz w:val="20"/>
          <w:szCs w:val="20"/>
          <w:color w:val="auto"/>
        </w:rPr>
      </w:pPr>
      <w:r>
        <w:rPr>
          <w:rFonts w:ascii="Times New Roman" w:cs="Times New Roman" w:eastAsia="Times New Roman" w:hAnsi="Times New Roman"/>
          <w:sz w:val="17"/>
          <w:szCs w:val="17"/>
          <w:color w:val="auto"/>
        </w:rPr>
        <w:t>(ii)For purposes of this Section 2(c), the fair market value of Warrant Stock on the date of calculation shall mean with respect to each share of Warrant Stock:</w:t>
      </w:r>
    </w:p>
    <w:p>
      <w:pPr>
        <w:spacing w:after="0" w:line="125" w:lineRule="exact"/>
        <w:rPr>
          <w:sz w:val="20"/>
          <w:szCs w:val="20"/>
          <w:color w:val="auto"/>
        </w:rPr>
      </w:pPr>
    </w:p>
    <w:p>
      <w:pPr>
        <w:jc w:val="both"/>
        <w:ind w:left="1220" w:right="1239" w:firstLine="2023"/>
        <w:spacing w:after="0" w:line="239" w:lineRule="auto"/>
        <w:tabs>
          <w:tab w:leader="none" w:pos="3622"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exercise is in connection with an initial public offering of the Company’s Common Stock, and if the Company’s Registration Statement relating to such public offering has been declared effective by the Securities and Exchange Commission, then the fair market value shall be the initial “Price to Public” per share specified in the final prospectus with respect to the offering;</w:t>
      </w:r>
    </w:p>
    <w:p>
      <w:pPr>
        <w:spacing w:after="0" w:line="140" w:lineRule="exact"/>
        <w:rPr>
          <w:rFonts w:ascii="Times New Roman" w:cs="Times New Roman" w:eastAsia="Times New Roman" w:hAnsi="Times New Roman"/>
          <w:sz w:val="17"/>
          <w:szCs w:val="17"/>
          <w:color w:val="auto"/>
        </w:rPr>
      </w:pPr>
    </w:p>
    <w:p>
      <w:pPr>
        <w:jc w:val="both"/>
        <w:ind w:left="1220" w:right="1239" w:firstLine="2023"/>
        <w:spacing w:after="0" w:line="237" w:lineRule="auto"/>
        <w:tabs>
          <w:tab w:leader="none" w:pos="3622"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is not applicable, the fair market value of Warrant Stock shall be at the highest price per share which the Company could obtain on the date of calculation from a willing buyer (not a current employee or director) for shares of Warrant Stock sold by the Company, from authorized but unissued shares, as determined in good faith by the Board of Directors, unless the Company is at such time subject to an acquisition as described in Section 9(b), in which case the fair market value of Warrant Stock shall be deemed to be the value received by the holders of such stock pursuant to such acquisition.</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47" w:name="page348"/>
    <w:bookmarkEnd w:id="347"/>
    <w:p>
      <w:pPr>
        <w:jc w:val="both"/>
        <w:ind w:left="1220" w:right="1239" w:firstLine="1013"/>
        <w:spacing w:after="0" w:line="243" w:lineRule="auto"/>
        <w:tabs>
          <w:tab w:leader="none" w:pos="2592" w:val="left"/>
        </w:tabs>
        <w:numPr>
          <w:ilvl w:val="2"/>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Delivery to 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soon as practicable after the exercise of this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whole or in part, and in any event within ten (10) days thereafter, the Company at its expense will cause to be issued in the name of, and delivered to, the Registered Holder, or as such Holder (upon payment by such Holder of any applicable transfer taxes) may direct:</w:t>
      </w:r>
    </w:p>
    <w:p>
      <w:pPr>
        <w:spacing w:after="0" w:line="137" w:lineRule="exact"/>
        <w:rPr>
          <w:rFonts w:ascii="Times New Roman" w:cs="Times New Roman" w:eastAsia="Times New Roman" w:hAnsi="Times New Roman"/>
          <w:sz w:val="17"/>
          <w:szCs w:val="17"/>
          <w:color w:val="auto"/>
        </w:rPr>
      </w:pPr>
    </w:p>
    <w:p>
      <w:pPr>
        <w:ind w:left="1220" w:right="1659" w:firstLine="1518"/>
        <w:spacing w:after="0" w:line="259" w:lineRule="auto"/>
        <w:tabs>
          <w:tab w:leader="none" w:pos="3145" w:val="left"/>
        </w:tabs>
        <w:numPr>
          <w:ilvl w:val="3"/>
          <w:numId w:val="2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certificate or certificates for the number of shares of Warrant Stock to which such Registered Holder shall be entitled, and</w:t>
      </w:r>
    </w:p>
    <w:p>
      <w:pPr>
        <w:spacing w:after="0" w:line="124" w:lineRule="exact"/>
        <w:rPr>
          <w:rFonts w:ascii="Times New Roman" w:cs="Times New Roman" w:eastAsia="Times New Roman" w:hAnsi="Times New Roman"/>
          <w:sz w:val="17"/>
          <w:szCs w:val="17"/>
          <w:color w:val="auto"/>
        </w:rPr>
      </w:pPr>
    </w:p>
    <w:p>
      <w:pPr>
        <w:ind w:left="1220" w:right="1299" w:firstLine="1518"/>
        <w:spacing w:after="0" w:line="257" w:lineRule="auto"/>
        <w:tabs>
          <w:tab w:leader="none" w:pos="3150" w:val="left"/>
        </w:tabs>
        <w:numPr>
          <w:ilvl w:val="3"/>
          <w:numId w:val="2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case such exercise is in part only, a new warrant or warrants (dated the date hereof) of like tenor, calling in the aggregate on the face or faces thereof for the number of shares of Warrant Stock equal (without giving effect to any adjustment therein) to the number of such shares called for on the face of this Warrant minus the number of such shares purchased by the Registered Holder upon such exercise as provided in Sections 2(a) or 2(c).</w:t>
      </w:r>
    </w:p>
    <w:p>
      <w:pPr>
        <w:spacing w:after="0" w:line="125" w:lineRule="exact"/>
        <w:rPr>
          <w:rFonts w:ascii="Times New Roman" w:cs="Times New Roman" w:eastAsia="Times New Roman" w:hAnsi="Times New Roman"/>
          <w:sz w:val="16"/>
          <w:szCs w:val="16"/>
          <w:color w:val="auto"/>
        </w:rPr>
      </w:pPr>
    </w:p>
    <w:p>
      <w:pPr>
        <w:ind w:left="1920" w:hanging="191"/>
        <w:spacing w:after="0"/>
        <w:tabs>
          <w:tab w:leader="none" w:pos="1920" w:val="left"/>
        </w:tabs>
        <w:numPr>
          <w:ilvl w:val="1"/>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Adjustments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left="1220" w:right="1239" w:firstLine="1013"/>
        <w:spacing w:after="0" w:line="248" w:lineRule="auto"/>
        <w:tabs>
          <w:tab w:leader="none" w:pos="2592" w:val="left"/>
        </w:tabs>
        <w:numPr>
          <w:ilvl w:val="2"/>
          <w:numId w:val="2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Stock Splits and Dividends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If the Company’s outstanding shares of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same class as the Warrant Stock shall be subdivided into a greater number of shares or a dividend in the Company’s shares of the same class as the Warrant Stock shall be paid in respect of the Company’s shares of the same class as the Warrant Stock, the Purchase Price in effect immediately prior to such subdivision or at the record date of such dividend shall simultaneously with the effectiveness of such subdivision or immediately after the record date of such dividend be proportionately reduced. If the Company’s outstanding shares of the same class as the Warrant Stock shall be combined into a smaller number of shares, the Purchase Price in effect immediately prior to such combination shall, simultaneously with the effectiveness of such combination, be proportionately increased. When any adjustment is required to be made in the Purchase Price, the number of shares of Warrant Stock purchasable upon the exercise of this Warrant shall be changed to the number determined by dividing (i) an amount equal to the number of shares issuable upon the exercise of this Warrant immediately prior to such adjustment, multiplied by the Purchase Price in effect immediately prior to such adjustment, by</w:t>
      </w:r>
    </w:p>
    <w:p>
      <w:pPr>
        <w:spacing w:after="0" w:line="9" w:lineRule="exact"/>
        <w:rPr>
          <w:rFonts w:ascii="Times New Roman" w:cs="Times New Roman" w:eastAsia="Times New Roman" w:hAnsi="Times New Roman"/>
          <w:sz w:val="16"/>
          <w:szCs w:val="16"/>
          <w:color w:val="auto"/>
        </w:rPr>
      </w:pPr>
    </w:p>
    <w:p>
      <w:pPr>
        <w:ind w:left="1480" w:hanging="256"/>
        <w:spacing w:after="0"/>
        <w:tabs>
          <w:tab w:leader="none" w:pos="1480" w:val="left"/>
        </w:tabs>
        <w:numPr>
          <w:ilvl w:val="0"/>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Purchase Price in effect immediately after such adjustment.</w:t>
      </w:r>
    </w:p>
    <w:p>
      <w:pPr>
        <w:spacing w:after="0" w:line="139" w:lineRule="exact"/>
        <w:rPr>
          <w:rFonts w:ascii="Times New Roman" w:cs="Times New Roman" w:eastAsia="Times New Roman" w:hAnsi="Times New Roman"/>
          <w:sz w:val="17"/>
          <w:szCs w:val="17"/>
          <w:color w:val="auto"/>
        </w:rPr>
      </w:pPr>
    </w:p>
    <w:p>
      <w:pPr>
        <w:jc w:val="both"/>
        <w:ind w:left="1220" w:right="1239" w:firstLine="1013"/>
        <w:spacing w:after="0" w:line="236" w:lineRule="auto"/>
        <w:tabs>
          <w:tab w:leader="none" w:pos="2592" w:val="left"/>
        </w:tabs>
        <w:numPr>
          <w:ilvl w:val="2"/>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Reclassification, Etc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case there occurs any reclassification or change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outstanding securities of the Company or of any reorganization of the Company (or any other corporation the stock or securities of which are at the time receivable upon the exercise of this Warrant) or any similar corporate reorganization on or after the date hereof</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then and in each such case the Registered Holder, upon the exercise hereof at any time after the consummation of such reclassification, change, or reorganization shall be entitled to receive, in lieu of the stock or other securities and property receivable upon the exercise hereof prior to such consummation, the stock or other securities or property to which such Holder would have been entitled upon such consummation if such Holder had exercised this Warrant immediately prior thereto, all subject to further adjustment pursuant to the provisions of this Section 3.</w:t>
      </w:r>
    </w:p>
    <w:p>
      <w:pPr>
        <w:spacing w:after="0" w:line="138" w:lineRule="exact"/>
        <w:rPr>
          <w:rFonts w:ascii="Times New Roman" w:cs="Times New Roman" w:eastAsia="Times New Roman" w:hAnsi="Times New Roman"/>
          <w:sz w:val="17"/>
          <w:szCs w:val="17"/>
          <w:color w:val="auto"/>
        </w:rPr>
      </w:pPr>
    </w:p>
    <w:p>
      <w:pPr>
        <w:jc w:val="both"/>
        <w:ind w:left="1220" w:right="1239" w:firstLine="1013"/>
        <w:spacing w:after="0" w:line="263" w:lineRule="auto"/>
        <w:tabs>
          <w:tab w:leader="none" w:pos="2592" w:val="left"/>
        </w:tabs>
        <w:numPr>
          <w:ilvl w:val="2"/>
          <w:numId w:val="2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Adjustment Certificate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When any adjustment is required to be made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Warrant Stock or the Purchase Price pursuant to this Section 3, the Company shall promptly mail to the Registered Holder a certificate setting forth (i) a brief statement of the facts requiring such adjustment, (ii) the Purchase Price after such adjustment and (iii) the kind and amount of</w:t>
      </w: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48" w:name="page349"/>
    <w:bookmarkEnd w:id="348"/>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stock or other securities or property into which this Warrant shall be exercisable after such adjustment.</w:t>
      </w:r>
    </w:p>
    <w:p>
      <w:pPr>
        <w:spacing w:after="0" w:line="121" w:lineRule="exact"/>
        <w:rPr>
          <w:sz w:val="20"/>
          <w:szCs w:val="20"/>
          <w:color w:val="auto"/>
        </w:rPr>
      </w:pPr>
    </w:p>
    <w:p>
      <w:pPr>
        <w:ind w:left="1920" w:hanging="191"/>
        <w:spacing w:after="0"/>
        <w:tabs>
          <w:tab w:leader="none" w:pos="1920"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Transfers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left="1220" w:right="1239" w:firstLine="1013"/>
        <w:spacing w:after="0" w:line="235" w:lineRule="auto"/>
        <w:tabs>
          <w:tab w:leader="none" w:pos="2592"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Unregistered 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holder of this Warrant acknowledges that none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Company’s securities (including this Warrant and the Warrant Stock) have been registered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and agrees not to sell, pledge, distribute, offer for sale, transfer or otherwise dispose of this Warrant or any Warrant Stock issued upon its exercise (or any securities issued by the Company upon conversion or exchange thereof) in the absence of (i) an effective registration statement under the Securities Act as to the sale of any such securities and registration or qualification of such securities under any applicable U.S. federal or state securities law then in effect, or (ii) an opinion of counsel, satisfactory to the Company, that such registration and qualification are not required. Each certificate or other instrument for Warrant Stock issued upon the exercise of this Warrant (and any securities issued by the Company upon conversion or exchange thereof) shall bear a legend substantially to the foregoing effect.</w:t>
      </w:r>
    </w:p>
    <w:p>
      <w:pPr>
        <w:spacing w:after="0" w:line="141" w:lineRule="exact"/>
        <w:rPr>
          <w:rFonts w:ascii="Times New Roman" w:cs="Times New Roman" w:eastAsia="Times New Roman" w:hAnsi="Times New Roman"/>
          <w:sz w:val="17"/>
          <w:szCs w:val="17"/>
          <w:color w:val="auto"/>
        </w:rPr>
      </w:pPr>
    </w:p>
    <w:p>
      <w:pPr>
        <w:jc w:val="both"/>
        <w:ind w:left="1220" w:right="1239" w:firstLine="1013"/>
        <w:spacing w:after="0" w:line="243" w:lineRule="auto"/>
        <w:tabs>
          <w:tab w:leader="none" w:pos="2592"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Transferability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provisions of Section 4(a) hereof and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“Lockup” provisions in Section 6, this Warrant and all rights hereunder are transferable, in whole or in part, upon surrender of the Warrant with a properly executed assignment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hereto) to the Company.</w:t>
      </w:r>
    </w:p>
    <w:p>
      <w:pPr>
        <w:spacing w:after="0" w:line="133" w:lineRule="exact"/>
        <w:rPr>
          <w:rFonts w:ascii="Times New Roman" w:cs="Times New Roman" w:eastAsia="Times New Roman" w:hAnsi="Times New Roman"/>
          <w:sz w:val="17"/>
          <w:szCs w:val="17"/>
          <w:color w:val="auto"/>
        </w:rPr>
      </w:pPr>
    </w:p>
    <w:p>
      <w:pPr>
        <w:jc w:val="both"/>
        <w:ind w:left="1220" w:right="1239" w:firstLine="1013"/>
        <w:spacing w:after="0" w:line="237" w:lineRule="auto"/>
        <w:tabs>
          <w:tab w:leader="none" w:pos="2592"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Warrant Register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will maintain a register containing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names and addresses of the Registered Holder of this Warrant. Until any transfer of this Warrant is made in the warrant register, the Company may treat the Registered Holder of this Warrant as the absolute owner hereof for all purposes;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137" w:lineRule="exact"/>
        <w:rPr>
          <w:rFonts w:ascii="Times New Roman" w:cs="Times New Roman" w:eastAsia="Times New Roman" w:hAnsi="Times New Roman"/>
          <w:sz w:val="17"/>
          <w:szCs w:val="17"/>
          <w:color w:val="auto"/>
        </w:rPr>
      </w:pPr>
    </w:p>
    <w:p>
      <w:pPr>
        <w:ind w:left="1220" w:right="1239" w:firstLine="509"/>
        <w:spacing w:after="0" w:line="264" w:lineRule="auto"/>
        <w:tabs>
          <w:tab w:leader="none" w:pos="1906" w:val="left"/>
        </w:tabs>
        <w:numPr>
          <w:ilvl w:val="0"/>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Representations and Warranties of the Registered 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Registered 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hereby represents and warrants to the Company that:</w:t>
      </w:r>
    </w:p>
    <w:p>
      <w:pPr>
        <w:spacing w:after="0" w:line="116" w:lineRule="exact"/>
        <w:rPr>
          <w:rFonts w:ascii="Times New Roman" w:cs="Times New Roman" w:eastAsia="Times New Roman" w:hAnsi="Times New Roman"/>
          <w:sz w:val="17"/>
          <w:szCs w:val="17"/>
          <w:color w:val="auto"/>
        </w:rPr>
      </w:pPr>
    </w:p>
    <w:p>
      <w:pPr>
        <w:jc w:val="both"/>
        <w:ind w:left="1220" w:right="1239" w:firstLine="1013"/>
        <w:spacing w:after="0" w:line="238" w:lineRule="auto"/>
        <w:tabs>
          <w:tab w:leader="none" w:pos="2592"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Authorization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Registered Holder has full power and authority to enter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into this Warrant. The Warrant, when executed and delivered by the Registered Holder, will constitute a valid and legally binding obligation of the Registered Holder, enforceable in accordance with its terms, except as limited by applicable bankruptcy, insolvency, reorganization, moratorium, fraudulent conveyance, and any other laws of general application affecting enforcement of creditors’ rights generally, and as limited by laws relating to the availability of specific performance, injunctive relief, or other equitable remedies.</w:t>
      </w:r>
    </w:p>
    <w:p>
      <w:pPr>
        <w:spacing w:after="0" w:line="135" w:lineRule="exact"/>
        <w:rPr>
          <w:rFonts w:ascii="Times New Roman" w:cs="Times New Roman" w:eastAsia="Times New Roman" w:hAnsi="Times New Roman"/>
          <w:sz w:val="17"/>
          <w:szCs w:val="17"/>
          <w:color w:val="auto"/>
        </w:rPr>
      </w:pPr>
    </w:p>
    <w:p>
      <w:pPr>
        <w:jc w:val="both"/>
        <w:ind w:left="1220" w:right="1239" w:firstLine="1013"/>
        <w:spacing w:after="0"/>
        <w:tabs>
          <w:tab w:leader="none" w:pos="2592" w:val="left"/>
        </w:tabs>
        <w:numPr>
          <w:ilvl w:val="1"/>
          <w:numId w:val="2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Purchase Entirely for Own Account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is issued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Holder in reliance upon the Registered Holder’s representation to the Company, which by the Registered Holder’s acceptance of this Warrant, the Registered Holder hereby confirms, that the Warrant to be acquired by the Registered Holder and the Warrant Stock (and any securities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49" w:name="page350"/>
    <w:bookmarkEnd w:id="349"/>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issued by the Company upon conversion or exchange thereof) (collectively,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will be acquired for investment for the Registered Holder’s own account, not as a nominee or agent, and not with a view to the resale or distribution of any part thereof, and that the Registered Holder has no present intention of selling, granting any participation in, or otherwise distributing the same. By accepting this Warrant, the Registered Holder further represents that the Registered Holder does not presently have any contract, undertaking, agreement or arrangement with any person to sell, transfer or grant participations to such person or to any third person, with respect to any of the Securities. The Registered Holder has not been formed for the specific purpose of acquiring the Securities.</w:t>
      </w:r>
    </w:p>
    <w:p>
      <w:pPr>
        <w:spacing w:after="0" w:line="137" w:lineRule="exact"/>
        <w:rPr>
          <w:sz w:val="20"/>
          <w:szCs w:val="20"/>
          <w:color w:val="auto"/>
        </w:rPr>
      </w:pPr>
    </w:p>
    <w:p>
      <w:pPr>
        <w:jc w:val="both"/>
        <w:ind w:left="1220" w:right="1239" w:firstLine="1013"/>
        <w:spacing w:after="0" w:line="238" w:lineRule="auto"/>
        <w:tabs>
          <w:tab w:leader="none" w:pos="259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Disclosure of Information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Registered Holder has had an opportunity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discuss the Company’s business, management, financial affairs and the terms and conditions of the offering of the Securities with the Company’s management and has had an opportunity to review the Company’s facilities. The Registered Holder understands that such discussions, as well as any written information delivered by the Company to the Registered Holder, were intended to describe the aspects of the Company’s business which it believes to be material.</w:t>
      </w:r>
    </w:p>
    <w:p>
      <w:pPr>
        <w:spacing w:after="0" w:line="140" w:lineRule="exact"/>
        <w:rPr>
          <w:rFonts w:ascii="Times New Roman" w:cs="Times New Roman" w:eastAsia="Times New Roman" w:hAnsi="Times New Roman"/>
          <w:sz w:val="17"/>
          <w:szCs w:val="17"/>
          <w:color w:val="auto"/>
        </w:rPr>
      </w:pPr>
    </w:p>
    <w:p>
      <w:pPr>
        <w:jc w:val="both"/>
        <w:ind w:left="1220" w:right="1239" w:firstLine="1013"/>
        <w:spacing w:after="0" w:line="250" w:lineRule="auto"/>
        <w:tabs>
          <w:tab w:leader="none" w:pos="2592" w:val="left"/>
        </w:tabs>
        <w:numPr>
          <w:ilvl w:val="0"/>
          <w:numId w:val="2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Restricted Securities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Registered Holder understands that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Securities have not been, and will not be, registered under the Securities Act, by reason of a specific exemption from the registration provisions of the Securities Act which depends upon, among other things, the </w:t>
      </w:r>
      <w:r>
        <w:rPr>
          <w:rFonts w:ascii="Times New Roman" w:cs="Times New Roman" w:eastAsia="Times New Roman" w:hAnsi="Times New Roman"/>
          <w:sz w:val="16"/>
          <w:szCs w:val="16"/>
          <w:i w:val="1"/>
          <w:iCs w:val="1"/>
          <w:color w:val="auto"/>
        </w:rPr>
        <w:t>bona fide</w:t>
      </w:r>
      <w:r>
        <w:rPr>
          <w:rFonts w:ascii="Times New Roman" w:cs="Times New Roman" w:eastAsia="Times New Roman" w:hAnsi="Times New Roman"/>
          <w:sz w:val="16"/>
          <w:szCs w:val="16"/>
          <w:color w:val="auto"/>
        </w:rPr>
        <w:t xml:space="preserve"> nature of the investment intent and the accuracy of the Registered Holder’s representations as expressed herein. The Registered Holder understands that the Securities are “restricted securities” under applicable U.S. federal and state securities laws and that, pursuant to these laws, the Registered Holder must hold the Securities indefinitely unless they are registered with the Securities and Exchange Commission and qualified by state authorities, or an exemption from such registration and qualification requirements is available. The Registered Holder acknowledges that the Company has no obligation to register or qualify the Securities for resale. The Registered Holder further acknowledges that if an exemption from registration or qualification is available, it may be conditioned on various requirements including, but not limited to, the time and manner of sale, the holding period for the Securities, and on requirements relating to the Company which are outside of the Registered Holder’s control, and which the Company is under no obligation and may not be able to satisfy.</w:t>
      </w:r>
    </w:p>
    <w:p>
      <w:pPr>
        <w:spacing w:after="0" w:line="131" w:lineRule="exact"/>
        <w:rPr>
          <w:rFonts w:ascii="Times New Roman" w:cs="Times New Roman" w:eastAsia="Times New Roman" w:hAnsi="Times New Roman"/>
          <w:sz w:val="16"/>
          <w:szCs w:val="16"/>
          <w:color w:val="auto"/>
        </w:rPr>
      </w:pPr>
    </w:p>
    <w:p>
      <w:pPr>
        <w:jc w:val="both"/>
        <w:ind w:left="1220" w:right="1239" w:firstLine="1013"/>
        <w:spacing w:after="0" w:line="248" w:lineRule="auto"/>
        <w:tabs>
          <w:tab w:leader="none" w:pos="259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Public Market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Registered Holder understands that no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now exists for any of the securities issued by the Company, and that the Company has made no assurances that a public market will ever exist for the Securities.</w:t>
      </w:r>
    </w:p>
    <w:p>
      <w:pPr>
        <w:spacing w:after="0" w:line="129" w:lineRule="exact"/>
        <w:rPr>
          <w:rFonts w:ascii="Times New Roman" w:cs="Times New Roman" w:eastAsia="Times New Roman" w:hAnsi="Times New Roman"/>
          <w:sz w:val="17"/>
          <w:szCs w:val="17"/>
          <w:color w:val="auto"/>
        </w:rPr>
      </w:pPr>
    </w:p>
    <w:p>
      <w:pPr>
        <w:jc w:val="both"/>
        <w:ind w:left="1220" w:right="1239" w:firstLine="1013"/>
        <w:spacing w:after="0" w:line="238" w:lineRule="auto"/>
        <w:tabs>
          <w:tab w:leader="none" w:pos="2592"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Accredited or Sophisticated Investor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Registered Holder is (i)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accredited investor as defined in Rule 501(a) of Regulation D promulgated under the Securities Act or (ii) a sophisticated investor, experienced in investing in securities of emerging growth companies and acknowledges that the Registered Holder is able to fend for itself, can bear the economic risk of its investment and has such knowledge and experience in financial or business matters that it is capable of evaluating the merits and risks of the investment in the Securities.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50" w:name="page351"/>
    <w:bookmarkEnd w:id="350"/>
    <w:p>
      <w:pPr>
        <w:ind w:left="1920" w:hanging="191"/>
        <w:spacing w:after="0"/>
        <w:tabs>
          <w:tab w:leader="none" w:pos="1920"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Lock-up Agreement</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jc w:val="both"/>
        <w:ind w:left="1220" w:right="1239" w:firstLine="1013"/>
        <w:spacing w:after="0" w:line="236" w:lineRule="auto"/>
        <w:tabs>
          <w:tab w:leader="none" w:pos="2592"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Lock-up Period;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so requested by the Company or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underwriters in connection with the initial public offering of the Company’s securities registered under the Securities Act, Registered Holder shall not sell, make any short sale of, loan, grant any option for the purchase of, or otherwise dispose of any securities of the Company however or whenever acquired (except for those being registered) without the prior written consent of the Company or such underwriters, as the case may be, for 180 days from the effective date of the registration statement, plus such additional period, to the extent required by FINRA rules, up to a maximum of 216 days from the effective date of the registration statement, and Registered Holder shall execute an agreement reflecting the foregoing as may be requested by the underwriters at the time of such offering.</w:t>
      </w:r>
    </w:p>
    <w:p>
      <w:pPr>
        <w:spacing w:after="0" w:line="138" w:lineRule="exact"/>
        <w:rPr>
          <w:rFonts w:ascii="Times New Roman" w:cs="Times New Roman" w:eastAsia="Times New Roman" w:hAnsi="Times New Roman"/>
          <w:sz w:val="17"/>
          <w:szCs w:val="17"/>
          <w:color w:val="auto"/>
        </w:rPr>
      </w:pPr>
    </w:p>
    <w:p>
      <w:pPr>
        <w:jc w:val="both"/>
        <w:ind w:left="1220" w:right="1239" w:firstLine="1013"/>
        <w:spacing w:after="0" w:line="243" w:lineRule="auto"/>
        <w:tabs>
          <w:tab w:leader="none" w:pos="2592"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Stop-Transfer Instructions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order to enforce the foregoing covenants,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Company may impose stop-transfer instructions with respect to the securities of the Registered Holder (and the securities of every other person subject to the restrictions in Section 6(a)).</w:t>
      </w:r>
    </w:p>
    <w:p>
      <w:pPr>
        <w:spacing w:after="0" w:line="133" w:lineRule="exact"/>
        <w:rPr>
          <w:rFonts w:ascii="Times New Roman" w:cs="Times New Roman" w:eastAsia="Times New Roman" w:hAnsi="Times New Roman"/>
          <w:sz w:val="17"/>
          <w:szCs w:val="17"/>
          <w:color w:val="auto"/>
        </w:rPr>
      </w:pPr>
    </w:p>
    <w:p>
      <w:pPr>
        <w:jc w:val="both"/>
        <w:ind w:left="1220" w:right="1239" w:firstLine="1013"/>
        <w:spacing w:after="0" w:line="243" w:lineRule="auto"/>
        <w:tabs>
          <w:tab w:leader="none" w:pos="2592" w:val="left"/>
        </w:tabs>
        <w:numPr>
          <w:ilvl w:val="1"/>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Transferees Bound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Registered Holder agrees that prior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Company’s initial public offering it will not transfer securities of the Company unless each transferee agrees in writing to be bound by all of the provisions of this Section 6 and to be subject to the waiver of statutory inspection rights in Section 7.</w:t>
      </w:r>
    </w:p>
    <w:p>
      <w:pPr>
        <w:spacing w:after="0" w:line="133" w:lineRule="exact"/>
        <w:rPr>
          <w:rFonts w:ascii="Times New Roman" w:cs="Times New Roman" w:eastAsia="Times New Roman" w:hAnsi="Times New Roman"/>
          <w:sz w:val="17"/>
          <w:szCs w:val="17"/>
          <w:color w:val="auto"/>
        </w:rPr>
      </w:pPr>
    </w:p>
    <w:p>
      <w:pPr>
        <w:jc w:val="both"/>
        <w:ind w:left="1220" w:right="1239" w:firstLine="509"/>
        <w:spacing w:after="0" w:line="234" w:lineRule="auto"/>
        <w:tabs>
          <w:tab w:leader="none" w:pos="1906" w:val="left"/>
        </w:tabs>
        <w:numPr>
          <w:ilvl w:val="0"/>
          <w:numId w:val="2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Waiver of Statutory Information Rights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Registered Holder acknowledges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understands that, but for the waiver made herein, Registered Holder would be entitled, upon written demand under oath stating the purpose thereof, to inspect for any proper purpose, and to make copies and extracts from, the Company’s stock ledger, a list of its stockholders, and its other books and records, and the books and records of subsidiaries of the Company, if any, under the circumstances and in the manner provided in Section 220 of the Delaware General Corporation Law (any and all such rights, and any and all such other rights of Registered Holder as may be provided for in Section 220, the “</w:t>
      </w:r>
      <w:r>
        <w:rPr>
          <w:rFonts w:ascii="Times New Roman" w:cs="Times New Roman" w:eastAsia="Times New Roman" w:hAnsi="Times New Roman"/>
          <w:sz w:val="17"/>
          <w:szCs w:val="17"/>
          <w:u w:val="single" w:color="auto"/>
          <w:color w:val="auto"/>
        </w:rPr>
        <w:t>Inspection Rights</w:t>
      </w:r>
      <w:r>
        <w:rPr>
          <w:rFonts w:ascii="Times New Roman" w:cs="Times New Roman" w:eastAsia="Times New Roman" w:hAnsi="Times New Roman"/>
          <w:sz w:val="17"/>
          <w:szCs w:val="17"/>
          <w:color w:val="auto"/>
        </w:rPr>
        <w:t>”). In light of the foregoing, until the first sale of Common Stock of the Company to the general public pursuant to a registration statement filed with and declared effective by the Securities and Exchange Commission under the Securities Act, Registered Holder hereby unconditionally and irrevocably waives the Inspection Rights, whether such Inspection Rights would be exercised or pursued directly or indirectly pursuant to Section 220 or otherwise, and covenants and agrees never to directly or indirectly commence, voluntarily aid in any way, prosecute, assign, transfer, or cause to be commenced any claim, action, cause of action, or other proceeding to pursue or exercise the Inspection Rights. The foregoing waiver applies to the Inspection Rights of Registered Holder in Registered Holder’s capacity as a stockholder and shall not affect any rights of a director, in his or her capacity as such, under Section 220. The foregoing waiver shall not apply to any contractual inspection rights of Registered Holder under any written agreement with the Company.</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51" w:name="page352"/>
    <w:bookmarkEnd w:id="351"/>
    <w:p>
      <w:pPr>
        <w:ind w:left="1220" w:right="1239" w:firstLine="509"/>
        <w:spacing w:after="0" w:line="264" w:lineRule="auto"/>
        <w:tabs>
          <w:tab w:leader="none" w:pos="1906"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(and the right to purchase securities upon exercise hereof)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terminate upon the earliest to occur of the following (the “</w:t>
      </w:r>
      <w:r>
        <w:rPr>
          <w:rFonts w:ascii="Times New Roman" w:cs="Times New Roman" w:eastAsia="Times New Roman" w:hAnsi="Times New Roman"/>
          <w:sz w:val="17"/>
          <w:szCs w:val="17"/>
          <w:u w:val="single" w:color="auto"/>
          <w:color w:val="auto"/>
        </w:rPr>
        <w:t>Expiration Date</w:t>
      </w:r>
      <w:r>
        <w:rPr>
          <w:rFonts w:ascii="Times New Roman" w:cs="Times New Roman" w:eastAsia="Times New Roman" w:hAnsi="Times New Roman"/>
          <w:sz w:val="17"/>
          <w:szCs w:val="17"/>
          <w:color w:val="auto"/>
        </w:rPr>
        <w:t>”):</w:t>
      </w:r>
    </w:p>
    <w:p>
      <w:pPr>
        <w:spacing w:after="0" w:line="120" w:lineRule="exact"/>
        <w:rPr>
          <w:rFonts w:ascii="Times New Roman" w:cs="Times New Roman" w:eastAsia="Times New Roman" w:hAnsi="Times New Roman"/>
          <w:sz w:val="17"/>
          <w:szCs w:val="17"/>
          <w:color w:val="auto"/>
        </w:rPr>
      </w:pPr>
    </w:p>
    <w:p>
      <w:pPr>
        <w:ind w:left="2600" w:hanging="367"/>
        <w:spacing w:after="0"/>
        <w:tabs>
          <w:tab w:leader="none" w:pos="2600"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January 13, 2030;</w:t>
      </w:r>
    </w:p>
    <w:p>
      <w:pPr>
        <w:spacing w:after="0" w:line="161" w:lineRule="exact"/>
        <w:rPr>
          <w:rFonts w:ascii="Times New Roman" w:cs="Times New Roman" w:eastAsia="Times New Roman" w:hAnsi="Times New Roman"/>
          <w:sz w:val="17"/>
          <w:szCs w:val="17"/>
          <w:color w:val="auto"/>
        </w:rPr>
      </w:pPr>
    </w:p>
    <w:p>
      <w:pPr>
        <w:jc w:val="both"/>
        <w:ind w:left="1220" w:right="1239" w:firstLine="1013"/>
        <w:spacing w:after="0" w:line="241" w:lineRule="auto"/>
        <w:tabs>
          <w:tab w:leader="none" w:pos="259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year following the closing of a firm commitment underwritten public offering pursuant to a registration statement under the Securities Act, in connection with which all of the shares of the Company’s Preferred Stock are converted to Common Stock as set forth in the Company’s Certificate of Incorporation (an “</w:t>
      </w:r>
      <w:r>
        <w:rPr>
          <w:rFonts w:ascii="Times New Roman" w:cs="Times New Roman" w:eastAsia="Times New Roman" w:hAnsi="Times New Roman"/>
          <w:sz w:val="17"/>
          <w:szCs w:val="17"/>
          <w:u w:val="single" w:color="auto"/>
          <w:color w:val="auto"/>
        </w:rPr>
        <w:t>IPO</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jc w:val="both"/>
        <w:ind w:left="1220" w:right="1239" w:firstLine="1013"/>
        <w:spacing w:after="0" w:line="238" w:lineRule="auto"/>
        <w:tabs>
          <w:tab w:leader="none" w:pos="259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One (1) year following the closing of a transaction or a series of related transactions by merger, consolidation, share exchange or otherwise of the Company with a publicly traded “special purpose acquisition company” or its subsidiary (collectively, a “</w:t>
      </w:r>
      <w:r>
        <w:rPr>
          <w:rFonts w:ascii="Times New Roman" w:cs="Times New Roman" w:eastAsia="Times New Roman" w:hAnsi="Times New Roman"/>
          <w:sz w:val="17"/>
          <w:szCs w:val="17"/>
          <w:u w:val="single" w:color="auto"/>
          <w:color w:val="auto"/>
        </w:rPr>
        <w:t>SPAC</w:t>
      </w:r>
      <w:r>
        <w:rPr>
          <w:rFonts w:ascii="Times New Roman" w:cs="Times New Roman" w:eastAsia="Times New Roman" w:hAnsi="Times New Roman"/>
          <w:sz w:val="17"/>
          <w:szCs w:val="17"/>
          <w:color w:val="auto"/>
        </w:rPr>
        <w:t>”), immediately following the consummation of which the common stock or share capital of the SPAC or its successor entity is listed on the Nasdaq Stock Market, the New York Stock Exchange or another exchange or marketplace approved by the Board; or</w:t>
      </w:r>
    </w:p>
    <w:p>
      <w:pPr>
        <w:spacing w:after="0" w:line="140" w:lineRule="exact"/>
        <w:rPr>
          <w:rFonts w:ascii="Times New Roman" w:cs="Times New Roman" w:eastAsia="Times New Roman" w:hAnsi="Times New Roman"/>
          <w:sz w:val="17"/>
          <w:szCs w:val="17"/>
          <w:color w:val="auto"/>
        </w:rPr>
      </w:pPr>
    </w:p>
    <w:p>
      <w:pPr>
        <w:jc w:val="both"/>
        <w:ind w:left="1220" w:right="1239" w:firstLine="1013"/>
        <w:spacing w:after="0" w:line="235" w:lineRule="auto"/>
        <w:tabs>
          <w:tab w:leader="none" w:pos="259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(i) a consolidation or merger involving the Company, or any sale or issuance of securities of the Company, if the holders of the voting securities of the Company that are outstanding immediately prior to the consummation of such transaction do not, immediately after the consummation of such transaction, hold voting securities that collectively possess at least a majority of the voting power of all the outstanding securities of the surviving entity of such transaction or such surviving entity’s parent entity; (ii) any sale or other disposition of all or substantially all of the assets of the Company; or (iii) an acquisition of Company directly or indirectly by a blank check company or equivalent entity incorporated, formed or organized for the purpose of effecting a merger (including a reverse merger), share exchange, asset acquisition, stock purchase, reorganization or similar business combination with one or more businesses;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this Section 8(d) shall not apply to a merger effected exclusively for the purpose of changing the domicile of the Company or to an equity financing in which the Company is the surviving corporation (collectively, a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w:t>
      </w:r>
    </w:p>
    <w:p>
      <w:pPr>
        <w:spacing w:after="0" w:line="135" w:lineRule="exact"/>
        <w:rPr>
          <w:rFonts w:ascii="Times New Roman" w:cs="Times New Roman" w:eastAsia="Times New Roman" w:hAnsi="Times New Roman"/>
          <w:sz w:val="17"/>
          <w:szCs w:val="17"/>
          <w:color w:val="auto"/>
        </w:rPr>
      </w:pPr>
    </w:p>
    <w:p>
      <w:pPr>
        <w:ind w:left="1920" w:hanging="191"/>
        <w:spacing w:after="0"/>
        <w:tabs>
          <w:tab w:leader="none" w:pos="1920" w:val="left"/>
        </w:tabs>
        <w:numPr>
          <w:ilvl w:val="0"/>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Notices of Certain Transactions</w:t>
      </w:r>
      <w:r>
        <w:rPr>
          <w:rFonts w:ascii="Times New Roman" w:cs="Times New Roman" w:eastAsia="Times New Roman" w:hAnsi="Times New Roman"/>
          <w:sz w:val="17"/>
          <w:szCs w:val="17"/>
          <w:color w:val="auto"/>
        </w:rPr>
        <w:t>. In case:</w:t>
      </w:r>
    </w:p>
    <w:p>
      <w:pPr>
        <w:spacing w:after="0" w:line="165" w:lineRule="exact"/>
        <w:rPr>
          <w:rFonts w:ascii="Times New Roman" w:cs="Times New Roman" w:eastAsia="Times New Roman" w:hAnsi="Times New Roman"/>
          <w:sz w:val="17"/>
          <w:szCs w:val="17"/>
          <w:color w:val="auto"/>
        </w:rPr>
      </w:pPr>
    </w:p>
    <w:p>
      <w:pPr>
        <w:jc w:val="both"/>
        <w:ind w:left="1220" w:right="1239" w:firstLine="1013"/>
        <w:spacing w:after="0" w:line="239" w:lineRule="auto"/>
        <w:tabs>
          <w:tab w:leader="none" w:pos="259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take a record of the holders of its outstanding stock of the same class as the Warrant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w:t>
      </w:r>
    </w:p>
    <w:p>
      <w:pPr>
        <w:spacing w:after="0" w:line="140" w:lineRule="exact"/>
        <w:rPr>
          <w:rFonts w:ascii="Times New Roman" w:cs="Times New Roman" w:eastAsia="Times New Roman" w:hAnsi="Times New Roman"/>
          <w:sz w:val="17"/>
          <w:szCs w:val="17"/>
          <w:color w:val="auto"/>
        </w:rPr>
      </w:pPr>
    </w:p>
    <w:p>
      <w:pPr>
        <w:ind w:left="1220" w:right="1239" w:firstLine="1013"/>
        <w:spacing w:after="0" w:line="259" w:lineRule="auto"/>
        <w:tabs>
          <w:tab w:leader="none" w:pos="259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any capital reorganization of the Company, any reclassification of the capital stock of the Company,</w:t>
      </w:r>
    </w:p>
    <w:p>
      <w:pPr>
        <w:spacing w:after="0" w:line="124" w:lineRule="exact"/>
        <w:rPr>
          <w:rFonts w:ascii="Times New Roman" w:cs="Times New Roman" w:eastAsia="Times New Roman" w:hAnsi="Times New Roman"/>
          <w:sz w:val="17"/>
          <w:szCs w:val="17"/>
          <w:color w:val="auto"/>
        </w:rPr>
      </w:pPr>
    </w:p>
    <w:p>
      <w:pPr>
        <w:ind w:left="2600" w:hanging="367"/>
        <w:spacing w:after="0"/>
        <w:tabs>
          <w:tab w:leader="none" w:pos="2600"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voluntary or involuntary dissolution, liquidation or winding-up of the</w:t>
      </w:r>
    </w:p>
    <w:p>
      <w:pPr>
        <w:spacing w:after="0" w:line="11"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w:t>
      </w:r>
    </w:p>
    <w:p>
      <w:pPr>
        <w:spacing w:after="0" w:line="143" w:lineRule="exact"/>
        <w:rPr>
          <w:rFonts w:ascii="Times New Roman" w:cs="Times New Roman" w:eastAsia="Times New Roman" w:hAnsi="Times New Roman"/>
          <w:sz w:val="17"/>
          <w:szCs w:val="17"/>
          <w:color w:val="auto"/>
        </w:rPr>
      </w:pPr>
    </w:p>
    <w:p>
      <w:pPr>
        <w:jc w:val="both"/>
        <w:ind w:left="1220" w:right="1239" w:firstLine="1013"/>
        <w:spacing w:after="0" w:line="241" w:lineRule="auto"/>
        <w:tabs>
          <w:tab w:leader="none" w:pos="2592" w:val="left"/>
        </w:tabs>
        <w:numPr>
          <w:ilvl w:val="1"/>
          <w:numId w:val="2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effect an event that would trigger the Expiration Date as noted in Section 8 hereof, then, and in each such case, the Company will mail or cause to be mailed to the Registered Holder of this Warrant a notice specifying, as the case may be, (i) the date on</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352" w:name="page353"/>
    <w:bookmarkEnd w:id="352"/>
    <w:p>
      <w:pPr>
        <w:jc w:val="both"/>
        <w:ind w:left="1220" w:right="1239"/>
        <w:spacing w:after="0" w:line="235" w:lineRule="auto"/>
        <w:rPr>
          <w:sz w:val="20"/>
          <w:szCs w:val="20"/>
          <w:color w:val="auto"/>
        </w:rPr>
      </w:pPr>
      <w:r>
        <w:rPr>
          <w:rFonts w:ascii="Times New Roman" w:cs="Times New Roman" w:eastAsia="Times New Roman" w:hAnsi="Times New Roman"/>
          <w:sz w:val="17"/>
          <w:szCs w:val="17"/>
          <w:color w:val="auto"/>
        </w:rPr>
        <w:t>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 up, redemption, conversion or public offering is to take place, and the time, if any is to be fixed, as of which the holders of record of the Company’s outstanding stock of the same class as the Warrant Stock (or such other stock or securities at the time deliverable upon such reorganization, reclassification, consolidation, merger, transfer, dissolution, liquidation, winding-up, redemption or conversion) are to be determined. Such notice shall be mailed at least ten (10) days prior to the record date or effective date for the event specified in such notice, except in the case of (d), in which case the notice shall be mailed at least twenty-five (25) days prior to the effective date for the event specified in such notice.</w:t>
      </w:r>
    </w:p>
    <w:p>
      <w:pPr>
        <w:spacing w:after="0" w:line="140"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17"/>
          <w:szCs w:val="17"/>
          <w:b w:val="1"/>
          <w:bCs w:val="1"/>
          <w:u w:val="single" w:color="auto"/>
          <w:color w:val="auto"/>
        </w:rPr>
        <w:t>Reservation of Stock</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The Company will at all times reserve and keep available, solely for the issuance and delivery upon the exercise of this Warrant, such shares of Warrant Stock and other stock, securities and property, as from time to time shall be issuable upon the exercise of this Warrant.</w:t>
      </w:r>
    </w:p>
    <w:p>
      <w:pPr>
        <w:spacing w:after="0" w:line="133"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11.</w:t>
      </w:r>
      <w:r>
        <w:rPr>
          <w:rFonts w:ascii="Times New Roman" w:cs="Times New Roman" w:eastAsia="Times New Roman" w:hAnsi="Times New Roman"/>
          <w:sz w:val="17"/>
          <w:szCs w:val="17"/>
          <w:b w:val="1"/>
          <w:bCs w:val="1"/>
          <w:u w:val="single" w:color="auto"/>
          <w:color w:val="auto"/>
        </w:rPr>
        <w:t>Exchange of Warrants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Upon the surrender by the Registered Holder of any Warrant or Warrants, properly endorsed, to the Company, the Company will issue and deliver to or upon the order of such Registered Holder, at the Company’s expense, a new Warrant or Warrants of like tenor, in the name of such Registered Holder or as such Registered Holder (upon payment by such Registered Holder of any applicable transfer taxes) may direct, calling in the aggregate on the face or faces thereof for the number of shares of Warrant Stock called for on the face or faces of the Warrant or Warrants so surrendered.</w:t>
      </w:r>
    </w:p>
    <w:p>
      <w:pPr>
        <w:spacing w:after="0" w:line="136"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12.</w:t>
      </w:r>
      <w:r>
        <w:rPr>
          <w:rFonts w:ascii="Times New Roman" w:cs="Times New Roman" w:eastAsia="Times New Roman" w:hAnsi="Times New Roman"/>
          <w:sz w:val="17"/>
          <w:szCs w:val="17"/>
          <w:b w:val="1"/>
          <w:bCs w:val="1"/>
          <w:u w:val="single" w:color="auto"/>
          <w:color w:val="auto"/>
        </w:rPr>
        <w:t>Replacement of Warrants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Upon receipt of evidence reasonably satisfactory to the Company of the loss, theft, destruction or mutilation of this Warrant and (in the case of 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4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color w:val="auto"/>
        </w:rPr>
        <w:t>13.</w:t>
      </w:r>
      <w:r>
        <w:rPr>
          <w:rFonts w:ascii="Times New Roman" w:cs="Times New Roman" w:eastAsia="Times New Roman" w:hAnsi="Times New Roman"/>
          <w:sz w:val="17"/>
          <w:szCs w:val="17"/>
          <w:b w:val="1"/>
          <w:bCs w:val="1"/>
          <w:u w:val="single" w:color="auto"/>
          <w:color w:val="auto"/>
        </w:rPr>
        <w:t>No Rights as Stockholder</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Until the exercise of this Warrant, the Registered Holder of this Warrant shall not have or exercise any rights by virtue hereof as a stockholder of the Company.</w:t>
      </w:r>
    </w:p>
    <w:p>
      <w:pPr>
        <w:spacing w:after="0" w:line="130"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color w:val="auto"/>
        </w:rPr>
        <w:t>14.</w:t>
      </w:r>
      <w:r>
        <w:rPr>
          <w:rFonts w:ascii="Times New Roman" w:cs="Times New Roman" w:eastAsia="Times New Roman" w:hAnsi="Times New Roman"/>
          <w:sz w:val="17"/>
          <w:szCs w:val="17"/>
          <w:b w:val="1"/>
          <w:bCs w:val="1"/>
          <w:u w:val="single" w:color="auto"/>
          <w:color w:val="auto"/>
        </w:rPr>
        <w:t>No Fractional Shares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No fractional shares of Warrant Stock will be issued in connection with any exercise hereunder. In lieu of any fractional shares which would otherwise be issuable, the Company shall pay cash equal to the product of such fraction multiplied by the fair market value of one share of Warrant Stock on the date of exercise, as determined in good faith by the Company’s Board of Directors.</w:t>
      </w:r>
    </w:p>
    <w:p>
      <w:pPr>
        <w:spacing w:after="0" w:line="137"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color w:val="auto"/>
        </w:rPr>
        <w:t>15.</w:t>
      </w:r>
      <w:r>
        <w:rPr>
          <w:rFonts w:ascii="Times New Roman" w:cs="Times New Roman" w:eastAsia="Times New Roman" w:hAnsi="Times New Roman"/>
          <w:sz w:val="17"/>
          <w:szCs w:val="17"/>
          <w:b w:val="1"/>
          <w:bCs w:val="1"/>
          <w:u w:val="single" w:color="auto"/>
          <w:color w:val="auto"/>
        </w:rPr>
        <w:t>Survival of Representations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Unless otherwise set forth in this Warrant, the representations, warranties and covenants contained in or made pursuant to this Warrant shall survive the execution and delivery of this Warrant.</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53" w:name="page354"/>
    <w:bookmarkEnd w:id="353"/>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color w:val="auto"/>
        </w:rPr>
        <w:t>16.</w:t>
      </w:r>
      <w:r>
        <w:rPr>
          <w:rFonts w:ascii="Times New Roman" w:cs="Times New Roman" w:eastAsia="Times New Roman" w:hAnsi="Times New Roman"/>
          <w:sz w:val="17"/>
          <w:szCs w:val="17"/>
          <w:b w:val="1"/>
          <w:bCs w:val="1"/>
          <w:u w:val="single" w:color="auto"/>
          <w:color w:val="auto"/>
        </w:rPr>
        <w:t>Attorney’s Fees</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If any action at law or in equity (including arbitration) is necessary to enforce or interpret the terms of any of this Warrant, the prevailing party shall be entitled to reasonable attorney’s fees, costs and necessary disbursements in addition to any other relief to which such party may be entitled.</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17.</w:t>
      </w: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220" w:right="1239" w:firstLine="1013"/>
        <w:spacing w:after="0" w:line="243" w:lineRule="auto"/>
        <w:tabs>
          <w:tab w:leader="none" w:pos="259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validity, interpretation, construction and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Warrant, and all acts and transactions pursuant hereto and the rights and obligations of the parties hereto shall be governed, construed and interpreted in accordance with the laws of the state of Delaware, without giving effect to principles of conflicts of law.</w:t>
      </w:r>
    </w:p>
    <w:p>
      <w:pPr>
        <w:spacing w:after="0" w:line="133" w:lineRule="exact"/>
        <w:rPr>
          <w:rFonts w:ascii="Times New Roman" w:cs="Times New Roman" w:eastAsia="Times New Roman" w:hAnsi="Times New Roman"/>
          <w:sz w:val="17"/>
          <w:szCs w:val="17"/>
          <w:color w:val="auto"/>
        </w:rPr>
      </w:pPr>
    </w:p>
    <w:p>
      <w:pPr>
        <w:jc w:val="both"/>
        <w:ind w:left="1220" w:right="1239" w:firstLine="1013"/>
        <w:spacing w:after="0" w:line="243" w:lineRule="auto"/>
        <w:tabs>
          <w:tab w:leader="none" w:pos="259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Entire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sets forth the entire agreement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understanding of the parties relating to the subject matter herein and supersedes all prior or contemporaneous discussions, understandings and agreements, whether oral or written, between them relating to the subject matter hereof.</w:t>
      </w:r>
    </w:p>
    <w:p>
      <w:pPr>
        <w:spacing w:after="0" w:line="133" w:lineRule="exact"/>
        <w:rPr>
          <w:rFonts w:ascii="Times New Roman" w:cs="Times New Roman" w:eastAsia="Times New Roman" w:hAnsi="Times New Roman"/>
          <w:sz w:val="17"/>
          <w:szCs w:val="17"/>
          <w:color w:val="auto"/>
        </w:rPr>
      </w:pPr>
    </w:p>
    <w:p>
      <w:pPr>
        <w:jc w:val="both"/>
        <w:ind w:left="1220" w:right="1239" w:firstLine="1013"/>
        <w:spacing w:after="0"/>
        <w:tabs>
          <w:tab w:leader="none" w:pos="259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Amendments and Waivers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 modification of or amendment 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Warrant, nor any waiver of any rights under this Warrant, shall be effective unless in writing signed by the Company and the Registered Holder. No delay or failure to require performance of any provision of this Warrant shall constitute a waiver of that provision as to that or any other instance.</w:t>
      </w:r>
    </w:p>
    <w:p>
      <w:pPr>
        <w:spacing w:after="0" w:line="136" w:lineRule="exact"/>
        <w:rPr>
          <w:rFonts w:ascii="Times New Roman" w:cs="Times New Roman" w:eastAsia="Times New Roman" w:hAnsi="Times New Roman"/>
          <w:sz w:val="17"/>
          <w:szCs w:val="17"/>
          <w:color w:val="auto"/>
        </w:rPr>
      </w:pPr>
    </w:p>
    <w:p>
      <w:pPr>
        <w:ind w:left="1220" w:right="1239" w:firstLine="1013"/>
        <w:spacing w:after="0" w:line="264" w:lineRule="auto"/>
        <w:tabs>
          <w:tab w:leader="none" w:pos="259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terms and conditions of this Warrant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inure to the benefit of and be binding upon the respective successors and assigns of the parties.</w:t>
      </w:r>
    </w:p>
    <w:p>
      <w:pPr>
        <w:spacing w:after="0" w:line="116" w:lineRule="exact"/>
        <w:rPr>
          <w:rFonts w:ascii="Times New Roman" w:cs="Times New Roman" w:eastAsia="Times New Roman" w:hAnsi="Times New Roman"/>
          <w:sz w:val="17"/>
          <w:szCs w:val="17"/>
          <w:color w:val="auto"/>
        </w:rPr>
      </w:pPr>
    </w:p>
    <w:p>
      <w:pPr>
        <w:jc w:val="both"/>
        <w:ind w:left="1220" w:right="1239" w:firstLine="1013"/>
        <w:spacing w:after="0" w:line="238" w:lineRule="auto"/>
        <w:tabs>
          <w:tab w:leader="none" w:pos="259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notice, demand or request required or permitted to be given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under this Warrant shall be in writing and shall be deemed sufficient when delivered personally or by overnight courier or sent by email, or 48 hours after being deposited in the U.S. mail as certified or registered mail with postage prepaid, addressed to the party to be notified at such party’s address as set forth on the signature page, as subsequently modified by written notice, or if no address is specified on the signature page, at the most recent address set forth in the Company’s books and records.</w:t>
      </w:r>
    </w:p>
    <w:p>
      <w:pPr>
        <w:spacing w:after="0" w:line="135" w:lineRule="exact"/>
        <w:rPr>
          <w:rFonts w:ascii="Times New Roman" w:cs="Times New Roman" w:eastAsia="Times New Roman" w:hAnsi="Times New Roman"/>
          <w:sz w:val="17"/>
          <w:szCs w:val="17"/>
          <w:color w:val="auto"/>
        </w:rPr>
      </w:pPr>
    </w:p>
    <w:p>
      <w:pPr>
        <w:jc w:val="both"/>
        <w:ind w:left="1220" w:right="1239" w:firstLine="1013"/>
        <w:spacing w:after="0" w:line="238" w:lineRule="auto"/>
        <w:tabs>
          <w:tab w:leader="none" w:pos="259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Severability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one or more provisions of this Warrant are held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unenforceable under applicable law, the parties agree to renegotiate such provision in good faith. In the event that the parties cannot reach a mutually agreeable and enforceable replacement for such provision, then (a) such provision shall be excluded from this Warrant, (b) the balance of this Warrant shall be interpreted as if such provision were so excluded and (c) the balance of this Warrant shall be enforceable in accordance with its terms.</w:t>
      </w:r>
    </w:p>
    <w:p>
      <w:pPr>
        <w:spacing w:after="0" w:line="140" w:lineRule="exact"/>
        <w:rPr>
          <w:rFonts w:ascii="Times New Roman" w:cs="Times New Roman" w:eastAsia="Times New Roman" w:hAnsi="Times New Roman"/>
          <w:sz w:val="17"/>
          <w:szCs w:val="17"/>
          <w:color w:val="auto"/>
        </w:rPr>
      </w:pPr>
    </w:p>
    <w:p>
      <w:pPr>
        <w:jc w:val="both"/>
        <w:ind w:left="1220" w:right="1239" w:firstLine="1013"/>
        <w:spacing w:after="0" w:line="243" w:lineRule="auto"/>
        <w:tabs>
          <w:tab w:leader="none" w:pos="2592"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Construction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is the result of negotiations between and has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been reviewed by each of the parties hereto and their respective counsel, if any; accordingly, this Warrant shall be deemed to be the product of all of the parties hereto, and no ambiguity shall be construed in favor of or against any one of the parties hereto.</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354" w:name="page355"/>
    <w:bookmarkEnd w:id="354"/>
    <w:p>
      <w:pPr>
        <w:jc w:val="both"/>
        <w:ind w:left="1220" w:right="1239" w:firstLine="1013"/>
        <w:spacing w:after="0" w:line="248" w:lineRule="auto"/>
        <w:tabs>
          <w:tab w:leader="none" w:pos="2592" w:val="left"/>
        </w:tabs>
        <w:numPr>
          <w:ilvl w:val="0"/>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Warrant may be executed in any number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each of which shall be deemed an original, and all of which together shall constitute one and the same instrument.</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55" w:name="page356"/>
    <w:bookmarkEnd w:id="355"/>
    <w:p>
      <w:pPr>
        <w:ind w:left="1220" w:right="1239" w:firstLine="505"/>
        <w:spacing w:after="0" w:line="259" w:lineRule="auto"/>
        <w:rPr>
          <w:sz w:val="20"/>
          <w:szCs w:val="20"/>
          <w:color w:val="auto"/>
        </w:rPr>
      </w:pPr>
      <w:r>
        <w:rPr>
          <w:rFonts w:ascii="Times New Roman" w:cs="Times New Roman" w:eastAsia="Times New Roman" w:hAnsi="Times New Roman"/>
          <w:sz w:val="17"/>
          <w:szCs w:val="17"/>
          <w:color w:val="auto"/>
        </w:rPr>
        <w:t>IN WITNESS WHEREOF, the Company and the Registered Holder have executed this Warrant as of the date first set forth above.</w:t>
      </w:r>
    </w:p>
    <w:p>
      <w:pPr>
        <w:spacing w:after="0" w:line="31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b w:val="1"/>
          <w:bCs w:val="1"/>
          <w:color w:val="auto"/>
        </w:rPr>
        <w:t>THE COMPANY</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AVALYN PHARMA INC.</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By: /s/ Lyn Baranowski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8890</wp:posOffset>
            </wp:positionV>
            <wp:extent cx="868045" cy="698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868045" cy="6985"/>
                    </a:xfrm>
                    <a:prstGeom prst="rect">
                      <a:avLst/>
                    </a:prstGeom>
                    <a:noFill/>
                  </pic:spPr>
                </pic:pic>
              </a:graphicData>
            </a:graphic>
          </wp:anchor>
        </w:drawing>
      </w:r>
    </w:p>
    <w:p>
      <w:pPr>
        <w:ind w:left="5040"/>
        <w:spacing w:after="0"/>
        <w:rPr>
          <w:sz w:val="20"/>
          <w:szCs w:val="20"/>
          <w:color w:val="auto"/>
        </w:rPr>
      </w:pPr>
      <w:r>
        <w:rPr>
          <w:rFonts w:ascii="Times New Roman" w:cs="Times New Roman" w:eastAsia="Times New Roman" w:hAnsi="Times New Roman"/>
          <w:sz w:val="17"/>
          <w:szCs w:val="17"/>
          <w:color w:val="auto"/>
        </w:rPr>
        <w:t>Name: Lyn Baranowski</w:t>
      </w:r>
    </w:p>
    <w:p>
      <w:pPr>
        <w:ind w:left="5040"/>
        <w:spacing w:after="0"/>
        <w:rPr>
          <w:sz w:val="20"/>
          <w:szCs w:val="20"/>
          <w:color w:val="auto"/>
        </w:rPr>
      </w:pPr>
      <w:r>
        <w:rPr>
          <w:rFonts w:ascii="Times New Roman" w:cs="Times New Roman" w:eastAsia="Times New Roman" w:hAnsi="Times New Roman"/>
          <w:sz w:val="17"/>
          <w:szCs w:val="17"/>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ACCEPTED AND AGREED:</w:t>
      </w:r>
    </w:p>
    <w:p>
      <w:pPr>
        <w:spacing w:after="0" w:line="17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THE REGISTERED HOLDER:</w:t>
      </w:r>
    </w:p>
    <w:p>
      <w:pPr>
        <w:spacing w:after="0" w:line="18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BRUCE MONTGOMERY, M.D.</w:t>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 Bruce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1781810</wp:posOffset>
            </wp:positionH>
            <wp:positionV relativeFrom="paragraph">
              <wp:posOffset>8890</wp:posOffset>
            </wp:positionV>
            <wp:extent cx="1001395" cy="698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001395" cy="6985"/>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892810</wp:posOffset>
            </wp:positionV>
            <wp:extent cx="54857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56" w:name="page357"/>
    <w:bookmarkEnd w:id="356"/>
    <w:tbl>
      <w:tblPr>
        <w:tblLayout w:type="fixed"/>
        <w:tblInd w:w="1220" w:type="dxa"/>
        <w:tblCellMar>
          <w:top w:w="0" w:type="dxa"/>
          <w:left w:w="0" w:type="dxa"/>
          <w:bottom w:w="0" w:type="dxa"/>
          <w:right w:w="0" w:type="dxa"/>
        </w:tblCellMar>
      </w:tblPr>
      <w:tr>
        <w:trPr>
          <w:trHeight w:val="195"/>
        </w:trPr>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720" w:type="dxa"/>
            <w:vAlign w:val="bottom"/>
            <w:gridSpan w:val="2"/>
          </w:tcPr>
          <w:p>
            <w:pPr>
              <w:jc w:val="center"/>
              <w:ind w:right="2756"/>
              <w:spacing w:after="0"/>
              <w:rPr>
                <w:sz w:val="20"/>
                <w:szCs w:val="20"/>
                <w:color w:val="auto"/>
              </w:rPr>
            </w:pPr>
            <w:r>
              <w:rPr>
                <w:rFonts w:ascii="Times New Roman" w:cs="Times New Roman" w:eastAsia="Times New Roman" w:hAnsi="Times New Roman"/>
                <w:sz w:val="17"/>
                <w:szCs w:val="17"/>
                <w:b w:val="1"/>
                <w:bCs w:val="1"/>
                <w:color w:val="auto"/>
                <w:w w:val="98"/>
              </w:rPr>
              <w:t>EXHIBIT A</w:t>
            </w:r>
          </w:p>
        </w:tc>
      </w:tr>
      <w:tr>
        <w:trPr>
          <w:trHeight w:val="20"/>
        </w:trPr>
        <w:tc>
          <w:tcPr>
            <w:tcW w:w="1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377"/>
        </w:trPr>
        <w:tc>
          <w:tcPr>
            <w:tcW w:w="1900" w:type="dxa"/>
            <w:vAlign w:val="bottom"/>
          </w:tcPr>
          <w:p>
            <w:pPr>
              <w:spacing w:after="0"/>
              <w:rPr>
                <w:sz w:val="24"/>
                <w:szCs w:val="24"/>
                <w:color w:val="auto"/>
              </w:rPr>
            </w:pPr>
          </w:p>
        </w:tc>
        <w:tc>
          <w:tcPr>
            <w:tcW w:w="4660" w:type="dxa"/>
            <w:vAlign w:val="bottom"/>
            <w:gridSpan w:val="3"/>
          </w:tcPr>
          <w:p>
            <w:pPr>
              <w:jc w:val="center"/>
              <w:ind w:right="1796"/>
              <w:spacing w:after="0"/>
              <w:rPr>
                <w:sz w:val="20"/>
                <w:szCs w:val="20"/>
                <w:color w:val="auto"/>
              </w:rPr>
            </w:pPr>
            <w:r>
              <w:rPr>
                <w:rFonts w:ascii="Times New Roman" w:cs="Times New Roman" w:eastAsia="Times New Roman" w:hAnsi="Times New Roman"/>
                <w:sz w:val="17"/>
                <w:szCs w:val="17"/>
                <w:b w:val="1"/>
                <w:bCs w:val="1"/>
                <w:color w:val="auto"/>
                <w:w w:val="98"/>
              </w:rPr>
              <w:t>PURCHASE/EXERCISE FORM</w:t>
            </w:r>
          </w:p>
        </w:tc>
      </w:tr>
      <w:tr>
        <w:trPr>
          <w:trHeight w:val="357"/>
        </w:trPr>
        <w:tc>
          <w:tcPr>
            <w:tcW w:w="1900" w:type="dxa"/>
            <w:vAlign w:val="bottom"/>
          </w:tcPr>
          <w:p>
            <w:pPr>
              <w:spacing w:after="0"/>
              <w:rPr>
                <w:sz w:val="20"/>
                <w:szCs w:val="20"/>
                <w:color w:val="auto"/>
              </w:rPr>
            </w:pPr>
            <w:r>
              <w:rPr>
                <w:rFonts w:ascii="Times New Roman" w:cs="Times New Roman" w:eastAsia="Times New Roman" w:hAnsi="Times New Roman"/>
                <w:sz w:val="17"/>
                <w:szCs w:val="17"/>
                <w:color w:val="auto"/>
              </w:rPr>
              <w:t>To: Avalyn Pharma Inc.</w:t>
            </w: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40" w:type="dxa"/>
            <w:vAlign w:val="bottom"/>
          </w:tcPr>
          <w:p>
            <w:pPr>
              <w:ind w:left="960"/>
              <w:spacing w:after="0"/>
              <w:rPr>
                <w:sz w:val="20"/>
                <w:szCs w:val="20"/>
                <w:color w:val="auto"/>
              </w:rPr>
            </w:pPr>
            <w:r>
              <w:rPr>
                <w:rFonts w:ascii="Times New Roman" w:cs="Times New Roman" w:eastAsia="Times New Roman" w:hAnsi="Times New Roman"/>
                <w:sz w:val="17"/>
                <w:szCs w:val="17"/>
                <w:color w:val="auto"/>
                <w:w w:val="97"/>
              </w:rPr>
              <w:t>Dated:_________________</w:t>
            </w:r>
          </w:p>
        </w:tc>
      </w:tr>
    </w:tbl>
    <w:p>
      <w:pPr>
        <w:spacing w:after="0" w:line="140" w:lineRule="exact"/>
        <w:rPr>
          <w:sz w:val="20"/>
          <w:szCs w:val="20"/>
          <w:color w:val="auto"/>
        </w:rPr>
      </w:pPr>
    </w:p>
    <w:p>
      <w:pPr>
        <w:jc w:val="both"/>
        <w:ind w:left="1220" w:right="1239"/>
        <w:spacing w:after="0" w:line="243" w:lineRule="auto"/>
        <w:rPr>
          <w:sz w:val="20"/>
          <w:szCs w:val="20"/>
          <w:color w:val="auto"/>
        </w:rPr>
      </w:pPr>
      <w:r>
        <w:rPr>
          <w:rFonts w:ascii="Times New Roman" w:cs="Times New Roman" w:eastAsia="Times New Roman" w:hAnsi="Times New Roman"/>
          <w:sz w:val="17"/>
          <w:szCs w:val="17"/>
          <w:color w:val="auto"/>
        </w:rPr>
        <w:t>The undersigned, pursuant to the provisions set forth in the attached Warrant No. 1, hereby irrevocably elects to (a) purchase __________________ shares of the capital stock covered by</w:t>
      </w:r>
    </w:p>
    <w:p>
      <w:pPr>
        <w:ind w:left="1220"/>
        <w:spacing w:after="0" w:line="233" w:lineRule="auto"/>
        <w:rPr>
          <w:sz w:val="20"/>
          <w:szCs w:val="20"/>
          <w:color w:val="auto"/>
        </w:rPr>
      </w:pPr>
      <w:r>
        <w:rPr>
          <w:rFonts w:ascii="Times New Roman" w:cs="Times New Roman" w:eastAsia="Times New Roman" w:hAnsi="Times New Roman"/>
          <w:sz w:val="17"/>
          <w:szCs w:val="17"/>
          <w:color w:val="auto"/>
        </w:rPr>
        <w:t>such Warrant and herewith makes payment of $___________________, representing the full</w:t>
      </w:r>
    </w:p>
    <w:p>
      <w:pPr>
        <w:jc w:val="both"/>
        <w:ind w:left="1220" w:right="1239"/>
        <w:spacing w:after="0" w:line="232" w:lineRule="auto"/>
        <w:rPr>
          <w:sz w:val="20"/>
          <w:szCs w:val="20"/>
          <w:color w:val="auto"/>
        </w:rPr>
      </w:pPr>
      <w:r>
        <w:rPr>
          <w:rFonts w:ascii="Times New Roman" w:cs="Times New Roman" w:eastAsia="Times New Roman" w:hAnsi="Times New Roman"/>
          <w:sz w:val="17"/>
          <w:szCs w:val="17"/>
          <w:color w:val="auto"/>
        </w:rPr>
        <w:t>purchase price for such shares at the price per share provided for in such Warrant, or (b) exercise such Warrant for ______________________shares purchasable under the Warrant pursuant to the Net Issue Exercise provisions of Section 2(c) of such Warrant.</w:t>
      </w:r>
    </w:p>
    <w:p>
      <w:pPr>
        <w:spacing w:after="0" w:line="1"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color w:val="auto"/>
        </w:rPr>
        <w:t>The undersigned acknowledges that it has reviewed the representations and warranties of the Registered Holder set forth in the Warrant and by its signature below hereby makes such representations and warranties to the Company. Defined terms contained in such representations and warranties shall have the meanings assigned to them in the Warrant.</w:t>
      </w:r>
    </w:p>
    <w:p>
      <w:pPr>
        <w:spacing w:after="0" w:line="141" w:lineRule="exact"/>
        <w:rPr>
          <w:sz w:val="20"/>
          <w:szCs w:val="20"/>
          <w:color w:val="auto"/>
        </w:rPr>
      </w:pPr>
    </w:p>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The undersigned further acknowledges that it has reviewed the “Lockup” provisions as well as the waiver of statutory information rights set forth in the Warrant and agrees to be bound by such provisions.</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ACKNOWLEDGED AND AGREED TO BY</w:t>
      </w:r>
    </w:p>
    <w:p>
      <w:pPr>
        <w:spacing w:after="0" w:line="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THE REGISTERED HOLDER:</w:t>
      </w:r>
    </w:p>
    <w:p>
      <w:pPr>
        <w:spacing w:after="0" w:line="1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BRUCE MONTGOMERY, M.D.</w:t>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947420</wp:posOffset>
            </wp:positionH>
            <wp:positionV relativeFrom="paragraph">
              <wp:posOffset>8890</wp:posOffset>
            </wp:positionV>
            <wp:extent cx="1748790" cy="698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748790" cy="6985"/>
                    </a:xfrm>
                    <a:prstGeom prst="rect">
                      <a:avLst/>
                    </a:prstGeom>
                    <a:noFill/>
                  </pic:spPr>
                </pic:pic>
              </a:graphicData>
            </a:graphic>
          </wp:anchor>
        </w:drawing>
      </w:r>
    </w:p>
    <w:p>
      <w:pPr>
        <w:spacing w:after="0" w:line="2"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(Signature)</w:t>
      </w:r>
    </w:p>
    <w:p>
      <w:pPr>
        <w:spacing w:after="0" w:line="16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8890</wp:posOffset>
            </wp:positionV>
            <wp:extent cx="1622425" cy="698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622425" cy="6985"/>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-1905</wp:posOffset>
            </wp:positionV>
            <wp:extent cx="1622425" cy="698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622425" cy="6985"/>
                    </a:xfrm>
                    <a:prstGeom prst="rect">
                      <a:avLst/>
                    </a:prstGeom>
                    <a:noFill/>
                  </pic:spPr>
                </pic:pic>
              </a:graphicData>
            </a:graphic>
          </wp:anchor>
        </w:drawing>
      </w:r>
    </w:p>
    <w:p>
      <w:pPr>
        <w:ind w:left="12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238125</wp:posOffset>
            </wp:positionV>
            <wp:extent cx="1041400" cy="698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041400" cy="69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803910</wp:posOffset>
            </wp:positionV>
            <wp:extent cx="54857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-116840</wp:posOffset>
            </wp:positionV>
            <wp:extent cx="1041400" cy="698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041400" cy="698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8890</wp:posOffset>
            </wp:positionV>
            <wp:extent cx="747395" cy="698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47395" cy="6985"/>
                    </a:xfrm>
                    <a:prstGeom prst="rect">
                      <a:avLst/>
                    </a:prstGeom>
                    <a:noFill/>
                  </pic:spPr>
                </pic:pic>
              </a:graphicData>
            </a:graphic>
          </wp:anchor>
        </w:drawing>
      </w:r>
    </w:p>
    <w:p>
      <w:pPr>
        <w:sectPr>
          <w:pgSz w:w="11900" w:h="16838" w:orient="portrait"/>
          <w:cols w:equalWidth="0" w:num="1">
            <w:col w:w="9019"/>
          </w:cols>
          <w:pgMar w:left="1440" w:top="1111" w:right="1440" w:bottom="1440" w:gutter="0" w:footer="0" w:header="0"/>
        </w:sectPr>
      </w:pPr>
    </w:p>
    <w:bookmarkStart w:id="357" w:name="page358"/>
    <w:bookmarkEnd w:id="357"/>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EXHIBIT 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ASSIGNMENT FORM</w:t>
      </w:r>
    </w:p>
    <w:p>
      <w:pPr>
        <w:spacing w:after="0" w:line="166" w:lineRule="exact"/>
        <w:rPr>
          <w:sz w:val="20"/>
          <w:szCs w:val="20"/>
          <w:color w:val="auto"/>
        </w:rPr>
      </w:pPr>
    </w:p>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FOR VALUE RECEIVED, BRUCE MONTGOMERY, M.D. hereby sells, assigns and transfers all of the rights of the undersigned under the attached Warrant with respect to the number of shares of capital stock covered thereby set forth below, unto:</w:t>
      </w:r>
    </w:p>
    <w:p>
      <w:pPr>
        <w:spacing w:after="0" w:line="131" w:lineRule="exact"/>
        <w:rPr>
          <w:sz w:val="20"/>
          <w:szCs w:val="20"/>
          <w:color w:val="auto"/>
        </w:rPr>
      </w:pPr>
    </w:p>
    <w:p>
      <w:pPr>
        <w:ind w:left="1980"/>
        <w:spacing w:after="0"/>
        <w:tabs>
          <w:tab w:leader="none" w:pos="3880" w:val="left"/>
          <w:tab w:leader="none" w:pos="6280" w:val="left"/>
        </w:tabs>
        <w:rPr>
          <w:sz w:val="20"/>
          <w:szCs w:val="20"/>
          <w:color w:val="auto"/>
        </w:rPr>
      </w:pPr>
      <w:r>
        <w:rPr>
          <w:rFonts w:ascii="Times New Roman" w:cs="Times New Roman" w:eastAsia="Times New Roman" w:hAnsi="Times New Roman"/>
          <w:sz w:val="17"/>
          <w:szCs w:val="17"/>
          <w:b w:val="1"/>
          <w:bCs w:val="1"/>
          <w:u w:val="single" w:color="auto"/>
          <w:color w:val="auto"/>
        </w:rPr>
        <w:t>Name of Assignee</w:t>
      </w:r>
      <w:r>
        <w:rPr>
          <w:sz w:val="20"/>
          <w:szCs w:val="20"/>
          <w:color w:val="auto"/>
        </w:rPr>
        <w:tab/>
      </w:r>
      <w:r>
        <w:rPr>
          <w:rFonts w:ascii="Times New Roman" w:cs="Times New Roman" w:eastAsia="Times New Roman" w:hAnsi="Times New Roman"/>
          <w:sz w:val="17"/>
          <w:szCs w:val="17"/>
          <w:b w:val="1"/>
          <w:bCs w:val="1"/>
          <w:u w:val="single" w:color="auto"/>
          <w:color w:val="auto"/>
        </w:rPr>
        <w:t>Address/Facsimile Number</w:t>
      </w:r>
      <w:r>
        <w:rPr>
          <w:sz w:val="20"/>
          <w:szCs w:val="20"/>
          <w:color w:val="auto"/>
        </w:rPr>
        <w:tab/>
      </w:r>
      <w:r>
        <w:rPr>
          <w:rFonts w:ascii="Times New Roman" w:cs="Times New Roman" w:eastAsia="Times New Roman" w:hAnsi="Times New Roman"/>
          <w:sz w:val="16"/>
          <w:szCs w:val="16"/>
          <w:b w:val="1"/>
          <w:bCs w:val="1"/>
          <w:u w:val="single" w:color="auto"/>
          <w:color w:val="auto"/>
        </w:rPr>
        <w:t>No.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ACKNOWLEDGED AND AGREED TO BY</w:t>
      </w:r>
    </w:p>
    <w:p>
      <w:pPr>
        <w:spacing w:after="0" w:line="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THE REGISTERED HOLDER:</w:t>
      </w:r>
    </w:p>
    <w:p>
      <w:pPr>
        <w:spacing w:after="0" w:line="1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BRUCE MONTGOMERY, M.D.</w:t>
      </w:r>
    </w:p>
    <w:p>
      <w:pPr>
        <w:spacing w:after="0" w:line="183" w:lineRule="exact"/>
        <w:rPr>
          <w:sz w:val="20"/>
          <w:szCs w:val="20"/>
          <w:color w:val="auto"/>
        </w:rPr>
      </w:pPr>
    </w:p>
    <w:p>
      <w:pPr>
        <w:ind w:left="2360"/>
        <w:spacing w:after="0"/>
        <w:rPr>
          <w:sz w:val="20"/>
          <w:szCs w:val="20"/>
          <w:color w:val="auto"/>
        </w:rPr>
      </w:pPr>
      <w:r>
        <w:rPr>
          <w:rFonts w:ascii="Times New Roman" w:cs="Times New Roman" w:eastAsia="Times New Roman" w:hAnsi="Times New Roman"/>
          <w:sz w:val="17"/>
          <w:szCs w:val="17"/>
          <w:color w:val="auto"/>
        </w:rPr>
        <w:t>(Signature)</w:t>
      </w:r>
    </w:p>
    <w:p>
      <w:pPr>
        <w:spacing w:after="0" w:line="18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8890</wp:posOffset>
            </wp:positionV>
            <wp:extent cx="1622425" cy="698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622425" cy="6985"/>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-1905</wp:posOffset>
            </wp:positionV>
            <wp:extent cx="1622425" cy="698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622425" cy="6985"/>
                    </a:xfrm>
                    <a:prstGeom prst="rect">
                      <a:avLst/>
                    </a:prstGeom>
                    <a:noFill/>
                  </pic:spPr>
                </pic:pic>
              </a:graphicData>
            </a:graphic>
          </wp:anchor>
        </w:drawing>
      </w:r>
    </w:p>
    <w:p>
      <w:pPr>
        <w:spacing w:after="0" w:line="15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249555</wp:posOffset>
            </wp:positionV>
            <wp:extent cx="961390" cy="698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961390" cy="6985"/>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803910</wp:posOffset>
            </wp:positionV>
            <wp:extent cx="54857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-116840</wp:posOffset>
            </wp:positionV>
            <wp:extent cx="961390" cy="698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961390" cy="698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8890</wp:posOffset>
            </wp:positionV>
            <wp:extent cx="581025" cy="698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581025" cy="698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358" w:name="page359"/>
    <w:bookmarkEnd w:id="358"/>
    <w:p>
      <w:pPr>
        <w:ind w:left="7000"/>
        <w:spacing w:after="0"/>
        <w:rPr>
          <w:sz w:val="20"/>
          <w:szCs w:val="20"/>
          <w:color w:val="auto"/>
        </w:rPr>
      </w:pPr>
      <w:r>
        <w:rPr>
          <w:rFonts w:ascii="Times New Roman" w:cs="Times New Roman" w:eastAsia="Times New Roman" w:hAnsi="Times New Roman"/>
          <w:sz w:val="16"/>
          <w:szCs w:val="16"/>
          <w:b w:val="1"/>
          <w:bCs w:val="1"/>
          <w:color w:val="auto"/>
        </w:rPr>
        <w:t>Exhibit 4.4</w:t>
      </w:r>
    </w:p>
    <w:p>
      <w:pPr>
        <w:spacing w:after="0" w:line="177" w:lineRule="exact"/>
        <w:rPr>
          <w:sz w:val="20"/>
          <w:szCs w:val="20"/>
          <w:color w:val="auto"/>
        </w:rPr>
      </w:pPr>
    </w:p>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THIS WARRANT AND THE SHARES ISSUABLE HEREUNDER HAVE NOT BEEN REGISTERED UNDER THE SECURITIES ACT OF 1933, AS AMENDED, AND MAY NOT BE SOLD, PLEDGED OR OTHERWISE TRANSFERRED EXCEPT IN ACCORDANCE WITH APPLICABLE LAW.</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WARRANT TO PURCHASE STOCK</w:t>
      </w:r>
    </w:p>
    <w:p>
      <w:pPr>
        <w:sectPr>
          <w:pgSz w:w="11900" w:h="16838" w:orient="portrait"/>
          <w:cols w:equalWidth="0" w:num="1">
            <w:col w:w="9019"/>
          </w:cols>
          <w:pgMar w:left="1440" w:top="1292" w:right="1440" w:bottom="1440" w:gutter="0" w:footer="0" w:header="0"/>
        </w:sectPr>
      </w:pPr>
    </w:p>
    <w:p>
      <w:pPr>
        <w:spacing w:after="0" w:line="187"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Corporation:</w:t>
      </w:r>
    </w:p>
    <w:p>
      <w:pPr>
        <w:spacing w:after="0" w:line="5"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Number of Shares:</w:t>
      </w:r>
    </w:p>
    <w:p>
      <w:pPr>
        <w:ind w:left="2300"/>
        <w:spacing w:after="0" w:line="232" w:lineRule="auto"/>
        <w:rPr>
          <w:sz w:val="20"/>
          <w:szCs w:val="20"/>
          <w:color w:val="auto"/>
        </w:rPr>
      </w:pPr>
      <w:r>
        <w:rPr>
          <w:rFonts w:ascii="Times New Roman" w:cs="Times New Roman" w:eastAsia="Times New Roman" w:hAnsi="Times New Roman"/>
          <w:sz w:val="17"/>
          <w:szCs w:val="17"/>
          <w:color w:val="auto"/>
        </w:rPr>
        <w:t>Class of Stock:</w:t>
      </w:r>
    </w:p>
    <w:p>
      <w:pPr>
        <w:ind w:left="2300"/>
        <w:spacing w:after="0"/>
        <w:rPr>
          <w:sz w:val="20"/>
          <w:szCs w:val="20"/>
          <w:color w:val="auto"/>
        </w:rPr>
      </w:pPr>
      <w:r>
        <w:rPr>
          <w:rFonts w:ascii="Times New Roman" w:cs="Times New Roman" w:eastAsia="Times New Roman" w:hAnsi="Times New Roman"/>
          <w:sz w:val="16"/>
          <w:szCs w:val="16"/>
          <w:color w:val="auto"/>
        </w:rPr>
        <w:t>Initial Exercise Price:</w:t>
      </w:r>
    </w:p>
    <w:p>
      <w:pPr>
        <w:spacing w:after="0" w:line="176"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Issue Date:</w:t>
      </w:r>
    </w:p>
    <w:p>
      <w:pPr>
        <w:spacing w:after="0" w:line="12"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7"/>
          <w:szCs w:val="17"/>
          <w:color w:val="auto"/>
        </w:rPr>
        <w:t>Expiration Date:</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Avalyn Pharma Inc., a Delaware corporation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432,939, subject to adjustment as provided herein</w:t>
      </w:r>
    </w:p>
    <w:p>
      <w:pPr>
        <w:spacing w:after="0" w:line="232" w:lineRule="auto"/>
        <w:rPr>
          <w:sz w:val="20"/>
          <w:szCs w:val="20"/>
          <w:color w:val="auto"/>
        </w:rPr>
      </w:pPr>
      <w:r>
        <w:rPr>
          <w:rFonts w:ascii="Times New Roman" w:cs="Times New Roman" w:eastAsia="Times New Roman" w:hAnsi="Times New Roman"/>
          <w:sz w:val="17"/>
          <w:szCs w:val="17"/>
          <w:color w:val="auto"/>
        </w:rPr>
        <w:t>Common Stock, $0.001 par value per share</w:t>
      </w:r>
    </w:p>
    <w:p>
      <w:pPr>
        <w:spacing w:after="0"/>
        <w:rPr>
          <w:sz w:val="20"/>
          <w:szCs w:val="20"/>
          <w:color w:val="auto"/>
        </w:rPr>
      </w:pPr>
      <w:r>
        <w:rPr>
          <w:rFonts w:ascii="Times New Roman" w:cs="Times New Roman" w:eastAsia="Times New Roman" w:hAnsi="Times New Roman"/>
          <w:sz w:val="16"/>
          <w:szCs w:val="16"/>
          <w:color w:val="auto"/>
        </w:rPr>
        <w:t>$0.51 per Share, subject to adjustment as provided</w:t>
      </w:r>
    </w:p>
    <w:p>
      <w:pPr>
        <w:spacing w:after="0" w:line="238" w:lineRule="auto"/>
        <w:rPr>
          <w:sz w:val="20"/>
          <w:szCs w:val="20"/>
          <w:color w:val="auto"/>
        </w:rPr>
      </w:pPr>
      <w:r>
        <w:rPr>
          <w:rFonts w:ascii="Times New Roman" w:cs="Times New Roman" w:eastAsia="Times New Roman" w:hAnsi="Times New Roman"/>
          <w:sz w:val="17"/>
          <w:szCs w:val="17"/>
          <w:color w:val="auto"/>
        </w:rPr>
        <w:t>herein</w:t>
      </w:r>
    </w:p>
    <w:p>
      <w:pPr>
        <w:spacing w:after="0" w:line="233" w:lineRule="auto"/>
        <w:rPr>
          <w:sz w:val="20"/>
          <w:szCs w:val="20"/>
          <w:color w:val="auto"/>
        </w:rPr>
      </w:pPr>
      <w:r>
        <w:rPr>
          <w:rFonts w:ascii="Times New Roman" w:cs="Times New Roman" w:eastAsia="Times New Roman" w:hAnsi="Times New Roman"/>
          <w:sz w:val="17"/>
          <w:szCs w:val="17"/>
          <w:color w:val="auto"/>
        </w:rPr>
        <w:t>February 3, 2026</w:t>
      </w:r>
    </w:p>
    <w:p>
      <w:pPr>
        <w:spacing w:after="0"/>
        <w:rPr>
          <w:sz w:val="20"/>
          <w:szCs w:val="20"/>
          <w:color w:val="auto"/>
        </w:rPr>
      </w:pPr>
      <w:r>
        <w:rPr>
          <w:rFonts w:ascii="Times New Roman" w:cs="Times New Roman" w:eastAsia="Times New Roman" w:hAnsi="Times New Roman"/>
          <w:sz w:val="17"/>
          <w:szCs w:val="17"/>
          <w:color w:val="auto"/>
        </w:rPr>
        <w:t>February 3, 2036</w:t>
      </w:r>
    </w:p>
    <w:p>
      <w:pPr>
        <w:spacing w:after="0" w:line="161" w:lineRule="exact"/>
        <w:rPr>
          <w:sz w:val="20"/>
          <w:szCs w:val="20"/>
          <w:color w:val="auto"/>
        </w:rPr>
      </w:pPr>
    </w:p>
    <w:p>
      <w:pPr>
        <w:sectPr>
          <w:pgSz w:w="11900" w:h="16838" w:orient="portrait"/>
          <w:cols w:equalWidth="0" w:num="2">
            <w:col w:w="3760" w:space="500"/>
            <w:col w:w="4759"/>
          </w:cols>
          <w:pgMar w:left="1440" w:top="1292" w:right="1440" w:bottom="1440" w:gutter="0" w:footer="0" w:header="0"/>
          <w:type w:val="continuous"/>
        </w:sect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T</w:t>
      </w:r>
      <w:r>
        <w:rPr>
          <w:rFonts w:ascii="Times New Roman" w:cs="Times New Roman" w:eastAsia="Times New Roman" w:hAnsi="Times New Roman"/>
          <w:sz w:val="11"/>
          <w:szCs w:val="11"/>
          <w:b w:val="1"/>
          <w:bCs w:val="1"/>
          <w:color w:val="auto"/>
        </w:rPr>
        <w:t>his</w:t>
      </w:r>
      <w:r>
        <w:rPr>
          <w:rFonts w:ascii="Times New Roman" w:cs="Times New Roman" w:eastAsia="Times New Roman" w:hAnsi="Times New Roman"/>
          <w:sz w:val="17"/>
          <w:szCs w:val="17"/>
          <w:b w:val="1"/>
          <w:bCs w:val="1"/>
          <w:color w:val="auto"/>
        </w:rPr>
        <w:t xml:space="preserve"> W</w:t>
      </w:r>
      <w:r>
        <w:rPr>
          <w:rFonts w:ascii="Times New Roman" w:cs="Times New Roman" w:eastAsia="Times New Roman" w:hAnsi="Times New Roman"/>
          <w:sz w:val="11"/>
          <w:szCs w:val="11"/>
          <w:b w:val="1"/>
          <w:bCs w:val="1"/>
          <w:color w:val="auto"/>
        </w:rPr>
        <w:t>arrant</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ertifies</w:t>
      </w:r>
      <w:r>
        <w:rPr>
          <w:rFonts w:ascii="Times New Roman" w:cs="Times New Roman" w:eastAsia="Times New Roman" w:hAnsi="Times New Roman"/>
          <w:sz w:val="17"/>
          <w:szCs w:val="17"/>
          <w:b w:val="1"/>
          <w:bCs w:val="1"/>
          <w:color w:val="auto"/>
        </w:rPr>
        <w:t xml:space="preserve"> T</w:t>
      </w:r>
      <w:r>
        <w:rPr>
          <w:rFonts w:ascii="Times New Roman" w:cs="Times New Roman" w:eastAsia="Times New Roman" w:hAnsi="Times New Roman"/>
          <w:sz w:val="11"/>
          <w:szCs w:val="11"/>
          <w:b w:val="1"/>
          <w:bCs w:val="1"/>
          <w:color w:val="auto"/>
        </w:rPr>
        <w: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good and valuable consideration, the receipt of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is hereby acknowledged, </w:t>
      </w: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1"/>
          <w:szCs w:val="11"/>
          <w:b w:val="1"/>
          <w:bCs w:val="1"/>
          <w:color w:val="auto"/>
        </w:rPr>
        <w:t>anc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1"/>
          <w:szCs w:val="11"/>
          <w:b w:val="1"/>
          <w:bCs w:val="1"/>
          <w:color w:val="auto"/>
        </w:rPr>
        <w:t>alifornia</w:t>
      </w:r>
      <w:r>
        <w:rPr>
          <w:rFonts w:ascii="Times New Roman" w:cs="Times New Roman" w:eastAsia="Times New Roman" w:hAnsi="Times New Roman"/>
          <w:sz w:val="17"/>
          <w:szCs w:val="17"/>
          <w:color w:val="auto"/>
        </w:rPr>
        <w:t xml:space="preserve"> or its assignee or transferee (“</w:t>
      </w:r>
      <w:r>
        <w:rPr>
          <w:rFonts w:ascii="Times New Roman" w:cs="Times New Roman" w:eastAsia="Times New Roman" w:hAnsi="Times New Roman"/>
          <w:sz w:val="17"/>
          <w:szCs w:val="17"/>
          <w:b w:val="1"/>
          <w:bCs w:val="1"/>
          <w:i w:val="1"/>
          <w:iCs w:val="1"/>
          <w:color w:val="auto"/>
        </w:rPr>
        <w:t>Holder</w:t>
      </w:r>
      <w:r>
        <w:rPr>
          <w:rFonts w:ascii="Times New Roman" w:cs="Times New Roman" w:eastAsia="Times New Roman" w:hAnsi="Times New Roman"/>
          <w:sz w:val="17"/>
          <w:szCs w:val="17"/>
          <w:color w:val="auto"/>
        </w:rPr>
        <w:t>”) is entitled to purchase up to the above-stated number of fully paid and nonassessable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of the above-stated Class of Stock (the “</w:t>
      </w:r>
      <w:r>
        <w:rPr>
          <w:rFonts w:ascii="Times New Roman" w:cs="Times New Roman" w:eastAsia="Times New Roman" w:hAnsi="Times New Roman"/>
          <w:sz w:val="17"/>
          <w:szCs w:val="17"/>
          <w:b w:val="1"/>
          <w:bCs w:val="1"/>
          <w:i w:val="1"/>
          <w:iCs w:val="1"/>
          <w:color w:val="auto"/>
        </w:rPr>
        <w:t>Class</w:t>
      </w:r>
      <w:r>
        <w:rPr>
          <w:rFonts w:ascii="Times New Roman" w:cs="Times New Roman" w:eastAsia="Times New Roman" w:hAnsi="Times New Roman"/>
          <w:sz w:val="17"/>
          <w:szCs w:val="17"/>
          <w:color w:val="auto"/>
        </w:rPr>
        <w:t>”) of the above-stated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at the above-stated Initial Exercise Price (the “</w:t>
      </w:r>
      <w:r>
        <w:rPr>
          <w:rFonts w:ascii="Times New Roman" w:cs="Times New Roman" w:eastAsia="Times New Roman" w:hAnsi="Times New Roman"/>
          <w:sz w:val="17"/>
          <w:szCs w:val="17"/>
          <w:b w:val="1"/>
          <w:bCs w:val="1"/>
          <w:i w:val="1"/>
          <w:iCs w:val="1"/>
          <w:color w:val="auto"/>
        </w:rPr>
        <w:t>Warrant Price</w:t>
      </w:r>
      <w:r>
        <w:rPr>
          <w:rFonts w:ascii="Times New Roman" w:cs="Times New Roman" w:eastAsia="Times New Roman" w:hAnsi="Times New Roman"/>
          <w:sz w:val="17"/>
          <w:szCs w:val="17"/>
          <w:color w:val="auto"/>
        </w:rPr>
        <w:t>”), all as set forth above and as adjusted pursuant to Article 2 of this Warrant, subject to the provisions and upon the terms and conditions set forth in this Warrant. Reference is made to Section 4.4 of this Warrant, whereby Banc of California shall transfer this Warrant to its parent company, Banc of California, Inc. This Warrant is issued in connection with that certain Loan and Security Agreement of even date herewith between Banc of California and the Company (as amended and in effect from time to time, the “</w:t>
      </w:r>
      <w:r>
        <w:rPr>
          <w:rFonts w:ascii="Times New Roman" w:cs="Times New Roman" w:eastAsia="Times New Roman" w:hAnsi="Times New Roman"/>
          <w:sz w:val="17"/>
          <w:szCs w:val="17"/>
          <w:b w:val="1"/>
          <w:bCs w:val="1"/>
          <w:i w:val="1"/>
          <w:iCs w:val="1"/>
          <w:color w:val="auto"/>
        </w:rPr>
        <w:t>Loan Agreement</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16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7"/>
          <w:szCs w:val="17"/>
          <w:b w:val="1"/>
          <w:bCs w:val="1"/>
          <w:color w:val="auto"/>
        </w:rPr>
        <w:t>EXERCISE</w:t>
      </w:r>
    </w:p>
    <w:p>
      <w:pPr>
        <w:spacing w:after="0" w:line="162"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 xml:space="preserve">1.1 Method of Exercise. </w:t>
      </w:r>
      <w:r>
        <w:rPr>
          <w:rFonts w:ascii="Times New Roman" w:cs="Times New Roman" w:eastAsia="Times New Roman" w:hAnsi="Times New Roman"/>
          <w:sz w:val="17"/>
          <w:szCs w:val="17"/>
          <w:color w:val="auto"/>
        </w:rPr>
        <w:t>Holder may exercise this Warrant by delivering this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a duly executed Notice of Exercise in substantially the form attached as Appendix 1 to the principal office of the Company. Unless Holder is exercising the conversion right set forth in Section 1.2, Holder shall also deliver to the Company a check for the aggregate Warrant Price for the Shares being purchased.</w:t>
      </w:r>
    </w:p>
    <w:p>
      <w:pPr>
        <w:spacing w:after="0" w:line="137"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1.2 Conversion Right. </w:t>
      </w:r>
      <w:r>
        <w:rPr>
          <w:rFonts w:ascii="Times New Roman" w:cs="Times New Roman" w:eastAsia="Times New Roman" w:hAnsi="Times New Roman"/>
          <w:sz w:val="17"/>
          <w:szCs w:val="17"/>
          <w:color w:val="auto"/>
        </w:rPr>
        <w:t>In lieu of exercising this Warrant as specified in Section 1.1,</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Holder may from time to time convert this Warrant, in whole or in part, into a number of Shares determined by dividing (a) the aggregate fair market value of the Shares or other securities otherwise issuable upon exercise of this Warrant minus the aggregate Warrant Price of such Shares by (b) the fair market value of one Share. The fair market value of one Share shall be determined pursuant to Section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679450</wp:posOffset>
            </wp:positionV>
            <wp:extent cx="54857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type w:val="continuous"/>
        </w:sectPr>
      </w:pPr>
    </w:p>
    <w:bookmarkStart w:id="359" w:name="page360"/>
    <w:bookmarkEnd w:id="359"/>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1.3 Fair Market Value. </w:t>
      </w:r>
      <w:r>
        <w:rPr>
          <w:rFonts w:ascii="Times New Roman" w:cs="Times New Roman" w:eastAsia="Times New Roman" w:hAnsi="Times New Roman"/>
          <w:sz w:val="17"/>
          <w:szCs w:val="17"/>
          <w:color w:val="auto"/>
        </w:rPr>
        <w:t>If shares of common stock are traded regularly in a public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market and the Class is common stock, the fair market value of a Share shall be the closing price of a Share reported for the business day immediately before Holder delivers its Notice of Exercise to the Company. If shares of common stock are not regularly traded in a public market, the Board of Directors of the Company shall determine the fair market value of a Share in its reasonable good faith judgment.</w:t>
      </w:r>
    </w:p>
    <w:p>
      <w:pPr>
        <w:spacing w:after="0" w:line="140"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1.4 Delivery of Certificate and New Warrant. </w:t>
      </w:r>
      <w:r>
        <w:rPr>
          <w:rFonts w:ascii="Times New Roman" w:cs="Times New Roman" w:eastAsia="Times New Roman" w:hAnsi="Times New Roman"/>
          <w:sz w:val="17"/>
          <w:szCs w:val="17"/>
          <w:color w:val="auto"/>
        </w:rPr>
        <w:t>Promptly after Holder exercises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converts this Warrant, the Company shall deliver to Holder certificates for the Shares acquired and, if this Warrant has not been fully exercised or converted and has not expired, a new warrant representing the Shares not so acquired.</w:t>
      </w:r>
    </w:p>
    <w:p>
      <w:pPr>
        <w:spacing w:after="0" w:line="133"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1.5 Replacement of Warrants. </w:t>
      </w:r>
      <w:r>
        <w:rPr>
          <w:rFonts w:ascii="Times New Roman" w:cs="Times New Roman" w:eastAsia="Times New Roman" w:hAnsi="Times New Roman"/>
          <w:sz w:val="17"/>
          <w:szCs w:val="17"/>
          <w:color w:val="auto"/>
        </w:rPr>
        <w:t>On receipt of evidence reasonably satisfactory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of the loss, theft, destruction or mutilation of this Warrant and, in the case of loss, theft or destruction, on delivery of an indemnity agreement reasonably satisfactory in form and amount to the Company or, in the case of mutilation, on surrender and cancellation of this Warrant, the Company at its expense shall execute and deliver, in lieu of this Warrant, a new warrant of like tenor.</w:t>
      </w:r>
    </w:p>
    <w:p>
      <w:pPr>
        <w:spacing w:after="0" w:line="14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1.6  Treatment of Warrant Upon Acquisition of the Company.</w:t>
      </w:r>
    </w:p>
    <w:p>
      <w:pPr>
        <w:spacing w:after="0" w:line="162" w:lineRule="exact"/>
        <w:rPr>
          <w:sz w:val="20"/>
          <w:szCs w:val="20"/>
          <w:color w:val="auto"/>
        </w:rPr>
      </w:pPr>
    </w:p>
    <w:p>
      <w:pPr>
        <w:jc w:val="both"/>
        <w:ind w:left="17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1.6.1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Acquisition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For the purpose of this Warrant, “Acquisition” means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any sale, license, or other disposition of all or substantially all of the assets (including intellectual property) of the Company, or (b) any reorganization, consolidation, merger or sale of the voting securities of the Company or any other transaction where the holders of the Company’s securities before the transaction beneficially own less than 50% of the outstanding voting securities of the surviving entity after the transaction.</w:t>
      </w:r>
    </w:p>
    <w:p>
      <w:pPr>
        <w:spacing w:after="0" w:line="140" w:lineRule="exact"/>
        <w:rPr>
          <w:sz w:val="20"/>
          <w:szCs w:val="20"/>
          <w:color w:val="auto"/>
        </w:rPr>
      </w:pPr>
    </w:p>
    <w:p>
      <w:pPr>
        <w:jc w:val="both"/>
        <w:ind w:left="17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1.6.2 Exercise Upon Acquisition. </w:t>
      </w:r>
      <w:r>
        <w:rPr>
          <w:rFonts w:ascii="Times New Roman" w:cs="Times New Roman" w:eastAsia="Times New Roman" w:hAnsi="Times New Roman"/>
          <w:sz w:val="17"/>
          <w:szCs w:val="17"/>
          <w:color w:val="auto"/>
        </w:rPr>
        <w:t>Upon the closing of any Acquisition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which the consideration to be received by the Company’s stockholders consists of cash, marketable securities, or a combination of both cash and marketable securities, this Warrant shall be deemed to have been automatically converted pursuant to Section 1.2, and thereafter Holder shall participate in the Acquisition on the same terms as other holders of the same class of securities of the Company.</w:t>
      </w:r>
    </w:p>
    <w:p>
      <w:pPr>
        <w:spacing w:after="0" w:line="140" w:lineRule="exact"/>
        <w:rPr>
          <w:sz w:val="20"/>
          <w:szCs w:val="20"/>
          <w:color w:val="auto"/>
        </w:rPr>
      </w:pPr>
    </w:p>
    <w:p>
      <w:pPr>
        <w:jc w:val="both"/>
        <w:ind w:left="17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1.6.3 Assumption of Warrant. </w:t>
      </w:r>
      <w:r>
        <w:rPr>
          <w:rFonts w:ascii="Times New Roman" w:cs="Times New Roman" w:eastAsia="Times New Roman" w:hAnsi="Times New Roman"/>
          <w:sz w:val="17"/>
          <w:szCs w:val="17"/>
          <w:color w:val="auto"/>
        </w:rPr>
        <w:t>Upon the closing of any Acquisition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referred to in Section 1.6.2, the successor entity shall assume the obligations of this Warrant, and this Warrant shall thereafter be exercisable for the same securities and/or other property as would have been paid for the Shares issuable upon exercise of the unexercised portion of this Warrant as if such Shares were outstanding on and as of the closing of such Acquisition, subject to further adjustment from time to time in accordance with the provisions of this Warrant.</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60" w:name="page361"/>
    <w:bookmarkEnd w:id="36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ADJUSTMENTS TO THE SHARES</w:t>
      </w:r>
    </w:p>
    <w:p>
      <w:pPr>
        <w:spacing w:after="0" w:line="162"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2.1 Stock Dividends, Splits, Etc. </w:t>
      </w:r>
      <w:r>
        <w:rPr>
          <w:rFonts w:ascii="Times New Roman" w:cs="Times New Roman" w:eastAsia="Times New Roman" w:hAnsi="Times New Roman"/>
          <w:sz w:val="17"/>
          <w:szCs w:val="17"/>
          <w:color w:val="auto"/>
        </w:rPr>
        <w:t>If the Company declares or pays a dividend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distribution on the outstanding shares of the Class payable in additional shares of the Class or other securities or property (other than cash), then upon exercise of this Warrant, for each Share acquired, Holder shall receive, without additional cost to Holder, the total number and kind of securities and property which Holder would have received had Holder owned the Shares of record as of the date the dividend or distribution occurred. If the Company subdivides the outstanding shares of the Class by reclassification or otherwise into a greater number of shares, the number of Shares purchasable hereunder shall be proportionately increased and the Warrant Price shall be proportionately decreased. If the outstanding shares of the Class are combined or consolidated, by reclassification or otherwise, into a lesser number of shares, the Warrant Price shall be proportionately increased and the number of Shares shall be proportionately decreased.</w:t>
      </w:r>
    </w:p>
    <w:p>
      <w:pPr>
        <w:spacing w:after="0" w:line="144" w:lineRule="exact"/>
        <w:rPr>
          <w:sz w:val="20"/>
          <w:szCs w:val="20"/>
          <w:color w:val="auto"/>
        </w:rPr>
      </w:pPr>
    </w:p>
    <w:p>
      <w:pPr>
        <w:jc w:val="both"/>
        <w:ind w:left="1220" w:right="1239" w:firstLine="505"/>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2.2 Reclassification, Exchange or Substitution. </w:t>
      </w:r>
      <w:r>
        <w:rPr>
          <w:rFonts w:ascii="Times New Roman" w:cs="Times New Roman" w:eastAsia="Times New Roman" w:hAnsi="Times New Roman"/>
          <w:sz w:val="16"/>
          <w:szCs w:val="16"/>
          <w:color w:val="auto"/>
        </w:rPr>
        <w:t>Upon any reclassification, exchange,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substitution, or other event that results in a change of the number and/or class of the securities issuable upon exercise or conversion of this Warrant, Holder shall be entitled to receive, upon exercise or conversion of this Warrant, the number and kind of securities and property that Holder would have received for the Shares if this Warrant had been exercised immediately before such reclassification, exchange, substitution, or other event. Such an event shall include any automatic conversion of the outstanding or issuable securities of the Class to common stock pursuant to the terms of the Company’s Certificate of Incorporation, as amended and in effect from time to time (the “</w:t>
      </w:r>
      <w:r>
        <w:rPr>
          <w:rFonts w:ascii="Times New Roman" w:cs="Times New Roman" w:eastAsia="Times New Roman" w:hAnsi="Times New Roman"/>
          <w:sz w:val="16"/>
          <w:szCs w:val="16"/>
          <w:b w:val="1"/>
          <w:bCs w:val="1"/>
          <w:i w:val="1"/>
          <w:iCs w:val="1"/>
          <w:color w:val="auto"/>
        </w:rPr>
        <w:t>COI</w:t>
      </w:r>
      <w:r>
        <w:rPr>
          <w:rFonts w:ascii="Times New Roman" w:cs="Times New Roman" w:eastAsia="Times New Roman" w:hAnsi="Times New Roman"/>
          <w:sz w:val="16"/>
          <w:szCs w:val="16"/>
          <w:color w:val="auto"/>
        </w:rPr>
        <w:t>”) upon the closing of a registered public offering of the Company’s common stock. The Company or its successor shall promptly issue to Holder a new warrant for such new securities or other property. The new warrant shall provide for adjustments which shall be as nearly equivalent as may be practicable to the adjustments provided for in this Article 2 including, without limitation, adjustments to the Warrant Price and to the number of securities or property issuable upon exercise of the new warrant. The provisions of this Section 2.2 shall similarly apply to successive reclassifications, exchanges, substitutions, or other events.</w:t>
      </w:r>
    </w:p>
    <w:p>
      <w:pPr>
        <w:spacing w:after="0" w:line="1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2.3  [Reserved]</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2.4  [Reserved]</w:t>
      </w:r>
    </w:p>
    <w:p>
      <w:pPr>
        <w:spacing w:after="0" w:line="162"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2.5 Certificate as to Adjustments. </w:t>
      </w:r>
      <w:r>
        <w:rPr>
          <w:rFonts w:ascii="Times New Roman" w:cs="Times New Roman" w:eastAsia="Times New Roman" w:hAnsi="Times New Roman"/>
          <w:sz w:val="17"/>
          <w:szCs w:val="17"/>
          <w:color w:val="auto"/>
        </w:rPr>
        <w:t>Upon each adjustment of the Warrant Price, Class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and/or number of Shares, the Company at its expense shall promptly compute such adjustment, and furnish Holder with a certificate of its Chief Financial Officer setting forth such adjustment and the facts upon which such adjustment is based. The Company shall, upon written request, furnish Holder a certificate setting forth the Warrant Price, Class and number of Shares in effect upon the date thereof and the series of adjustments (if any) leading to such Warrant Price, Class and number of Shares.</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61" w:name="page362"/>
    <w:bookmarkEnd w:id="361"/>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 xml:space="preserve">2.6 Fractional Shares. </w:t>
      </w:r>
      <w:r>
        <w:rPr>
          <w:rFonts w:ascii="Times New Roman" w:cs="Times New Roman" w:eastAsia="Times New Roman" w:hAnsi="Times New Roman"/>
          <w:sz w:val="17"/>
          <w:szCs w:val="17"/>
          <w:color w:val="auto"/>
        </w:rPr>
        <w:t>No fractional Share shall be issuable upon exercise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conversion of this Warrant and the number of Shares to be issued shall be rounded down to the nearest whole Share. If a fractional share interest arises upon any exercise or conversion of the warrant, the Company shall eliminate such fractional share interest by paying Holder the amount computed by multiplying the fractional interest by the fair market value of a full Share.</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REPRESENTATIONS AND COVENANTS OF THE COMPANY AND HOLDER</w:t>
      </w:r>
    </w:p>
    <w:p>
      <w:pPr>
        <w:spacing w:after="0" w:line="162" w:lineRule="exact"/>
        <w:rPr>
          <w:sz w:val="20"/>
          <w:szCs w:val="20"/>
          <w:color w:val="auto"/>
        </w:rPr>
      </w:pPr>
    </w:p>
    <w:p>
      <w:pPr>
        <w:jc w:val="both"/>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3.1 Representations and Warranties. </w:t>
      </w:r>
      <w:r>
        <w:rPr>
          <w:rFonts w:ascii="Times New Roman" w:cs="Times New Roman" w:eastAsia="Times New Roman" w:hAnsi="Times New Roman"/>
          <w:sz w:val="17"/>
          <w:szCs w:val="17"/>
          <w:color w:val="auto"/>
        </w:rPr>
        <w:t>The Company hereby represents and warrants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Holder as follows:</w:t>
      </w:r>
    </w:p>
    <w:p>
      <w:pPr>
        <w:spacing w:after="0" w:line="121" w:lineRule="exact"/>
        <w:rPr>
          <w:sz w:val="20"/>
          <w:szCs w:val="20"/>
          <w:color w:val="auto"/>
        </w:rPr>
      </w:pPr>
    </w:p>
    <w:p>
      <w:pPr>
        <w:jc w:val="both"/>
        <w:ind w:left="1220" w:right="1239" w:firstLine="1013"/>
        <w:spacing w:after="0" w:line="239" w:lineRule="auto"/>
        <w:tabs>
          <w:tab w:leader="none" w:pos="2587" w:val="left"/>
        </w:tabs>
        <w:numPr>
          <w:ilvl w:val="0"/>
          <w:numId w:val="2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Initial Exercise Price first set forth above is not greater than the fair market value of a share of the Class as determined by the most recently completed third-party valuation, approved or accepted by the Company’s Board of Directors, of a share of the Class obtained for purposes of the Company’s compliance with Section 409A of the Internal Revenue Code of 1986, as amended.</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013"/>
        <w:spacing w:after="0" w:line="241" w:lineRule="auto"/>
        <w:tabs>
          <w:tab w:leader="none" w:pos="2597" w:val="left"/>
        </w:tabs>
        <w:numPr>
          <w:ilvl w:val="0"/>
          <w:numId w:val="2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Shares which may be issued upon the exercise of the purchase right represented by this Warrant shall, upon issuance, be duly authorized, validly issued, fully paid and nonassessable, and free of any liens and encumbrances except for restrictions on transfer provided for herein or under applicable federal and state securities laws.</w:t>
      </w:r>
    </w:p>
    <w:p>
      <w:pPr>
        <w:spacing w:after="0" w:line="139" w:lineRule="exact"/>
        <w:rPr>
          <w:rFonts w:ascii="Times New Roman" w:cs="Times New Roman" w:eastAsia="Times New Roman" w:hAnsi="Times New Roman"/>
          <w:sz w:val="17"/>
          <w:szCs w:val="17"/>
          <w:b w:val="1"/>
          <w:bCs w:val="1"/>
          <w:color w:val="auto"/>
        </w:rPr>
      </w:pPr>
    </w:p>
    <w:p>
      <w:pPr>
        <w:ind w:left="1220" w:right="1239" w:firstLine="1013"/>
        <w:spacing w:after="0" w:line="259" w:lineRule="auto"/>
        <w:tabs>
          <w:tab w:leader="none" w:pos="2597" w:val="left"/>
        </w:tabs>
        <w:numPr>
          <w:ilvl w:val="0"/>
          <w:numId w:val="25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Company’s capitalization table attached to this Warrant is true and complete as of the Issue Date.</w:t>
      </w:r>
    </w:p>
    <w:p>
      <w:pPr>
        <w:spacing w:after="0" w:line="121"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3.2 Notice of Certain Events. </w:t>
      </w:r>
      <w:r>
        <w:rPr>
          <w:rFonts w:ascii="Times New Roman" w:cs="Times New Roman" w:eastAsia="Times New Roman" w:hAnsi="Times New Roman"/>
          <w:sz w:val="17"/>
          <w:szCs w:val="17"/>
          <w:color w:val="auto"/>
        </w:rPr>
        <w:t>The Company shall provide Holder with not less than 10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days prior written notice of, including a description of the material facts surrounding, any of the following events: (a) declaration of any dividend or distribution upon the outstanding shares of the Class or common stock, whether in cash, property, stock, or other securities and whether or not a regular cash dividend; (b) offering for subscription pro rata to the all holders of the outstanding shares of the Class or common stock any additional shares of stock of any class or series or other securities or rights; (c) effecting any reclassification or recapitalization of the outstanding shares of the Class or common stock; (d) an Acquisition; and (e) the consummation of the Company’s initial, underwritten offering and sale of its shares to the public pursuant to an effective registration statement under the Securities Act of 1933, as amended (the “</w:t>
      </w:r>
      <w:r>
        <w:rPr>
          <w:rFonts w:ascii="Times New Roman" w:cs="Times New Roman" w:eastAsia="Times New Roman" w:hAnsi="Times New Roman"/>
          <w:sz w:val="17"/>
          <w:szCs w:val="17"/>
          <w:b w:val="1"/>
          <w:bCs w:val="1"/>
          <w:color w:val="auto"/>
        </w:rPr>
        <w:t>IPO</w:t>
      </w:r>
      <w:r>
        <w:rPr>
          <w:rFonts w:ascii="Times New Roman" w:cs="Times New Roman" w:eastAsia="Times New Roman" w:hAnsi="Times New Roman"/>
          <w:sz w:val="17"/>
          <w:szCs w:val="17"/>
          <w:color w:val="auto"/>
        </w:rPr>
        <w:t>”).</w:t>
      </w:r>
    </w:p>
    <w:p>
      <w:pPr>
        <w:spacing w:after="0" w:line="138" w:lineRule="exact"/>
        <w:rPr>
          <w:sz w:val="20"/>
          <w:szCs w:val="20"/>
          <w:color w:val="auto"/>
        </w:rPr>
      </w:pPr>
    </w:p>
    <w:p>
      <w:pPr>
        <w:jc w:val="both"/>
        <w:ind w:left="1220" w:right="1239" w:firstLine="505"/>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3.3 Information Rights. </w:t>
      </w:r>
      <w:r>
        <w:rPr>
          <w:rFonts w:ascii="Times New Roman" w:cs="Times New Roman" w:eastAsia="Times New Roman" w:hAnsi="Times New Roman"/>
          <w:sz w:val="17"/>
          <w:szCs w:val="17"/>
          <w:color w:val="auto"/>
        </w:rPr>
        <w:t>At all times prior to the IPO or, if earlier, such date as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first becomes subject to the periodic reporting requirements of Section 12(g) or 15(d) of the Securities Exchange Act of 1934, as amended, so long as Holder holds this Warrant and/or any of the Shares, the Company shall deliver to Holder, within thirty (30) days after the end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62" w:name="page363"/>
    <w:bookmarkEnd w:id="362"/>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Holder to calculate their respective percentage equity ownership in the Company.</w:t>
      </w:r>
    </w:p>
    <w:p>
      <w:pPr>
        <w:spacing w:after="0" w:line="136"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 xml:space="preserve">3.4 Registration Under Securities Act of 1933, as amended. </w:t>
      </w:r>
      <w:r>
        <w:rPr>
          <w:rFonts w:ascii="Times New Roman" w:cs="Times New Roman" w:eastAsia="Times New Roman" w:hAnsi="Times New Roman"/>
          <w:sz w:val="17"/>
          <w:szCs w:val="17"/>
          <w:color w:val="auto"/>
        </w:rPr>
        <w:t>The Company agrees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that the Shares shall be deemed “Registrable Securities”, and Holder shall be deemed a “Holder,” under the Company’s Investors’ Rights Agreement dated as of April 25. 2025, as amended and in effect from time to time (the “</w:t>
      </w:r>
      <w:r>
        <w:rPr>
          <w:rFonts w:ascii="Times New Roman" w:cs="Times New Roman" w:eastAsia="Times New Roman" w:hAnsi="Times New Roman"/>
          <w:sz w:val="17"/>
          <w:szCs w:val="17"/>
          <w:b w:val="1"/>
          <w:bCs w:val="1"/>
          <w:color w:val="auto"/>
        </w:rPr>
        <w:t>IRA</w:t>
      </w:r>
      <w:r>
        <w:rPr>
          <w:rFonts w:ascii="Times New Roman" w:cs="Times New Roman" w:eastAsia="Times New Roman" w:hAnsi="Times New Roman"/>
          <w:sz w:val="17"/>
          <w:szCs w:val="17"/>
          <w:color w:val="auto"/>
        </w:rPr>
        <w:t>”), for purposes of the piggyback registration rights set forth therein.</w:t>
      </w:r>
    </w:p>
    <w:p>
      <w:pPr>
        <w:spacing w:after="0" w:line="137"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3.5 Lock-Up Agreement </w:t>
      </w:r>
      <w:r>
        <w:rPr>
          <w:rFonts w:ascii="Times New Roman" w:cs="Times New Roman" w:eastAsia="Times New Roman" w:hAnsi="Times New Roman"/>
          <w:sz w:val="17"/>
          <w:szCs w:val="17"/>
          <w:color w:val="auto"/>
        </w:rPr>
        <w:t>. If so requested by the Company or the underwriters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connection with the IPO, Holder shall not sell, make any short sale of, loan, grant any option for the purchase of, or otherwise dispose of any securities of the Company however or whenever acquired (except for those being registered) without the prior written consent of the Company or such underwriters, as the case may be, for 180 days from the effective date of the registration statement, plus such additional period, to the extent required by FINRA rules, up to a maximum of 216 days from the effective date of the registration statement, and Holder shall execute an agreement reflecting the foregoing as may be requested by the underwriters at the time of such offering. In order to enforce the foregoing covenants, the Company may impose stop-transfer instructions with respect to the securities of Holder.</w:t>
      </w:r>
    </w:p>
    <w:p>
      <w:pPr>
        <w:spacing w:after="0" w:line="138"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3.6 Stockholder Agreements</w:t>
      </w:r>
      <w:r>
        <w:rPr>
          <w:rFonts w:ascii="Times New Roman" w:cs="Times New Roman" w:eastAsia="Times New Roman" w:hAnsi="Times New Roman"/>
          <w:sz w:val="17"/>
          <w:szCs w:val="17"/>
          <w:color w:val="auto"/>
        </w:rPr>
        <w:t>. Following any exercise of this Warrant and solely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the Shares issued thereupon, if the Company so requests in writing, Holder shall become a party to the IRA and to Company’s then-effective right of first refusal and co-sale agreement, voting agreement and/or each other agreement entered into among the Company and certain holders of the Company’s capital stock, each as may be amended and in effect from time to time (collectively, the “</w:t>
      </w:r>
      <w:r>
        <w:rPr>
          <w:rFonts w:ascii="Times New Roman" w:cs="Times New Roman" w:eastAsia="Times New Roman" w:hAnsi="Times New Roman"/>
          <w:sz w:val="17"/>
          <w:szCs w:val="17"/>
          <w:b w:val="1"/>
          <w:bCs w:val="1"/>
          <w:color w:val="auto"/>
        </w:rPr>
        <w:t>Stockholder Agreements</w:t>
      </w:r>
      <w:r>
        <w:rPr>
          <w:rFonts w:ascii="Times New Roman" w:cs="Times New Roman" w:eastAsia="Times New Roman" w:hAnsi="Times New Roman"/>
          <w:sz w:val="17"/>
          <w:szCs w:val="17"/>
          <w:color w:val="auto"/>
        </w:rPr>
        <w:t>”), by execution and delivery to the Company of a counterpart signature page, joinder agreement, instrument of accession or similar instrument, on condition that such Stockholder Agreements are by their terms in force and effect at the time of such exercise. If the Stockholder Agreements are by their terms in force and effect at the time of such exercise, then effective upon such exercise, Holder shall automatically become bound by, and the Shares issued upon such exercise shall automatically become subject to, such Stockholder Agreements.</w:t>
      </w:r>
    </w:p>
    <w:p>
      <w:pPr>
        <w:spacing w:after="0" w:line="1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162" w:lineRule="exact"/>
        <w:rPr>
          <w:sz w:val="20"/>
          <w:szCs w:val="20"/>
          <w:color w:val="auto"/>
        </w:rPr>
      </w:pPr>
    </w:p>
    <w:p>
      <w:pPr>
        <w:jc w:val="both"/>
        <w:ind w:left="1220" w:right="1239" w:firstLine="505"/>
        <w:spacing w:after="0"/>
        <w:rPr>
          <w:sz w:val="20"/>
          <w:szCs w:val="20"/>
          <w:color w:val="auto"/>
        </w:rPr>
      </w:pPr>
      <w:r>
        <w:rPr>
          <w:rFonts w:ascii="Times New Roman" w:cs="Times New Roman" w:eastAsia="Times New Roman" w:hAnsi="Times New Roman"/>
          <w:sz w:val="17"/>
          <w:szCs w:val="17"/>
          <w:b w:val="1"/>
          <w:bCs w:val="1"/>
          <w:color w:val="auto"/>
        </w:rPr>
        <w:t xml:space="preserve">4.1 Term: Exercise Upon Expiration. </w:t>
      </w:r>
      <w:r>
        <w:rPr>
          <w:rFonts w:ascii="Times New Roman" w:cs="Times New Roman" w:eastAsia="Times New Roman" w:hAnsi="Times New Roman"/>
          <w:sz w:val="17"/>
          <w:szCs w:val="17"/>
          <w:color w:val="auto"/>
        </w:rPr>
        <w:t>This Warrant is exercisable in whole or in part,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at any time and from time to time on or before the Expiration Date set forth above. If this Warrant has not been exercised prior to the Expiration Date, this Warrant shall be deemed to have been automatically exercised on the Expiration Date by “cashless” conversion pursuant to Section 1.2.</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63" w:name="page364"/>
    <w:bookmarkEnd w:id="363"/>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4.2 Legends. </w:t>
      </w:r>
      <w:r>
        <w:rPr>
          <w:rFonts w:ascii="Times New Roman" w:cs="Times New Roman" w:eastAsia="Times New Roman" w:hAnsi="Times New Roman"/>
          <w:sz w:val="17"/>
          <w:szCs w:val="17"/>
          <w:color w:val="auto"/>
        </w:rPr>
        <w:t>This Warrant and the Shares (and the securities issuable, directly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indirectly, upon conversion of the Shares, if any) shall be imprinted with a legend in substantially the following form:</w:t>
      </w:r>
    </w:p>
    <w:p>
      <w:pPr>
        <w:spacing w:after="0" w:line="134"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THIS SECURITY HAS NOT BEEN REGISTERED UNDER THE SECURITIES ACT OF 1933, AS AMENDED, AND MAY NOT BE SOLD, PLEDGED OR OTHERWISE TRANSFERRED EXCEPT IN ACCORDANCE WITH APPLICABLE LAW.</w:t>
      </w:r>
    </w:p>
    <w:p>
      <w:pPr>
        <w:spacing w:after="0" w:line="131" w:lineRule="exact"/>
        <w:rPr>
          <w:sz w:val="20"/>
          <w:szCs w:val="20"/>
          <w:color w:val="auto"/>
        </w:rPr>
      </w:pPr>
    </w:p>
    <w:p>
      <w:pPr>
        <w:jc w:val="both"/>
        <w:ind w:left="1220" w:right="1239" w:firstLine="505"/>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4.3 Compliance with Securities Laws on Transfer. </w:t>
      </w:r>
      <w:r>
        <w:rPr>
          <w:rFonts w:ascii="Times New Roman" w:cs="Times New Roman" w:eastAsia="Times New Roman" w:hAnsi="Times New Roman"/>
          <w:sz w:val="17"/>
          <w:szCs w:val="17"/>
          <w:color w:val="auto"/>
        </w:rPr>
        <w:t>This Warrant and the Shares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issuable upon exercise of this Warrant (and the securities issuable, directly or indirectly, upon conversion of the Shares, if any) may not be transferred or assigned in whole or in part without compliance with applicable federal and state securities laws by the transferor and the transferee. The Company shall not require Holder to provide an opinion of counsel if the transfer is to Banc of California, Inc. or any other affiliate of Holder or if there is no material question as to the availability of current information as referenced in Rule 144(c), Holder represents that it has complied with Rule 144 (d) and (e) in reasonable detail, the selling broker represents that it has complied with Rule 144(f), and the Company is provided with a copy of Holder’s notice of proposed sale.</w:t>
      </w:r>
    </w:p>
    <w:p>
      <w:pPr>
        <w:spacing w:after="0" w:line="138" w:lineRule="exact"/>
        <w:rPr>
          <w:sz w:val="20"/>
          <w:szCs w:val="20"/>
          <w:color w:val="auto"/>
        </w:rPr>
      </w:pPr>
    </w:p>
    <w:p>
      <w:pPr>
        <w:jc w:val="both"/>
        <w:ind w:left="1220" w:right="1239" w:firstLine="505"/>
        <w:spacing w:after="0" w:line="234" w:lineRule="auto"/>
        <w:rPr>
          <w:sz w:val="20"/>
          <w:szCs w:val="20"/>
          <w:color w:val="auto"/>
        </w:rPr>
      </w:pPr>
      <w:r>
        <w:rPr>
          <w:rFonts w:ascii="Times New Roman" w:cs="Times New Roman" w:eastAsia="Times New Roman" w:hAnsi="Times New Roman"/>
          <w:sz w:val="17"/>
          <w:szCs w:val="17"/>
          <w:b w:val="1"/>
          <w:bCs w:val="1"/>
          <w:color w:val="auto"/>
        </w:rPr>
        <w:t xml:space="preserve">4.4 Transfer Procedure. </w:t>
      </w:r>
      <w:r>
        <w:rPr>
          <w:rFonts w:ascii="Times New Roman" w:cs="Times New Roman" w:eastAsia="Times New Roman" w:hAnsi="Times New Roman"/>
          <w:sz w:val="17"/>
          <w:szCs w:val="17"/>
          <w:color w:val="auto"/>
        </w:rPr>
        <w:t>After receipt by Banc of California of this Warrant, Banc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California will transfer all of this Warrant to its parent company, Banc of California, Inc. without any separate assignment agreement, and by its acceptance of this Warrant Banc of California, Inc., on and as of the date of any such assignment hereby agrees to be bound by all of the terms and conditions of this Warrant as if it were the original Holder hereof. Subject to the preceding sentence and the provisions of Article 4.3, Holder may transfer all or part of this Warrant or the Shares issued upon exercise of this Warrant to any transferee; provided, that in connection with any such transfer, Holder will give the Company notice of the portion of the Warrant and/or Shares being transferred with the name, address and taxpayer identification number of the transferee, and Holder will surrender this Warrant, or the certificates or other evidence of such Shares or other securities, to the Company for reissuance to the transferee(s) (and to Holder if applicable); and provided further, that any transferee shall agree in writing with the Company to be bound by all of the terms and conditions of this Warrant; and provided further, that the transfer of any Shares issued on exercise hereof shall be subject to the provisions of the Stockholder Agreements to the extent Holder is then a party thereto or otherwise subject thereto in accordance with the provisions of Section 3.6 above. No surrender or reissuance of this Warrant shall be required for the transfer to Banc of California, Inc. or a transfer to any other affiliate of Holder. Notwithstanding any contrary provision herein, at all times prior to the IPO, Holder may not, without the Company’s prior written consent, transfer this Warrant or any portion hereof, or any Shares issued upon any exercise hereof to any person or entity who directly competes with the Company (as determined by the Company’s Board of Directors in its reasonable good faith judgment), except in connection with an Acquisition of the Company by such a direct competitor.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64" w:name="page365"/>
    <w:bookmarkEnd w:id="364"/>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4.5 Notices. </w:t>
      </w:r>
      <w:r>
        <w:rPr>
          <w:rFonts w:ascii="Times New Roman" w:cs="Times New Roman" w:eastAsia="Times New Roman" w:hAnsi="Times New Roman"/>
          <w:sz w:val="17"/>
          <w:szCs w:val="17"/>
          <w:color w:val="auto"/>
        </w:rPr>
        <w:t>All notices and other communications from the Company to the Holder,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vice versa, shall be deemed delivered and effective when given personally or mailed by first-class registered or certified mail, postage prepaid, or by electronic mail at such address as may have been furnished to the Company or the Holder, as the case may be, in writing by the Company or such Holder from time to time. All notices to the Holder shall be addressed as follows:</w:t>
      </w:r>
    </w:p>
    <w:p>
      <w:pPr>
        <w:spacing w:after="0" w:line="16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Banc of California, Inc.</w:t>
      </w:r>
    </w:p>
    <w:p>
      <w:pPr>
        <w:spacing w:after="0" w:line="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Attn: Warrant Administrator</w:t>
      </w:r>
    </w:p>
    <w:p>
      <w:pPr>
        <w:ind w:left="2240"/>
        <w:spacing w:after="0" w:line="232" w:lineRule="auto"/>
        <w:rPr>
          <w:sz w:val="20"/>
          <w:szCs w:val="20"/>
          <w:color w:val="auto"/>
        </w:rPr>
      </w:pPr>
      <w:r>
        <w:rPr>
          <w:rFonts w:ascii="Times New Roman" w:cs="Times New Roman" w:eastAsia="Times New Roman" w:hAnsi="Times New Roman"/>
          <w:sz w:val="17"/>
          <w:szCs w:val="17"/>
          <w:color w:val="auto"/>
        </w:rPr>
        <w:t>555 S. Mangum Street, Suite 1000</w:t>
      </w:r>
    </w:p>
    <w:p>
      <w:pPr>
        <w:ind w:left="2240"/>
        <w:spacing w:after="0" w:line="232" w:lineRule="auto"/>
        <w:rPr>
          <w:sz w:val="20"/>
          <w:szCs w:val="20"/>
          <w:color w:val="auto"/>
        </w:rPr>
      </w:pPr>
      <w:r>
        <w:rPr>
          <w:rFonts w:ascii="Times New Roman" w:cs="Times New Roman" w:eastAsia="Times New Roman" w:hAnsi="Times New Roman"/>
          <w:sz w:val="17"/>
          <w:szCs w:val="17"/>
          <w:color w:val="auto"/>
        </w:rPr>
        <w:t>Durham, NC 27701</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Email:</w:t>
      </w:r>
    </w:p>
    <w:p>
      <w:pPr>
        <w:spacing w:after="0" w:line="161"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4.6 Amendments. </w:t>
      </w:r>
      <w:r>
        <w:rPr>
          <w:rFonts w:ascii="Times New Roman" w:cs="Times New Roman" w:eastAsia="Times New Roman" w:hAnsi="Times New Roman"/>
          <w:sz w:val="17"/>
          <w:szCs w:val="17"/>
          <w:color w:val="auto"/>
        </w:rPr>
        <w:t>This Warrant and any term hereof may be changed, waived,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discharged or terminated only by an instrument in writing signed by the party against which enforcement of such change, waiver, discharge or termination is sought.</w:t>
      </w:r>
    </w:p>
    <w:p>
      <w:pPr>
        <w:spacing w:after="0" w:line="130"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4.7 Attorneys’ Fees. </w:t>
      </w:r>
      <w:r>
        <w:rPr>
          <w:rFonts w:ascii="Times New Roman" w:cs="Times New Roman" w:eastAsia="Times New Roman" w:hAnsi="Times New Roman"/>
          <w:sz w:val="17"/>
          <w:szCs w:val="17"/>
          <w:color w:val="auto"/>
        </w:rPr>
        <w:t>In the event of any dispute between the parties concerning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and provisions of this Warrant, the party prevailing in such dispute shall be entitled to collect from the other party all costs incurred in such dispute, including reasonable attorneys’ fees.</w:t>
      </w:r>
    </w:p>
    <w:p>
      <w:pPr>
        <w:spacing w:after="0" w:line="133"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4.8 Electronic Transmission; Electronic Signatures. </w:t>
      </w:r>
      <w:r>
        <w:rPr>
          <w:rFonts w:ascii="Times New Roman" w:cs="Times New Roman" w:eastAsia="Times New Roman" w:hAnsi="Times New Roman"/>
          <w:sz w:val="17"/>
          <w:szCs w:val="17"/>
          <w:color w:val="auto"/>
        </w:rPr>
        <w:t>Executed copies of this Warrant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the signature page of this Warrant sent by facsimile or transmitted electronically in Portable Document Format (“PDF”) or any similar format, or transmitted electronically by digital image, DocuSign, or other means of electronic transmission, shall be treated as originals, fully binding and with full legal force and effect, and the Company hereby waives any rights it may have to object to such treatment. The words “execution,” “signed,” “signature,” “delivery,” and words of like import in or relating to this Warrant and/or any document to be signed in connection with this Warrant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38"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4.9 Governing Law. </w:t>
      </w:r>
      <w:r>
        <w:rPr>
          <w:rFonts w:ascii="Times New Roman" w:cs="Times New Roman" w:eastAsia="Times New Roman" w:hAnsi="Times New Roman"/>
          <w:sz w:val="17"/>
          <w:szCs w:val="17"/>
          <w:color w:val="auto"/>
        </w:rPr>
        <w:t>This Warrant shall be governed by and construed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laws of the State of Delaware, without giving effect to its principles regarding conflicts of law.</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Follows]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365" w:name="page366"/>
    <w:bookmarkEnd w:id="365"/>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IN WITNESS WHEREOF, the undersigned has executed this Warrant to Purchase Stock as of the date set forth above.</w:t>
      </w:r>
    </w:p>
    <w:p>
      <w:pPr>
        <w:spacing w:after="0" w:line="12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33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By: /s/ Doug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8890</wp:posOffset>
            </wp:positionV>
            <wp:extent cx="1868805" cy="698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868805" cy="6985"/>
                    </a:xfrm>
                    <a:prstGeom prst="rect">
                      <a:avLst/>
                    </a:prstGeom>
                    <a:noFill/>
                  </pic:spPr>
                </pic:pic>
              </a:graphicData>
            </a:graphic>
          </wp:anchor>
        </w:drawing>
      </w:r>
    </w:p>
    <w:p>
      <w:pPr>
        <w:spacing w:after="0" w:line="15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Doug Carlson</w:t>
      </w:r>
    </w:p>
    <w:p>
      <w:pPr>
        <w:spacing w:after="0" w:line="162"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Title: CFO</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to Warrant to Purchase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906780</wp:posOffset>
            </wp:positionV>
            <wp:extent cx="54857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366" w:name="page367"/>
    <w:bookmarkEnd w:id="36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APPENDIX 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EXERCISE</w:t>
      </w:r>
    </w:p>
    <w:p>
      <w:pPr>
        <w:sectPr>
          <w:pgSz w:w="11900" w:h="16838" w:orient="portrait"/>
          <w:cols w:equalWidth="0" w:num="1">
            <w:col w:w="9019"/>
          </w:cols>
          <w:pgMar w:left="1440" w:top="1124" w:right="1440" w:bottom="1440" w:gutter="0" w:footer="0" w:header="0"/>
        </w:sectPr>
      </w:pPr>
    </w:p>
    <w:p>
      <w:pPr>
        <w:spacing w:after="0" w:line="17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tabs>
          <w:tab w:leader="none" w:pos="3540" w:val="left"/>
          <w:tab w:leader="none" w:pos="5500" w:val="left"/>
        </w:tabs>
        <w:rPr>
          <w:sz w:val="20"/>
          <w:szCs w:val="20"/>
          <w:color w:val="auto"/>
        </w:rPr>
      </w:pPr>
      <w:r>
        <w:rPr>
          <w:rFonts w:ascii="Times New Roman" w:cs="Times New Roman" w:eastAsia="Times New Roman" w:hAnsi="Times New Roman"/>
          <w:sz w:val="17"/>
          <w:szCs w:val="17"/>
          <w:color w:val="auto"/>
        </w:rPr>
        <w:t>The undersigned hereby elects to purchase</w:t>
      </w:r>
      <w:r>
        <w:rPr>
          <w:sz w:val="20"/>
          <w:szCs w:val="20"/>
          <w:color w:val="auto"/>
        </w:rPr>
        <w:tab/>
      </w:r>
      <w:r>
        <w:rPr>
          <w:rFonts w:ascii="Times New Roman" w:cs="Times New Roman" w:eastAsia="Times New Roman" w:hAnsi="Times New Roman"/>
          <w:sz w:val="17"/>
          <w:szCs w:val="17"/>
          <w:color w:val="auto"/>
        </w:rPr>
        <w:t>shares of the stock</w:t>
      </w:r>
      <w:r>
        <w:rPr>
          <w:sz w:val="20"/>
          <w:szCs w:val="20"/>
          <w:color w:val="auto"/>
        </w:rPr>
        <w:tab/>
      </w:r>
      <w:r>
        <w:rPr>
          <w:rFonts w:ascii="Times New Roman" w:cs="Times New Roman" w:eastAsia="Times New Roman" w:hAnsi="Times New Roman"/>
          <w:sz w:val="16"/>
          <w:szCs w:val="16"/>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2076450</wp:posOffset>
            </wp:positionH>
            <wp:positionV relativeFrom="paragraph">
              <wp:posOffset>-10160</wp:posOffset>
            </wp:positionV>
            <wp:extent cx="118110" cy="698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18110" cy="6985"/>
                    </a:xfrm>
                    <a:prstGeom prst="rect">
                      <a:avLst/>
                    </a:prstGeom>
                    <a:noFill/>
                  </pic:spPr>
                </pic:pic>
              </a:graphicData>
            </a:graphic>
          </wp:anchor>
        </w:drawing>
        <w:drawing>
          <wp:anchor simplePos="0" relativeHeight="251657728" behindDoc="1" locked="0" layoutInCell="0" allowOverlap="1">
            <wp:simplePos x="0" y="0"/>
            <wp:positionH relativeFrom="column">
              <wp:posOffset>3240405</wp:posOffset>
            </wp:positionH>
            <wp:positionV relativeFrom="paragraph">
              <wp:posOffset>-10160</wp:posOffset>
            </wp:positionV>
            <wp:extent cx="262890" cy="698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262890" cy="698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1860" w:space="260"/>
            <w:col w:w="6899"/>
          </w:cols>
          <w:pgMar w:left="1440" w:top="1124" w:right="1440" w:bottom="1440" w:gutter="0" w:footer="0" w:header="0"/>
          <w:type w:val="continuous"/>
        </w:sectPr>
      </w:pPr>
    </w:p>
    <w:p>
      <w:pPr>
        <w:ind w:left="1220" w:right="1239"/>
        <w:spacing w:after="0" w:line="232" w:lineRule="auto"/>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1"/>
          <w:szCs w:val="11"/>
          <w:b w:val="1"/>
          <w:bCs w:val="1"/>
          <w:color w:val="auto"/>
        </w:rPr>
        <w:t>orrower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the terms of the attached warrant, and tenders herewith payment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purchase price of such shares in full.</w:t>
      </w:r>
    </w:p>
    <w:p>
      <w:pPr>
        <w:spacing w:after="0" w:line="140" w:lineRule="exact"/>
        <w:rPr>
          <w:sz w:val="20"/>
          <w:szCs w:val="20"/>
          <w:color w:val="auto"/>
        </w:rPr>
      </w:pPr>
    </w:p>
    <w:p>
      <w:pPr>
        <w:ind w:left="2080" w:hanging="351"/>
        <w:spacing w:after="0"/>
        <w:tabs>
          <w:tab w:leader="none" w:pos="2080" w:val="left"/>
        </w:tabs>
        <w:numPr>
          <w:ilvl w:val="0"/>
          <w:numId w:val="2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undersigned hereby elects to convert the attached warrant into shares in the</w:t>
      </w:r>
    </w:p>
    <w:tbl>
      <w:tblPr>
        <w:tblLayout w:type="fixed"/>
        <w:tblInd w:w="1220" w:type="dxa"/>
        <w:tblCellMar>
          <w:top w:w="0" w:type="dxa"/>
          <w:left w:w="0" w:type="dxa"/>
          <w:bottom w:w="0" w:type="dxa"/>
          <w:right w:w="0" w:type="dxa"/>
        </w:tblCellMar>
      </w:tblPr>
      <w:tr>
        <w:trPr>
          <w:trHeight w:val="172"/>
        </w:trPr>
        <w:tc>
          <w:tcPr>
            <w:tcW w:w="5420" w:type="dxa"/>
            <w:vAlign w:val="bottom"/>
          </w:tcPr>
          <w:p>
            <w:pPr>
              <w:spacing w:after="0" w:line="172" w:lineRule="exact"/>
              <w:rPr>
                <w:sz w:val="20"/>
                <w:szCs w:val="20"/>
                <w:color w:val="auto"/>
              </w:rPr>
            </w:pPr>
            <w:r>
              <w:rPr>
                <w:rFonts w:ascii="Times New Roman" w:cs="Times New Roman" w:eastAsia="Times New Roman" w:hAnsi="Times New Roman"/>
                <w:sz w:val="17"/>
                <w:szCs w:val="17"/>
                <w:color w:val="auto"/>
              </w:rPr>
              <w:t>manner specified in the warrant. This conversion is exercised with respect to</w:t>
            </w:r>
          </w:p>
        </w:tc>
        <w:tc>
          <w:tcPr>
            <w:tcW w:w="180" w:type="dxa"/>
            <w:vAlign w:val="bottom"/>
            <w:tcBorders>
              <w:bottom w:val="single" w:sz="8" w:color="auto"/>
            </w:tcBorders>
          </w:tcPr>
          <w:p>
            <w:pPr>
              <w:spacing w:after="0"/>
              <w:rPr>
                <w:sz w:val="14"/>
                <w:szCs w:val="14"/>
                <w:color w:val="auto"/>
              </w:rPr>
            </w:pPr>
          </w:p>
        </w:tc>
        <w:tc>
          <w:tcPr>
            <w:tcW w:w="960" w:type="dxa"/>
            <w:vAlign w:val="bottom"/>
          </w:tcPr>
          <w:p>
            <w:pPr>
              <w:ind w:left="80"/>
              <w:spacing w:after="0" w:line="172" w:lineRule="exact"/>
              <w:rPr>
                <w:sz w:val="20"/>
                <w:szCs w:val="20"/>
                <w:color w:val="auto"/>
              </w:rPr>
            </w:pPr>
            <w:r>
              <w:rPr>
                <w:rFonts w:ascii="Times New Roman" w:cs="Times New Roman" w:eastAsia="Times New Roman" w:hAnsi="Times New Roman"/>
                <w:sz w:val="17"/>
                <w:szCs w:val="17"/>
                <w:color w:val="auto"/>
              </w:rPr>
              <w:t>of the shares</w:t>
            </w:r>
          </w:p>
        </w:tc>
      </w:tr>
      <w:tr>
        <w:trPr>
          <w:trHeight w:val="209"/>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covered by the warrant.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r>
    </w:tbl>
    <w:p>
      <w:pPr>
        <w:spacing w:after="0" w:line="13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[Strike paragraph that does not apply.]</w:t>
      </w:r>
    </w:p>
    <w:p>
      <w:pPr>
        <w:spacing w:after="0" w:line="166" w:lineRule="exact"/>
        <w:rPr>
          <w:sz w:val="20"/>
          <w:szCs w:val="20"/>
          <w:color w:val="auto"/>
        </w:rPr>
      </w:pPr>
    </w:p>
    <w:p>
      <w:pPr>
        <w:ind w:left="1220" w:right="1239" w:firstLine="509"/>
        <w:spacing w:after="0" w:line="259" w:lineRule="auto"/>
        <w:tabs>
          <w:tab w:leader="none" w:pos="2071" w:val="left"/>
        </w:tabs>
        <w:numPr>
          <w:ilvl w:val="0"/>
          <w:numId w:val="2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Please issue a certificate or certificates representing said shares in the name of the undersigned or in such other name as is specified below:</w:t>
      </w:r>
    </w:p>
    <w:p>
      <w:pPr>
        <w:spacing w:after="0" w:line="15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(Holder’s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-116840</wp:posOffset>
            </wp:positionV>
            <wp:extent cx="1995805" cy="698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995805" cy="698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222885</wp:posOffset>
            </wp:positionV>
            <wp:extent cx="1995805" cy="698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-116840</wp:posOffset>
            </wp:positionV>
            <wp:extent cx="1995805" cy="698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both"/>
        <w:ind w:left="1220" w:right="1239" w:firstLine="509"/>
        <w:spacing w:after="0" w:line="246" w:lineRule="auto"/>
        <w:tabs>
          <w:tab w:leader="none" w:pos="2061" w:val="left"/>
        </w:tabs>
        <w:numPr>
          <w:ilvl w:val="0"/>
          <w:numId w:val="25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undersigned represents it is acquiring the shares solely for its own account and not as a nominee for any other party and not with a view toward the resale or distribution thereof except in compliance with applicable securities laws.</w:t>
      </w:r>
    </w:p>
    <w:p>
      <w:pPr>
        <w:spacing w:after="0" w:line="13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B</w:t>
      </w:r>
      <w:r>
        <w:rPr>
          <w:rFonts w:ascii="Times New Roman" w:cs="Times New Roman" w:eastAsia="Times New Roman" w:hAnsi="Times New Roman"/>
          <w:sz w:val="11"/>
          <w:szCs w:val="11"/>
          <w:b w:val="1"/>
          <w:bCs w:val="1"/>
          <w:color w:val="auto"/>
        </w:rPr>
        <w:t>anc of</w:t>
      </w:r>
      <w:r>
        <w:rPr>
          <w:rFonts w:ascii="Times New Roman" w:cs="Times New Roman" w:eastAsia="Times New Roman" w:hAnsi="Times New Roman"/>
          <w:sz w:val="17"/>
          <w:szCs w:val="17"/>
          <w:b w:val="1"/>
          <w:bCs w:val="1"/>
          <w:color w:val="auto"/>
        </w:rPr>
        <w:t xml:space="preserve"> C</w:t>
      </w:r>
      <w:r>
        <w:rPr>
          <w:rFonts w:ascii="Times New Roman" w:cs="Times New Roman" w:eastAsia="Times New Roman" w:hAnsi="Times New Roman"/>
          <w:sz w:val="11"/>
          <w:szCs w:val="11"/>
          <w:b w:val="1"/>
          <w:bCs w:val="1"/>
          <w:color w:val="auto"/>
        </w:rPr>
        <w:t>alifornia</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Registered Assignee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-116840</wp:posOffset>
            </wp:positionV>
            <wp:extent cx="1995805" cy="698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pacing w:after="0" w:line="34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904240</wp:posOffset>
            </wp:positionV>
            <wp:extent cx="54857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-116840</wp:posOffset>
            </wp:positionV>
            <wp:extent cx="1995805" cy="698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995805" cy="698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367" w:name="page368"/>
    <w:bookmarkEnd w:id="367"/>
    <w:p>
      <w:pPr>
        <w:jc w:val="right"/>
        <w:ind w:right="1239"/>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(f/k/a Genoa Pharmaceuticals, Inc.)</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2012 EQUITY INCENTIVE PLAN</w:t>
      </w:r>
    </w:p>
    <w:p>
      <w:pPr>
        <w:spacing w:after="0" w:line="174"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5"/>
          <w:szCs w:val="15"/>
          <w:b w:val="1"/>
          <w:bCs w:val="1"/>
          <w:color w:val="auto"/>
        </w:rPr>
        <w:t>as amended March 13, 2017, December 19, 2018,</w:t>
      </w:r>
    </w:p>
    <w:p>
      <w:pPr>
        <w:spacing w:after="0" w:line="26"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5"/>
          <w:szCs w:val="15"/>
          <w:b w:val="1"/>
          <w:bCs w:val="1"/>
          <w:color w:val="auto"/>
        </w:rPr>
        <w:t>November 20, 2019 and April 22, 2020</w:t>
      </w:r>
    </w:p>
    <w:p>
      <w:pPr>
        <w:spacing w:after="0" w:line="154" w:lineRule="exact"/>
        <w:rPr>
          <w:sz w:val="20"/>
          <w:szCs w:val="20"/>
          <w:color w:val="auto"/>
        </w:rPr>
      </w:pPr>
    </w:p>
    <w:p>
      <w:pPr>
        <w:ind w:left="1920" w:hanging="191"/>
        <w:spacing w:after="0"/>
        <w:tabs>
          <w:tab w:leader="none" w:pos="1920" w:val="left"/>
        </w:tabs>
        <w:numPr>
          <w:ilvl w:val="0"/>
          <w:numId w:val="2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Purpose</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color w:val="auto"/>
        </w:rPr>
        <w:t>The purpose of the Plan is to advance the interests of the Company’s stockholders by enhancing the Company’s ability to attract, retain and motivate persons who make (or are expected to make) important contributions to the Company by providing such persons with equity ownership opportunities and thereby better aligning the interests of such persons with those of the Company’s stockholders. Capitalized terms used in the Plan are defined in Section 11 below.</w:t>
      </w:r>
    </w:p>
    <w:p>
      <w:pPr>
        <w:spacing w:after="0" w:line="134" w:lineRule="exact"/>
        <w:rPr>
          <w:sz w:val="20"/>
          <w:szCs w:val="20"/>
          <w:color w:val="auto"/>
        </w:rPr>
      </w:pPr>
    </w:p>
    <w:p>
      <w:pPr>
        <w:ind w:left="1920" w:hanging="191"/>
        <w:spacing w:after="0"/>
        <w:tabs>
          <w:tab w:leader="none" w:pos="1920" w:val="left"/>
        </w:tabs>
        <w:numPr>
          <w:ilvl w:val="0"/>
          <w:numId w:val="2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Eligibility</w:t>
      </w:r>
      <w:r>
        <w:rPr>
          <w:rFonts w:ascii="Times New Roman" w:cs="Times New Roman" w:eastAsia="Times New Roman" w:hAnsi="Times New Roman"/>
          <w:sz w:val="15"/>
          <w:szCs w:val="15"/>
          <w:i w:val="1"/>
          <w:iCs w:val="1"/>
          <w:color w:val="auto"/>
        </w:rPr>
        <w:t>.</w:t>
      </w:r>
    </w:p>
    <w:p>
      <w:pPr>
        <w:spacing w:after="0" w:line="178" w:lineRule="exact"/>
        <w:rPr>
          <w:sz w:val="20"/>
          <w:szCs w:val="20"/>
          <w:color w:val="auto"/>
        </w:rPr>
      </w:pPr>
    </w:p>
    <w:p>
      <w:pPr>
        <w:ind w:left="1220" w:right="1239" w:firstLine="1009"/>
        <w:spacing w:after="0" w:line="285" w:lineRule="auto"/>
        <w:rPr>
          <w:sz w:val="20"/>
          <w:szCs w:val="20"/>
          <w:color w:val="auto"/>
        </w:rPr>
      </w:pPr>
      <w:r>
        <w:rPr>
          <w:rFonts w:ascii="Times New Roman" w:cs="Times New Roman" w:eastAsia="Times New Roman" w:hAnsi="Times New Roman"/>
          <w:sz w:val="15"/>
          <w:szCs w:val="15"/>
          <w:color w:val="auto"/>
        </w:rPr>
        <w:t>Service Providers are eligible to be granted Awards under the Plan, subject to the limitations described herein.</w:t>
      </w:r>
    </w:p>
    <w:p>
      <w:pPr>
        <w:spacing w:after="0" w:line="112" w:lineRule="exact"/>
        <w:rPr>
          <w:sz w:val="20"/>
          <w:szCs w:val="20"/>
          <w:color w:val="auto"/>
        </w:rPr>
      </w:pPr>
    </w:p>
    <w:p>
      <w:pPr>
        <w:ind w:left="1920" w:hanging="191"/>
        <w:spacing w:after="0"/>
        <w:tabs>
          <w:tab w:leader="none" w:pos="1920"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Administration and Delegation</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2" w:lineRule="auto"/>
        <w:tabs>
          <w:tab w:leader="none" w:pos="2592" w:val="left"/>
        </w:tabs>
        <w:numPr>
          <w:ilvl w:val="1"/>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Administration. </w:t>
      </w:r>
      <w:r>
        <w:rPr>
          <w:rFonts w:ascii="Times New Roman" w:cs="Times New Roman" w:eastAsia="Times New Roman" w:hAnsi="Times New Roman"/>
          <w:sz w:val="15"/>
          <w:szCs w:val="15"/>
          <w:color w:val="auto"/>
        </w:rPr>
        <w:t>The Plan will be administered by the Administrator.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Administrator shall have authority to determine which Service Providers will receive Awards, to grant Awards and to set all terms and conditions of Awards (including, but not limited to, vesting, exercise and forfeiture provisions). In addition, the Administrator shall have the authority to take all actions and make all determinations contemplated by the Plan and to adopt, amend and repeal such administrative rules, guidelines and practices relating to the Plan as it shall deem advisable. The Administrator may correct any defect or ambiguity, supply any omission or reconcile any inconsistency in the Plan or any Award in the manner and to the extent it shall deem necessary or appropriate to carry the Plan and any Awards into effect, as determined by the Administrator. The Administrator shall make all determinations under the Plan in the Administrator’s sole discretion and all such determinations shall be final and binding on all persons having or claiming any interest in the Plan or in any Award.</w:t>
      </w:r>
    </w:p>
    <w:p>
      <w:pPr>
        <w:spacing w:after="0" w:line="141"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1"/>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Appointment of Committees. </w:t>
      </w:r>
      <w:r>
        <w:rPr>
          <w:rFonts w:ascii="Times New Roman" w:cs="Times New Roman" w:eastAsia="Times New Roman" w:hAnsi="Times New Roman"/>
          <w:sz w:val="15"/>
          <w:szCs w:val="15"/>
          <w:color w:val="auto"/>
        </w:rPr>
        <w:t>To the extent permitted by Applicable Laws,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Board may delegate any or all of its powers under the Plan to one or more Committees. The Board may abolish any Committee at any time and re-vest in itself any previously delegated authority.</w:t>
      </w:r>
    </w:p>
    <w:p>
      <w:pPr>
        <w:spacing w:after="0" w:line="122" w:lineRule="exact"/>
        <w:rPr>
          <w:rFonts w:ascii="Times New Roman" w:cs="Times New Roman" w:eastAsia="Times New Roman" w:hAnsi="Times New Roman"/>
          <w:sz w:val="15"/>
          <w:szCs w:val="15"/>
          <w:color w:val="auto"/>
        </w:rPr>
      </w:pPr>
    </w:p>
    <w:p>
      <w:pPr>
        <w:ind w:left="1920" w:hanging="191"/>
        <w:spacing w:after="0"/>
        <w:tabs>
          <w:tab w:leader="none" w:pos="1920" w:val="left"/>
        </w:tabs>
        <w:numPr>
          <w:ilvl w:val="0"/>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Stock Available for Awards</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4" w:lineRule="auto"/>
        <w:tabs>
          <w:tab w:leader="none" w:pos="2592" w:val="left"/>
        </w:tabs>
        <w:numPr>
          <w:ilvl w:val="1"/>
          <w:numId w:val="2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Number of Shares. </w:t>
      </w:r>
      <w:r>
        <w:rPr>
          <w:rFonts w:ascii="Times New Roman" w:cs="Times New Roman" w:eastAsia="Times New Roman" w:hAnsi="Times New Roman"/>
          <w:sz w:val="15"/>
          <w:szCs w:val="15"/>
          <w:color w:val="auto"/>
        </w:rPr>
        <w:t>Subject to adjustment under Section 8 hereof, Awards may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made under the Plan covering up to 14,434,936 shares of Common Stock. If any Award expires or lapses or is terminated, surrendered or canceled without having been fully exercised or is forfeited in whole or in part (including as the result of shares of Common Stock subject to such Award being repurchased by the Company at or below the original issuance price), in any case in a manner that results in any shares of Common Stock covered by such Award not being issued or being so reacquired by the Company, the unused Common Stock covered by such Award shall again be available for the grant of Awards under the Plan. Further, shares of Common Stock delivered (either by actual delivery or attestation) to the Company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788670</wp:posOffset>
            </wp:positionV>
            <wp:extent cx="54857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368" w:name="page369"/>
    <w:bookmarkEnd w:id="368"/>
    <w:p>
      <w:pPr>
        <w:jc w:val="both"/>
        <w:ind w:left="1220" w:right="1239"/>
        <w:spacing w:after="0" w:line="254" w:lineRule="auto"/>
        <w:rPr>
          <w:sz w:val="20"/>
          <w:szCs w:val="20"/>
          <w:color w:val="auto"/>
        </w:rPr>
      </w:pPr>
      <w:r>
        <w:rPr>
          <w:rFonts w:ascii="Times New Roman" w:cs="Times New Roman" w:eastAsia="Times New Roman" w:hAnsi="Times New Roman"/>
          <w:sz w:val="15"/>
          <w:szCs w:val="15"/>
          <w:color w:val="auto"/>
        </w:rPr>
        <w:t>Participant to satisfy the applicable exercise or purchase price of Award and/or to satisfy any applicable tax withholding obligation (including shares retained by the Company from the Award being exercised or purchased and/or creating the tax obligation) shall be added to the number of shares of Common Stock available for the grant of Awards under the Plan. However, in the case of Incentive Stock Options (as hereinafter defined), the foregoing provisions shall be subject to any limitations under the Code. Shares of Common Stock issued under the Plan may consist in whole or in part of authorized but unissued shares, shares purchased on the open market or treasury shares.</w:t>
      </w:r>
    </w:p>
    <w:p>
      <w:pPr>
        <w:spacing w:after="0" w:line="137" w:lineRule="exact"/>
        <w:rPr>
          <w:sz w:val="20"/>
          <w:szCs w:val="20"/>
          <w:color w:val="auto"/>
        </w:rPr>
      </w:pPr>
    </w:p>
    <w:p>
      <w:pPr>
        <w:jc w:val="both"/>
        <w:ind w:left="1220" w:right="1239" w:firstLine="1013"/>
        <w:spacing w:after="0" w:line="255" w:lineRule="auto"/>
        <w:tabs>
          <w:tab w:leader="none" w:pos="2592" w:val="left"/>
        </w:tabs>
        <w:numPr>
          <w:ilvl w:val="1"/>
          <w:numId w:val="2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Substitute Awards</w:t>
      </w:r>
      <w:r>
        <w:rPr>
          <w:rFonts w:ascii="Times New Roman" w:cs="Times New Roman" w:eastAsia="Times New Roman" w:hAnsi="Times New Roman"/>
          <w:sz w:val="15"/>
          <w:szCs w:val="15"/>
          <w:color w:val="auto"/>
        </w:rPr>
        <w:t>. In connection with a merger or consolidation of an entity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Company or the acquisition by the Company of property or stock of an entity, the Administrator may grant Awards in substitution for any options or other stock or stock-based awards granted prior to such merger or consolidation by such entity or an affiliate thereof. Substitute Awards may be granted on such terms as the Administrator deems appropriate in the circumstances, notwithstanding any limitations on Awards contained in the Plan. Substitute Awards shall not count against the overall share limit set forth in Section 4(a) hereof, except as may be required by reason of Section 422 of the Code.</w:t>
      </w:r>
    </w:p>
    <w:p>
      <w:pPr>
        <w:spacing w:after="0" w:line="136" w:lineRule="exact"/>
        <w:rPr>
          <w:rFonts w:ascii="Times New Roman" w:cs="Times New Roman" w:eastAsia="Times New Roman" w:hAnsi="Times New Roman"/>
          <w:sz w:val="15"/>
          <w:szCs w:val="15"/>
          <w:color w:val="auto"/>
        </w:rPr>
      </w:pPr>
    </w:p>
    <w:p>
      <w:pPr>
        <w:ind w:left="1920" w:hanging="191"/>
        <w:spacing w:after="0"/>
        <w:tabs>
          <w:tab w:leader="none" w:pos="1920" w:val="left"/>
        </w:tabs>
        <w:numPr>
          <w:ilvl w:val="0"/>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Stock Options</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9" w:lineRule="auto"/>
        <w:tabs>
          <w:tab w:leader="none" w:pos="2592" w:val="left"/>
        </w:tabs>
        <w:numPr>
          <w:ilvl w:val="1"/>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General. </w:t>
      </w:r>
      <w:r>
        <w:rPr>
          <w:rFonts w:ascii="Times New Roman" w:cs="Times New Roman" w:eastAsia="Times New Roman" w:hAnsi="Times New Roman"/>
          <w:sz w:val="15"/>
          <w:szCs w:val="15"/>
          <w:color w:val="auto"/>
        </w:rPr>
        <w:t>The Administrator may grant Options to any Service Provider, subject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limitations on Incentive Stock Options described below. The Administrator shall determine the number of shares of Common Stock to be covered by each Option, the exercise price of each Option and the conditions and limitations applicable to the exercise of each Option, including conditions relating to Applicable Laws, as it considers necessary or advisable.</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51" w:lineRule="auto"/>
        <w:tabs>
          <w:tab w:leader="none" w:pos="2592" w:val="left"/>
        </w:tabs>
        <w:numPr>
          <w:ilvl w:val="1"/>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Incentive Stock Options. </w:t>
      </w:r>
      <w:r>
        <w:rPr>
          <w:rFonts w:ascii="Times New Roman" w:cs="Times New Roman" w:eastAsia="Times New Roman" w:hAnsi="Times New Roman"/>
          <w:sz w:val="15"/>
          <w:szCs w:val="15"/>
          <w:color w:val="auto"/>
        </w:rPr>
        <w:t>The Administrator may grant Options intended to qualify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 Incentive Stock Options only to employees of the Company, any of the Company’s present or future “parent corporations” or “subsidiary corporations” as defined in Sections 424(e) or (f) of the Code, respectively, and any other entities the employees of which are eligible to receive Incentive Stock Options under the Code. All Options intended to qualify as Incentive Stock Options shall be subject to and shall be construed consistently with the requirements of Section 422 of the Code. Neither the Company nor the Administrator shall have any liability to a Participant, or any other party, (i) if an Option (or any part thereof) which is intended to qualify as an Incentive Stock Option fails to qualify as an Incentive Stock Option or (ii) for any action or omission by the Administrator that causes an Option not to qualify as an Incentive Stock Option, including without limitation, the conversion of an Incentive Stock Option to a Non-Qualified Stock Option or the grant of an Option intended as an Incentive Stock Option that fails to satisfy the requirements under the Code applicable to an Incentive Stock Option. Any Option that is intended to qualify as an Incentive Stock Option, but fails to so qualify for any reason, including without limitation, the portion of any Option becoming exercisable in excess of the $100,000 limitation described in Treasury Regulation Section 1.422-4, shall be treated as a Non-Qualified Stock Option for all purposes.</w:t>
      </w:r>
    </w:p>
    <w:p>
      <w:pPr>
        <w:spacing w:after="0" w:line="142" w:lineRule="exact"/>
        <w:rPr>
          <w:rFonts w:ascii="Times New Roman" w:cs="Times New Roman" w:eastAsia="Times New Roman" w:hAnsi="Times New Roman"/>
          <w:sz w:val="15"/>
          <w:szCs w:val="15"/>
          <w:color w:val="auto"/>
        </w:rPr>
      </w:pPr>
    </w:p>
    <w:p>
      <w:pPr>
        <w:jc w:val="both"/>
        <w:ind w:left="1220" w:right="1239" w:firstLine="1013"/>
        <w:spacing w:after="0" w:line="254" w:lineRule="auto"/>
        <w:tabs>
          <w:tab w:leader="none" w:pos="2592" w:val="left"/>
        </w:tabs>
        <w:numPr>
          <w:ilvl w:val="1"/>
          <w:numId w:val="2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Exercise Price. </w:t>
      </w:r>
      <w:r>
        <w:rPr>
          <w:rFonts w:ascii="Times New Roman" w:cs="Times New Roman" w:eastAsia="Times New Roman" w:hAnsi="Times New Roman"/>
          <w:sz w:val="15"/>
          <w:szCs w:val="15"/>
          <w:color w:val="auto"/>
        </w:rPr>
        <w:t>The Administrator shall establish the exercise price of each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 and specify the exercise price in the applicable Award Agreement. The exercise price shall be not less than 100% of the Fair Market Value on the date the Option is granted.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per share exercise price shall be no less than 110% of the Fair Market Value on the date the Option is granted.</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69" w:name="page370"/>
    <w:bookmarkEnd w:id="369"/>
    <w:p>
      <w:pPr>
        <w:jc w:val="both"/>
        <w:ind w:left="1220" w:right="1239" w:firstLine="1013"/>
        <w:spacing w:after="0" w:line="255" w:lineRule="auto"/>
        <w:tabs>
          <w:tab w:leader="none" w:pos="2592"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Duration of Options. </w:t>
      </w:r>
      <w:r>
        <w:rPr>
          <w:rFonts w:ascii="Times New Roman" w:cs="Times New Roman" w:eastAsia="Times New Roman" w:hAnsi="Times New Roman"/>
          <w:sz w:val="15"/>
          <w:szCs w:val="15"/>
          <w:color w:val="auto"/>
        </w:rPr>
        <w:t>Each Option shall be exercisable at such times and subject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such terms and conditions as the Administrator may specify in the applicable Award Agreement, provided that the term of any Option shall not exceed ten years. In the case of an Incentive Stock Option granted to an employee who, at the time of grant of the Option, owns (or is treated as owning under Section 424 of the Code) stock representing more than 10% of the voting power of all classes of stock of the Company (or a “parent corporation” or “subsidiary corporation” thereof within the meaning of Sections 424(e) or 424(f) of the Code, respectively), the term of the Option shall not exceed five years.</w:t>
      </w:r>
    </w:p>
    <w:p>
      <w:pPr>
        <w:spacing w:after="0" w:line="136" w:lineRule="exact"/>
        <w:rPr>
          <w:rFonts w:ascii="Times New Roman" w:cs="Times New Roman" w:eastAsia="Times New Roman" w:hAnsi="Times New Roman"/>
          <w:sz w:val="15"/>
          <w:szCs w:val="15"/>
          <w:color w:val="auto"/>
        </w:rPr>
      </w:pPr>
    </w:p>
    <w:p>
      <w:pPr>
        <w:jc w:val="both"/>
        <w:ind w:left="1220" w:right="1239" w:firstLine="1013"/>
        <w:spacing w:after="0" w:line="252" w:lineRule="auto"/>
        <w:tabs>
          <w:tab w:leader="none" w:pos="2592"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Exercise of Option; Notification of Disposition. </w:t>
      </w:r>
      <w:r>
        <w:rPr>
          <w:rFonts w:ascii="Times New Roman" w:cs="Times New Roman" w:eastAsia="Times New Roman" w:hAnsi="Times New Roman"/>
          <w:sz w:val="15"/>
          <w:szCs w:val="15"/>
          <w:color w:val="auto"/>
        </w:rPr>
        <w:t>Options may be exercised by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delivery to the Company of a written notice of exercise, in a form approved by the Administrator (which may be an electronic form), signed by the person authorized to exercise the Option, together with payment in full (i) as specified in Section 5(f) hereof for the number of shares for which the Option is exercised and (ii) as specified in Section 9(e) hereof for any applicable withholding taxes. Unless otherwise determined by the Administrator, an Option may not be exercised for a fraction of a share of Common Stock. If an Option is designated as an Incentive Stock Option, the Participant shall give prompt notice to the Company of any disposition or other transfer of any shares of Common Stock acquired from the Option if such disposition or transfer is made (i) within two years from the grant date with respect to such Option or (ii) within one year after the transfer of such shares to the Participant (other than any such disposition made in connection with a Change in Control). Such notice shall specify the date of such disposition or other transfer and the amount realized, in cash, other property, assumption of indebtedness or other consideration, by the Participant in such disposition or other transfer.</w:t>
      </w:r>
    </w:p>
    <w:p>
      <w:pPr>
        <w:spacing w:after="0" w:line="136"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Payment Upon Exercise. </w:t>
      </w:r>
      <w:r>
        <w:rPr>
          <w:rFonts w:ascii="Times New Roman" w:cs="Times New Roman" w:eastAsia="Times New Roman" w:hAnsi="Times New Roman"/>
          <w:sz w:val="15"/>
          <w:szCs w:val="15"/>
          <w:color w:val="auto"/>
        </w:rPr>
        <w:t>Common Stock purchased upon the exercise of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Option granted under the Plan shall be paid for in cash or by check, payable to the order of the Company, or, to the extent permitted by the Administrator, by:</w:t>
      </w:r>
    </w:p>
    <w:p>
      <w:pPr>
        <w:spacing w:after="0" w:line="126" w:lineRule="exact"/>
        <w:rPr>
          <w:rFonts w:ascii="Times New Roman" w:cs="Times New Roman" w:eastAsia="Times New Roman" w:hAnsi="Times New Roman"/>
          <w:sz w:val="15"/>
          <w:szCs w:val="15"/>
          <w:color w:val="auto"/>
        </w:rPr>
      </w:pPr>
    </w:p>
    <w:p>
      <w:pPr>
        <w:jc w:val="both"/>
        <w:ind w:left="1720" w:right="1239" w:firstLine="1018"/>
        <w:spacing w:after="0" w:line="256" w:lineRule="auto"/>
        <w:tabs>
          <w:tab w:leader="none" w:pos="3169"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delivery of an irrevocable and unconditional undertaking by a broker acceptable to the Company to deliver promptly to the Company sufficient funds to pay the exercise price and any required tax withholding, or (B) delivery by the Participant to the Company of a copy of irrevocable and unconditional instructions to a broker acceptable to the Company to deliver promptly to the Company cash or a check sufficient to pay the exercise price and any required tax withholding;</w:t>
      </w:r>
    </w:p>
    <w:p>
      <w:pPr>
        <w:spacing w:after="0" w:line="136" w:lineRule="exact"/>
        <w:rPr>
          <w:rFonts w:ascii="Times New Roman" w:cs="Times New Roman" w:eastAsia="Times New Roman" w:hAnsi="Times New Roman"/>
          <w:sz w:val="15"/>
          <w:szCs w:val="15"/>
          <w:color w:val="auto"/>
        </w:rPr>
      </w:pPr>
    </w:p>
    <w:p>
      <w:pPr>
        <w:jc w:val="both"/>
        <w:ind w:left="1720" w:right="1239" w:firstLine="1018"/>
        <w:spacing w:after="0" w:line="256" w:lineRule="auto"/>
        <w:tabs>
          <w:tab w:leader="none" w:pos="3215"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(either by actual delivery or attestation) of shares of Common Stock owned by the Participant valued at their Fair Market Value, provided (A) such method of payment is then permitted under Applicable Laws, (B) such Common Stock, if acquired directly from the Company, was owned by the Participant for such minimum period of time, if any, as may be established by the Company at any time, and (C) such Common Stock is not subject to any repurchase, forfeiture, unfulfilled vesting or other similar requirements;</w:t>
      </w:r>
    </w:p>
    <w:p>
      <w:pPr>
        <w:spacing w:after="0" w:line="136"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62"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surrendering shares of Common Stock then issuable upon exercise of the Option valued at their Fair Market Value on the date of exercise;</w:t>
      </w:r>
    </w:p>
    <w:p>
      <w:pPr>
        <w:spacing w:after="0" w:line="115"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45"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of a promissory note of the Participant to the Company on terms determined by the Administrator;</w:t>
      </w:r>
    </w:p>
    <w:p>
      <w:pPr>
        <w:spacing w:after="0" w:line="115"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21"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delivery of property of any other kind which constitutes good and valuable consideration as determined by the Administrator; or</w:t>
      </w:r>
    </w:p>
    <w:p>
      <w:pPr>
        <w:spacing w:after="0" w:line="115" w:lineRule="exact"/>
        <w:rPr>
          <w:rFonts w:ascii="Times New Roman" w:cs="Times New Roman" w:eastAsia="Times New Roman" w:hAnsi="Times New Roman"/>
          <w:sz w:val="15"/>
          <w:szCs w:val="15"/>
          <w:color w:val="auto"/>
        </w:rPr>
      </w:pPr>
    </w:p>
    <w:p>
      <w:pPr>
        <w:ind w:left="3140" w:hanging="402"/>
        <w:spacing w:after="0"/>
        <w:tabs>
          <w:tab w:leader="none" w:pos="3140" w:val="left"/>
        </w:tabs>
        <w:numPr>
          <w:ilvl w:val="1"/>
          <w:numId w:val="2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 above permitted forms of payment (including cash</w:t>
      </w:r>
    </w:p>
    <w:p>
      <w:pPr>
        <w:spacing w:after="0" w:line="22" w:lineRule="exact"/>
        <w:rPr>
          <w:rFonts w:ascii="Times New Roman" w:cs="Times New Roman" w:eastAsia="Times New Roman" w:hAnsi="Times New Roman"/>
          <w:sz w:val="15"/>
          <w:szCs w:val="15"/>
          <w:color w:val="auto"/>
        </w:rPr>
      </w:pPr>
    </w:p>
    <w:p>
      <w:pPr>
        <w:ind w:left="17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check).</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70" w:name="page371"/>
    <w:bookmarkEnd w:id="370"/>
    <w:p>
      <w:pPr>
        <w:jc w:val="both"/>
        <w:ind w:left="1220" w:right="1239" w:firstLine="1013"/>
        <w:spacing w:after="0" w:line="259" w:lineRule="auto"/>
        <w:tabs>
          <w:tab w:leader="none" w:pos="2592" w:val="left"/>
        </w:tabs>
        <w:numPr>
          <w:ilvl w:val="1"/>
          <w:numId w:val="2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Early Exercise of Options</w:t>
      </w:r>
      <w:r>
        <w:rPr>
          <w:rFonts w:ascii="Times New Roman" w:cs="Times New Roman" w:eastAsia="Times New Roman" w:hAnsi="Times New Roman"/>
          <w:sz w:val="15"/>
          <w:szCs w:val="15"/>
          <w:color w:val="auto"/>
        </w:rPr>
        <w:t>. The Administrator may provide in the terms of an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Award Agreement that the Service Provider may exercise an Option in whole or in part prior to the full vesting of the Option in exchange for unvested shares of Restricted Stock with respect to any unvested portion of the Option so exercised. Shares of Restricted Stock acquired upon the exercise of any unvested portion of an Option shall be subject to such terms and conditions as the Administrator shall determine.</w:t>
      </w:r>
    </w:p>
    <w:p>
      <w:pPr>
        <w:spacing w:after="0" w:line="131" w:lineRule="exact"/>
        <w:rPr>
          <w:rFonts w:ascii="Times New Roman" w:cs="Times New Roman" w:eastAsia="Times New Roman" w:hAnsi="Times New Roman"/>
          <w:sz w:val="15"/>
          <w:szCs w:val="15"/>
          <w:color w:val="auto"/>
        </w:rPr>
      </w:pPr>
    </w:p>
    <w:p>
      <w:pPr>
        <w:ind w:left="1920" w:hanging="191"/>
        <w:spacing w:after="0"/>
        <w:tabs>
          <w:tab w:leader="none" w:pos="1920" w:val="left"/>
        </w:tabs>
        <w:numPr>
          <w:ilvl w:val="0"/>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Restricted Stock; Restricted Stock Units</w:t>
      </w:r>
      <w:r>
        <w:rPr>
          <w:rFonts w:ascii="Times New Roman" w:cs="Times New Roman" w:eastAsia="Times New Roman" w:hAnsi="Times New Roman"/>
          <w:sz w:val="15"/>
          <w:szCs w:val="15"/>
          <w:i w:val="1"/>
          <w:iCs w:val="1"/>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4" w:lineRule="auto"/>
        <w:tabs>
          <w:tab w:leader="none" w:pos="2592"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The Administrator may grant Restricted Stock, or the right to purchase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Stock, to any Service Provider, subject to the right of the Company to repurchase all or part of such shares at their issue price or other stated or formula price from the Participant (or to require forfeiture of such shares if issued at no cost) in the event that conditions specified by the Administrator in the applicable Award Agreement are not satisfied prior to the end of the applicable restriction period or periods established by the Administrator for such Award. In addition, the Administrator may grant to Service Providers Restricted Stock Units, which may be subject to vesting and forfeiture conditions during applicable restriction period or periods, as set forth in an applicable Award Agreement.</w:t>
      </w:r>
    </w:p>
    <w:p>
      <w:pPr>
        <w:spacing w:after="0" w:line="137"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Terms and Conditions for All Restricted Stock and Restricted Stock Unit Awards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Administrator shall determine and set forth in the applicable Award Agreement the terms and conditions applicable to each Restricted Stock and Restricted Stock Unit Award, including the conditions for vesting and repurchase (or forfeiture) and the issue price, in each case, if any.</w:t>
      </w:r>
    </w:p>
    <w:p>
      <w:pPr>
        <w:spacing w:after="0" w:line="129"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Additional Provisions Relating to Restricted Stock</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720" w:right="1239" w:firstLine="1018"/>
        <w:spacing w:after="0" w:line="252" w:lineRule="auto"/>
        <w:tabs>
          <w:tab w:leader="none" w:pos="3137" w:val="left"/>
        </w:tabs>
        <w:numPr>
          <w:ilvl w:val="2"/>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Dividends</w:t>
      </w:r>
      <w:r>
        <w:rPr>
          <w:rFonts w:ascii="Times New Roman" w:cs="Times New Roman" w:eastAsia="Times New Roman" w:hAnsi="Times New Roman"/>
          <w:sz w:val="15"/>
          <w:szCs w:val="15"/>
          <w:color w:val="auto"/>
        </w:rPr>
        <w:t>. Participants holding shares of Restricted Stock will be entitled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all ordinary cash dividends paid with respect to such shares, unless otherwise provided by the Administrator in the applicable Award Agreement. In addition, unless otherwise provided by the Administrator, if any dividends or distributions are paid in shares, or consist of a dividend or distribution to holders of Common Stock of property other than an ordinary cash dividend, the shares or other property will be subject to the same restrictions on transferability and forfeitability as the shares of Restricted Stock with respect to which they were paid. Each dividend payment will be made as provided in the applicable Award Agreement, but in no event later than the end of the calendar year in which the dividends are paid to stockholders of that class of stock or, if later, the 15th day of the third month following the later of (A) the date the dividends are paid to stockholders of that class of stock, and (B) the date the dividends are no longer subject to forfeiture.</w:t>
      </w:r>
    </w:p>
    <w:p>
      <w:pPr>
        <w:spacing w:after="0" w:line="320" w:lineRule="exact"/>
        <w:rPr>
          <w:rFonts w:ascii="Times New Roman" w:cs="Times New Roman" w:eastAsia="Times New Roman" w:hAnsi="Times New Roman"/>
          <w:sz w:val="15"/>
          <w:szCs w:val="15"/>
          <w:color w:val="auto"/>
        </w:rPr>
      </w:pPr>
    </w:p>
    <w:p>
      <w:pPr>
        <w:jc w:val="both"/>
        <w:ind w:left="1720" w:right="1239" w:firstLine="1018"/>
        <w:spacing w:after="0" w:line="270" w:lineRule="auto"/>
        <w:tabs>
          <w:tab w:leader="none" w:pos="3173" w:val="left"/>
        </w:tabs>
        <w:numPr>
          <w:ilvl w:val="2"/>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Certificates</w:t>
      </w:r>
      <w:r>
        <w:rPr>
          <w:rFonts w:ascii="Times New Roman" w:cs="Times New Roman" w:eastAsia="Times New Roman" w:hAnsi="Times New Roman"/>
          <w:sz w:val="15"/>
          <w:szCs w:val="15"/>
          <w:color w:val="auto"/>
        </w:rPr>
        <w:t>. The Company may require that any stock certificates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issued in respect of shares of Restricted Stock be deposited in escrow by the Participant, together with a stock power endorsed in blank, with the Company (or its designee).</w:t>
      </w:r>
    </w:p>
    <w:p>
      <w:pPr>
        <w:spacing w:after="0" w:line="122"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1"/>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Additional Provisions Relating to Restricted Stock Units</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720" w:right="1239" w:firstLine="1018"/>
        <w:spacing w:after="0" w:line="255" w:lineRule="auto"/>
        <w:tabs>
          <w:tab w:leader="none" w:pos="3190" w:val="left"/>
        </w:tabs>
        <w:numPr>
          <w:ilvl w:val="2"/>
          <w:numId w:val="2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Settlement</w:t>
      </w:r>
      <w:r>
        <w:rPr>
          <w:rFonts w:ascii="Times New Roman" w:cs="Times New Roman" w:eastAsia="Times New Roman" w:hAnsi="Times New Roman"/>
          <w:sz w:val="15"/>
          <w:szCs w:val="15"/>
          <w:color w:val="auto"/>
        </w:rPr>
        <w:t>. Upon the vesting of a Restricted Stock Unit, the Participant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be entitled to receive from the Company one share of Common Stock or an amount of cash or other property equal to the Fair Market Value of one share of Common Stock on the settlement date, as provided in the applicable Award Agreement. The Administrator may provide that settlement of Restricted Stock Units shall occur upon or as soon as reasonably practicable after the vesting of the Restricted Stock Units or shall instead be deferred, on a mandatory basis or at the election of the Participant, in a manner that complies with Section 409A.</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71" w:name="page372"/>
    <w:bookmarkEnd w:id="371"/>
    <w:p>
      <w:pPr>
        <w:ind w:left="1720" w:right="1239" w:firstLine="1018"/>
        <w:spacing w:after="0" w:line="291" w:lineRule="auto"/>
        <w:tabs>
          <w:tab w:leader="none" w:pos="3110" w:val="left"/>
        </w:tabs>
        <w:numPr>
          <w:ilvl w:val="1"/>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Voting Rights</w:t>
      </w:r>
      <w:r>
        <w:rPr>
          <w:rFonts w:ascii="Times New Roman" w:cs="Times New Roman" w:eastAsia="Times New Roman" w:hAnsi="Times New Roman"/>
          <w:sz w:val="15"/>
          <w:szCs w:val="15"/>
          <w:color w:val="auto"/>
        </w:rPr>
        <w:t>. A Participant shall have no voting rights with respect to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Stock Units unless and until shares are delivered in settlement thereof.</w:t>
      </w:r>
    </w:p>
    <w:p>
      <w:pPr>
        <w:spacing w:after="0" w:line="107" w:lineRule="exact"/>
        <w:rPr>
          <w:rFonts w:ascii="Times New Roman" w:cs="Times New Roman" w:eastAsia="Times New Roman" w:hAnsi="Times New Roman"/>
          <w:sz w:val="15"/>
          <w:szCs w:val="15"/>
          <w:color w:val="auto"/>
        </w:rPr>
      </w:pPr>
    </w:p>
    <w:p>
      <w:pPr>
        <w:jc w:val="both"/>
        <w:ind w:left="1720" w:right="1239" w:firstLine="1018"/>
        <w:spacing w:after="0" w:line="255" w:lineRule="auto"/>
        <w:tabs>
          <w:tab w:leader="none" w:pos="3209" w:val="left"/>
        </w:tabs>
        <w:numPr>
          <w:ilvl w:val="1"/>
          <w:numId w:val="2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Dividend Equivalents</w:t>
      </w:r>
      <w:r>
        <w:rPr>
          <w:rFonts w:ascii="Times New Roman" w:cs="Times New Roman" w:eastAsia="Times New Roman" w:hAnsi="Times New Roman"/>
          <w:sz w:val="15"/>
          <w:szCs w:val="15"/>
          <w:color w:val="auto"/>
        </w:rPr>
        <w:t>. To the extent provided by the Administrator,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grant of Restricted Stock Units may provide a Participant with the right to receive Dividend Equivalents. Dividend Equivalents may be paid currently or credited to an account for the Participant, may be settled in cash and/or shares of Common Stock and may be subject to the same restrictions on transfer and forfeitability as the Restricted Stock Units with respect to which the Dividend Equivalents are paid, as determined by the Administrator, subject, in each case, to such terms and conditions as the Administrator shall establish and set forth in the applicable Award Agreement.</w:t>
      </w:r>
    </w:p>
    <w:p>
      <w:pPr>
        <w:spacing w:after="0" w:line="314" w:lineRule="exact"/>
        <w:rPr>
          <w:rFonts w:ascii="Times New Roman" w:cs="Times New Roman" w:eastAsia="Times New Roman" w:hAnsi="Times New Roman"/>
          <w:sz w:val="15"/>
          <w:szCs w:val="15"/>
          <w:color w:val="auto"/>
        </w:rPr>
      </w:pPr>
    </w:p>
    <w:p>
      <w:pPr>
        <w:ind w:left="1920" w:hanging="191"/>
        <w:spacing w:after="0"/>
        <w:tabs>
          <w:tab w:leader="none" w:pos="1920" w:val="left"/>
        </w:tabs>
        <w:numPr>
          <w:ilvl w:val="0"/>
          <w:numId w:val="2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Other Stock-Based Awards</w:t>
      </w:r>
      <w:r>
        <w:rPr>
          <w:rFonts w:ascii="Times New Roman" w:cs="Times New Roman" w:eastAsia="Times New Roman" w:hAnsi="Times New Roman"/>
          <w:sz w:val="15"/>
          <w:szCs w:val="15"/>
          <w:i w:val="1"/>
          <w:iCs w:val="1"/>
          <w:color w:val="auto"/>
        </w:rPr>
        <w:t>.</w:t>
      </w:r>
    </w:p>
    <w:p>
      <w:pPr>
        <w:spacing w:after="0" w:line="178"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color w:val="auto"/>
        </w:rPr>
        <w:t>Other Stock-Based Awards may be granted hereunder to Participants, including, without limitation, Awards entitling Participants to receive shares of Common Stock to be delivered in the future. Such Other Stock-Based Awards shall also be available as a form of payment in the settlement of other Awards granted under the Plan, as stand-alone payments and/or as payment in lieu of compensation to which a Participant is otherwise entitled. Other Stock-Based Awards may be paid in shares of Common Stock, cash or other property, as the Administrator shall determine. Subject to the provisions of the Plan, the Administrator shall determine the terms and conditions of each Other Stock-Based Award, including any purchase price, transfer restrictions, vesting conditions and other terms and conditions applicable thereto, which shall be set forth in the applicable Award Agreement.</w:t>
      </w:r>
    </w:p>
    <w:p>
      <w:pPr>
        <w:spacing w:after="0" w:line="136" w:lineRule="exact"/>
        <w:rPr>
          <w:sz w:val="20"/>
          <w:szCs w:val="20"/>
          <w:color w:val="auto"/>
        </w:rPr>
      </w:pPr>
    </w:p>
    <w:p>
      <w:pPr>
        <w:ind w:left="1920" w:hanging="191"/>
        <w:spacing w:after="0"/>
        <w:tabs>
          <w:tab w:leader="none" w:pos="1920" w:val="left"/>
        </w:tabs>
        <w:numPr>
          <w:ilvl w:val="0"/>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Adjustments for Changes in Common Stock and Certain Other Events</w:t>
      </w:r>
      <w:r>
        <w:rPr>
          <w:rFonts w:ascii="Times New Roman" w:cs="Times New Roman" w:eastAsia="Times New Roman" w:hAnsi="Times New Roman"/>
          <w:sz w:val="15"/>
          <w:szCs w:val="15"/>
          <w:i w:val="1"/>
          <w:iCs w:val="1"/>
          <w:color w:val="auto"/>
        </w:rPr>
        <w:t>.</w:t>
      </w:r>
    </w:p>
    <w:p>
      <w:pPr>
        <w:spacing w:after="0" w:line="178" w:lineRule="exact"/>
        <w:rPr>
          <w:rFonts w:ascii="Times New Roman" w:cs="Times New Roman" w:eastAsia="Times New Roman" w:hAnsi="Times New Roman"/>
          <w:sz w:val="15"/>
          <w:szCs w:val="15"/>
          <w:color w:val="auto"/>
        </w:rPr>
      </w:pPr>
    </w:p>
    <w:p>
      <w:pPr>
        <w:jc w:val="both"/>
        <w:ind w:left="1220" w:right="1239" w:firstLine="1013"/>
        <w:spacing w:after="0" w:line="252" w:lineRule="auto"/>
        <w:tabs>
          <w:tab w:leader="none" w:pos="2592"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Administrator determines that any dividend or other distribution (whether in the form of cash, Common Stock, other securities, or other property), reorganization, merger, consolidation, combination, repurchase, recapitalization,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as determined by the Administrator, affects the Common Stock such that an adjustment is determined by the Administrator to be appropriate in order to prevent dilution or enlargement of the benefits or potential benefits intended by the Company to be made available under the Plan or with respect to any Award, then the Administrator may, in such manner as it may deem equitable, adjust any or all of:</w:t>
      </w:r>
    </w:p>
    <w:p>
      <w:pPr>
        <w:spacing w:after="0" w:line="322" w:lineRule="exact"/>
        <w:rPr>
          <w:rFonts w:ascii="Times New Roman" w:cs="Times New Roman" w:eastAsia="Times New Roman" w:hAnsi="Times New Roman"/>
          <w:sz w:val="15"/>
          <w:szCs w:val="15"/>
          <w:color w:val="auto"/>
        </w:rPr>
      </w:pPr>
    </w:p>
    <w:p>
      <w:pPr>
        <w:jc w:val="both"/>
        <w:ind w:left="1720" w:right="1239" w:firstLine="1018"/>
        <w:spacing w:after="0" w:line="261" w:lineRule="auto"/>
        <w:tabs>
          <w:tab w:leader="none" w:pos="3197" w:val="left"/>
        </w:tabs>
        <w:numPr>
          <w:ilvl w:val="2"/>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kind of shares of Common Stock (or other securities or property) with respect to which Awards may be granted or awarded (including, but not limited to, adjustments of the limitations in Section 3 hereof on the maximum number and kind of shares which may be issued);</w:t>
      </w:r>
    </w:p>
    <w:p>
      <w:pPr>
        <w:spacing w:after="0" w:line="132"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90" w:val="left"/>
        </w:tabs>
        <w:numPr>
          <w:ilvl w:val="2"/>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number and kind of shares of Common Stock (or other securities or property) subject to outstanding Awards;</w:t>
      </w:r>
    </w:p>
    <w:p>
      <w:pPr>
        <w:spacing w:after="0" w:line="115" w:lineRule="exact"/>
        <w:rPr>
          <w:rFonts w:ascii="Times New Roman" w:cs="Times New Roman" w:eastAsia="Times New Roman" w:hAnsi="Times New Roman"/>
          <w:sz w:val="15"/>
          <w:szCs w:val="15"/>
          <w:color w:val="auto"/>
        </w:rPr>
      </w:pPr>
    </w:p>
    <w:p>
      <w:pPr>
        <w:ind w:left="3120" w:hanging="382"/>
        <w:spacing w:after="0"/>
        <w:tabs>
          <w:tab w:leader="none" w:pos="3120" w:val="left"/>
        </w:tabs>
        <w:numPr>
          <w:ilvl w:val="2"/>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or exercise price with respect to any Award; and</w:t>
      </w:r>
    </w:p>
    <w:p>
      <w:pPr>
        <w:spacing w:after="0" w:line="174"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21" w:val="left"/>
        </w:tabs>
        <w:numPr>
          <w:ilvl w:val="2"/>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and conditions of any Awards (including, without limitation, any applicable financial or other performance “targets” specified in an Award Agreement).</w:t>
      </w:r>
    </w:p>
    <w:p>
      <w:pPr>
        <w:spacing w:after="0" w:line="115" w:lineRule="exact"/>
        <w:rPr>
          <w:rFonts w:ascii="Times New Roman" w:cs="Times New Roman" w:eastAsia="Times New Roman" w:hAnsi="Times New Roman"/>
          <w:sz w:val="15"/>
          <w:szCs w:val="15"/>
          <w:color w:val="auto"/>
        </w:rPr>
      </w:pPr>
    </w:p>
    <w:p>
      <w:pPr>
        <w:jc w:val="both"/>
        <w:ind w:left="1220" w:right="1239" w:firstLine="1013"/>
        <w:spacing w:after="0" w:line="276" w:lineRule="auto"/>
        <w:tabs>
          <w:tab w:leader="none" w:pos="2592" w:val="left"/>
        </w:tabs>
        <w:numPr>
          <w:ilvl w:val="1"/>
          <w:numId w:val="2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transaction or event described in Section 8(a) hereof (including without limitation any Change in Control) or any unusual or nonrecurring transaction or event affecting the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72" w:name="page373"/>
    <w:bookmarkEnd w:id="372"/>
    <w:p>
      <w:pPr>
        <w:jc w:val="both"/>
        <w:ind w:left="1220" w:right="1239"/>
        <w:spacing w:after="0" w:line="253" w:lineRule="auto"/>
        <w:rPr>
          <w:sz w:val="20"/>
          <w:szCs w:val="20"/>
          <w:color w:val="auto"/>
        </w:rPr>
      </w:pPr>
      <w:r>
        <w:rPr>
          <w:rFonts w:ascii="Times New Roman" w:cs="Times New Roman" w:eastAsia="Times New Roman" w:hAnsi="Times New Roman"/>
          <w:sz w:val="15"/>
          <w:szCs w:val="15"/>
          <w:color w:val="auto"/>
        </w:rPr>
        <w:t>Company or the financial statements of the Company, or any change in any Applicable Laws or accounting principles, the Administrator,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Administrator determines that such action is appropriate in order to (i) prevent dilution or enlargement of the benefits or potential benefits intended by the Company to be made available under the Plan or with respect to any Award granted or issued under the Plan, (ii) to facilitate such transaction or event or (iii) give effect to such changes in Applicable Laws or accounting principles</w:t>
      </w:r>
      <w:r>
        <w:rPr>
          <w:rFonts w:ascii="Times New Roman" w:cs="Times New Roman" w:eastAsia="Times New Roman" w:hAnsi="Times New Roman"/>
          <w:sz w:val="15"/>
          <w:szCs w:val="15"/>
          <w:b w:val="1"/>
          <w:bCs w:val="1"/>
          <w:color w:val="auto"/>
        </w:rPr>
        <w:t>:</w:t>
      </w:r>
    </w:p>
    <w:p>
      <w:pPr>
        <w:spacing w:after="0" w:line="143" w:lineRule="exact"/>
        <w:rPr>
          <w:sz w:val="20"/>
          <w:szCs w:val="20"/>
          <w:color w:val="auto"/>
        </w:rPr>
      </w:pPr>
    </w:p>
    <w:p>
      <w:pPr>
        <w:jc w:val="both"/>
        <w:ind w:left="1720" w:right="1239" w:firstLine="1018"/>
        <w:spacing w:after="0" w:line="254" w:lineRule="auto"/>
        <w:tabs>
          <w:tab w:leader="none" w:pos="3162"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for the cancellation of any such Award in exchange for either an amount of cash or other property with a value equal to the amount that could have been obtained upon the exercise or settlement of such Award or realization of the Participant’s rights had such Award been currently exercisable, payable and fully vested, as applicable; provided that, if the amount that could have been obtained upon the exercise or settlement of such Award or realization of the Participant’s rights, in any case, is equal to or less than zero, then such Award may be terminated without payment;</w:t>
      </w:r>
    </w:p>
    <w:p>
      <w:pPr>
        <w:spacing w:after="0" w:line="141" w:lineRule="exact"/>
        <w:rPr>
          <w:rFonts w:ascii="Times New Roman" w:cs="Times New Roman" w:eastAsia="Times New Roman" w:hAnsi="Times New Roman"/>
          <w:sz w:val="15"/>
          <w:szCs w:val="15"/>
          <w:color w:val="auto"/>
        </w:rPr>
      </w:pPr>
    </w:p>
    <w:p>
      <w:pPr>
        <w:jc w:val="both"/>
        <w:ind w:left="1720" w:right="1239" w:firstLine="1018"/>
        <w:spacing w:after="0" w:line="267" w:lineRule="auto"/>
        <w:tabs>
          <w:tab w:leader="none" w:pos="3206"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such Award shall vest and, to the extent applicable, be exercisable as to all shares covered thereby, notwithstanding anything to the contrary in the Plan or the provisions of such Award;</w:t>
      </w:r>
    </w:p>
    <w:p>
      <w:pPr>
        <w:spacing w:after="0" w:line="128" w:lineRule="exact"/>
        <w:rPr>
          <w:rFonts w:ascii="Times New Roman" w:cs="Times New Roman" w:eastAsia="Times New Roman" w:hAnsi="Times New Roman"/>
          <w:sz w:val="15"/>
          <w:szCs w:val="15"/>
          <w:color w:val="auto"/>
        </w:rPr>
      </w:pPr>
    </w:p>
    <w:p>
      <w:pPr>
        <w:jc w:val="both"/>
        <w:ind w:left="1720" w:right="1239" w:firstLine="1018"/>
        <w:spacing w:after="0" w:line="257" w:lineRule="auto"/>
        <w:tabs>
          <w:tab w:leader="none" w:pos="3224"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such Award be assumed by the successor or survivor corporation, or a parent or subsidiary thereof, or shall be substituted for by awards covering the stock of the successor or survivor corporation, or a parent or subsidiary thereof, with appropriate adjustments as to the number and kind of shares and applicable exercise or purchase price, in all cases, as determined by the Administrator;</w:t>
      </w:r>
    </w:p>
    <w:p>
      <w:pPr>
        <w:spacing w:after="0" w:line="138" w:lineRule="exact"/>
        <w:rPr>
          <w:rFonts w:ascii="Times New Roman" w:cs="Times New Roman" w:eastAsia="Times New Roman" w:hAnsi="Times New Roman"/>
          <w:sz w:val="15"/>
          <w:szCs w:val="15"/>
          <w:color w:val="auto"/>
        </w:rPr>
      </w:pPr>
    </w:p>
    <w:p>
      <w:pPr>
        <w:jc w:val="both"/>
        <w:ind w:left="1720" w:right="1239" w:firstLine="1018"/>
        <w:spacing w:after="0" w:line="261" w:lineRule="auto"/>
        <w:tabs>
          <w:tab w:leader="none" w:pos="3137"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make adjustments in the number and type of shares of Common Stock (or other securities or property) subject to outstanding Awards, and/or in the terms and conditions of (including the grant or exercise price), and the criteria included in, outstanding Awards which may be granted in the future;</w:t>
      </w:r>
    </w:p>
    <w:p>
      <w:pPr>
        <w:spacing w:after="0" w:line="132" w:lineRule="exact"/>
        <w:rPr>
          <w:rFonts w:ascii="Times New Roman" w:cs="Times New Roman" w:eastAsia="Times New Roman" w:hAnsi="Times New Roman"/>
          <w:sz w:val="15"/>
          <w:szCs w:val="15"/>
          <w:color w:val="auto"/>
        </w:rPr>
      </w:pPr>
    </w:p>
    <w:p>
      <w:pPr>
        <w:ind w:left="3260" w:hanging="522"/>
        <w:spacing w:after="0"/>
        <w:tabs>
          <w:tab w:leader="none" w:pos="3260"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replace such Award with other rights or property selected by the</w:t>
      </w:r>
    </w:p>
    <w:p>
      <w:pPr>
        <w:spacing w:after="0" w:line="22" w:lineRule="exact"/>
        <w:rPr>
          <w:rFonts w:ascii="Times New Roman" w:cs="Times New Roman" w:eastAsia="Times New Roman" w:hAnsi="Times New Roman"/>
          <w:sz w:val="15"/>
          <w:szCs w:val="15"/>
          <w:color w:val="auto"/>
        </w:rPr>
      </w:pPr>
    </w:p>
    <w:p>
      <w:pPr>
        <w:ind w:left="17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Administrator; and/or</w:t>
      </w:r>
    </w:p>
    <w:p>
      <w:pPr>
        <w:spacing w:after="0" w:line="158"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37" w:val="left"/>
        </w:tabs>
        <w:numPr>
          <w:ilvl w:val="1"/>
          <w:numId w:val="2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provide that the Award will terminate and cannot vest, be exercised or become payable after the applicable event.</w:t>
      </w:r>
    </w:p>
    <w:p>
      <w:pPr>
        <w:spacing w:after="0" w:line="115" w:lineRule="exact"/>
        <w:rPr>
          <w:rFonts w:ascii="Times New Roman" w:cs="Times New Roman" w:eastAsia="Times New Roman" w:hAnsi="Times New Roman"/>
          <w:sz w:val="15"/>
          <w:szCs w:val="15"/>
          <w:color w:val="auto"/>
        </w:rPr>
      </w:pPr>
    </w:p>
    <w:p>
      <w:pPr>
        <w:jc w:val="both"/>
        <w:ind w:left="1220" w:right="1239" w:firstLine="1013"/>
        <w:spacing w:after="0" w:line="251" w:lineRule="auto"/>
        <w:tabs>
          <w:tab w:leader="none" w:pos="2592" w:val="left"/>
        </w:tabs>
        <w:numPr>
          <w:ilvl w:val="0"/>
          <w:numId w:val="2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provisions of Section 8(b) above, if a Change in Control occurs and a Participant’s Awards are not continued, converted, assumed, or replaced with a substantially similar award by (i) the Company, or (ii) a successor entity or its parent or subsidiary (an “</w:t>
      </w:r>
      <w:r>
        <w:rPr>
          <w:rFonts w:ascii="Times New Roman" w:cs="Times New Roman" w:eastAsia="Times New Roman" w:hAnsi="Times New Roman"/>
          <w:sz w:val="15"/>
          <w:szCs w:val="15"/>
          <w:b w:val="1"/>
          <w:bCs w:val="1"/>
          <w:i w:val="1"/>
          <w:iCs w:val="1"/>
          <w:color w:val="auto"/>
        </w:rPr>
        <w:t>Assumption</w:t>
      </w:r>
      <w:r>
        <w:rPr>
          <w:rFonts w:ascii="Times New Roman" w:cs="Times New Roman" w:eastAsia="Times New Roman" w:hAnsi="Times New Roman"/>
          <w:sz w:val="15"/>
          <w:szCs w:val="15"/>
          <w:color w:val="auto"/>
        </w:rPr>
        <w:t>”), and provided that the Participant has not had a Termination of Service, then immediately prior to the Change in Control such Awards shall become fully vested, exercisable and/or payable, as applicable, and all forfeiture, repurchase and other restrictions on such Awards shall lapse, in which case, such Awards shall be canceled upon the consummation of the Change in Control in exchange for the right to receive the Change in Control consideration payable to other holders of Common Stock (A) which may be on such terms and conditions as apply generally to holders of Common Stock under the Change in Control documents (including, without limitation, any escrow, earn-out or other deferred consideration provisions) or such other terms and conditions as the Administrator may provide, and (B) determined by reference to the number of shares subject to such Awards and net of any applicable exercise price; provided that to the extent that any Awards constitute “nonqualified deferred compensation” that may not be paid upon the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73" w:name="page374"/>
    <w:bookmarkEnd w:id="373"/>
    <w:p>
      <w:pPr>
        <w:jc w:val="both"/>
        <w:ind w:left="1220" w:right="1239"/>
        <w:spacing w:after="0" w:line="254" w:lineRule="auto"/>
        <w:rPr>
          <w:sz w:val="20"/>
          <w:szCs w:val="20"/>
          <w:color w:val="auto"/>
        </w:rPr>
      </w:pPr>
      <w:r>
        <w:rPr>
          <w:rFonts w:ascii="Times New Roman" w:cs="Times New Roman" w:eastAsia="Times New Roman" w:hAnsi="Times New Roman"/>
          <w:sz w:val="15"/>
          <w:szCs w:val="15"/>
          <w:color w:val="auto"/>
        </w:rPr>
        <w:t>Change in Control under Section 409A without the imposition of taxes thereon under Section 409A, the timing of such payments shall be governed by the applicable Award Agreement (subject to any deferred consideration provisions applicable under the Change in Control documents); and provided, further, that if the amount to which a Participant would be entitled upon the settlement or exercise of such Award at the time of the Change in Control is equal to or less than zero, then such Award may be terminated without payment. The Administrator shall determine whether an Assumption of an Award has occurred in connection with a Change in Control.</w:t>
      </w:r>
    </w:p>
    <w:p>
      <w:pPr>
        <w:spacing w:after="0" w:line="141" w:lineRule="exact"/>
        <w:rPr>
          <w:sz w:val="20"/>
          <w:szCs w:val="20"/>
          <w:color w:val="auto"/>
        </w:rPr>
      </w:pPr>
    </w:p>
    <w:p>
      <w:pPr>
        <w:jc w:val="both"/>
        <w:ind w:left="1220" w:right="1239" w:firstLine="1013"/>
        <w:spacing w:after="0" w:line="253" w:lineRule="auto"/>
        <w:tabs>
          <w:tab w:leader="none" w:pos="2592"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connection with the occurrence of any Equity Restructuring, and notwithstanding anything to the contrary in this Section 8, the Administrator will equitably adjust each outstanding Award, which adjustments may include adjustments to the number and type of securities subject to each outstanding Award and/or the exercise price or grant price thereof, if applicable, the grant of new Awards to Participants, and/or the making of a cash payment to Participants, as the Administrator deems appropriate to reflect such Equity Restructuring. The adjustments provided under this Section 8(e) shall be nondiscretionary and shall be final and binding on the affected Participant and the Company; provided that whether an adjustment is equitable shall be determined by the Administrator.</w:t>
      </w:r>
    </w:p>
    <w:p>
      <w:pPr>
        <w:spacing w:after="0" w:line="143" w:lineRule="exact"/>
        <w:rPr>
          <w:rFonts w:ascii="Times New Roman" w:cs="Times New Roman" w:eastAsia="Times New Roman" w:hAnsi="Times New Roman"/>
          <w:sz w:val="15"/>
          <w:szCs w:val="15"/>
          <w:color w:val="auto"/>
        </w:rPr>
      </w:pPr>
    </w:p>
    <w:p>
      <w:pPr>
        <w:jc w:val="both"/>
        <w:ind w:left="1220" w:right="1239" w:firstLine="1013"/>
        <w:spacing w:after="0" w:line="256" w:lineRule="auto"/>
        <w:tabs>
          <w:tab w:leader="none" w:pos="2592"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pending stock dividend, stock split, combination or exchange of shares, merger, consolidation or other distribution (other than normal cash dividends) of Company assets to stockholders, or any other change affecting the shares of Stock or the share price of the Stock, including any Equity Restructuring, for reasons of administrative convenience the Administrator may refuse to permit the exercise of any Award during a period of up to thirty days prior to the consummation of any such transaction.</w:t>
      </w:r>
    </w:p>
    <w:p>
      <w:pPr>
        <w:spacing w:after="0" w:line="136" w:lineRule="exact"/>
        <w:rPr>
          <w:rFonts w:ascii="Times New Roman" w:cs="Times New Roman" w:eastAsia="Times New Roman" w:hAnsi="Times New Roman"/>
          <w:sz w:val="15"/>
          <w:szCs w:val="15"/>
          <w:color w:val="auto"/>
        </w:rPr>
      </w:pPr>
    </w:p>
    <w:p>
      <w:pPr>
        <w:jc w:val="both"/>
        <w:ind w:left="1220" w:right="1239" w:firstLine="1013"/>
        <w:spacing w:after="0" w:line="251" w:lineRule="auto"/>
        <w:tabs>
          <w:tab w:leader="none" w:pos="2592" w:val="left"/>
        </w:tabs>
        <w:numPr>
          <w:ilvl w:val="1"/>
          <w:numId w:val="2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expressly provided in the Plan or pursuant to action of the Administrator under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of Stock subject to an Award or the grant or exercise price of any Award. The existence of the Plan, any Award Agreements and the Awards granted hereunder shall not affect or restrict in any way the right or power of the Company to make or authorize (i) any adjustment, recapitalization, reorganization or other change in the Company’s capital structure or its business, (ii) any merger, consolidation dissolution or liquidation of the Company or sale of Company assets or (iii) any sale or issuance of securities, including without limitation, securities with rights superior to those of the Common Stock or which are convertible into or exchangeable for Common Stock. The Administrator may treat Participants and Awards (or portions thereof) differently under this Section 8.</w:t>
      </w:r>
    </w:p>
    <w:p>
      <w:pPr>
        <w:spacing w:after="0" w:line="138" w:lineRule="exact"/>
        <w:rPr>
          <w:rFonts w:ascii="Times New Roman" w:cs="Times New Roman" w:eastAsia="Times New Roman" w:hAnsi="Times New Roman"/>
          <w:sz w:val="15"/>
          <w:szCs w:val="15"/>
          <w:color w:val="auto"/>
        </w:rPr>
      </w:pPr>
    </w:p>
    <w:p>
      <w:pPr>
        <w:ind w:left="1920" w:hanging="191"/>
        <w:spacing w:after="0"/>
        <w:tabs>
          <w:tab w:leader="none" w:pos="1920" w:val="left"/>
        </w:tabs>
        <w:numPr>
          <w:ilvl w:val="0"/>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General Provisions Applicable to Awards</w:t>
      </w:r>
      <w:r>
        <w:rPr>
          <w:rFonts w:ascii="Times New Roman" w:cs="Times New Roman" w:eastAsia="Times New Roman" w:hAnsi="Times New Roman"/>
          <w:sz w:val="15"/>
          <w:szCs w:val="15"/>
          <w:i w:val="1"/>
          <w:iCs w:val="1"/>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60" w:lineRule="auto"/>
        <w:tabs>
          <w:tab w:leader="none" w:pos="2592" w:val="left"/>
        </w:tabs>
        <w:numPr>
          <w:ilvl w:val="1"/>
          <w:numId w:val="2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Transferability of Awards. </w:t>
      </w:r>
      <w:r>
        <w:rPr>
          <w:rFonts w:ascii="Times New Roman" w:cs="Times New Roman" w:eastAsia="Times New Roman" w:hAnsi="Times New Roman"/>
          <w:sz w:val="15"/>
          <w:szCs w:val="15"/>
          <w:color w:val="auto"/>
        </w:rPr>
        <w:t>Except as the Administrator may otherwise determine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provide in an Award Agreement or otherwise, in any case in accordance with Applicable Laws, Awards shall not be sold, assigned, transferred, pledged or otherwise encumbered by the person to whom they are granted, either voluntarily or by operation of law, except by will or the laws of descent and distribution,</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74" w:name="page375"/>
    <w:bookmarkEnd w:id="374"/>
    <w:p>
      <w:pPr>
        <w:ind w:left="1220" w:right="1239"/>
        <w:spacing w:after="0" w:line="285" w:lineRule="auto"/>
        <w:rPr>
          <w:sz w:val="20"/>
          <w:szCs w:val="20"/>
          <w:color w:val="auto"/>
        </w:rPr>
      </w:pPr>
      <w:r>
        <w:rPr>
          <w:rFonts w:ascii="Times New Roman" w:cs="Times New Roman" w:eastAsia="Times New Roman" w:hAnsi="Times New Roman"/>
          <w:sz w:val="15"/>
          <w:szCs w:val="15"/>
          <w:color w:val="auto"/>
        </w:rPr>
        <w:t>and, during the life of the Participant, shall be exercisable only by the Participant. References to a Participant, to the extent relevant in the context, shall include references to authorized transferees.</w:t>
      </w:r>
    </w:p>
    <w:p>
      <w:pPr>
        <w:spacing w:after="0" w:line="112" w:lineRule="exact"/>
        <w:rPr>
          <w:sz w:val="20"/>
          <w:szCs w:val="20"/>
          <w:color w:val="auto"/>
        </w:rPr>
      </w:pPr>
    </w:p>
    <w:p>
      <w:pPr>
        <w:jc w:val="both"/>
        <w:ind w:left="1220" w:right="1239" w:firstLine="1013"/>
        <w:spacing w:after="0" w:line="270" w:lineRule="auto"/>
        <w:tabs>
          <w:tab w:leader="none" w:pos="259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Documentation. </w:t>
      </w:r>
      <w:r>
        <w:rPr>
          <w:rFonts w:ascii="Times New Roman" w:cs="Times New Roman" w:eastAsia="Times New Roman" w:hAnsi="Times New Roman"/>
          <w:sz w:val="15"/>
          <w:szCs w:val="15"/>
          <w:color w:val="auto"/>
        </w:rPr>
        <w:t>Each Award shall be evidenced in an Award Agreement,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be in such form (written, electronic or otherwise) as the Administrator shall determine. Each Award may contain terms and conditions in addition to those set forth in the Plan.</w:t>
      </w:r>
    </w:p>
    <w:p>
      <w:pPr>
        <w:spacing w:after="0" w:line="122"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Discretion. </w:t>
      </w:r>
      <w:r>
        <w:rPr>
          <w:rFonts w:ascii="Times New Roman" w:cs="Times New Roman" w:eastAsia="Times New Roman" w:hAnsi="Times New Roman"/>
          <w:sz w:val="15"/>
          <w:szCs w:val="15"/>
          <w:color w:val="auto"/>
        </w:rPr>
        <w:t>Except as otherwise provided by the Plan, each Award may be made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alone or in addition or in relation to any other Award. The terms of each Award to a Participant need not be identical, and the Administrator need not treat Participants or Awards (or portions thereof) uniformly.</w:t>
      </w:r>
    </w:p>
    <w:p>
      <w:pPr>
        <w:spacing w:after="0" w:line="122" w:lineRule="exact"/>
        <w:rPr>
          <w:rFonts w:ascii="Times New Roman" w:cs="Times New Roman" w:eastAsia="Times New Roman" w:hAnsi="Times New Roman"/>
          <w:sz w:val="15"/>
          <w:szCs w:val="15"/>
          <w:color w:val="auto"/>
        </w:rPr>
      </w:pPr>
    </w:p>
    <w:p>
      <w:pPr>
        <w:jc w:val="both"/>
        <w:ind w:left="1220" w:right="1239" w:firstLine="1013"/>
        <w:spacing w:after="0" w:line="259" w:lineRule="auto"/>
        <w:tabs>
          <w:tab w:leader="none" w:pos="259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Termination of Status. </w:t>
      </w:r>
      <w:r>
        <w:rPr>
          <w:rFonts w:ascii="Times New Roman" w:cs="Times New Roman" w:eastAsia="Times New Roman" w:hAnsi="Times New Roman"/>
          <w:sz w:val="15"/>
          <w:szCs w:val="15"/>
          <w:color w:val="auto"/>
        </w:rPr>
        <w:t>The Administrator shall determine the effect on an Award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disability, death, retirement, authorized leave of absence or any other change or purported change in a Participant’s Service Provider status and the extent to which, and the period during which, the Participant, the Participant’s legal representative, conservator, guardian or Designated Beneficiary may exercise rights under the Award, if applicable.</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54" w:lineRule="auto"/>
        <w:tabs>
          <w:tab w:leader="none" w:pos="259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Withholding. </w:t>
      </w:r>
      <w:r>
        <w:rPr>
          <w:rFonts w:ascii="Times New Roman" w:cs="Times New Roman" w:eastAsia="Times New Roman" w:hAnsi="Times New Roman"/>
          <w:sz w:val="15"/>
          <w:szCs w:val="15"/>
          <w:color w:val="auto"/>
        </w:rPr>
        <w:t>Each Participant shall pay to the Company, or make provision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satisfactory to the Administrator for payment of, any taxes required by law to be withheld in connection with Awards to such Participant no later than the date of the event creating the tax liability. Except as the Administrator may otherwise determine, all such payments shall be made in cash or by certified check. Notwithstanding the foregoing, to the extent permitted by the Administrator, Participants may satisfy such tax obligations in whole or in part by delivery of shares of Common Stock, including shares retained from the Award creating the tax obligation, valued at their Fair Market Value. The Company may, to the extent permitted by Applicable Laws, deduct any such tax obligations from any payment of any kind otherwise due to a Participant.</w:t>
      </w:r>
    </w:p>
    <w:p>
      <w:pPr>
        <w:spacing w:after="0" w:line="133" w:lineRule="exact"/>
        <w:rPr>
          <w:rFonts w:ascii="Times New Roman" w:cs="Times New Roman" w:eastAsia="Times New Roman" w:hAnsi="Times New Roman"/>
          <w:sz w:val="15"/>
          <w:szCs w:val="15"/>
          <w:color w:val="auto"/>
        </w:rPr>
      </w:pPr>
    </w:p>
    <w:p>
      <w:pPr>
        <w:jc w:val="both"/>
        <w:ind w:left="1220" w:right="1239" w:firstLine="1013"/>
        <w:spacing w:after="0" w:line="257" w:lineRule="auto"/>
        <w:tabs>
          <w:tab w:leader="none" w:pos="259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Amendment of Award. </w:t>
      </w:r>
      <w:r>
        <w:rPr>
          <w:rFonts w:ascii="Times New Roman" w:cs="Times New Roman" w:eastAsia="Times New Roman" w:hAnsi="Times New Roman"/>
          <w:sz w:val="15"/>
          <w:szCs w:val="15"/>
          <w:color w:val="auto"/>
        </w:rPr>
        <w:t>The Administrator may amend, modify or terminate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outstanding Award, including but not limited to, substituting therefor another Award of the same or a different type, changing the date of exercise or settlement, and converting an Incentive Stock Option to a Non-Qualified Stock Option. The Participant’s consent to such action shall be required unless (i) the Administrator determines that the action, taking into account any related action, would not materially and adversely affect the Participant, or (ii) the change is permitted under Section 8 and 10(f) hereof.</w:t>
      </w:r>
    </w:p>
    <w:p>
      <w:pPr>
        <w:spacing w:after="0" w:line="132" w:lineRule="exact"/>
        <w:rPr>
          <w:rFonts w:ascii="Times New Roman" w:cs="Times New Roman" w:eastAsia="Times New Roman" w:hAnsi="Times New Roman"/>
          <w:sz w:val="15"/>
          <w:szCs w:val="15"/>
          <w:color w:val="auto"/>
        </w:rPr>
      </w:pPr>
    </w:p>
    <w:p>
      <w:pPr>
        <w:jc w:val="both"/>
        <w:ind w:left="1220" w:right="1239" w:firstLine="1013"/>
        <w:spacing w:after="0" w:line="252" w:lineRule="auto"/>
        <w:tabs>
          <w:tab w:leader="none" w:pos="259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Conditions on Delivery of Stock. </w:t>
      </w:r>
      <w:r>
        <w:rPr>
          <w:rFonts w:ascii="Times New Roman" w:cs="Times New Roman" w:eastAsia="Times New Roman" w:hAnsi="Times New Roman"/>
          <w:sz w:val="15"/>
          <w:szCs w:val="15"/>
          <w:color w:val="auto"/>
        </w:rPr>
        <w:t>The Company will not be obligated to deliver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shares of Common Stock pursuant to the Plan or to remove restrictions from shares previously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any applicable stock exchange or stock market rules and regulations, and (iii) the Participant has executed and delivered to the Company such representations or agreements as the Administrator deems necessary or appropriate to satisfy the requirements of any Applicable Laws. The inability of the Company to obtain authority from any regulatory body having jurisdiction, which authority is determined by the Administrator to be necessary to the lawful issuance and sale of any securities hereunder, shall relieve the Company of any liability in respect of the failure to issue or sell such shares as to which such requisite authority shall not have been obtained.</w:t>
      </w:r>
    </w:p>
    <w:p>
      <w:pPr>
        <w:spacing w:after="0" w:line="139"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Acceleration. </w:t>
      </w:r>
      <w:r>
        <w:rPr>
          <w:rFonts w:ascii="Times New Roman" w:cs="Times New Roman" w:eastAsia="Times New Roman" w:hAnsi="Times New Roman"/>
          <w:sz w:val="15"/>
          <w:szCs w:val="15"/>
          <w:color w:val="auto"/>
        </w:rPr>
        <w:t>The Administrator may at any time provide that any Award shall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become immediately vested and/or exercisable in full or in part, free of some or all restrictions or conditions, or otherwise realizable in full or in part, as the case may be.</w:t>
      </w: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75" w:name="page376"/>
    <w:bookmarkEnd w:id="375"/>
    <w:p>
      <w:pPr>
        <w:ind w:left="2240" w:hanging="511"/>
        <w:spacing w:after="0"/>
        <w:tabs>
          <w:tab w:leader="none" w:pos="2240" w:val="left"/>
        </w:tabs>
        <w:numPr>
          <w:ilvl w:val="0"/>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Miscellaneous</w:t>
      </w:r>
      <w:r>
        <w:rPr>
          <w:rFonts w:ascii="Times New Roman" w:cs="Times New Roman" w:eastAsia="Times New Roman" w:hAnsi="Times New Roman"/>
          <w:sz w:val="15"/>
          <w:szCs w:val="15"/>
          <w:i w:val="1"/>
          <w:iCs w:val="1"/>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7" w:lineRule="auto"/>
        <w:tabs>
          <w:tab w:leader="none" w:pos="2592"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Right To Employment or Other Status. </w:t>
      </w:r>
      <w:r>
        <w:rPr>
          <w:rFonts w:ascii="Times New Roman" w:cs="Times New Roman" w:eastAsia="Times New Roman" w:hAnsi="Times New Roman"/>
          <w:sz w:val="15"/>
          <w:szCs w:val="15"/>
          <w:color w:val="auto"/>
        </w:rPr>
        <w:t>No person shall have any claim or right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any Award, except as expressly provided in an applicable Award Agreement.</w:t>
      </w:r>
    </w:p>
    <w:p>
      <w:pPr>
        <w:spacing w:after="0" w:line="316" w:lineRule="exact"/>
        <w:rPr>
          <w:rFonts w:ascii="Times New Roman" w:cs="Times New Roman" w:eastAsia="Times New Roman" w:hAnsi="Times New Roman"/>
          <w:sz w:val="15"/>
          <w:szCs w:val="15"/>
          <w:color w:val="auto"/>
        </w:rPr>
      </w:pPr>
    </w:p>
    <w:p>
      <w:pPr>
        <w:jc w:val="both"/>
        <w:ind w:left="1220" w:right="1239" w:firstLine="1013"/>
        <w:spacing w:after="0" w:line="253" w:lineRule="auto"/>
        <w:tabs>
          <w:tab w:leader="none" w:pos="2592"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Rights As Stockholder; Certificates. </w:t>
      </w:r>
      <w:r>
        <w:rPr>
          <w:rFonts w:ascii="Times New Roman" w:cs="Times New Roman" w:eastAsia="Times New Roman" w:hAnsi="Times New Roman"/>
          <w:sz w:val="15"/>
          <w:szCs w:val="15"/>
          <w:color w:val="auto"/>
        </w:rPr>
        <w:t>Subject to the provisions of the applicable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Award Agreement, no Participant or Designated Beneficiary shall have any rights as a stockholder with respect to any shares of Common Stock to be distributed with respect to an Award until becoming the record holder of such shares. Notwithstanding any other provision of the Plan, unless otherwise determined by the Administrator or required by any Applicable Laws, the Company shall not be required to deliver to any Participant certificates evidencing shares of Common Stock issued in connection with any Award and instead such shares of Common Stock may be recorded in the books of the Company (or, as applicable, its transfer agent or stock plan administrator). The Company may place legends on stock certificates issued under the Plan deemed necessary or appropriate by the Administrator in order to comply with Applicable Laws.</w:t>
      </w:r>
    </w:p>
    <w:p>
      <w:pPr>
        <w:spacing w:after="0" w:line="136" w:lineRule="exact"/>
        <w:rPr>
          <w:rFonts w:ascii="Times New Roman" w:cs="Times New Roman" w:eastAsia="Times New Roman" w:hAnsi="Times New Roman"/>
          <w:sz w:val="15"/>
          <w:szCs w:val="15"/>
          <w:color w:val="auto"/>
        </w:rPr>
      </w:pPr>
    </w:p>
    <w:p>
      <w:pPr>
        <w:jc w:val="both"/>
        <w:ind w:left="1220" w:right="1239" w:firstLine="1013"/>
        <w:spacing w:after="0" w:line="259" w:lineRule="auto"/>
        <w:tabs>
          <w:tab w:leader="none" w:pos="2592"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Effective Date and Term of Plan. </w:t>
      </w:r>
      <w:r>
        <w:rPr>
          <w:rFonts w:ascii="Times New Roman" w:cs="Times New Roman" w:eastAsia="Times New Roman" w:hAnsi="Times New Roman"/>
          <w:sz w:val="15"/>
          <w:szCs w:val="15"/>
          <w:color w:val="auto"/>
        </w:rPr>
        <w:t>The Plan shall become effective on the date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it is adopted by the Board. No Awards shall be granted under the Plan after the completion of ten years from the earlier of (i) the date on which the Plan was adopted by the Board or (ii) the date the Plan was approved by the Company’s stockholders, but Awards previously granted may extend beyond that date in accordance with the terms of the Plan.</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55" w:lineRule="auto"/>
        <w:tabs>
          <w:tab w:leader="none" w:pos="2592"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Amendment of Plan. </w:t>
      </w:r>
      <w:r>
        <w:rPr>
          <w:rFonts w:ascii="Times New Roman" w:cs="Times New Roman" w:eastAsia="Times New Roman" w:hAnsi="Times New Roman"/>
          <w:sz w:val="15"/>
          <w:szCs w:val="15"/>
          <w:color w:val="auto"/>
        </w:rPr>
        <w:t>The Administrator may amend, suspend or terminate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Plan or any portion thereof at any time; provided that no amendment of the Plan shall materially and adversely affect any Award outstanding at the time of such amendment without the consent of the affected Participant. Awards outstanding under the Plan at the time of any suspension or termination of the Plan shall continue to be governed in accordance with the terms of the Plan and the applicable Award Agreement, as in effect prior to such suspension or termination. The Board shall obtain stockholder approval of any Plan amendment to the extent necessary to comply with Applicable Laws.</w:t>
      </w:r>
    </w:p>
    <w:p>
      <w:pPr>
        <w:spacing w:after="0" w:line="136"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Provisions for Foreign Participants</w:t>
      </w:r>
      <w:r>
        <w:rPr>
          <w:rFonts w:ascii="Times New Roman" w:cs="Times New Roman" w:eastAsia="Times New Roman" w:hAnsi="Times New Roman"/>
          <w:sz w:val="15"/>
          <w:szCs w:val="15"/>
          <w:color w:val="auto"/>
        </w:rPr>
        <w:t>. The Administrator may modify Awards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granted to Participants who are foreign nationals or employed outside the United States or establish subplans or procedures under the Plan to address differences in laws, rules, regulations or customs of such foreign jurisdictions with respect to tax, securities, currency, employee benefit or other matters.</w:t>
      </w:r>
    </w:p>
    <w:p>
      <w:pPr>
        <w:spacing w:after="0" w:line="129"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1"/>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Section 409A</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720" w:right="1239" w:firstLine="1018"/>
        <w:spacing w:after="0" w:line="252" w:lineRule="auto"/>
        <w:tabs>
          <w:tab w:leader="none" w:pos="3368" w:val="left"/>
        </w:tabs>
        <w:numPr>
          <w:ilvl w:val="2"/>
          <w:numId w:val="2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General</w:t>
      </w:r>
      <w:r>
        <w:rPr>
          <w:rFonts w:ascii="Times New Roman" w:cs="Times New Roman" w:eastAsia="Times New Roman" w:hAnsi="Times New Roman"/>
          <w:sz w:val="15"/>
          <w:szCs w:val="15"/>
          <w:color w:val="auto"/>
        </w:rPr>
        <w:t>. The Company intends that all Awards be structured 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compliance with, or to satisfy an exemption from, Section 409A, such that no adverse tax consequences, interest, or penalties under Section 409A apply in connection with any Awards. Notwithstanding anything herein or in any Award Agreement to the contrary, the Administrator may, without a Participant’s prior consent, amend this Plan and/or Awards, adopt policies and procedures, or take any other actions (including amendments, policies, procedures and actions with retroactive effect) as are necessary or appropriate to preserve the intended tax treatment of Awards under the Plan, including without limitation, any such actions intended to (A) exempt this Plan and/or any Award from the application of Section 409A, and/or (B) comply with the requirements of Section 409A, including without limitation any such regulations, guidance, compliance programs and other</w:t>
      </w: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76" w:name="page377"/>
    <w:bookmarkEnd w:id="376"/>
    <w:p>
      <w:pPr>
        <w:jc w:val="both"/>
        <w:ind w:left="1720" w:right="1239"/>
        <w:spacing w:after="0" w:line="253" w:lineRule="auto"/>
        <w:rPr>
          <w:sz w:val="20"/>
          <w:szCs w:val="20"/>
          <w:color w:val="auto"/>
        </w:rPr>
      </w:pPr>
      <w:r>
        <w:rPr>
          <w:rFonts w:ascii="Times New Roman" w:cs="Times New Roman" w:eastAsia="Times New Roman" w:hAnsi="Times New Roman"/>
          <w:sz w:val="15"/>
          <w:szCs w:val="15"/>
          <w:color w:val="auto"/>
        </w:rPr>
        <w:t>interpretative authority that may be issued after the date of grant of any Award. The Company makes no representations or warranties as to the tax treatment of any Award under Section 409A or otherwise. The Company shall have no obligation under this Section 10(f) or otherwise to take any action (whether or not described herein) to avoid the imposition of taxes, penalties or interest under Section 409A with respect to any Award and shall have no liability to any Participant or any other person if any Award, compensation or other benefits under the Plan are determined to constitute non-compliant, “nonqualified deferred compensation” subject to the imposition of taxes, penalties and/or interest under Section 409A.</w:t>
      </w:r>
    </w:p>
    <w:p>
      <w:pPr>
        <w:spacing w:after="0" w:line="139" w:lineRule="exact"/>
        <w:rPr>
          <w:sz w:val="20"/>
          <w:szCs w:val="20"/>
          <w:color w:val="auto"/>
        </w:rPr>
      </w:pPr>
    </w:p>
    <w:p>
      <w:pPr>
        <w:jc w:val="both"/>
        <w:ind w:left="1720" w:right="1239" w:firstLine="1018"/>
        <w:spacing w:after="0" w:line="254" w:lineRule="auto"/>
        <w:tabs>
          <w:tab w:leader="none" w:pos="3247" w:val="left"/>
        </w:tabs>
        <w:numPr>
          <w:ilvl w:val="1"/>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Separation from Service</w:t>
      </w:r>
      <w:r>
        <w:rPr>
          <w:rFonts w:ascii="Times New Roman" w:cs="Times New Roman" w:eastAsia="Times New Roman" w:hAnsi="Times New Roman"/>
          <w:sz w:val="15"/>
          <w:szCs w:val="15"/>
          <w:color w:val="auto"/>
        </w:rPr>
        <w:t>. With respect to any Award that constitutes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“nonqualified deferred compensation” under Section 409A, any payment or settlement of such Award that is to be made upon a termination of a Participant’s Service Provider relationship shall, to the extent necessary to avoid the imposition of taxes under Section 409A, be made only upon the Participant’s “separation from service” (within the meaning of Section 409A), whether such “separation from service” occurs upon or subsequent to the termination of the Participant’s Service Provider relationship. For purposes of any such provision of this Plan or any Award Agreement relating to any such payments or benefits, references to a “termination,” “termination of employment” or like terms shall mean “separation from service.”</w:t>
      </w:r>
    </w:p>
    <w:p>
      <w:pPr>
        <w:spacing w:after="0" w:line="133" w:lineRule="exact"/>
        <w:rPr>
          <w:rFonts w:ascii="Times New Roman" w:cs="Times New Roman" w:eastAsia="Times New Roman" w:hAnsi="Times New Roman"/>
          <w:sz w:val="15"/>
          <w:szCs w:val="15"/>
          <w:color w:val="auto"/>
        </w:rPr>
      </w:pPr>
    </w:p>
    <w:p>
      <w:pPr>
        <w:jc w:val="both"/>
        <w:ind w:left="1720" w:right="1239" w:firstLine="1018"/>
        <w:spacing w:after="0" w:line="252" w:lineRule="auto"/>
        <w:tabs>
          <w:tab w:leader="none" w:pos="3114" w:val="left"/>
        </w:tabs>
        <w:numPr>
          <w:ilvl w:val="1"/>
          <w:numId w:val="2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Payments to Specified Employees</w:t>
      </w:r>
      <w:r>
        <w:rPr>
          <w:rFonts w:ascii="Times New Roman" w:cs="Times New Roman" w:eastAsia="Times New Roman" w:hAnsi="Times New Roman"/>
          <w:sz w:val="15"/>
          <w:szCs w:val="15"/>
          <w:color w:val="auto"/>
        </w:rPr>
        <w:t>. Notwithstanding any contrary provision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the Plan or any Award Agreement, any payment(s) of “nonqualified deferred compensation” that are otherwise required to be made under an Award to a “specified employee” (as defined under Section 409A and determined by the Administrator) as a result of his or her “separation from service” shall, to the extent necessary to avoid the imposition of taxes under Code Section 409A(a)(2)(B)(i), be delayed until the expiration of the six-month period immediately following such “separation from service” (or, if earlier, until the date of death of the specified employee) and shall instead be paid (in a manner set forth in the Award agreement) on the day that immediately follows the end of such six-month period or as soon as administratively practicable thereafter (without interest). Any payments of “nonqualified deferred compensation” under such Award that are, by their terms, payable more than six months following the Participant’s “separation from service” shall be paid at the time or times such payments are otherwise scheduled to be made.</w:t>
      </w:r>
    </w:p>
    <w:p>
      <w:pPr>
        <w:spacing w:after="0" w:line="318" w:lineRule="exact"/>
        <w:rPr>
          <w:rFonts w:ascii="Times New Roman" w:cs="Times New Roman" w:eastAsia="Times New Roman" w:hAnsi="Times New Roman"/>
          <w:sz w:val="15"/>
          <w:szCs w:val="15"/>
          <w:color w:val="auto"/>
        </w:rPr>
      </w:pPr>
    </w:p>
    <w:p>
      <w:pPr>
        <w:jc w:val="both"/>
        <w:ind w:left="1220" w:right="1239" w:firstLine="1013"/>
        <w:spacing w:after="0" w:line="252" w:lineRule="auto"/>
        <w:tabs>
          <w:tab w:leader="none" w:pos="2592"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Limitations on Liability</w:t>
      </w:r>
      <w:r>
        <w:rPr>
          <w:rFonts w:ascii="Times New Roman" w:cs="Times New Roman" w:eastAsia="Times New Roman" w:hAnsi="Times New Roman"/>
          <w:sz w:val="15"/>
          <w:szCs w:val="15"/>
          <w:color w:val="auto"/>
        </w:rPr>
        <w:t>. Notwithstanding any other provisions of the Plan, no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individual acting as a director, officer, other employee or agent of the Company will be liable to any Participant, former Participant, spouse, beneficiary, or any other person for any claim, loss, liability, or expense incurred in connection with the Plan or any Award, nor will such individual be personally liable with respect to the Plan because of any contract or other instrument he or she executes in his or her capacity as an Administrator, director, officer, other employee or agent of the Company. The Company will indemnify and hold harmless each director, officer, other employee and agent of the Company to whom any duty or power relating to the administration or interpretation of the Plan has been or will be granted or delegated, against any cost or expense (including attorneys’ fees) or liability (including any sum paid in settlement of a claim with the Administrator’s approval) arising out of any act or omission to act concerning this Plan unless arising out of such person’s own fraud or bad faith.</w:t>
      </w:r>
    </w:p>
    <w:p>
      <w:pPr>
        <w:spacing w:after="0" w:line="141" w:lineRule="exact"/>
        <w:rPr>
          <w:rFonts w:ascii="Times New Roman" w:cs="Times New Roman" w:eastAsia="Times New Roman" w:hAnsi="Times New Roman"/>
          <w:sz w:val="15"/>
          <w:szCs w:val="15"/>
          <w:color w:val="auto"/>
        </w:rPr>
      </w:pPr>
    </w:p>
    <w:p>
      <w:pPr>
        <w:jc w:val="both"/>
        <w:ind w:left="1220" w:right="1239" w:firstLine="1013"/>
        <w:spacing w:after="0" w:line="257" w:lineRule="auto"/>
        <w:tabs>
          <w:tab w:leader="none" w:pos="2592" w:val="left"/>
        </w:tabs>
        <w:numPr>
          <w:ilvl w:val="0"/>
          <w:numId w:val="2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Lock-Up Period</w:t>
      </w:r>
      <w:r>
        <w:rPr>
          <w:rFonts w:ascii="Times New Roman" w:cs="Times New Roman" w:eastAsia="Times New Roman" w:hAnsi="Times New Roman"/>
          <w:sz w:val="15"/>
          <w:szCs w:val="15"/>
          <w:color w:val="auto"/>
        </w:rPr>
        <w:t>. The Company may, at the request of any representative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underwriters (the “</w:t>
      </w:r>
      <w:r>
        <w:rPr>
          <w:rFonts w:ascii="Times New Roman" w:cs="Times New Roman" w:eastAsia="Times New Roman" w:hAnsi="Times New Roman"/>
          <w:sz w:val="15"/>
          <w:szCs w:val="15"/>
          <w:b w:val="1"/>
          <w:bCs w:val="1"/>
          <w:i w:val="1"/>
          <w:iCs w:val="1"/>
          <w:color w:val="auto"/>
        </w:rPr>
        <w:t>Managing Underwriter</w:t>
      </w:r>
      <w:r>
        <w:rPr>
          <w:rFonts w:ascii="Times New Roman" w:cs="Times New Roman" w:eastAsia="Times New Roman" w:hAnsi="Times New Roman"/>
          <w:sz w:val="15"/>
          <w:szCs w:val="15"/>
          <w:color w:val="auto"/>
        </w:rPr>
        <w:t>”) or otherwise, in connection with any registration of the offering of any securities of the Company under the Securities Act, prohibit Participants from, directly or indirectly, selling or otherwise transferring any shares of Common Stock or other securities of the Company during a period of up to one hundred eighty days following the effective date of a registration statement of the Company filed under the Securities Act.</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377" w:name="page378"/>
    <w:bookmarkEnd w:id="377"/>
    <w:p>
      <w:pPr>
        <w:ind w:left="2600" w:hanging="367"/>
        <w:spacing w:after="0"/>
        <w:tabs>
          <w:tab w:leader="none" w:pos="2600" w:val="left"/>
        </w:tabs>
        <w:numPr>
          <w:ilvl w:val="0"/>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Right of First Refusal</w:t>
      </w:r>
      <w:r>
        <w:rPr>
          <w:rFonts w:ascii="Times New Roman" w:cs="Times New Roman" w:eastAsia="Times New Roman" w:hAnsi="Times New Roman"/>
          <w:sz w:val="15"/>
          <w:szCs w:val="15"/>
          <w:color w:val="auto"/>
        </w:rPr>
        <w:t>.</w:t>
      </w:r>
    </w:p>
    <w:p>
      <w:pPr>
        <w:spacing w:after="0" w:line="178" w:lineRule="exact"/>
        <w:rPr>
          <w:rFonts w:ascii="Times New Roman" w:cs="Times New Roman" w:eastAsia="Times New Roman" w:hAnsi="Times New Roman"/>
          <w:sz w:val="15"/>
          <w:szCs w:val="15"/>
          <w:color w:val="auto"/>
        </w:rPr>
      </w:pPr>
    </w:p>
    <w:p>
      <w:pPr>
        <w:jc w:val="both"/>
        <w:ind w:left="1720" w:right="1239" w:firstLine="1018"/>
        <w:spacing w:after="0" w:line="252" w:lineRule="auto"/>
        <w:tabs>
          <w:tab w:leader="none" w:pos="3113"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Before any shares of Common Stock held by a Participant or any permitted transferee (each, a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may be sold, pledged, assigned, hypothecated, transferred, or otherwise disposed of (each, a “</w:t>
      </w:r>
      <w:r>
        <w:rPr>
          <w:rFonts w:ascii="Times New Roman" w:cs="Times New Roman" w:eastAsia="Times New Roman" w:hAnsi="Times New Roman"/>
          <w:sz w:val="15"/>
          <w:szCs w:val="15"/>
          <w:b w:val="1"/>
          <w:bCs w:val="1"/>
          <w:i w:val="1"/>
          <w:iCs w:val="1"/>
          <w:color w:val="auto"/>
        </w:rPr>
        <w:t>Transfer</w:t>
      </w:r>
      <w:r>
        <w:rPr>
          <w:rFonts w:ascii="Times New Roman" w:cs="Times New Roman" w:eastAsia="Times New Roman" w:hAnsi="Times New Roman"/>
          <w:sz w:val="15"/>
          <w:szCs w:val="15"/>
          <w:color w:val="auto"/>
        </w:rPr>
        <w:t>”), the Company or its assignee(s) shall have a right of first refusal to purchase the shares of Common Stock proposed to be Transferred on the terms and conditions set forth in this Section 10(i) (the “</w:t>
      </w:r>
      <w:r>
        <w:rPr>
          <w:rFonts w:ascii="Times New Roman" w:cs="Times New Roman" w:eastAsia="Times New Roman" w:hAnsi="Times New Roman"/>
          <w:sz w:val="15"/>
          <w:szCs w:val="15"/>
          <w:b w:val="1"/>
          <w:bCs w:val="1"/>
          <w:i w:val="1"/>
          <w:iCs w:val="1"/>
          <w:color w:val="auto"/>
        </w:rPr>
        <w:t>Right of First Refusal</w:t>
      </w:r>
      <w:r>
        <w:rPr>
          <w:rFonts w:ascii="Times New Roman" w:cs="Times New Roman" w:eastAsia="Times New Roman" w:hAnsi="Times New Roman"/>
          <w:sz w:val="15"/>
          <w:szCs w:val="15"/>
          <w:color w:val="auto"/>
        </w:rPr>
        <w:t>”). In the event that the Company’s charter, bylaws and/or a stockholders’ agreement applicable to the shares of Common Stock contain a right of first refusal with respect to the shares of Common Stock, such right of first refusal shall apply to the shares of Common Stock to the extent such provisions are more restrictive than the Right of First Refusal set forth in this Section 10(i) and the Right of First Refusal set forth in this Section 10(i) shall not in any way restrict the operation of the Company’s charter, bylaws or the operation of any applicable stockholders’ agreement.</w:t>
      </w:r>
    </w:p>
    <w:p>
      <w:pPr>
        <w:spacing w:after="0" w:line="141" w:lineRule="exact"/>
        <w:rPr>
          <w:rFonts w:ascii="Times New Roman" w:cs="Times New Roman" w:eastAsia="Times New Roman" w:hAnsi="Times New Roman"/>
          <w:sz w:val="15"/>
          <w:szCs w:val="15"/>
          <w:color w:val="auto"/>
        </w:rPr>
      </w:pPr>
    </w:p>
    <w:p>
      <w:pPr>
        <w:jc w:val="both"/>
        <w:ind w:left="1720" w:right="1239" w:firstLine="1018"/>
        <w:spacing w:after="0" w:line="254" w:lineRule="auto"/>
        <w:tabs>
          <w:tab w:leader="none" w:pos="3147"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any Holder desires to Transfer any shares of Common Stock, the Holder shall deliver to the Company a written notice (the “</w:t>
      </w:r>
      <w:r>
        <w:rPr>
          <w:rFonts w:ascii="Times New Roman" w:cs="Times New Roman" w:eastAsia="Times New Roman" w:hAnsi="Times New Roman"/>
          <w:sz w:val="15"/>
          <w:szCs w:val="15"/>
          <w:b w:val="1"/>
          <w:bCs w:val="1"/>
          <w:i w:val="1"/>
          <w:iCs w:val="1"/>
          <w:color w:val="auto"/>
        </w:rPr>
        <w:t>Notice</w:t>
      </w:r>
      <w:r>
        <w:rPr>
          <w:rFonts w:ascii="Times New Roman" w:cs="Times New Roman" w:eastAsia="Times New Roman" w:hAnsi="Times New Roman"/>
          <w:sz w:val="15"/>
          <w:szCs w:val="15"/>
          <w:color w:val="auto"/>
        </w:rPr>
        <w:t>”) stating: (A) the Holder’s bona fide intention to sell or otherwise Transfer such shares of Common Stock; (B) the name of each proposed purchaser or other transferee (“</w:t>
      </w:r>
      <w:r>
        <w:rPr>
          <w:rFonts w:ascii="Times New Roman" w:cs="Times New Roman" w:eastAsia="Times New Roman" w:hAnsi="Times New Roman"/>
          <w:sz w:val="15"/>
          <w:szCs w:val="15"/>
          <w:b w:val="1"/>
          <w:bCs w:val="1"/>
          <w:i w:val="1"/>
          <w:iCs w:val="1"/>
          <w:color w:val="auto"/>
        </w:rPr>
        <w:t>Proposed Transferee</w:t>
      </w:r>
      <w:r>
        <w:rPr>
          <w:rFonts w:ascii="Times New Roman" w:cs="Times New Roman" w:eastAsia="Times New Roman" w:hAnsi="Times New Roman"/>
          <w:sz w:val="15"/>
          <w:szCs w:val="15"/>
          <w:color w:val="auto"/>
        </w:rPr>
        <w:t>”); (C) the number of shares of Common Stock to be Transferred to each Proposed Transferee; and (D) the price for which the Holder proposes to Transfer the shares of Common Stock (the “</w:t>
      </w:r>
      <w:r>
        <w:rPr>
          <w:rFonts w:ascii="Times New Roman" w:cs="Times New Roman" w:eastAsia="Times New Roman" w:hAnsi="Times New Roman"/>
          <w:sz w:val="15"/>
          <w:szCs w:val="15"/>
          <w:b w:val="1"/>
          <w:bCs w:val="1"/>
          <w:i w:val="1"/>
          <w:iCs w:val="1"/>
          <w:color w:val="auto"/>
        </w:rPr>
        <w:t>Offered Price</w:t>
      </w:r>
      <w:r>
        <w:rPr>
          <w:rFonts w:ascii="Times New Roman" w:cs="Times New Roman" w:eastAsia="Times New Roman" w:hAnsi="Times New Roman"/>
          <w:sz w:val="15"/>
          <w:szCs w:val="15"/>
          <w:color w:val="auto"/>
        </w:rPr>
        <w:t>”), and the Holder shall offer such shares of Common Stock at the Offered Price to the Company or its assignee(s).</w:t>
      </w:r>
    </w:p>
    <w:p>
      <w:pPr>
        <w:spacing w:after="0" w:line="141" w:lineRule="exact"/>
        <w:rPr>
          <w:rFonts w:ascii="Times New Roman" w:cs="Times New Roman" w:eastAsia="Times New Roman" w:hAnsi="Times New Roman"/>
          <w:sz w:val="15"/>
          <w:szCs w:val="15"/>
          <w:color w:val="auto"/>
        </w:rPr>
      </w:pPr>
    </w:p>
    <w:p>
      <w:pPr>
        <w:jc w:val="both"/>
        <w:ind w:left="1720" w:right="1239" w:firstLine="1018"/>
        <w:spacing w:after="0" w:line="256" w:lineRule="auto"/>
        <w:tabs>
          <w:tab w:leader="none" w:pos="3120"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twenty-five days after receipt of the Notice, the Company and/or its assignee(s) may elect in writing to purchase all, but not less than all, of the shares of Common Stock proposed to be Transferred to any one or more of the Proposed Transferees by delivery of a written exercise notice to the Holder (a “</w:t>
      </w:r>
      <w:r>
        <w:rPr>
          <w:rFonts w:ascii="Times New Roman" w:cs="Times New Roman" w:eastAsia="Times New Roman" w:hAnsi="Times New Roman"/>
          <w:sz w:val="15"/>
          <w:szCs w:val="15"/>
          <w:b w:val="1"/>
          <w:bCs w:val="1"/>
          <w:i w:val="1"/>
          <w:iCs w:val="1"/>
          <w:color w:val="auto"/>
        </w:rPr>
        <w:t>Company Notice</w:t>
      </w:r>
      <w:r>
        <w:rPr>
          <w:rFonts w:ascii="Times New Roman" w:cs="Times New Roman" w:eastAsia="Times New Roman" w:hAnsi="Times New Roman"/>
          <w:sz w:val="15"/>
          <w:szCs w:val="15"/>
          <w:color w:val="auto"/>
        </w:rPr>
        <w:t>”). The purchase price (“</w:t>
      </w:r>
      <w:r>
        <w:rPr>
          <w:rFonts w:ascii="Times New Roman" w:cs="Times New Roman" w:eastAsia="Times New Roman" w:hAnsi="Times New Roman"/>
          <w:sz w:val="15"/>
          <w:szCs w:val="15"/>
          <w:b w:val="1"/>
          <w:bCs w:val="1"/>
          <w:i w:val="1"/>
          <w:iCs w:val="1"/>
          <w:color w:val="auto"/>
        </w:rPr>
        <w:t>Purchase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Price</w:t>
      </w:r>
      <w:r>
        <w:rPr>
          <w:rFonts w:ascii="Times New Roman" w:cs="Times New Roman" w:eastAsia="Times New Roman" w:hAnsi="Times New Roman"/>
          <w:sz w:val="15"/>
          <w:szCs w:val="15"/>
          <w:color w:val="auto"/>
        </w:rPr>
        <w:t>”) for the shares of Common Stock repurchased under this Section 10(i) shall be the Offered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Price.</w:t>
      </w:r>
    </w:p>
    <w:p>
      <w:pPr>
        <w:spacing w:after="0" w:line="320" w:lineRule="exact"/>
        <w:rPr>
          <w:rFonts w:ascii="Times New Roman" w:cs="Times New Roman" w:eastAsia="Times New Roman" w:hAnsi="Times New Roman"/>
          <w:sz w:val="15"/>
          <w:szCs w:val="15"/>
          <w:color w:val="auto"/>
        </w:rPr>
      </w:pPr>
    </w:p>
    <w:p>
      <w:pPr>
        <w:jc w:val="both"/>
        <w:ind w:left="1720" w:right="1239" w:firstLine="1018"/>
        <w:spacing w:after="0" w:line="253" w:lineRule="auto"/>
        <w:tabs>
          <w:tab w:leader="none" w:pos="3111"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Payment of the Purchase Price shall be made, at the option of the Company or its assignee(s), in cash (by check or wire transfer), by cancellation of all or a portion of any outstanding indebtedness of the Holder to the Company (or, in the case of repurchase by an assignee, to the assignee), or by any combination thereof, within five days after delivery of the Company Notice or in the manner and at the times mutually agreed to by the Company and the Holder. Should the Offered Price specified in the Notice be payable in property other than cash, the Company or its assignee shall have the right to pay the purchase price in the form of cash equal in amount to the value of such property, as determined by the Administrator.</w:t>
      </w:r>
    </w:p>
    <w:p>
      <w:pPr>
        <w:spacing w:after="0" w:line="143" w:lineRule="exact"/>
        <w:rPr>
          <w:rFonts w:ascii="Times New Roman" w:cs="Times New Roman" w:eastAsia="Times New Roman" w:hAnsi="Times New Roman"/>
          <w:sz w:val="15"/>
          <w:szCs w:val="15"/>
          <w:color w:val="auto"/>
        </w:rPr>
      </w:pPr>
    </w:p>
    <w:p>
      <w:pPr>
        <w:jc w:val="both"/>
        <w:ind w:left="1720" w:right="1239" w:firstLine="1018"/>
        <w:spacing w:after="0" w:line="251" w:lineRule="auto"/>
        <w:tabs>
          <w:tab w:leader="none" w:pos="3109" w:val="left"/>
        </w:tabs>
        <w:numPr>
          <w:ilvl w:val="1"/>
          <w:numId w:val="2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all or a portion of the shares of Common Stock proposed in the Notice to be Transferred are not purchased by the Company and/or its assignee(s) as provided in this Section 10(i), then the Holder may sell or otherwise Transfer such shares of Common Stock to that Proposed Transferee at the Offered Price or at a higher price; provided that such sale or other Transfer is consummated within sixty days after the date of the Notice; and provided, further, that any such sale or other Transfer is effected in accordance with any Applicable Laws and the Proposed Transferee agrees in writing that the provisions of this Plan and the applicable Award Agreement and any other applicable agreements governing the shares of Common Stock to be Transferred shall continue to apply to the shares of Common Stock in the hands of such Proposed Transferee. If the shares of Common Stock described in the Notice are not Transferred to the Proposed Transferee within such sixty-day period, a new Notice shall be given to the Company, and the Company and/or its assignees shall again be offered the Right of First Refusal, as provided</w:t>
      </w: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78" w:name="page379"/>
    <w:bookmarkEnd w:id="378"/>
    <w:p>
      <w:pPr>
        <w:ind w:left="1720" w:right="1239"/>
        <w:spacing w:after="0" w:line="285" w:lineRule="auto"/>
        <w:rPr>
          <w:sz w:val="20"/>
          <w:szCs w:val="20"/>
          <w:color w:val="auto"/>
        </w:rPr>
      </w:pPr>
      <w:r>
        <w:rPr>
          <w:rFonts w:ascii="Times New Roman" w:cs="Times New Roman" w:eastAsia="Times New Roman" w:hAnsi="Times New Roman"/>
          <w:sz w:val="15"/>
          <w:szCs w:val="15"/>
          <w:color w:val="auto"/>
        </w:rPr>
        <w:t>herein, before any shares of Common Stock held by the Holder may be sold or otherwise Transferred.</w:t>
      </w:r>
    </w:p>
    <w:p>
      <w:pPr>
        <w:spacing w:after="0" w:line="116" w:lineRule="exact"/>
        <w:rPr>
          <w:sz w:val="20"/>
          <w:szCs w:val="20"/>
          <w:color w:val="auto"/>
        </w:rPr>
      </w:pPr>
    </w:p>
    <w:p>
      <w:pPr>
        <w:jc w:val="both"/>
        <w:ind w:left="1720" w:right="1239" w:firstLine="1018"/>
        <w:spacing w:after="0" w:line="252" w:lineRule="auto"/>
        <w:tabs>
          <w:tab w:leader="none" w:pos="3174" w:val="left"/>
        </w:tabs>
        <w:numPr>
          <w:ilvl w:val="1"/>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Anything to the contrary contained in this Section 10(i) notwithstanding and to the extent permitted by the Administrator, the Transfer of any or all of the shares of Common Stock during a Participant’s lifetime or upon a Participant’s death by will or intestacy to the Participant’s Immediate Family or a trust for the benefit of the Participant’s Immediate Family shall be exempt from the Right of First Refusal. As used herein, “</w:t>
      </w:r>
      <w:r>
        <w:rPr>
          <w:rFonts w:ascii="Times New Roman" w:cs="Times New Roman" w:eastAsia="Times New Roman" w:hAnsi="Times New Roman"/>
          <w:sz w:val="15"/>
          <w:szCs w:val="15"/>
          <w:b w:val="1"/>
          <w:bCs w:val="1"/>
          <w:i w:val="1"/>
          <w:iCs w:val="1"/>
          <w:color w:val="auto"/>
        </w:rPr>
        <w:t>Immediate Family</w:t>
      </w:r>
      <w:r>
        <w:rPr>
          <w:rFonts w:ascii="Times New Roman" w:cs="Times New Roman" w:eastAsia="Times New Roman" w:hAnsi="Times New Roman"/>
          <w:sz w:val="15"/>
          <w:szCs w:val="15"/>
          <w:color w:val="auto"/>
        </w:rPr>
        <w:t>” shall mean spouse, lineal descendant or antecedent, father, mother, brother or sister or stepchild (whether or not adopted). In such case, the transferee or other recipient shall receive and hold the shares of Common Stock so Transferred subject to the provisions of this Plan (including the Right of First Refusal), the applicable Award Agreement and any other applicable agreements governing the shares of Common Stock to be Transferred, and there shall be no further Transfer of such shares of Common Stock except in accordance with the terms of this Section 10(i) (or otherwise as expressly provided under the Plan).</w:t>
      </w:r>
    </w:p>
    <w:p>
      <w:pPr>
        <w:spacing w:after="0" w:line="139"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84" w:val="left"/>
        </w:tabs>
        <w:numPr>
          <w:ilvl w:val="1"/>
          <w:numId w:val="2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 of First Refusal shall terminate as to all shares of Common Stock if the Company becomes a Publicly Listed Company upon such occurrence.</w:t>
      </w:r>
    </w:p>
    <w:p>
      <w:pPr>
        <w:spacing w:after="0" w:line="111" w:lineRule="exact"/>
        <w:rPr>
          <w:rFonts w:ascii="Times New Roman" w:cs="Times New Roman" w:eastAsia="Times New Roman" w:hAnsi="Times New Roman"/>
          <w:sz w:val="15"/>
          <w:szCs w:val="15"/>
          <w:color w:val="auto"/>
        </w:rPr>
      </w:pPr>
    </w:p>
    <w:p>
      <w:pPr>
        <w:jc w:val="both"/>
        <w:ind w:left="1220" w:right="1239" w:firstLine="1013"/>
        <w:spacing w:after="0" w:line="250" w:lineRule="auto"/>
        <w:tabs>
          <w:tab w:leader="none" w:pos="2592" w:val="left"/>
        </w:tabs>
        <w:numPr>
          <w:ilvl w:val="0"/>
          <w:numId w:val="2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Data Privacy</w:t>
      </w:r>
      <w:r>
        <w:rPr>
          <w:rFonts w:ascii="Times New Roman" w:cs="Times New Roman" w:eastAsia="Times New Roman" w:hAnsi="Times New Roman"/>
          <w:sz w:val="15"/>
          <w:szCs w:val="15"/>
          <w:color w:val="auto"/>
        </w:rPr>
        <w:t>. As a condition of receipt of any Award, each Participant explicitly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unambiguously consents to the collection, use and transfer, in electronic or other form, of personal data as described in this paragraph by and among, as applicable, the Company and its subsidiaries and affiliates for the exclusive purpose of implementing, administering and managing the Participant’s participation in the Plan. The Company and its subsidiaries and affiliates may hold certain personal information about a Participant, including but not limited to, the Participant’s name, home address and telephone number, date of birth, social security or insurance number or other identification number, salary, nationality, job title(s), any shares of stock held in the Company or any of its subsidiaries and affiliates, details of all Awards, in each case, for the purpose of implementing, managing and administering the Plan and Awards (the “</w:t>
      </w:r>
      <w:r>
        <w:rPr>
          <w:rFonts w:ascii="Times New Roman" w:cs="Times New Roman" w:eastAsia="Times New Roman" w:hAnsi="Times New Roman"/>
          <w:sz w:val="15"/>
          <w:szCs w:val="15"/>
          <w:b w:val="1"/>
          <w:bCs w:val="1"/>
          <w:i w:val="1"/>
          <w:iCs w:val="1"/>
          <w:color w:val="auto"/>
        </w:rPr>
        <w:t>Data</w:t>
      </w:r>
      <w:r>
        <w:rPr>
          <w:rFonts w:ascii="Times New Roman" w:cs="Times New Roman" w:eastAsia="Times New Roman" w:hAnsi="Times New Roman"/>
          <w:sz w:val="15"/>
          <w:szCs w:val="15"/>
          <w:color w:val="auto"/>
        </w:rPr>
        <w:t>”). The Company and its subsidiaries and affiliates may transfer the Data amongst themselves as necessary for the purpose of implementation, administration and management of a Participant’s participation in the Plan, and the Company and its subsidiaries and affiliates may each further transfer the Data to any third parties assisting the Company in the implementation, administration and management of the Plan. These recipients may be located in the Participant’s country, or elsewhere, and the Participant’s country may have different data privacy laws and protections than the recipients’ country. Through acceptance of an Award, each Participant authorizes such recipients to receive, possess, use, retain and transfer the Data, in electronic or other form, for the purposes of implementing, administering and managing the Participant’s participation in the Plan, including any requisite transfer of such Data as may be required to a broker or other third party with whom the Company or the Participant may elect to deposit any shares of Common Stock. The Data related to a Participant will be held only as long as is necessary to implement, administer, and manage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Participant’s ability to participate in the Plan and, in the Administrator’s discretion, the Participant may forfeit any outstanding Awards if the Participant refuses or withdraws his or her consents as described herein. For more information on the consequences of refusal to consent or withdrawal of consent, Participants may contact their local human resources representative.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79" w:name="page380"/>
    <w:bookmarkEnd w:id="379"/>
    <w:p>
      <w:pPr>
        <w:jc w:val="both"/>
        <w:ind w:left="1220" w:right="1239" w:firstLine="1013"/>
        <w:spacing w:after="0" w:line="262" w:lineRule="auto"/>
        <w:tabs>
          <w:tab w:leader="none" w:pos="259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Severability</w:t>
      </w:r>
      <w:r>
        <w:rPr>
          <w:rFonts w:ascii="Times New Roman" w:cs="Times New Roman" w:eastAsia="Times New Roman" w:hAnsi="Times New Roman"/>
          <w:sz w:val="15"/>
          <w:szCs w:val="15"/>
          <w:color w:val="auto"/>
        </w:rPr>
        <w:t>. In the event any portion of the Plan or any action taken pursuant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thereto shall be held illegal or invalid for any reason, the illegality or invalidity shall not affect the remaining parts of the Plan, and the Plan shall be construed and enforced as if the illegal or invalid provisions had not been included, and the illegal or invalid action shall be null and void.</w:t>
      </w:r>
    </w:p>
    <w:p>
      <w:pPr>
        <w:spacing w:after="0" w:line="129" w:lineRule="exact"/>
        <w:rPr>
          <w:rFonts w:ascii="Times New Roman" w:cs="Times New Roman" w:eastAsia="Times New Roman" w:hAnsi="Times New Roman"/>
          <w:sz w:val="15"/>
          <w:szCs w:val="15"/>
          <w:color w:val="auto"/>
        </w:rPr>
      </w:pPr>
    </w:p>
    <w:p>
      <w:pPr>
        <w:jc w:val="both"/>
        <w:ind w:left="1220" w:right="1239" w:firstLine="1013"/>
        <w:spacing w:after="0" w:line="259" w:lineRule="auto"/>
        <w:tabs>
          <w:tab w:leader="none" w:pos="259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Governing Documents</w:t>
      </w:r>
      <w:r>
        <w:rPr>
          <w:rFonts w:ascii="Times New Roman" w:cs="Times New Roman" w:eastAsia="Times New Roman" w:hAnsi="Times New Roman"/>
          <w:sz w:val="15"/>
          <w:szCs w:val="15"/>
          <w:color w:val="auto"/>
        </w:rPr>
        <w:t>. In the event of any contradiction between the Plan and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Award Agreement or any other written agreement between a Participant and the Company or any Subsidiary of the Company that has been approved by the Administrator, the terms of the Plan shall govern, unless it is expressly specified in such Award Agreement or other written document that a specific provision of the Plan shall not apply.</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Governing Law</w:t>
      </w:r>
      <w:r>
        <w:rPr>
          <w:rFonts w:ascii="Times New Roman" w:cs="Times New Roman" w:eastAsia="Times New Roman" w:hAnsi="Times New Roman"/>
          <w:sz w:val="15"/>
          <w:szCs w:val="15"/>
          <w:color w:val="auto"/>
        </w:rPr>
        <w:t>. The provisions of the Plan and all Awards made hereunder shall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governed by and interpreted in accordance with the laws of the State of Delaware, disregarding choice-of-law principles of the law of any state that would require the application of the laws of a jurisdiction other than such state.</w:t>
      </w:r>
    </w:p>
    <w:p>
      <w:pPr>
        <w:spacing w:after="0" w:line="129" w:lineRule="exact"/>
        <w:rPr>
          <w:rFonts w:ascii="Times New Roman" w:cs="Times New Roman" w:eastAsia="Times New Roman" w:hAnsi="Times New Roman"/>
          <w:sz w:val="15"/>
          <w:szCs w:val="15"/>
          <w:color w:val="auto"/>
        </w:rPr>
      </w:pPr>
    </w:p>
    <w:p>
      <w:pPr>
        <w:jc w:val="both"/>
        <w:ind w:left="1220" w:right="1239" w:firstLine="1013"/>
        <w:spacing w:after="0" w:line="251" w:lineRule="auto"/>
        <w:tabs>
          <w:tab w:leader="none" w:pos="259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Restrictions on Shares; Claw-Back Provisions</w:t>
      </w:r>
      <w:r>
        <w:rPr>
          <w:rFonts w:ascii="Times New Roman" w:cs="Times New Roman" w:eastAsia="Times New Roman" w:hAnsi="Times New Roman"/>
          <w:sz w:val="15"/>
          <w:szCs w:val="15"/>
          <w:color w:val="auto"/>
        </w:rPr>
        <w:t>. Shares of Common Stock acquired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 respect of Awards shall be subject to such terms and conditions as the Administrator shall determine, including, without limitation, restrictions on the transferability of shares of Common Stock, the right of the Company to repurchase shares of Common Stock, the right of the Company to require that shares of Common Stock be transferred in the event of certain transactions, tag-along rights, bring-along rights, redemption and co-sale rights and voting requirements. Such terms and conditions may be additional to those contained in the Plan and may, as determined by the Administrator, be contained in the applicable Award Agreement or in an exercise notice, stockholders’ agreement or in such other agreement as the Administrator shall determine, in each case in a form determined by the Administrator. The issuance of such shares of Common Stock shall be conditioned on the Participant’s consent to such terms and conditions and the Participant’s entering into such agreement or agreements. All Awards (including any proceeds, gains or other economic benefit actually or constructively received by Participant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39"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Titles and Headings</w:t>
      </w:r>
      <w:r>
        <w:rPr>
          <w:rFonts w:ascii="Times New Roman" w:cs="Times New Roman" w:eastAsia="Times New Roman" w:hAnsi="Times New Roman"/>
          <w:sz w:val="15"/>
          <w:szCs w:val="15"/>
          <w:color w:val="auto"/>
        </w:rPr>
        <w:t>. The titles and headings of the Sections in the Plan are for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convenience of reference only and, in the event of any conflict, the text of the Plan, rather than such titles or headings, shall control.</w:t>
      </w:r>
    </w:p>
    <w:p>
      <w:pPr>
        <w:spacing w:after="0" w:line="122" w:lineRule="exact"/>
        <w:rPr>
          <w:rFonts w:ascii="Times New Roman" w:cs="Times New Roman" w:eastAsia="Times New Roman" w:hAnsi="Times New Roman"/>
          <w:sz w:val="15"/>
          <w:szCs w:val="15"/>
          <w:color w:val="auto"/>
        </w:rPr>
      </w:pPr>
    </w:p>
    <w:p>
      <w:pPr>
        <w:jc w:val="both"/>
        <w:ind w:left="1220" w:right="1239" w:firstLine="1013"/>
        <w:spacing w:after="0" w:line="255" w:lineRule="auto"/>
        <w:tabs>
          <w:tab w:leader="none" w:pos="2592" w:val="left"/>
        </w:tabs>
        <w:numPr>
          <w:ilvl w:val="0"/>
          <w:numId w:val="2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Conformity to Securities Laws</w:t>
      </w:r>
      <w:r>
        <w:rPr>
          <w:rFonts w:ascii="Times New Roman" w:cs="Times New Roman" w:eastAsia="Times New Roman" w:hAnsi="Times New Roman"/>
          <w:sz w:val="15"/>
          <w:szCs w:val="15"/>
          <w:color w:val="auto"/>
        </w:rPr>
        <w:t>. Participant acknowledges that the Plan is intended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conform to the extent necessary with all provisions of the Securities Act and the Exchange Act and any and all regulations and rules promulgated by the Securities and Exchange Commission thereunder, and state securities laws and regulations. Notwithstanding anything herein to the contrary, the Plan and all Awards granted hereunder shall be administered only in such a manner as to conform to such laws, rules and regulations. To the extent permitted by Applicable Laws, the Plan and all Award Agreements shall be deemed amended to the extent necessary to conform to such laws, rules and regulations.</w:t>
      </w: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80" w:name="page381"/>
    <w:bookmarkEnd w:id="380"/>
    <w:p>
      <w:pPr>
        <w:ind w:left="1220" w:right="1239" w:firstLine="505"/>
        <w:spacing w:after="0" w:line="291" w:lineRule="auto"/>
        <w:rPr>
          <w:sz w:val="20"/>
          <w:szCs w:val="20"/>
          <w:color w:val="auto"/>
        </w:rPr>
      </w:pPr>
      <w:r>
        <w:rPr>
          <w:rFonts w:ascii="Times New Roman" w:cs="Times New Roman" w:eastAsia="Times New Roman" w:hAnsi="Times New Roman"/>
          <w:sz w:val="15"/>
          <w:szCs w:val="15"/>
          <w:color w:val="auto"/>
        </w:rPr>
        <w:t>11.</w:t>
      </w:r>
      <w:r>
        <w:rPr>
          <w:rFonts w:ascii="Times New Roman" w:cs="Times New Roman" w:eastAsia="Times New Roman" w:hAnsi="Times New Roman"/>
          <w:sz w:val="15"/>
          <w:szCs w:val="15"/>
          <w:b w:val="1"/>
          <w:bCs w:val="1"/>
          <w:i w:val="1"/>
          <w:iCs w:val="1"/>
          <w:color w:val="auto"/>
        </w:rPr>
        <w:t>Definitions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 xml:space="preserve"> As used in the Plan, the following words and phrases shall have the following meanings:</w:t>
      </w:r>
    </w:p>
    <w:p>
      <w:pPr>
        <w:spacing w:after="0" w:line="107" w:lineRule="exact"/>
        <w:rPr>
          <w:sz w:val="20"/>
          <w:szCs w:val="20"/>
          <w:color w:val="auto"/>
        </w:rPr>
      </w:pPr>
    </w:p>
    <w:p>
      <w:pPr>
        <w:ind w:left="1220" w:right="1239" w:firstLine="1013"/>
        <w:spacing w:after="0" w:line="291" w:lineRule="auto"/>
        <w:tabs>
          <w:tab w:leader="none" w:pos="25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Administrator</w:t>
      </w:r>
      <w:r>
        <w:rPr>
          <w:rFonts w:ascii="Times New Roman" w:cs="Times New Roman" w:eastAsia="Times New Roman" w:hAnsi="Times New Roman"/>
          <w:sz w:val="15"/>
          <w:szCs w:val="15"/>
          <w:color w:val="auto"/>
        </w:rPr>
        <w:t>” means the Board or a Committee to the extent that the Board’s powers or authority under the Plan have been delegated to such Committee.</w:t>
      </w:r>
    </w:p>
    <w:p>
      <w:pPr>
        <w:spacing w:after="0" w:line="107" w:lineRule="exact"/>
        <w:rPr>
          <w:rFonts w:ascii="Times New Roman" w:cs="Times New Roman" w:eastAsia="Times New Roman" w:hAnsi="Times New Roman"/>
          <w:sz w:val="15"/>
          <w:szCs w:val="15"/>
          <w:color w:val="auto"/>
        </w:rPr>
      </w:pPr>
    </w:p>
    <w:p>
      <w:pPr>
        <w:jc w:val="both"/>
        <w:ind w:left="1220" w:right="1239" w:firstLine="1013"/>
        <w:spacing w:after="0" w:line="259" w:lineRule="auto"/>
        <w:tabs>
          <w:tab w:leader="none" w:pos="25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Applicable Laws</w:t>
      </w:r>
      <w:r>
        <w:rPr>
          <w:rFonts w:ascii="Times New Roman" w:cs="Times New Roman" w:eastAsia="Times New Roman" w:hAnsi="Times New Roman"/>
          <w:sz w:val="15"/>
          <w:szCs w:val="15"/>
          <w:color w:val="auto"/>
        </w:rPr>
        <w:t>” means the requirements relating to the administration of equity incentive plans under U.S. federal and state securities, tax and other applicable laws, rules and regulations, the applicable rules of any stock exchange or quotation system on which the Common Stock is listed or quoted and the applicable laws and rules of any foreign country or other jurisdiction where Awards are granted or issued under the Plan.</w:t>
      </w:r>
    </w:p>
    <w:p>
      <w:pPr>
        <w:spacing w:after="0" w:line="131" w:lineRule="exact"/>
        <w:rPr>
          <w:rFonts w:ascii="Times New Roman" w:cs="Times New Roman" w:eastAsia="Times New Roman" w:hAnsi="Times New Roman"/>
          <w:sz w:val="15"/>
          <w:szCs w:val="15"/>
          <w:color w:val="auto"/>
        </w:rPr>
      </w:pPr>
    </w:p>
    <w:p>
      <w:pPr>
        <w:ind w:left="1220" w:right="1239" w:firstLine="1013"/>
        <w:spacing w:after="0" w:line="291" w:lineRule="auto"/>
        <w:tabs>
          <w:tab w:leader="none" w:pos="25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Award</w:t>
      </w:r>
      <w:r>
        <w:rPr>
          <w:rFonts w:ascii="Times New Roman" w:cs="Times New Roman" w:eastAsia="Times New Roman" w:hAnsi="Times New Roman"/>
          <w:sz w:val="15"/>
          <w:szCs w:val="15"/>
          <w:color w:val="auto"/>
        </w:rPr>
        <w:t>” means, individually or collectively, a grant under the Plan of Options,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Stock, Restricted Stock Units or Other Stock-Based Awards.</w:t>
      </w:r>
    </w:p>
    <w:p>
      <w:pPr>
        <w:spacing w:after="0" w:line="107"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Award Agreement</w:t>
      </w:r>
      <w:r>
        <w:rPr>
          <w:rFonts w:ascii="Times New Roman" w:cs="Times New Roman" w:eastAsia="Times New Roman" w:hAnsi="Times New Roman"/>
          <w:sz w:val="15"/>
          <w:szCs w:val="15"/>
          <w:color w:val="auto"/>
        </w:rPr>
        <w:t>” means a written agreement evidencing an Award, which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agreements may be in electronic medium and shall contain such terms and conditions with respect to an Award as the Administrator shall determine, consistent with and subject to the terms and conditions of the Plan.</w:t>
      </w:r>
    </w:p>
    <w:p>
      <w:pPr>
        <w:spacing w:after="0" w:line="129"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1" w:lineRule="auto"/>
        <w:tabs>
          <w:tab w:leader="none" w:pos="25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xml:space="preserve">,” with respect to a Participant, means “Cause” (or any term of similar effect) as defined in such Participant’s employment agreement with the Company if such an agreement exists and contains a definition of Cause (or term of similar effect), or, if no such agreement exists or such agreement does not contain a definition of Cause (or term of similar effect), then Cause shall include, but not be limited to: (i) the Participant’s unauthorized use or disclosure of confidential information or trade secrets of the Company or any material breach of a written agreement between the Participant and the Company, including without limitation a material breach of any employment, confidentiality, non-compete, non-solicit or similar agreement; (ii) the Participant’s commission of, indictment for or the entry of a plea of guilty or </w:t>
      </w:r>
      <w:r>
        <w:rPr>
          <w:rFonts w:ascii="Times New Roman" w:cs="Times New Roman" w:eastAsia="Times New Roman" w:hAnsi="Times New Roman"/>
          <w:sz w:val="15"/>
          <w:szCs w:val="15"/>
          <w:i w:val="1"/>
          <w:iCs w:val="1"/>
          <w:color w:val="auto"/>
        </w:rPr>
        <w:t>nolo contendere</w:t>
      </w:r>
      <w:r>
        <w:rPr>
          <w:rFonts w:ascii="Times New Roman" w:cs="Times New Roman" w:eastAsia="Times New Roman" w:hAnsi="Times New Roman"/>
          <w:sz w:val="15"/>
          <w:szCs w:val="15"/>
          <w:color w:val="auto"/>
        </w:rPr>
        <w:t xml:space="preserve"> by the Participant to, a felony under the laws of the United States or any state thereof or any crime involving dishonesty or moral turpitude (or any similar crime in any jurisdiction outside the United States); (iii) the Participant’s gross negligence or willful misconduct or the Participant’s willful or repeated failure or refusal to substantially perform assigned duties; (iv) any act of fraud, embezzlement, material misappropriation or dishonesty committed by the Participant against the Company; or (v) any acts, omissions or statements by a Participant which the Company reasonably determines to be materially detrimental or damaging to the reputation, operations, prospects or business relations of the Company.</w:t>
      </w:r>
    </w:p>
    <w:p>
      <w:pPr>
        <w:spacing w:after="0" w:line="321" w:lineRule="exact"/>
        <w:rPr>
          <w:rFonts w:ascii="Times New Roman" w:cs="Times New Roman" w:eastAsia="Times New Roman" w:hAnsi="Times New Roman"/>
          <w:sz w:val="15"/>
          <w:szCs w:val="15"/>
          <w:color w:val="auto"/>
        </w:rPr>
      </w:pPr>
    </w:p>
    <w:p>
      <w:pPr>
        <w:jc w:val="both"/>
        <w:ind w:left="1220" w:right="1239" w:firstLine="1013"/>
        <w:spacing w:after="0" w:line="252" w:lineRule="auto"/>
        <w:tabs>
          <w:tab w:leader="none" w:pos="2592" w:val="left"/>
        </w:tabs>
        <w:numPr>
          <w:ilvl w:val="0"/>
          <w:numId w:val="2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Change in Control</w:t>
      </w:r>
      <w:r>
        <w:rPr>
          <w:rFonts w:ascii="Times New Roman" w:cs="Times New Roman" w:eastAsia="Times New Roman" w:hAnsi="Times New Roman"/>
          <w:sz w:val="15"/>
          <w:szCs w:val="15"/>
          <w:color w:val="auto"/>
        </w:rPr>
        <w:t>” means (i) a merger or consolidation of the Company with or into any other corporation or other entity or person, (ii) a sale, lease, exchange or other transfer in one transaction or a series of related transactions of all or substantially all of the Company’s assets, or (iii) any other transaction, including the sale by the Company of new shares of its capital stock or a transfer of existing shares of capital stock of the Company, the result of which is that a third party that is not an affiliate of the Company or its stockholders (or a group of third parties not affiliated with the Company or its stockholders) immediately prior to such transaction acquires or holds capital stock of the Company representing a majority of the Company’s outstanding voting power immediately following such transaction; provided that the following events shall not constitute a “Change in Control”: (A) a transaction (other than a sale of all or substantially all of the Company’s assets) in which the holders of the voting securities of the Company immediately prior to the merger or consolidation hold, directly or indirectly, at least a majority of the voting securities in the successor corporation or its parent immediately after the</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81" w:name="page382"/>
    <w:bookmarkEnd w:id="381"/>
    <w:p>
      <w:pPr>
        <w:jc w:val="both"/>
        <w:ind w:left="1220" w:right="1239"/>
        <w:spacing w:after="0" w:line="252" w:lineRule="auto"/>
        <w:rPr>
          <w:sz w:val="20"/>
          <w:szCs w:val="20"/>
          <w:color w:val="auto"/>
        </w:rPr>
      </w:pPr>
      <w:r>
        <w:rPr>
          <w:rFonts w:ascii="Times New Roman" w:cs="Times New Roman" w:eastAsia="Times New Roman" w:hAnsi="Times New Roman"/>
          <w:sz w:val="15"/>
          <w:szCs w:val="15"/>
          <w:color w:val="auto"/>
        </w:rPr>
        <w:t>merger or consolidation; (B) a sale, lease, exchange or other transaction in one transaction or a series of related transactions of all or substantially all of the Company’s assets to an affiliate of the Company; (C) an initial public offering of any of the Company’s securities; (D) a reincorporation of the Company solely to change its jurisdiction; or (E) a transaction undertaken for the primary purpose of creating a holding company that will be owned in substantially the same proportion by the persons who held the Company’s securities immediately before such transaction. Notwithstanding the foregoing, if a Change in Control would give rise to a payment or settlement event with respect to any Award that constitutes “nonqualified deferred compensation,” the transaction or event constituting the Change in Control must also constitute a “change in control event” (as defined in Treasury Regulation §1.409A-3(i)(5)) in order to give rise to the payment or settlement event for such Award, to the extent required by Section 409A.</w:t>
      </w:r>
    </w:p>
    <w:p>
      <w:pPr>
        <w:spacing w:after="0" w:line="140" w:lineRule="exact"/>
        <w:rPr>
          <w:sz w:val="20"/>
          <w:szCs w:val="20"/>
          <w:color w:val="auto"/>
        </w:rPr>
      </w:pPr>
    </w:p>
    <w:p>
      <w:pPr>
        <w:ind w:left="2600" w:hanging="367"/>
        <w:spacing w:after="0"/>
        <w:tabs>
          <w:tab w:leader="none" w:pos="2600"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Internal Revenue Code of 1986, as amended, and the regulations</w:t>
      </w:r>
    </w:p>
    <w:p>
      <w:pPr>
        <w:spacing w:after="0" w:line="26"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issued thereunder.</w:t>
      </w:r>
    </w:p>
    <w:p>
      <w:pPr>
        <w:spacing w:after="0" w:line="154"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one or more committees or subcommittees of the Board,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which may be comprised of one or more directors and/or executive officers of the Company, in either case, to the extent permitted in accordance with Applicable Laws.</w:t>
      </w:r>
    </w:p>
    <w:p>
      <w:pPr>
        <w:spacing w:after="0" w:line="122"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means the common stock of the Company.</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7" w:lineRule="auto"/>
        <w:tabs>
          <w:tab w:leader="none" w:pos="2592"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Avalyn Pharma Inc. (formerly Genoa Pharmaceuticals, Inc.),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Delaware corporation, or any successor thereto. Except where the context otherwise requires, the term “Company” includes any of the Company’s present or future parent or subsidiary corporations as defined in Sections 424(e) or (f) of the Code and any other business venture (including, without limitation, joint venture or limited liability company) in which the Company has a significant interest, as determined by the Administrator.</w:t>
      </w:r>
    </w:p>
    <w:p>
      <w:pPr>
        <w:spacing w:after="0" w:line="132" w:lineRule="exact"/>
        <w:rPr>
          <w:rFonts w:ascii="Times New Roman" w:cs="Times New Roman" w:eastAsia="Times New Roman" w:hAnsi="Times New Roman"/>
          <w:sz w:val="15"/>
          <w:szCs w:val="15"/>
          <w:color w:val="auto"/>
        </w:rPr>
      </w:pPr>
    </w:p>
    <w:p>
      <w:pPr>
        <w:ind w:left="1220" w:right="1239" w:firstLine="1013"/>
        <w:spacing w:after="0" w:line="291" w:lineRule="auto"/>
        <w:tabs>
          <w:tab w:leader="none" w:pos="2592"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Consultant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means any person, including any advisor, engaged by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 a parent or subsidiary of the Company to render services to such entity.</w:t>
      </w:r>
    </w:p>
    <w:p>
      <w:pPr>
        <w:spacing w:after="0" w:line="107"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Designated Beneficiary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means the beneficiary or beneficiaries designated, in a</w:t>
      </w:r>
    </w:p>
    <w:p>
      <w:pPr>
        <w:spacing w:after="0" w:line="26"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5"/>
          <w:szCs w:val="15"/>
          <w:color w:val="auto"/>
        </w:rPr>
        <w:t>manner determined by the Administrator, by a Participant to receive amounts due or exercise rights of the Participant in the event of the Participant’s death or incapacity In the absence of an effective designation by a Participant, “Designated Beneficiary” shall mean the Participant’s estate.</w:t>
      </w:r>
    </w:p>
    <w:p>
      <w:pPr>
        <w:spacing w:after="0" w:line="132" w:lineRule="exact"/>
        <w:rPr>
          <w:sz w:val="20"/>
          <w:szCs w:val="20"/>
          <w:color w:val="auto"/>
        </w:rPr>
      </w:pPr>
    </w:p>
    <w:p>
      <w:pPr>
        <w:ind w:left="2600" w:hanging="367"/>
        <w:spacing w:after="0"/>
        <w:tabs>
          <w:tab w:leader="none" w:pos="2600"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Director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means a member of the Board.</w:t>
      </w:r>
    </w:p>
    <w:p>
      <w:pPr>
        <w:spacing w:after="0" w:line="174" w:lineRule="exact"/>
        <w:rPr>
          <w:rFonts w:ascii="Times New Roman" w:cs="Times New Roman" w:eastAsia="Times New Roman" w:hAnsi="Times New Roman"/>
          <w:sz w:val="15"/>
          <w:szCs w:val="15"/>
          <w:color w:val="auto"/>
        </w:rPr>
      </w:pPr>
    </w:p>
    <w:p>
      <w:pPr>
        <w:ind w:left="1220" w:right="1239" w:firstLine="1013"/>
        <w:spacing w:after="0" w:line="291" w:lineRule="auto"/>
        <w:tabs>
          <w:tab w:leader="none" w:pos="2592"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a permanent and total disability within the meaning of Section 22(e)(3) of the Code, as it may be amended from time to time.</w:t>
      </w:r>
    </w:p>
    <w:p>
      <w:pPr>
        <w:spacing w:after="0" w:line="107"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Dividend Equivalents</w:t>
      </w:r>
      <w:r>
        <w:rPr>
          <w:rFonts w:ascii="Times New Roman" w:cs="Times New Roman" w:eastAsia="Times New Roman" w:hAnsi="Times New Roman"/>
          <w:sz w:val="15"/>
          <w:szCs w:val="15"/>
          <w:color w:val="auto"/>
        </w:rPr>
        <w:t>” means a right granted to a Participant pursuant to Section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6(d)(3) hereof to receive the equivalent value (in cash or shares of Common Stock) of dividends paid on shares of Common Stock.</w:t>
      </w:r>
    </w:p>
    <w:p>
      <w:pPr>
        <w:spacing w:after="0" w:line="122" w:lineRule="exact"/>
        <w:rPr>
          <w:rFonts w:ascii="Times New Roman" w:cs="Times New Roman" w:eastAsia="Times New Roman" w:hAnsi="Times New Roman"/>
          <w:sz w:val="15"/>
          <w:szCs w:val="15"/>
          <w:color w:val="auto"/>
        </w:rPr>
      </w:pPr>
    </w:p>
    <w:p>
      <w:pPr>
        <w:jc w:val="both"/>
        <w:ind w:left="1220" w:right="1239" w:firstLine="1013"/>
        <w:spacing w:after="0" w:line="280" w:lineRule="auto"/>
        <w:tabs>
          <w:tab w:leader="none" w:pos="2592"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Employee</w:t>
      </w:r>
      <w:r>
        <w:rPr>
          <w:rFonts w:ascii="Times New Roman" w:cs="Times New Roman" w:eastAsia="Times New Roman" w:hAnsi="Times New Roman"/>
          <w:sz w:val="15"/>
          <w:szCs w:val="15"/>
          <w:color w:val="auto"/>
        </w:rPr>
        <w:t>” means any person, including officers and Directors, employed by the Company (within the meaning of Section 3401(c) of the Code) or any parent or subsidiary of the Company.</w:t>
      </w:r>
    </w:p>
    <w:p>
      <w:pPr>
        <w:spacing w:after="0" w:line="301" w:lineRule="exact"/>
        <w:rPr>
          <w:rFonts w:ascii="Times New Roman" w:cs="Times New Roman" w:eastAsia="Times New Roman" w:hAnsi="Times New Roman"/>
          <w:sz w:val="15"/>
          <w:szCs w:val="15"/>
          <w:color w:val="auto"/>
        </w:rPr>
      </w:pPr>
    </w:p>
    <w:p>
      <w:pPr>
        <w:jc w:val="both"/>
        <w:ind w:left="1220" w:right="1239" w:firstLine="1013"/>
        <w:spacing w:after="0" w:line="265" w:lineRule="auto"/>
        <w:tabs>
          <w:tab w:leader="none" w:pos="2592" w:val="left"/>
        </w:tabs>
        <w:numPr>
          <w:ilvl w:val="0"/>
          <w:numId w:val="2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Equity Restructuring</w:t>
      </w:r>
      <w:r>
        <w:rPr>
          <w:rFonts w:ascii="Times New Roman" w:cs="Times New Roman" w:eastAsia="Times New Roman" w:hAnsi="Times New Roman"/>
          <w:sz w:val="15"/>
          <w:szCs w:val="15"/>
          <w:color w:val="auto"/>
        </w:rPr>
        <w:t>” means, as determined by the Administrator, a non-reciprocal transaction between the Company and its stockholders, such as a stock dividend, stock split, spin-off or recapitalization through a large, nonrecurring cash dividend, that affects the shares of Common Stock</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382" w:name="page383"/>
    <w:bookmarkEnd w:id="382"/>
    <w:p>
      <w:pPr>
        <w:jc w:val="both"/>
        <w:ind w:left="1220" w:right="1239"/>
        <w:spacing w:after="0" w:line="276" w:lineRule="auto"/>
        <w:rPr>
          <w:sz w:val="20"/>
          <w:szCs w:val="20"/>
          <w:color w:val="auto"/>
        </w:rPr>
      </w:pPr>
      <w:r>
        <w:rPr>
          <w:rFonts w:ascii="Times New Roman" w:cs="Times New Roman" w:eastAsia="Times New Roman" w:hAnsi="Times New Roman"/>
          <w:sz w:val="15"/>
          <w:szCs w:val="15"/>
          <w:color w:val="auto"/>
        </w:rPr>
        <w:t>(or other securities of the Company) or the share price of Common Stock (or other securities of the Company) and causes a change in the per share value of the Common Stock underlying outstanding Awards.</w:t>
      </w:r>
    </w:p>
    <w:p>
      <w:pPr>
        <w:spacing w:after="0" w:line="304" w:lineRule="exact"/>
        <w:rPr>
          <w:sz w:val="20"/>
          <w:szCs w:val="20"/>
          <w:color w:val="auto"/>
        </w:rPr>
      </w:pPr>
    </w:p>
    <w:p>
      <w:pPr>
        <w:ind w:left="2600" w:hanging="367"/>
        <w:spacing w:after="0"/>
        <w:tabs>
          <w:tab w:leader="none" w:pos="2600" w:val="left"/>
        </w:tabs>
        <w:numPr>
          <w:ilvl w:val="1"/>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means the Securities Exchange Act of 1934, as amended.</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54" w:lineRule="auto"/>
        <w:tabs>
          <w:tab w:leader="none" w:pos="2592" w:val="left"/>
        </w:tabs>
        <w:numPr>
          <w:ilvl w:val="1"/>
          <w:numId w:val="2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means, as of any date, the value of Stock determined as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follows: (i) if the Common Stock is listed on any established stock exchange, its Fair Market Value shall be the closing sales price for such Common Stock as quoted on such exchange for such date, or if no sale occurred on such date, the first market trading day immediately prior to such date during which a sale occurred, as reported in </w:t>
      </w:r>
      <w:r>
        <w:rPr>
          <w:rFonts w:ascii="Times New Roman" w:cs="Times New Roman" w:eastAsia="Times New Roman" w:hAnsi="Times New Roman"/>
          <w:sz w:val="15"/>
          <w:szCs w:val="15"/>
          <w:i w:val="1"/>
          <w:iCs w:val="1"/>
          <w:color w:val="auto"/>
        </w:rPr>
        <w:t>The Wall Street Journal</w:t>
      </w:r>
      <w:r>
        <w:rPr>
          <w:rFonts w:ascii="Times New Roman" w:cs="Times New Roman" w:eastAsia="Times New Roman" w:hAnsi="Times New Roman"/>
          <w:sz w:val="15"/>
          <w:szCs w:val="15"/>
          <w:color w:val="auto"/>
        </w:rPr>
        <w:t xml:space="preserve"> or such other source as the Administrator deems reliable;</w:t>
      </w:r>
    </w:p>
    <w:p>
      <w:pPr>
        <w:jc w:val="both"/>
        <w:ind w:left="1220" w:right="1239" w:firstLine="4"/>
        <w:spacing w:after="0" w:line="248" w:lineRule="auto"/>
        <w:tabs>
          <w:tab w:leader="none" w:pos="1460" w:val="left"/>
        </w:tabs>
        <w:numPr>
          <w:ilvl w:val="0"/>
          <w:numId w:val="2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Common Stock is not traded on a stock exchange but is quoted on a national market or other quotation system, the last sales price on such date, or if no sales occurred on such date, then on the date</w:t>
      </w:r>
    </w:p>
    <w:p>
      <w:pPr>
        <w:spacing w:after="0" w:line="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 xml:space="preserve">immediately prior to such date on which sales prices are reported, as reported in </w:t>
      </w:r>
      <w:r>
        <w:rPr>
          <w:rFonts w:ascii="Times New Roman" w:cs="Times New Roman" w:eastAsia="Times New Roman" w:hAnsi="Times New Roman"/>
          <w:sz w:val="15"/>
          <w:szCs w:val="15"/>
          <w:i w:val="1"/>
          <w:iCs w:val="1"/>
          <w:color w:val="auto"/>
        </w:rPr>
        <w:t>The Wall Street Journal</w:t>
      </w:r>
    </w:p>
    <w:p>
      <w:pPr>
        <w:spacing w:after="0" w:line="6" w:lineRule="exact"/>
        <w:rPr>
          <w:sz w:val="20"/>
          <w:szCs w:val="20"/>
          <w:color w:val="auto"/>
        </w:rPr>
      </w:pPr>
    </w:p>
    <w:p>
      <w:pPr>
        <w:ind w:left="1220" w:right="1019"/>
        <w:spacing w:after="0" w:line="263" w:lineRule="auto"/>
        <w:rPr>
          <w:sz w:val="20"/>
          <w:szCs w:val="20"/>
          <w:color w:val="auto"/>
        </w:rPr>
      </w:pPr>
      <w:r>
        <w:rPr>
          <w:rFonts w:ascii="Times New Roman" w:cs="Times New Roman" w:eastAsia="Times New Roman" w:hAnsi="Times New Roman"/>
          <w:sz w:val="15"/>
          <w:szCs w:val="15"/>
          <w:color w:val="auto"/>
        </w:rPr>
        <w:t>or such other source as the Administrator deems reliable; or (iii) in the absence of an established market for the Common Stock, the Fair Market Value thereof shall be determined by the Administrator.</w:t>
      </w:r>
    </w:p>
    <w:p>
      <w:pPr>
        <w:spacing w:after="0" w:line="128" w:lineRule="exact"/>
        <w:rPr>
          <w:sz w:val="20"/>
          <w:szCs w:val="20"/>
          <w:color w:val="auto"/>
        </w:rPr>
      </w:pPr>
    </w:p>
    <w:p>
      <w:pPr>
        <w:ind w:left="2600" w:hanging="367"/>
        <w:spacing w:after="0"/>
        <w:tabs>
          <w:tab w:leader="none" w:pos="2600"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Incentive Stock Option</w:t>
      </w:r>
      <w:r>
        <w:rPr>
          <w:rFonts w:ascii="Times New Roman" w:cs="Times New Roman" w:eastAsia="Times New Roman" w:hAnsi="Times New Roman"/>
          <w:sz w:val="15"/>
          <w:szCs w:val="15"/>
          <w:color w:val="auto"/>
        </w:rPr>
        <w:t>” means an “incentive stock option” as defined in Section</w:t>
      </w:r>
    </w:p>
    <w:p>
      <w:pPr>
        <w:spacing w:after="0" w:line="26"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422 of the Code.</w:t>
      </w:r>
    </w:p>
    <w:p>
      <w:pPr>
        <w:spacing w:after="0" w:line="154" w:lineRule="exact"/>
        <w:rPr>
          <w:rFonts w:ascii="Times New Roman" w:cs="Times New Roman" w:eastAsia="Times New Roman" w:hAnsi="Times New Roman"/>
          <w:sz w:val="15"/>
          <w:szCs w:val="15"/>
          <w:color w:val="auto"/>
        </w:rPr>
      </w:pPr>
    </w:p>
    <w:p>
      <w:pPr>
        <w:ind w:left="1220" w:right="1239" w:firstLine="1013"/>
        <w:spacing w:after="0" w:line="291" w:lineRule="auto"/>
        <w:tabs>
          <w:tab w:leader="none" w:pos="2592"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Non-Qualified Stock Option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means an Option that is not intended to be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otherwise does not qualify as an Incentive Stock Option.</w:t>
      </w:r>
    </w:p>
    <w:p>
      <w:pPr>
        <w:spacing w:after="0" w:line="107"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an option to purchase Common Stock.</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Other Stock-Based Awards</w:t>
      </w:r>
      <w:r>
        <w:rPr>
          <w:rFonts w:ascii="Times New Roman" w:cs="Times New Roman" w:eastAsia="Times New Roman" w:hAnsi="Times New Roman"/>
          <w:sz w:val="15"/>
          <w:szCs w:val="15"/>
          <w:color w:val="auto"/>
        </w:rPr>
        <w:t>” means other Awards of shares of Common Stock,</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and other Awards that are valued in whole or in part by reference to, or are otherwise based on, shares of Common Stock or other property.</w:t>
      </w:r>
    </w:p>
    <w:p>
      <w:pPr>
        <w:spacing w:after="0" w:line="122"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means a Service Provider who has been granted an Award under the</w:t>
      </w:r>
    </w:p>
    <w:p>
      <w:pPr>
        <w:spacing w:after="0" w:line="26"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Plan.</w:t>
      </w:r>
    </w:p>
    <w:p>
      <w:pPr>
        <w:spacing w:after="0" w:line="154"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2012 Equity Incentive Plan.</w:t>
      </w:r>
    </w:p>
    <w:p>
      <w:pPr>
        <w:spacing w:after="0" w:line="174" w:lineRule="exact"/>
        <w:rPr>
          <w:sz w:val="20"/>
          <w:szCs w:val="20"/>
          <w:color w:val="auto"/>
        </w:rPr>
      </w:pPr>
    </w:p>
    <w:p>
      <w:pPr>
        <w:jc w:val="both"/>
        <w:ind w:left="1220" w:right="1239" w:firstLine="1013"/>
        <w:spacing w:after="0" w:line="262" w:lineRule="auto"/>
        <w:tabs>
          <w:tab w:leader="none" w:pos="2592"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Publicly Listed Company</w:t>
      </w:r>
      <w:r>
        <w:rPr>
          <w:rFonts w:ascii="Times New Roman" w:cs="Times New Roman" w:eastAsia="Times New Roman" w:hAnsi="Times New Roman"/>
          <w:sz w:val="15"/>
          <w:szCs w:val="15"/>
          <w:color w:val="auto"/>
        </w:rPr>
        <w:t>” means that the Company or its successor (i) is required to file periodic reports pursuant to Section 12 of the Exchange Act and (ii) the Common Stock is listed on one or more National Securities Exchanges (within the meaning of the Exchange Act) or is quoted on NASDAQ or a successor quotation system.</w:t>
      </w:r>
    </w:p>
    <w:p>
      <w:pPr>
        <w:spacing w:after="0" w:line="129" w:lineRule="exact"/>
        <w:rPr>
          <w:rFonts w:ascii="Times New Roman" w:cs="Times New Roman" w:eastAsia="Times New Roman" w:hAnsi="Times New Roman"/>
          <w:sz w:val="15"/>
          <w:szCs w:val="15"/>
          <w:color w:val="auto"/>
        </w:rPr>
      </w:pPr>
    </w:p>
    <w:p>
      <w:pPr>
        <w:ind w:left="1220" w:right="1239" w:firstLine="1013"/>
        <w:spacing w:after="0" w:line="291" w:lineRule="auto"/>
        <w:tabs>
          <w:tab w:leader="none" w:pos="2592"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Restricted Stock</w:t>
      </w:r>
      <w:r>
        <w:rPr>
          <w:rFonts w:ascii="Times New Roman" w:cs="Times New Roman" w:eastAsia="Times New Roman" w:hAnsi="Times New Roman"/>
          <w:sz w:val="15"/>
          <w:szCs w:val="15"/>
          <w:color w:val="auto"/>
        </w:rPr>
        <w:t>” means Common Stock awarded to a Participant pursuant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Section 6 hereof that is subject to certain vesting conditions and other restrictions.</w:t>
      </w:r>
    </w:p>
    <w:p>
      <w:pPr>
        <w:spacing w:after="0" w:line="107"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Restricted Stock Unit</w:t>
      </w:r>
      <w:r>
        <w:rPr>
          <w:rFonts w:ascii="Times New Roman" w:cs="Times New Roman" w:eastAsia="Times New Roman" w:hAnsi="Times New Roman"/>
          <w:sz w:val="15"/>
          <w:szCs w:val="15"/>
          <w:color w:val="auto"/>
        </w:rPr>
        <w:t>” means an unfunded, unsecured right to receive,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applicable settlement date, one share of Common Stock or an amount in cash or other consideration determined by the Administrator equal to the value thereof as of such payment date, which right may be subject to certain vesting conditions and other restrictions.</w:t>
      </w:r>
    </w:p>
    <w:p>
      <w:pPr>
        <w:spacing w:after="0" w:line="129" w:lineRule="exact"/>
        <w:rPr>
          <w:rFonts w:ascii="Times New Roman" w:cs="Times New Roman" w:eastAsia="Times New Roman" w:hAnsi="Times New Roman"/>
          <w:sz w:val="15"/>
          <w:szCs w:val="15"/>
          <w:color w:val="auto"/>
        </w:rPr>
      </w:pPr>
    </w:p>
    <w:p>
      <w:pPr>
        <w:ind w:left="1220" w:right="1239" w:firstLine="1013"/>
        <w:spacing w:after="0" w:line="291" w:lineRule="auto"/>
        <w:tabs>
          <w:tab w:leader="none" w:pos="2592" w:val="left"/>
        </w:tabs>
        <w:numPr>
          <w:ilvl w:val="0"/>
          <w:numId w:val="2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Section 409A</w:t>
      </w:r>
      <w:r>
        <w:rPr>
          <w:rFonts w:ascii="Times New Roman" w:cs="Times New Roman" w:eastAsia="Times New Roman" w:hAnsi="Times New Roman"/>
          <w:sz w:val="15"/>
          <w:szCs w:val="15"/>
          <w:color w:val="auto"/>
        </w:rPr>
        <w:t>” means Section 409A of the Code and all regulations, guidance,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compliance programs and other interpretative authority thereunder.</w:t>
      </w: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83" w:name="page384"/>
    <w:bookmarkEnd w:id="383"/>
    <w:p>
      <w:pPr>
        <w:ind w:left="2600" w:hanging="367"/>
        <w:spacing w:after="0"/>
        <w:tabs>
          <w:tab w:leader="none" w:pos="2600"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Securities Act of 1933, as amended from time to time.</w:t>
      </w:r>
    </w:p>
    <w:p>
      <w:pPr>
        <w:spacing w:after="0" w:line="174"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Service Provider</w:t>
      </w:r>
      <w:r>
        <w:rPr>
          <w:rFonts w:ascii="Times New Roman" w:cs="Times New Roman" w:eastAsia="Times New Roman" w:hAnsi="Times New Roman"/>
          <w:sz w:val="15"/>
          <w:szCs w:val="15"/>
          <w:color w:val="auto"/>
        </w:rPr>
        <w:t>” means an Employee, Consultant or Director.</w:t>
      </w:r>
    </w:p>
    <w:p>
      <w:pPr>
        <w:spacing w:after="0" w:line="174"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0"/>
          <w:numId w:val="2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Termination of Service</w:t>
      </w:r>
      <w:r>
        <w:rPr>
          <w:rFonts w:ascii="Times New Roman" w:cs="Times New Roman" w:eastAsia="Times New Roman" w:hAnsi="Times New Roman"/>
          <w:sz w:val="15"/>
          <w:szCs w:val="15"/>
          <w:color w:val="auto"/>
        </w:rPr>
        <w:t>” means the date the Participant ceases to be a Service</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Provider.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84" w:name="page385"/>
    <w:bookmarkEnd w:id="38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GENOA PHARMACEUTICALS, INC.</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2012 EQUITY INCENTIVE PLAN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CALIFORNIA SUPPLEMENT</w:t>
      </w:r>
    </w:p>
    <w:p>
      <w:pPr>
        <w:spacing w:after="0" w:line="178" w:lineRule="exact"/>
        <w:rPr>
          <w:sz w:val="20"/>
          <w:szCs w:val="20"/>
          <w:color w:val="auto"/>
        </w:rPr>
      </w:pPr>
    </w:p>
    <w:p>
      <w:pPr>
        <w:jc w:val="both"/>
        <w:ind w:left="1220" w:right="1239" w:firstLine="505"/>
        <w:spacing w:after="0" w:line="253" w:lineRule="auto"/>
        <w:rPr>
          <w:sz w:val="20"/>
          <w:szCs w:val="20"/>
          <w:color w:val="auto"/>
        </w:rPr>
      </w:pPr>
      <w:r>
        <w:rPr>
          <w:rFonts w:ascii="Times New Roman" w:cs="Times New Roman" w:eastAsia="Times New Roman" w:hAnsi="Times New Roman"/>
          <w:sz w:val="15"/>
          <w:szCs w:val="15"/>
          <w:color w:val="auto"/>
        </w:rPr>
        <w:t>The Administrator has adopted this supplement for purposes of satisfying the requirements of Section 25102(o) of the California Corporations Code and the regulations issued thereunder (“</w:t>
      </w:r>
      <w:r>
        <w:rPr>
          <w:rFonts w:ascii="Times New Roman" w:cs="Times New Roman" w:eastAsia="Times New Roman" w:hAnsi="Times New Roman"/>
          <w:sz w:val="15"/>
          <w:szCs w:val="15"/>
          <w:b w:val="1"/>
          <w:bCs w:val="1"/>
          <w:i w:val="1"/>
          <w:iCs w:val="1"/>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25102(o)</w:t>
      </w:r>
      <w:r>
        <w:rPr>
          <w:rFonts w:ascii="Times New Roman" w:cs="Times New Roman" w:eastAsia="Times New Roman" w:hAnsi="Times New Roman"/>
          <w:sz w:val="15"/>
          <w:szCs w:val="15"/>
          <w:color w:val="auto"/>
        </w:rPr>
        <w:t>”). Notwithstanding anything to the contrary contained in the Plan and except as otherwise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determined by the Administrator, the provisions set forth in this supplement shall apply to all Awards granted under the Plan to a Participant who is a resident of the State of California on the date of grant (a “</w:t>
      </w:r>
      <w:r>
        <w:rPr>
          <w:rFonts w:ascii="Times New Roman" w:cs="Times New Roman" w:eastAsia="Times New Roman" w:hAnsi="Times New Roman"/>
          <w:sz w:val="15"/>
          <w:szCs w:val="15"/>
          <w:b w:val="1"/>
          <w:bCs w:val="1"/>
          <w:i w:val="1"/>
          <w:iCs w:val="1"/>
          <w:color w:val="auto"/>
        </w:rPr>
        <w:t>California Participant</w:t>
      </w:r>
      <w:r>
        <w:rPr>
          <w:rFonts w:ascii="Times New Roman" w:cs="Times New Roman" w:eastAsia="Times New Roman" w:hAnsi="Times New Roman"/>
          <w:sz w:val="15"/>
          <w:szCs w:val="15"/>
          <w:color w:val="auto"/>
        </w:rPr>
        <w:t>”) and which are intended to be exempt from registration in California pursuant to Section 25102(o). This supplement shall not apply to Awards granted to California Participants or after the date on which the Company becomes a Publicly Listed Company. Definitions in the Plan are applicable to this supplement.</w:t>
      </w:r>
    </w:p>
    <w:p>
      <w:pPr>
        <w:spacing w:after="0" w:line="136" w:lineRule="exact"/>
        <w:rPr>
          <w:sz w:val="20"/>
          <w:szCs w:val="20"/>
          <w:color w:val="auto"/>
        </w:rPr>
      </w:pPr>
    </w:p>
    <w:p>
      <w:pPr>
        <w:ind w:left="1920" w:hanging="191"/>
        <w:spacing w:after="0"/>
        <w:tabs>
          <w:tab w:leader="none" w:pos="1920"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Additional Limitations On Options</w:t>
      </w:r>
      <w:r>
        <w:rPr>
          <w:rFonts w:ascii="Times New Roman" w:cs="Times New Roman" w:eastAsia="Times New Roman" w:hAnsi="Times New Roman"/>
          <w:sz w:val="15"/>
          <w:szCs w:val="15"/>
          <w:i w:val="1"/>
          <w:iCs w:val="1"/>
          <w:color w:val="auto"/>
        </w:rPr>
        <w:t>.</w:t>
      </w:r>
    </w:p>
    <w:p>
      <w:pPr>
        <w:spacing w:after="0" w:line="174" w:lineRule="exact"/>
        <w:rPr>
          <w:rFonts w:ascii="Times New Roman" w:cs="Times New Roman" w:eastAsia="Times New Roman" w:hAnsi="Times New Roman"/>
          <w:sz w:val="15"/>
          <w:szCs w:val="15"/>
          <w:color w:val="auto"/>
        </w:rPr>
      </w:pPr>
    </w:p>
    <w:p>
      <w:pPr>
        <w:ind w:left="1220" w:right="1239" w:firstLine="1013"/>
        <w:spacing w:after="0" w:line="291" w:lineRule="auto"/>
        <w:tabs>
          <w:tab w:leader="none" w:pos="2592" w:val="left"/>
        </w:tabs>
        <w:numPr>
          <w:ilvl w:val="1"/>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Maximum Duration of Options. </w:t>
      </w:r>
      <w:r>
        <w:rPr>
          <w:rFonts w:ascii="Times New Roman" w:cs="Times New Roman" w:eastAsia="Times New Roman" w:hAnsi="Times New Roman"/>
          <w:sz w:val="15"/>
          <w:szCs w:val="15"/>
          <w:color w:val="auto"/>
        </w:rPr>
        <w:t>No Options granted to California Participants will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granted for a term in excess of 10 years.</w:t>
      </w:r>
    </w:p>
    <w:p>
      <w:pPr>
        <w:spacing w:after="0" w:line="107" w:lineRule="exact"/>
        <w:rPr>
          <w:rFonts w:ascii="Times New Roman" w:cs="Times New Roman" w:eastAsia="Times New Roman" w:hAnsi="Times New Roman"/>
          <w:sz w:val="15"/>
          <w:szCs w:val="15"/>
          <w:color w:val="auto"/>
        </w:rPr>
      </w:pPr>
    </w:p>
    <w:p>
      <w:pPr>
        <w:jc w:val="both"/>
        <w:ind w:left="1220" w:right="1239" w:firstLine="1013"/>
        <w:spacing w:after="0" w:line="255" w:lineRule="auto"/>
        <w:tabs>
          <w:tab w:leader="none" w:pos="2592" w:val="left"/>
        </w:tabs>
        <w:numPr>
          <w:ilvl w:val="1"/>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Minimum Exercise Period Following Termination. </w:t>
      </w:r>
      <w:r>
        <w:rPr>
          <w:rFonts w:ascii="Times New Roman" w:cs="Times New Roman" w:eastAsia="Times New Roman" w:hAnsi="Times New Roman"/>
          <w:sz w:val="15"/>
          <w:szCs w:val="15"/>
          <w:color w:val="auto"/>
        </w:rPr>
        <w:t>Unless a California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Participant’s Service Provider relationship is terminated for Cause, in the event of termination of such Participant’s Service Provider relationship, to the extent required by Applicable Laws, he or she shall have the right to exercise an Option, to the extent that he or she was otherwise entitled to exercise such Option on the date employment terminated, as follows: (i) at least six months from the date of termination, if termination was caused by such Participant’s death or Disability and (ii) at least 30 days from the date of termination, if termination was caused other than by such Participant’s death or Disability.</w:t>
      </w:r>
    </w:p>
    <w:p>
      <w:pPr>
        <w:spacing w:after="0" w:line="314" w:lineRule="exact"/>
        <w:rPr>
          <w:rFonts w:ascii="Times New Roman" w:cs="Times New Roman" w:eastAsia="Times New Roman" w:hAnsi="Times New Roman"/>
          <w:sz w:val="15"/>
          <w:szCs w:val="15"/>
          <w:color w:val="auto"/>
        </w:rPr>
      </w:pPr>
    </w:p>
    <w:p>
      <w:pPr>
        <w:jc w:val="both"/>
        <w:ind w:left="1220" w:right="1239" w:firstLine="509"/>
        <w:spacing w:after="0" w:line="262" w:lineRule="auto"/>
        <w:tabs>
          <w:tab w:leader="none" w:pos="1906"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Additional Limitations For Restricted Stock Awards, Restricted Stock Units and Other Stock-Based Awards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terms of all Restricted Stock Awards, Restricted Stock Units and Other Stock-Based Awards granted to California Participants shall comply, to the extent applicable, with Section 260.140.41 or Section 260.140.42 of the California Code of Regulations.</w:t>
      </w:r>
    </w:p>
    <w:p>
      <w:pPr>
        <w:spacing w:after="0" w:line="129" w:lineRule="exact"/>
        <w:rPr>
          <w:rFonts w:ascii="Times New Roman" w:cs="Times New Roman" w:eastAsia="Times New Roman" w:hAnsi="Times New Roman"/>
          <w:sz w:val="15"/>
          <w:szCs w:val="15"/>
          <w:color w:val="auto"/>
        </w:rPr>
      </w:pPr>
    </w:p>
    <w:p>
      <w:pPr>
        <w:jc w:val="both"/>
        <w:ind w:left="1220" w:right="1239" w:firstLine="509"/>
        <w:spacing w:after="0" w:line="270" w:lineRule="auto"/>
        <w:tabs>
          <w:tab w:leader="none" w:pos="1906"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Adjustments</w:t>
      </w:r>
      <w:r>
        <w:rPr>
          <w:rFonts w:ascii="Times New Roman" w:cs="Times New Roman" w:eastAsia="Times New Roman" w:hAnsi="Times New Roman"/>
          <w:sz w:val="15"/>
          <w:szCs w:val="15"/>
          <w:color w:val="auto"/>
        </w:rPr>
        <w:t>. The Administrator will make such adjustments to an Award held by a California</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Participant as may be required by Section 260.140.41 or Section 260.140.42 of the California Code of Regulations.</w:t>
      </w:r>
    </w:p>
    <w:p>
      <w:pPr>
        <w:spacing w:after="0" w:line="122" w:lineRule="exact"/>
        <w:rPr>
          <w:rFonts w:ascii="Times New Roman" w:cs="Times New Roman" w:eastAsia="Times New Roman" w:hAnsi="Times New Roman"/>
          <w:sz w:val="15"/>
          <w:szCs w:val="15"/>
          <w:color w:val="auto"/>
        </w:rPr>
      </w:pPr>
    </w:p>
    <w:p>
      <w:pPr>
        <w:jc w:val="both"/>
        <w:ind w:left="1220" w:right="1239" w:firstLine="509"/>
        <w:spacing w:after="0" w:line="253" w:lineRule="auto"/>
        <w:tabs>
          <w:tab w:leader="none" w:pos="1906" w:val="left"/>
        </w:tabs>
        <w:numPr>
          <w:ilvl w:val="0"/>
          <w:numId w:val="2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Additional Requirement To Provide Information To California Participants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the extent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required by Section 260.140.46 of the California Code of Regulations, the Company shall provide to each California Participant and to each California Participant who acquires Common Stock pursuant to the Plan, not less frequently than annually, copies of annual financial statements (which need not be audited). The Company shall not be required to provide such statements to key persons whose duties in connection with the Company assure their access to equivalent information. In addition, this information requirement shall not apply to the Plan to the extent that it complies with all conditions of Rule 701 of the Securities Act (“</w:t>
      </w:r>
      <w:r>
        <w:rPr>
          <w:rFonts w:ascii="Times New Roman" w:cs="Times New Roman" w:eastAsia="Times New Roman" w:hAnsi="Times New Roman"/>
          <w:sz w:val="15"/>
          <w:szCs w:val="15"/>
          <w:b w:val="1"/>
          <w:bCs w:val="1"/>
          <w:i w:val="1"/>
          <w:iCs w:val="1"/>
          <w:color w:val="auto"/>
        </w:rPr>
        <w:t>Rule 701</w:t>
      </w:r>
      <w:r>
        <w:rPr>
          <w:rFonts w:ascii="Times New Roman" w:cs="Times New Roman" w:eastAsia="Times New Roman" w:hAnsi="Times New Roman"/>
          <w:sz w:val="15"/>
          <w:szCs w:val="15"/>
          <w:color w:val="auto"/>
        </w:rPr>
        <w:t>”) as determined by the Administrator; provided that for purposes of determining such compliance, any registered domestic partner shall be considered a “family member” as that term is defined in Rule 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675005</wp:posOffset>
            </wp:positionV>
            <wp:extent cx="54857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385" w:name="page386"/>
    <w:bookmarkEnd w:id="385"/>
    <w:p>
      <w:pPr>
        <w:jc w:val="both"/>
        <w:ind w:left="1220" w:right="1239" w:firstLine="509"/>
        <w:spacing w:after="0" w:line="254" w:lineRule="auto"/>
        <w:tabs>
          <w:tab w:leader="none" w:pos="1906" w:val="left"/>
        </w:tabs>
        <w:numPr>
          <w:ilvl w:val="0"/>
          <w:numId w:val="2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Stockholder Approval; Additional Limitations On Timing Of Awards</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Plan will be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submitted for the approval of the Company’s stockholders within twelve (12) months after the date of the Board’s adoption of the Plan. Awards may be granted or awarded prior to such stockholder approval; provided that no Award granted to a California Participant shall become exercisable, vested or realizable, as applicable to such Award, unless the Plan has been approved by the Company’s stockholders within twelve months before or after the date the Plan was adopted by the Administrator; and provided, further, that if such approval has not been obtained at the end of said twelve-month period, all Awards previously granted or awarded under the Plan to California Participants shall thereupon be canceled and become null and void.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788670</wp:posOffset>
            </wp:positionV>
            <wp:extent cx="54857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86" w:name="page387"/>
    <w:bookmarkEnd w:id="386"/>
    <w:tbl>
      <w:tblPr>
        <w:tblLayout w:type="fixed"/>
        <w:tblInd w:w="200" w:type="dxa"/>
        <w:tblCellMar>
          <w:top w:w="0" w:type="dxa"/>
          <w:left w:w="0" w:type="dxa"/>
          <w:bottom w:w="0" w:type="dxa"/>
          <w:right w:w="0" w:type="dxa"/>
        </w:tblCellMar>
      </w:tblPr>
      <w:tr>
        <w:trPr>
          <w:trHeight w:val="203"/>
        </w:trPr>
        <w:tc>
          <w:tcPr>
            <w:tcW w:w="10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980" w:type="dxa"/>
            <w:vAlign w:val="bottom"/>
            <w:gridSpan w:val="2"/>
          </w:tcPr>
          <w:p>
            <w:pPr>
              <w:ind w:left="160"/>
              <w:spacing w:after="0"/>
              <w:rPr>
                <w:sz w:val="20"/>
                <w:szCs w:val="20"/>
                <w:color w:val="auto"/>
              </w:rPr>
            </w:pPr>
            <w:r>
              <w:rPr>
                <w:rFonts w:ascii="Times New Roman" w:cs="Times New Roman" w:eastAsia="Times New Roman" w:hAnsi="Times New Roman"/>
                <w:sz w:val="15"/>
                <w:szCs w:val="15"/>
                <w:b w:val="1"/>
                <w:bCs w:val="1"/>
                <w:color w:val="auto"/>
              </w:rPr>
              <w:t>AMENDMENTS</w:t>
            </w:r>
          </w:p>
        </w:tc>
        <w:tc>
          <w:tcPr>
            <w:tcW w:w="20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70"/>
        </w:trPr>
        <w:tc>
          <w:tcPr>
            <w:tcW w:w="1080" w:type="dxa"/>
            <w:vAlign w:val="bottom"/>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tcPr>
          <w:p>
            <w:pPr>
              <w:spacing w:after="0"/>
              <w:rPr>
                <w:sz w:val="14"/>
                <w:szCs w:val="14"/>
                <w:color w:val="auto"/>
              </w:rPr>
            </w:pPr>
          </w:p>
        </w:tc>
        <w:tc>
          <w:tcPr>
            <w:tcW w:w="1000" w:type="dxa"/>
            <w:vAlign w:val="bottom"/>
          </w:tcPr>
          <w:p>
            <w:pPr>
              <w:spacing w:after="0"/>
              <w:rPr>
                <w:sz w:val="14"/>
                <w:szCs w:val="14"/>
                <w:color w:val="auto"/>
              </w:rPr>
            </w:pPr>
          </w:p>
        </w:tc>
      </w:tr>
      <w:tr>
        <w:trPr>
          <w:trHeight w:val="346"/>
        </w:trPr>
        <w:tc>
          <w:tcPr>
            <w:tcW w:w="10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Amendment No.</w:t>
            </w:r>
          </w:p>
        </w:tc>
        <w:tc>
          <w:tcPr>
            <w:tcW w:w="1160" w:type="dxa"/>
            <w:vAlign w:val="bottom"/>
          </w:tcPr>
          <w:p>
            <w:pPr>
              <w:jc w:val="center"/>
              <w:ind w:left="323"/>
              <w:spacing w:after="0"/>
              <w:rPr>
                <w:sz w:val="20"/>
                <w:szCs w:val="20"/>
                <w:color w:val="auto"/>
              </w:rPr>
            </w:pPr>
            <w:r>
              <w:rPr>
                <w:rFonts w:ascii="Times New Roman" w:cs="Times New Roman" w:eastAsia="Times New Roman" w:hAnsi="Times New Roman"/>
                <w:sz w:val="15"/>
                <w:szCs w:val="15"/>
                <w:b w:val="1"/>
                <w:bCs w:val="1"/>
                <w:color w:val="auto"/>
              </w:rPr>
              <w:t>Section</w:t>
            </w:r>
          </w:p>
        </w:tc>
        <w:tc>
          <w:tcPr>
            <w:tcW w:w="4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Effect of Amendment</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Date Approved</w:t>
            </w:r>
          </w:p>
        </w:tc>
        <w:tc>
          <w:tcPr>
            <w:tcW w:w="1000" w:type="dxa"/>
            <w:vAlign w:val="bottom"/>
          </w:tcPr>
          <w:p>
            <w:pPr>
              <w:spacing w:after="0"/>
              <w:rPr>
                <w:sz w:val="24"/>
                <w:szCs w:val="24"/>
                <w:color w:val="auto"/>
              </w:rPr>
            </w:pPr>
          </w:p>
        </w:tc>
      </w:tr>
      <w:tr>
        <w:trPr>
          <w:trHeight w:val="160"/>
        </w:trPr>
        <w:tc>
          <w:tcPr>
            <w:tcW w:w="1080" w:type="dxa"/>
            <w:vAlign w:val="bottom"/>
            <w:tcBorders>
              <w:right w:val="single" w:sz="8" w:color="auto"/>
            </w:tcBorders>
          </w:tcPr>
          <w:p>
            <w:pPr>
              <w:spacing w:after="0"/>
              <w:rPr>
                <w:sz w:val="13"/>
                <w:szCs w:val="13"/>
                <w:color w:val="auto"/>
              </w:rPr>
            </w:pPr>
          </w:p>
        </w:tc>
        <w:tc>
          <w:tcPr>
            <w:tcW w:w="1340" w:type="dxa"/>
            <w:vAlign w:val="bottom"/>
            <w:tcBorders>
              <w:bottom w:val="single" w:sz="8" w:color="auto"/>
              <w:right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20" w:type="dxa"/>
            <w:vAlign w:val="bottom"/>
            <w:tcBorders>
              <w:bottom w:val="single" w:sz="8" w:color="auto"/>
              <w:right w:val="single" w:sz="8" w:color="auto"/>
            </w:tcBorders>
          </w:tcPr>
          <w:p>
            <w:pPr>
              <w:spacing w:after="0"/>
              <w:rPr>
                <w:sz w:val="13"/>
                <w:szCs w:val="13"/>
                <w:color w:val="auto"/>
              </w:rPr>
            </w:pPr>
          </w:p>
        </w:tc>
        <w:tc>
          <w:tcPr>
            <w:tcW w:w="1560" w:type="dxa"/>
            <w:vAlign w:val="bottom"/>
            <w:tcBorders>
              <w:bottom w:val="single" w:sz="8" w:color="auto"/>
              <w:right w:val="single" w:sz="8" w:color="auto"/>
            </w:tcBorders>
          </w:tcPr>
          <w:p>
            <w:pPr>
              <w:spacing w:after="0"/>
              <w:rPr>
                <w:sz w:val="13"/>
                <w:szCs w:val="13"/>
                <w:color w:val="auto"/>
              </w:rPr>
            </w:pPr>
          </w:p>
        </w:tc>
        <w:tc>
          <w:tcPr>
            <w:tcW w:w="2040" w:type="dxa"/>
            <w:vAlign w:val="bottom"/>
            <w:tcBorders>
              <w:bottom w:val="single" w:sz="8" w:color="auto"/>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r>
      <w:tr>
        <w:trPr>
          <w:trHeight w:val="326"/>
        </w:trPr>
        <w:tc>
          <w:tcPr>
            <w:tcW w:w="10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16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w w:val="99"/>
              </w:rPr>
              <w:t>4(a)</w:t>
            </w:r>
          </w:p>
        </w:tc>
        <w:tc>
          <w:tcPr>
            <w:tcW w:w="4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Increase in plan reserve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March 13, 2017</w:t>
            </w:r>
          </w:p>
        </w:tc>
        <w:tc>
          <w:tcPr>
            <w:tcW w:w="1000" w:type="dxa"/>
            <w:vAlign w:val="bottom"/>
          </w:tcPr>
          <w:p>
            <w:pPr>
              <w:spacing w:after="0"/>
              <w:rPr>
                <w:sz w:val="24"/>
                <w:szCs w:val="24"/>
                <w:color w:val="auto"/>
              </w:rPr>
            </w:pPr>
          </w:p>
        </w:tc>
      </w:tr>
      <w:tr>
        <w:trPr>
          <w:trHeight w:val="199"/>
        </w:trPr>
        <w:tc>
          <w:tcPr>
            <w:tcW w:w="10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to 2,393,361 shares</w:t>
            </w:r>
          </w:p>
        </w:tc>
        <w:tc>
          <w:tcPr>
            <w:tcW w:w="204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164"/>
        </w:trPr>
        <w:tc>
          <w:tcPr>
            <w:tcW w:w="1080" w:type="dxa"/>
            <w:vAlign w:val="bottom"/>
            <w:tcBorders>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r>
      <w:tr>
        <w:trPr>
          <w:trHeight w:val="321"/>
        </w:trPr>
        <w:tc>
          <w:tcPr>
            <w:tcW w:w="10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16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w w:val="99"/>
              </w:rPr>
              <w:t>4(a)</w:t>
            </w:r>
          </w:p>
        </w:tc>
        <w:tc>
          <w:tcPr>
            <w:tcW w:w="4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Increase in plan reserve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December 19, 2018</w:t>
            </w:r>
          </w:p>
        </w:tc>
        <w:tc>
          <w:tcPr>
            <w:tcW w:w="1000" w:type="dxa"/>
            <w:vAlign w:val="bottom"/>
          </w:tcPr>
          <w:p>
            <w:pPr>
              <w:spacing w:after="0"/>
              <w:rPr>
                <w:sz w:val="24"/>
                <w:szCs w:val="24"/>
                <w:color w:val="auto"/>
              </w:rPr>
            </w:pPr>
          </w:p>
        </w:tc>
      </w:tr>
      <w:tr>
        <w:trPr>
          <w:trHeight w:val="199"/>
        </w:trPr>
        <w:tc>
          <w:tcPr>
            <w:tcW w:w="10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to 3,686,561 shares</w:t>
            </w:r>
          </w:p>
        </w:tc>
        <w:tc>
          <w:tcPr>
            <w:tcW w:w="204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164"/>
        </w:trPr>
        <w:tc>
          <w:tcPr>
            <w:tcW w:w="1080" w:type="dxa"/>
            <w:vAlign w:val="bottom"/>
            <w:tcBorders>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r>
      <w:tr>
        <w:trPr>
          <w:trHeight w:val="321"/>
        </w:trPr>
        <w:tc>
          <w:tcPr>
            <w:tcW w:w="10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16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w w:val="99"/>
              </w:rPr>
              <w:t>4(a)</w:t>
            </w:r>
          </w:p>
        </w:tc>
        <w:tc>
          <w:tcPr>
            <w:tcW w:w="4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Increase in plan reserve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November 20, 2019</w:t>
            </w:r>
          </w:p>
        </w:tc>
        <w:tc>
          <w:tcPr>
            <w:tcW w:w="1000" w:type="dxa"/>
            <w:vAlign w:val="bottom"/>
          </w:tcPr>
          <w:p>
            <w:pPr>
              <w:spacing w:after="0"/>
              <w:rPr>
                <w:sz w:val="24"/>
                <w:szCs w:val="24"/>
                <w:color w:val="auto"/>
              </w:rPr>
            </w:pPr>
          </w:p>
        </w:tc>
      </w:tr>
      <w:tr>
        <w:trPr>
          <w:trHeight w:val="199"/>
        </w:trPr>
        <w:tc>
          <w:tcPr>
            <w:tcW w:w="10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to 9,676,105 shares</w:t>
            </w:r>
          </w:p>
        </w:tc>
        <w:tc>
          <w:tcPr>
            <w:tcW w:w="204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164"/>
        </w:trPr>
        <w:tc>
          <w:tcPr>
            <w:tcW w:w="1080" w:type="dxa"/>
            <w:vAlign w:val="bottom"/>
            <w:tcBorders>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r>
      <w:tr>
        <w:trPr>
          <w:trHeight w:val="321"/>
        </w:trPr>
        <w:tc>
          <w:tcPr>
            <w:tcW w:w="1080" w:type="dxa"/>
            <w:vAlign w:val="bottom"/>
            <w:tcBorders>
              <w:right w:val="single" w:sz="8" w:color="auto"/>
            </w:tcBorders>
          </w:tcPr>
          <w:p>
            <w:pPr>
              <w:spacing w:after="0"/>
              <w:rPr>
                <w:sz w:val="24"/>
                <w:szCs w:val="24"/>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160" w:type="dxa"/>
            <w:vAlign w:val="bottom"/>
          </w:tcPr>
          <w:p>
            <w:pPr>
              <w:jc w:val="center"/>
              <w:ind w:left="323"/>
              <w:spacing w:after="0"/>
              <w:rPr>
                <w:sz w:val="20"/>
                <w:szCs w:val="20"/>
                <w:color w:val="auto"/>
              </w:rPr>
            </w:pPr>
            <w:r>
              <w:rPr>
                <w:rFonts w:ascii="Times New Roman" w:cs="Times New Roman" w:eastAsia="Times New Roman" w:hAnsi="Times New Roman"/>
                <w:sz w:val="15"/>
                <w:szCs w:val="15"/>
                <w:color w:val="auto"/>
                <w:w w:val="99"/>
              </w:rPr>
              <w:t>4(a)</w:t>
            </w:r>
          </w:p>
        </w:tc>
        <w:tc>
          <w:tcPr>
            <w:tcW w:w="420" w:type="dxa"/>
            <w:vAlign w:val="bottom"/>
            <w:tcBorders>
              <w:right w:val="single" w:sz="8" w:color="auto"/>
            </w:tcBorders>
          </w:tcPr>
          <w:p>
            <w:pPr>
              <w:spacing w:after="0"/>
              <w:rPr>
                <w:sz w:val="24"/>
                <w:szCs w:val="24"/>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Increase in plan reserve</w:t>
            </w:r>
          </w:p>
        </w:tc>
        <w:tc>
          <w:tcPr>
            <w:tcW w:w="2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April 22, 2020</w:t>
            </w:r>
          </w:p>
        </w:tc>
        <w:tc>
          <w:tcPr>
            <w:tcW w:w="1000" w:type="dxa"/>
            <w:vAlign w:val="bottom"/>
          </w:tcPr>
          <w:p>
            <w:pPr>
              <w:spacing w:after="0"/>
              <w:rPr>
                <w:sz w:val="24"/>
                <w:szCs w:val="24"/>
                <w:color w:val="auto"/>
              </w:rPr>
            </w:pPr>
          </w:p>
        </w:tc>
      </w:tr>
      <w:tr>
        <w:trPr>
          <w:trHeight w:val="199"/>
        </w:trPr>
        <w:tc>
          <w:tcPr>
            <w:tcW w:w="1080" w:type="dxa"/>
            <w:vAlign w:val="bottom"/>
            <w:tcBorders>
              <w:right w:val="single" w:sz="8" w:color="auto"/>
            </w:tcBorders>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to 14,434,936 shares</w:t>
            </w:r>
          </w:p>
        </w:tc>
        <w:tc>
          <w:tcPr>
            <w:tcW w:w="2040" w:type="dxa"/>
            <w:vAlign w:val="bottom"/>
            <w:tcBorders>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164"/>
        </w:trPr>
        <w:tc>
          <w:tcPr>
            <w:tcW w:w="1080" w:type="dxa"/>
            <w:vAlign w:val="bottom"/>
            <w:tcBorders>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420" w:type="dxa"/>
            <w:vAlign w:val="bottom"/>
            <w:tcBorders>
              <w:bottom w:val="single" w:sz="8" w:color="auto"/>
              <w:right w:val="single" w:sz="8" w:color="auto"/>
            </w:tcBorders>
          </w:tcPr>
          <w:p>
            <w:pPr>
              <w:spacing w:after="0"/>
              <w:rPr>
                <w:sz w:val="14"/>
                <w:szCs w:val="14"/>
                <w:color w:val="auto"/>
              </w:rPr>
            </w:pPr>
          </w:p>
        </w:tc>
        <w:tc>
          <w:tcPr>
            <w:tcW w:w="1560" w:type="dxa"/>
            <w:vAlign w:val="bottom"/>
            <w:tcBorders>
              <w:bottom w:val="single" w:sz="8" w:color="auto"/>
              <w:right w:val="single" w:sz="8" w:color="auto"/>
            </w:tcBorders>
          </w:tcPr>
          <w:p>
            <w:pPr>
              <w:spacing w:after="0"/>
              <w:rPr>
                <w:sz w:val="14"/>
                <w:szCs w:val="14"/>
                <w:color w:val="auto"/>
              </w:rPr>
            </w:pPr>
          </w:p>
        </w:tc>
        <w:tc>
          <w:tcPr>
            <w:tcW w:w="2040" w:type="dxa"/>
            <w:vAlign w:val="bottom"/>
            <w:tcBorders>
              <w:bottom w:val="single" w:sz="8" w:color="auto"/>
              <w:right w:val="single" w:sz="8" w:color="auto"/>
            </w:tcBorders>
          </w:tcPr>
          <w:p>
            <w:pPr>
              <w:spacing w:after="0"/>
              <w:rPr>
                <w:sz w:val="14"/>
                <w:szCs w:val="14"/>
                <w:color w:val="auto"/>
              </w:rPr>
            </w:pPr>
          </w:p>
        </w:tc>
        <w:tc>
          <w:tcPr>
            <w:tcW w:w="1000" w:type="dxa"/>
            <w:vAlign w:val="bottom"/>
          </w:tcPr>
          <w:p>
            <w:pPr>
              <w:spacing w:after="0"/>
              <w:rPr>
                <w:sz w:val="14"/>
                <w:szCs w:val="14"/>
                <w:color w:val="auto"/>
              </w:rPr>
            </w:pPr>
          </w:p>
        </w:tc>
      </w:tr>
      <w:tr>
        <w:trPr>
          <w:trHeight w:val="1253"/>
        </w:trPr>
        <w:tc>
          <w:tcPr>
            <w:tcW w:w="10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387" w:name="page388"/>
    <w:bookmarkEnd w:id="387"/>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GENOA PHARMACEUTICALS, INC.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2012 EQUITY INCENTIVE PLAN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STOCK OPTION GRANT NOTICE AND</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STOCK OPTION AGREEMENT</w:t>
      </w:r>
    </w:p>
    <w:p>
      <w:pPr>
        <w:spacing w:after="0" w:line="154" w:lineRule="exact"/>
        <w:rPr>
          <w:sz w:val="20"/>
          <w:szCs w:val="20"/>
          <w:color w:val="auto"/>
        </w:rPr>
      </w:pPr>
    </w:p>
    <w:p>
      <w:pPr>
        <w:jc w:val="both"/>
        <w:ind w:left="1220" w:right="1239" w:firstLine="505"/>
        <w:spacing w:after="0" w:line="255" w:lineRule="auto"/>
        <w:rPr>
          <w:sz w:val="20"/>
          <w:szCs w:val="20"/>
          <w:color w:val="auto"/>
        </w:rPr>
      </w:pPr>
      <w:r>
        <w:rPr>
          <w:rFonts w:ascii="Times New Roman" w:cs="Times New Roman" w:eastAsia="Times New Roman" w:hAnsi="Times New Roman"/>
          <w:sz w:val="15"/>
          <w:szCs w:val="15"/>
          <w:color w:val="auto"/>
        </w:rPr>
        <w:t>Genoa Pharmaceuticals, Inc.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pursuant to its 2012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hereby grants to Participant an Option to purchase the number of shares of the Company’s Common Stock (referred to herein as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xml:space="preserve">”) set forth below. This Option is subject to all of the terms and conditions as set forth herein and in the Stock Option Agreement attached hereto as </w:t>
      </w:r>
      <w:r>
        <w:rPr>
          <w:rFonts w:ascii="Times New Roman" w:cs="Times New Roman" w:eastAsia="Times New Roman" w:hAnsi="Times New Roman"/>
          <w:sz w:val="15"/>
          <w:szCs w:val="15"/>
          <w:u w:val="single" w:color="auto"/>
          <w:color w:val="auto"/>
        </w:rPr>
        <w:t>Exhibit A</w:t>
      </w:r>
      <w:r>
        <w:rPr>
          <w:rFonts w:ascii="Times New Roman" w:cs="Times New Roman" w:eastAsia="Times New Roman" w:hAnsi="Times New Roman"/>
          <w:sz w:val="15"/>
          <w:szCs w:val="15"/>
          <w:color w:val="auto"/>
        </w:rPr>
        <w:t xml:space="preserve"> (the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and the Plan, each of which is incorporated herein by reference. Unless otherwise defined herein, the terms defined in the Plan shall have the same defined meanings in this Stock Option Grant Notice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and the Agreement.</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99"/>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Participant:</w:t>
            </w:r>
          </w:p>
        </w:tc>
        <w:tc>
          <w:tcPr>
            <w:tcW w:w="100" w:type="dxa"/>
            <w:vAlign w:val="bottom"/>
            <w:tcBorders>
              <w:bottom w:val="single" w:sz="8" w:color="auto"/>
            </w:tcBorders>
          </w:tcPr>
          <w:p>
            <w:pPr>
              <w:spacing w:after="0"/>
              <w:rPr>
                <w:sz w:val="17"/>
                <w:szCs w:val="17"/>
                <w:color w:val="auto"/>
              </w:rPr>
            </w:pPr>
          </w:p>
        </w:tc>
        <w:tc>
          <w:tcPr>
            <w:tcW w:w="3860" w:type="dxa"/>
            <w:vAlign w:val="bottom"/>
            <w:tcBorders>
              <w:bottom w:val="single" w:sz="8" w:color="auto"/>
            </w:tcBorders>
          </w:tcPr>
          <w:p>
            <w:pPr>
              <w:spacing w:after="0"/>
              <w:rPr>
                <w:sz w:val="17"/>
                <w:szCs w:val="17"/>
                <w:color w:val="auto"/>
              </w:rPr>
            </w:pPr>
          </w:p>
        </w:tc>
        <w:tc>
          <w:tcPr>
            <w:tcW w:w="1600" w:type="dxa"/>
            <w:vAlign w:val="bottom"/>
          </w:tcPr>
          <w:p>
            <w:pPr>
              <w:spacing w:after="0"/>
              <w:rPr>
                <w:sz w:val="17"/>
                <w:szCs w:val="17"/>
                <w:color w:val="auto"/>
              </w:rPr>
            </w:pPr>
          </w:p>
        </w:tc>
      </w:tr>
      <w:tr>
        <w:trPr>
          <w:trHeight w:val="211"/>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Grant Date:</w:t>
            </w:r>
          </w:p>
        </w:tc>
        <w:tc>
          <w:tcPr>
            <w:tcW w:w="1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211"/>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Vesting Commencement Date:</w:t>
            </w:r>
          </w:p>
        </w:tc>
        <w:tc>
          <w:tcPr>
            <w:tcW w:w="1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211"/>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Exercise Price per Share:</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6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211"/>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Total Exercise Price:</w:t>
            </w:r>
          </w:p>
        </w:tc>
        <w:tc>
          <w:tcPr>
            <w:tcW w:w="1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386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191"/>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Total Number of Shares</w:t>
            </w:r>
          </w:p>
        </w:tc>
        <w:tc>
          <w:tcPr>
            <w:tcW w:w="10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89"/>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Subject to Option:</w:t>
            </w:r>
          </w:p>
        </w:tc>
        <w:tc>
          <w:tcPr>
            <w:tcW w:w="100" w:type="dxa"/>
            <w:vAlign w:val="bottom"/>
            <w:tcBorders>
              <w:bottom w:val="single" w:sz="8" w:color="auto"/>
            </w:tcBorders>
          </w:tcPr>
          <w:p>
            <w:pPr>
              <w:spacing w:after="0"/>
              <w:rPr>
                <w:sz w:val="16"/>
                <w:szCs w:val="16"/>
                <w:color w:val="auto"/>
              </w:rPr>
            </w:pPr>
          </w:p>
        </w:tc>
        <w:tc>
          <w:tcPr>
            <w:tcW w:w="3860" w:type="dxa"/>
            <w:vAlign w:val="bottom"/>
            <w:tcBorders>
              <w:bottom w:val="single" w:sz="8" w:color="auto"/>
            </w:tcBorders>
          </w:tcPr>
          <w:p>
            <w:pPr>
              <w:spacing w:after="0"/>
              <w:rPr>
                <w:sz w:val="16"/>
                <w:szCs w:val="16"/>
                <w:color w:val="auto"/>
              </w:rPr>
            </w:pPr>
          </w:p>
        </w:tc>
        <w:tc>
          <w:tcPr>
            <w:tcW w:w="1600" w:type="dxa"/>
            <w:vAlign w:val="bottom"/>
          </w:tcPr>
          <w:p>
            <w:pPr>
              <w:spacing w:after="0"/>
              <w:rPr>
                <w:sz w:val="16"/>
                <w:szCs w:val="16"/>
                <w:color w:val="auto"/>
              </w:rPr>
            </w:pPr>
          </w:p>
        </w:tc>
      </w:tr>
      <w:tr>
        <w:trPr>
          <w:trHeight w:val="211"/>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100" w:type="dxa"/>
            <w:vAlign w:val="bottom"/>
            <w:tcBorders>
              <w:bottom w:val="single" w:sz="8" w:color="auto"/>
            </w:tcBorders>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1600" w:type="dxa"/>
            <w:vAlign w:val="bottom"/>
          </w:tcPr>
          <w:p>
            <w:pPr>
              <w:spacing w:after="0"/>
              <w:rPr>
                <w:sz w:val="18"/>
                <w:szCs w:val="18"/>
                <w:color w:val="auto"/>
              </w:rPr>
            </w:pPr>
          </w:p>
        </w:tc>
      </w:tr>
      <w:tr>
        <w:trPr>
          <w:trHeight w:val="443"/>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Type of Option:</w:t>
            </w:r>
          </w:p>
        </w:tc>
        <w:tc>
          <w:tcPr>
            <w:tcW w:w="5560" w:type="dxa"/>
            <w:vAlign w:val="bottom"/>
            <w:gridSpan w:val="3"/>
          </w:tcPr>
          <w:p>
            <w:pPr>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Incentive Stock Option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Non-Qualified Stock Option</w:t>
            </w:r>
          </w:p>
        </w:tc>
      </w:tr>
      <w:tr>
        <w:trPr>
          <w:trHeight w:val="252"/>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Exercise Schedule:</w:t>
            </w:r>
          </w:p>
        </w:tc>
        <w:tc>
          <w:tcPr>
            <w:tcW w:w="5560" w:type="dxa"/>
            <w:vAlign w:val="bottom"/>
            <w:gridSpan w:val="3"/>
          </w:tcPr>
          <w:p>
            <w:pPr>
              <w:spacing w:after="0" w:line="173" w:lineRule="exact"/>
              <w:rPr>
                <w:sz w:val="20"/>
                <w:szCs w:val="20"/>
                <w:color w:val="auto"/>
              </w:rPr>
            </w:pP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Early Exercise Permitted</w:t>
            </w:r>
          </w:p>
        </w:tc>
      </w:tr>
      <w:tr>
        <w:trPr>
          <w:trHeight w:val="183"/>
        </w:trPr>
        <w:tc>
          <w:tcPr>
            <w:tcW w:w="304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Vesting Schedule:</w:t>
            </w:r>
          </w:p>
        </w:tc>
        <w:tc>
          <w:tcPr>
            <w:tcW w:w="5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[25% of the original number of Shares subject to the Option</w:t>
            </w:r>
          </w:p>
        </w:tc>
      </w:tr>
      <w:tr>
        <w:trPr>
          <w:trHeight w:val="156"/>
        </w:trPr>
        <w:tc>
          <w:tcPr>
            <w:tcW w:w="3040" w:type="dxa"/>
            <w:vAlign w:val="bottom"/>
          </w:tcPr>
          <w:p>
            <w:pPr>
              <w:spacing w:after="0"/>
              <w:rPr>
                <w:sz w:val="13"/>
                <w:szCs w:val="13"/>
                <w:color w:val="auto"/>
              </w:rPr>
            </w:pPr>
          </w:p>
        </w:tc>
        <w:tc>
          <w:tcPr>
            <w:tcW w:w="5560" w:type="dxa"/>
            <w:vAlign w:val="bottom"/>
            <w:gridSpan w:val="3"/>
          </w:tcPr>
          <w:p>
            <w:pPr>
              <w:spacing w:after="0" w:line="156" w:lineRule="exact"/>
              <w:rPr>
                <w:sz w:val="20"/>
                <w:szCs w:val="20"/>
                <w:color w:val="auto"/>
              </w:rPr>
            </w:pPr>
            <w:r>
              <w:rPr>
                <w:rFonts w:ascii="Times New Roman" w:cs="Times New Roman" w:eastAsia="Times New Roman" w:hAnsi="Times New Roman"/>
                <w:sz w:val="15"/>
                <w:szCs w:val="15"/>
                <w:color w:val="auto"/>
              </w:rPr>
              <w:t>(rounded down to the next whole number of Shares) shall vest</w:t>
            </w:r>
          </w:p>
        </w:tc>
      </w:tr>
      <w:tr>
        <w:trPr>
          <w:trHeight w:val="201"/>
        </w:trPr>
        <w:tc>
          <w:tcPr>
            <w:tcW w:w="3040" w:type="dxa"/>
            <w:vAlign w:val="bottom"/>
          </w:tcPr>
          <w:p>
            <w:pPr>
              <w:spacing w:after="0"/>
              <w:rPr>
                <w:sz w:val="17"/>
                <w:szCs w:val="17"/>
                <w:color w:val="auto"/>
              </w:rPr>
            </w:pPr>
          </w:p>
        </w:tc>
        <w:tc>
          <w:tcPr>
            <w:tcW w:w="5560" w:type="dxa"/>
            <w:vAlign w:val="bottom"/>
            <w:gridSpan w:val="3"/>
          </w:tcPr>
          <w:p>
            <w:pPr>
              <w:spacing w:after="0" w:line="201" w:lineRule="exact"/>
              <w:rPr>
                <w:sz w:val="20"/>
                <w:szCs w:val="20"/>
                <w:color w:val="auto"/>
              </w:rPr>
            </w:pPr>
            <w:r>
              <w:rPr>
                <w:rFonts w:ascii="Times New Roman" w:cs="Times New Roman" w:eastAsia="Times New Roman" w:hAnsi="Times New Roman"/>
                <w:sz w:val="15"/>
                <w:szCs w:val="15"/>
                <w:color w:val="auto"/>
              </w:rPr>
              <w:t>one year after the Vesting Commencement Date, and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xml:space="preserve"> of</w:t>
            </w:r>
          </w:p>
        </w:tc>
      </w:tr>
      <w:tr>
        <w:trPr>
          <w:trHeight w:val="179"/>
        </w:trPr>
        <w:tc>
          <w:tcPr>
            <w:tcW w:w="3040" w:type="dxa"/>
            <w:vAlign w:val="bottom"/>
          </w:tcPr>
          <w:p>
            <w:pPr>
              <w:spacing w:after="0"/>
              <w:rPr>
                <w:sz w:val="15"/>
                <w:szCs w:val="15"/>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original number of Shares subject to the Option (rounded</w:t>
            </w:r>
          </w:p>
        </w:tc>
      </w:tr>
      <w:tr>
        <w:trPr>
          <w:trHeight w:val="179"/>
        </w:trPr>
        <w:tc>
          <w:tcPr>
            <w:tcW w:w="3040" w:type="dxa"/>
            <w:vAlign w:val="bottom"/>
          </w:tcPr>
          <w:p>
            <w:pPr>
              <w:spacing w:after="0"/>
              <w:rPr>
                <w:sz w:val="15"/>
                <w:szCs w:val="15"/>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down to the next whole number of Shares) shall vest on the last</w:t>
            </w:r>
          </w:p>
        </w:tc>
      </w:tr>
      <w:tr>
        <w:trPr>
          <w:trHeight w:val="179"/>
        </w:trPr>
        <w:tc>
          <w:tcPr>
            <w:tcW w:w="3040" w:type="dxa"/>
            <w:vAlign w:val="bottom"/>
          </w:tcPr>
          <w:p>
            <w:pPr>
              <w:spacing w:after="0"/>
              <w:rPr>
                <w:sz w:val="15"/>
                <w:szCs w:val="15"/>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day of each one-month period of Participant’s service as a</w:t>
            </w:r>
          </w:p>
        </w:tc>
      </w:tr>
      <w:tr>
        <w:trPr>
          <w:trHeight w:val="156"/>
        </w:trPr>
        <w:tc>
          <w:tcPr>
            <w:tcW w:w="3040" w:type="dxa"/>
            <w:vAlign w:val="bottom"/>
          </w:tcPr>
          <w:p>
            <w:pPr>
              <w:spacing w:after="0"/>
              <w:rPr>
                <w:sz w:val="13"/>
                <w:szCs w:val="13"/>
                <w:color w:val="auto"/>
              </w:rPr>
            </w:pPr>
          </w:p>
        </w:tc>
        <w:tc>
          <w:tcPr>
            <w:tcW w:w="5560" w:type="dxa"/>
            <w:vAlign w:val="bottom"/>
            <w:gridSpan w:val="3"/>
          </w:tcPr>
          <w:p>
            <w:pPr>
              <w:spacing w:after="0" w:line="156" w:lineRule="exact"/>
              <w:rPr>
                <w:sz w:val="20"/>
                <w:szCs w:val="20"/>
                <w:color w:val="auto"/>
              </w:rPr>
            </w:pPr>
            <w:r>
              <w:rPr>
                <w:rFonts w:ascii="Times New Roman" w:cs="Times New Roman" w:eastAsia="Times New Roman" w:hAnsi="Times New Roman"/>
                <w:sz w:val="15"/>
                <w:szCs w:val="15"/>
                <w:color w:val="auto"/>
              </w:rPr>
              <w:t>Service Provider thereafter, so that all of the Shares subject to</w:t>
            </w:r>
          </w:p>
        </w:tc>
      </w:tr>
      <w:tr>
        <w:trPr>
          <w:trHeight w:val="201"/>
        </w:trPr>
        <w:tc>
          <w:tcPr>
            <w:tcW w:w="3040" w:type="dxa"/>
            <w:vAlign w:val="bottom"/>
          </w:tcPr>
          <w:p>
            <w:pPr>
              <w:spacing w:after="0"/>
              <w:rPr>
                <w:sz w:val="17"/>
                <w:szCs w:val="17"/>
                <w:color w:val="auto"/>
              </w:rPr>
            </w:pPr>
          </w:p>
        </w:tc>
        <w:tc>
          <w:tcPr>
            <w:tcW w:w="5560" w:type="dxa"/>
            <w:vAlign w:val="bottom"/>
            <w:gridSpan w:val="3"/>
          </w:tcPr>
          <w:p>
            <w:pPr>
              <w:spacing w:after="0" w:line="201" w:lineRule="exact"/>
              <w:rPr>
                <w:sz w:val="20"/>
                <w:szCs w:val="20"/>
                <w:color w:val="auto"/>
              </w:rPr>
            </w:pPr>
            <w:r>
              <w:rPr>
                <w:rFonts w:ascii="Times New Roman" w:cs="Times New Roman" w:eastAsia="Times New Roman" w:hAnsi="Times New Roman"/>
                <w:sz w:val="15"/>
                <w:szCs w:val="15"/>
                <w:color w:val="auto"/>
              </w:rPr>
              <w:t>the Option shall be vested on the fourth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anniversary of the</w:t>
            </w:r>
          </w:p>
        </w:tc>
      </w:tr>
      <w:tr>
        <w:trPr>
          <w:trHeight w:val="199"/>
        </w:trPr>
        <w:tc>
          <w:tcPr>
            <w:tcW w:w="3040" w:type="dxa"/>
            <w:vAlign w:val="bottom"/>
          </w:tcPr>
          <w:p>
            <w:pPr>
              <w:spacing w:after="0"/>
              <w:rPr>
                <w:sz w:val="17"/>
                <w:szCs w:val="17"/>
                <w:color w:val="auto"/>
              </w:rPr>
            </w:pPr>
          </w:p>
        </w:tc>
        <w:tc>
          <w:tcPr>
            <w:tcW w:w="55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Vesting Commencement Date.]</w:t>
            </w:r>
          </w:p>
        </w:tc>
      </w:tr>
      <w:tr>
        <w:trPr>
          <w:trHeight w:val="1259"/>
        </w:trPr>
        <w:tc>
          <w:tcPr>
            <w:tcW w:w="3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8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388" w:name="page389"/>
    <w:bookmarkEnd w:id="388"/>
    <w:p>
      <w:pPr>
        <w:jc w:val="both"/>
        <w:ind w:left="1220" w:right="1239" w:firstLine="505"/>
        <w:spacing w:after="0" w:line="255" w:lineRule="auto"/>
        <w:rPr>
          <w:sz w:val="20"/>
          <w:szCs w:val="20"/>
          <w:color w:val="auto"/>
        </w:rPr>
      </w:pPr>
      <w:r>
        <w:rPr>
          <w:rFonts w:ascii="Times New Roman" w:cs="Times New Roman" w:eastAsia="Times New Roman" w:hAnsi="Times New Roman"/>
          <w:sz w:val="15"/>
          <w:szCs w:val="15"/>
          <w:color w:val="auto"/>
        </w:rPr>
        <w:t>By his or her signature and the Company’s signature below, Participant agrees to be bound by the terms and conditions of the Plan, the Agreement and this Grant Notice. Participant has reviewed the Agreement, the Plan and this Grant Notice in their entirety, has had an opportunity to obtain the advice of counsel prior to executing this Grant Notice and fully understands all provisions of this Grant Notice, the Agreement and the Plan. Participant hereby agrees to accept as binding, conclusive and final all decisions or interpretations of the Administrator of the Plan upon any questions arising under the Plan or the Agreement.</w:t>
      </w:r>
    </w:p>
    <w:p>
      <w:pPr>
        <w:spacing w:after="0" w:line="326"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4240" w:type="dxa"/>
            <w:vAlign w:val="bottom"/>
            <w:gridSpan w:val="2"/>
          </w:tcPr>
          <w:p>
            <w:pPr>
              <w:ind w:left="1020"/>
              <w:spacing w:after="0"/>
              <w:rPr>
                <w:sz w:val="20"/>
                <w:szCs w:val="20"/>
                <w:color w:val="auto"/>
              </w:rPr>
            </w:pPr>
            <w:r>
              <w:rPr>
                <w:rFonts w:ascii="Times New Roman" w:cs="Times New Roman" w:eastAsia="Times New Roman" w:hAnsi="Times New Roman"/>
                <w:sz w:val="15"/>
                <w:szCs w:val="15"/>
                <w:b w:val="1"/>
                <w:bCs w:val="1"/>
                <w:color w:val="auto"/>
              </w:rPr>
              <w:t>GENOA PHARMACEUTICALS, INC.</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5"/>
                <w:szCs w:val="15"/>
                <w:b w:val="1"/>
                <w:bCs w:val="1"/>
                <w:color w:val="auto"/>
              </w:rPr>
              <w:t>PARTICIPANT</w:t>
            </w:r>
          </w:p>
        </w:tc>
      </w:tr>
      <w:tr>
        <w:trPr>
          <w:trHeight w:val="396"/>
        </w:trPr>
        <w:tc>
          <w:tcPr>
            <w:tcW w:w="182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By:</w:t>
            </w:r>
          </w:p>
        </w:tc>
        <w:tc>
          <w:tcPr>
            <w:tcW w:w="2420" w:type="dxa"/>
            <w:vAlign w:val="bottom"/>
            <w:tcBorders>
              <w:bottom w:val="single" w:sz="8" w:color="auto"/>
            </w:tcBorders>
          </w:tcPr>
          <w:p>
            <w:pPr>
              <w:spacing w:after="0"/>
              <w:rPr>
                <w:sz w:val="24"/>
                <w:szCs w:val="24"/>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By:</w:t>
            </w:r>
          </w:p>
        </w:tc>
        <w:tc>
          <w:tcPr>
            <w:tcW w:w="2400" w:type="dxa"/>
            <w:vAlign w:val="bottom"/>
            <w:tcBorders>
              <w:bottom w:val="single" w:sz="8" w:color="auto"/>
            </w:tcBorders>
          </w:tcPr>
          <w:p>
            <w:pPr>
              <w:spacing w:after="0"/>
              <w:rPr>
                <w:sz w:val="24"/>
                <w:szCs w:val="24"/>
                <w:color w:val="auto"/>
              </w:rPr>
            </w:pPr>
          </w:p>
        </w:tc>
        <w:tc>
          <w:tcPr>
            <w:tcW w:w="1020" w:type="dxa"/>
            <w:vAlign w:val="bottom"/>
          </w:tcPr>
          <w:p>
            <w:pPr>
              <w:spacing w:after="0"/>
              <w:rPr>
                <w:sz w:val="24"/>
                <w:szCs w:val="24"/>
                <w:color w:val="auto"/>
              </w:rPr>
            </w:pPr>
          </w:p>
        </w:tc>
      </w:tr>
      <w:tr>
        <w:trPr>
          <w:trHeight w:val="211"/>
        </w:trPr>
        <w:tc>
          <w:tcPr>
            <w:tcW w:w="182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Print Name:</w:t>
            </w:r>
          </w:p>
        </w:tc>
        <w:tc>
          <w:tcPr>
            <w:tcW w:w="2420" w:type="dxa"/>
            <w:vAlign w:val="bottom"/>
            <w:tcBorders>
              <w:bottom w:val="single" w:sz="8" w:color="auto"/>
            </w:tcBorders>
          </w:tcPr>
          <w:p>
            <w:pPr>
              <w:spacing w:after="0"/>
              <w:rPr>
                <w:sz w:val="18"/>
                <w:szCs w:val="18"/>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Print Name:</w:t>
            </w:r>
          </w:p>
        </w:tc>
        <w:tc>
          <w:tcPr>
            <w:tcW w:w="2400" w:type="dxa"/>
            <w:vAlign w:val="bottom"/>
            <w:tcBorders>
              <w:bottom w:val="single" w:sz="8" w:color="auto"/>
            </w:tcBorders>
          </w:tcPr>
          <w:p>
            <w:pPr>
              <w:spacing w:after="0"/>
              <w:rPr>
                <w:sz w:val="18"/>
                <w:szCs w:val="18"/>
                <w:color w:val="auto"/>
              </w:rPr>
            </w:pPr>
          </w:p>
        </w:tc>
        <w:tc>
          <w:tcPr>
            <w:tcW w:w="1020" w:type="dxa"/>
            <w:vAlign w:val="bottom"/>
          </w:tcPr>
          <w:p>
            <w:pPr>
              <w:spacing w:after="0"/>
              <w:rPr>
                <w:sz w:val="18"/>
                <w:szCs w:val="18"/>
                <w:color w:val="auto"/>
              </w:rPr>
            </w:pPr>
          </w:p>
        </w:tc>
      </w:tr>
      <w:tr>
        <w:trPr>
          <w:trHeight w:val="211"/>
        </w:trPr>
        <w:tc>
          <w:tcPr>
            <w:tcW w:w="4240" w:type="dxa"/>
            <w:vAlign w:val="bottom"/>
            <w:gridSpan w:val="2"/>
          </w:tcPr>
          <w:p>
            <w:pPr>
              <w:ind w:left="1020"/>
              <w:spacing w:after="0"/>
              <w:rPr>
                <w:sz w:val="20"/>
                <w:szCs w:val="20"/>
                <w:color w:val="auto"/>
              </w:rPr>
            </w:pPr>
            <w:r>
              <w:rPr>
                <w:rFonts w:ascii="Times New Roman" w:cs="Times New Roman" w:eastAsia="Times New Roman" w:hAnsi="Times New Roman"/>
                <w:sz w:val="15"/>
                <w:szCs w:val="15"/>
                <w:color w:val="auto"/>
              </w:rPr>
              <w:t>Title:</w:t>
            </w: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State of</w:t>
            </w:r>
          </w:p>
        </w:tc>
      </w:tr>
      <w:tr>
        <w:trPr>
          <w:trHeight w:val="211"/>
        </w:trPr>
        <w:tc>
          <w:tcPr>
            <w:tcW w:w="1820" w:type="dxa"/>
            <w:vAlign w:val="bottom"/>
          </w:tcPr>
          <w:p>
            <w:pPr>
              <w:spacing w:after="0"/>
              <w:rPr>
                <w:sz w:val="18"/>
                <w:szCs w:val="18"/>
                <w:color w:val="auto"/>
              </w:rPr>
            </w:pPr>
          </w:p>
        </w:tc>
        <w:tc>
          <w:tcPr>
            <w:tcW w:w="2420" w:type="dxa"/>
            <w:vAlign w:val="bottom"/>
            <w:tcBorders>
              <w:top w:val="single" w:sz="8" w:color="auto"/>
            </w:tcBorders>
          </w:tcPr>
          <w:p>
            <w:pPr>
              <w:spacing w:after="0"/>
              <w:rPr>
                <w:sz w:val="18"/>
                <w:szCs w:val="18"/>
                <w:color w:val="auto"/>
              </w:rPr>
            </w:pPr>
          </w:p>
        </w:tc>
        <w:tc>
          <w:tcPr>
            <w:tcW w:w="436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Residence:</w:t>
            </w:r>
          </w:p>
        </w:tc>
      </w:tr>
      <w:tr>
        <w:trPr>
          <w:trHeight w:val="1253"/>
        </w:trPr>
        <w:tc>
          <w:tcPr>
            <w:tcW w:w="182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0" w:type="dxa"/>
            <w:vAlign w:val="bottom"/>
            <w:tcBorders>
              <w:top w:val="single" w:sz="8" w:color="auto"/>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389" w:name="page390"/>
    <w:bookmarkEnd w:id="389"/>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TO STOCK OPTION GRANT NOTICE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STOCK OPTION AGREEMENT</w:t>
      </w:r>
    </w:p>
    <w:p>
      <w:pPr>
        <w:spacing w:after="0" w:line="178" w:lineRule="exact"/>
        <w:rPr>
          <w:sz w:val="20"/>
          <w:szCs w:val="20"/>
          <w:color w:val="auto"/>
        </w:rPr>
      </w:pPr>
    </w:p>
    <w:p>
      <w:pPr>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Pursuant to the Grant Notice to which this Agreement is attached, the Company has granted to Participant an Option under the Plan to purchase the number of Shares indicated in the Grant Notice.</w:t>
      </w:r>
    </w:p>
    <w:p>
      <w:pPr>
        <w:spacing w:after="0" w:line="112" w:lineRule="exact"/>
        <w:rPr>
          <w:sz w:val="20"/>
          <w:szCs w:val="20"/>
          <w:color w:val="auto"/>
        </w:rPr>
      </w:pPr>
    </w:p>
    <w:p>
      <w:pPr>
        <w:jc w:val="both"/>
        <w:ind w:left="1220" w:right="1239" w:firstLine="509"/>
        <w:spacing w:after="0" w:line="259" w:lineRule="auto"/>
        <w:tabs>
          <w:tab w:leader="none" w:pos="1906"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Grant of Option</w:t>
      </w:r>
      <w:r>
        <w:rPr>
          <w:rFonts w:ascii="Times New Roman" w:cs="Times New Roman" w:eastAsia="Times New Roman" w:hAnsi="Times New Roman"/>
          <w:sz w:val="15"/>
          <w:szCs w:val="15"/>
          <w:color w:val="auto"/>
        </w:rPr>
        <w:t>. In consideration of Participant’s past and/or continued employment with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service to the Company and for other good and valuable consideration, effective as of the Grant Date set forth in the Grant Notice, the Company irrevocably grants to Participant an Option to purchase any part or all of an aggregate of the number of Shares set forth in the Grant Notice at the Exercise Price per Share set forth in the Grant Notice, upon the terms and conditions set forth in the Plan and this Agreement.</w:t>
      </w:r>
    </w:p>
    <w:p>
      <w:pPr>
        <w:spacing w:after="0" w:line="131" w:lineRule="exact"/>
        <w:rPr>
          <w:rFonts w:ascii="Times New Roman" w:cs="Times New Roman" w:eastAsia="Times New Roman" w:hAnsi="Times New Roman"/>
          <w:sz w:val="15"/>
          <w:szCs w:val="15"/>
          <w:color w:val="auto"/>
        </w:rPr>
      </w:pPr>
    </w:p>
    <w:p>
      <w:pPr>
        <w:jc w:val="both"/>
        <w:ind w:left="1220" w:right="1239" w:firstLine="509"/>
        <w:spacing w:after="0" w:line="259" w:lineRule="auto"/>
        <w:tabs>
          <w:tab w:leader="none" w:pos="1906"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Vesting</w:t>
      </w:r>
      <w:r>
        <w:rPr>
          <w:rFonts w:ascii="Times New Roman" w:cs="Times New Roman" w:eastAsia="Times New Roman" w:hAnsi="Times New Roman"/>
          <w:sz w:val="15"/>
          <w:szCs w:val="15"/>
          <w:color w:val="auto"/>
        </w:rPr>
        <w:t>. The Option shall become vested in such amounts and at such times as are set forth in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vesting schedule in the Grant Notice. The installments provided for in the vesting schedule are cumulative. No portion of the Option which has not become vested at the date Participant incurs a Termination of Service shall thereafter become vested, except as may be otherwise provided by the Administrator or as set forth in another written agreement between the Company and Participant.</w:t>
      </w:r>
    </w:p>
    <w:p>
      <w:pPr>
        <w:spacing w:after="0" w:line="131" w:lineRule="exact"/>
        <w:rPr>
          <w:rFonts w:ascii="Times New Roman" w:cs="Times New Roman" w:eastAsia="Times New Roman" w:hAnsi="Times New Roman"/>
          <w:sz w:val="15"/>
          <w:szCs w:val="15"/>
          <w:color w:val="auto"/>
        </w:rPr>
      </w:pPr>
    </w:p>
    <w:p>
      <w:pPr>
        <w:ind w:left="1920" w:hanging="191"/>
        <w:spacing w:after="0"/>
        <w:tabs>
          <w:tab w:leader="none" w:pos="1920" w:val="left"/>
        </w:tabs>
        <w:numPr>
          <w:ilvl w:val="0"/>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Exercise</w:t>
      </w:r>
      <w:r>
        <w:rPr>
          <w:rFonts w:ascii="Times New Roman" w:cs="Times New Roman" w:eastAsia="Times New Roman" w:hAnsi="Times New Roman"/>
          <w:sz w:val="15"/>
          <w:szCs w:val="15"/>
          <w:color w:val="auto"/>
        </w:rPr>
        <w:t>.</w:t>
      </w:r>
    </w:p>
    <w:p>
      <w:pPr>
        <w:spacing w:after="0" w:line="178" w:lineRule="exact"/>
        <w:rPr>
          <w:rFonts w:ascii="Times New Roman" w:cs="Times New Roman" w:eastAsia="Times New Roman" w:hAnsi="Times New Roman"/>
          <w:sz w:val="15"/>
          <w:szCs w:val="15"/>
          <w:color w:val="auto"/>
        </w:rPr>
      </w:pPr>
    </w:p>
    <w:p>
      <w:pPr>
        <w:jc w:val="both"/>
        <w:ind w:left="1220" w:right="1239" w:firstLine="1013"/>
        <w:spacing w:after="0" w:line="253" w:lineRule="auto"/>
        <w:tabs>
          <w:tab w:leader="none" w:pos="2592" w:val="left"/>
        </w:tabs>
        <w:numPr>
          <w:ilvl w:val="1"/>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portion of the Option or the entire Option may be exercised in whole or in part at any time prior to the time when the Option or portion thereof becomes unexercisable under Section 4, provided that each unvested Share with respect to which the Option is exercised (each a “</w:t>
      </w:r>
      <w:r>
        <w:rPr>
          <w:rFonts w:ascii="Times New Roman" w:cs="Times New Roman" w:eastAsia="Times New Roman" w:hAnsi="Times New Roman"/>
          <w:sz w:val="15"/>
          <w:szCs w:val="15"/>
          <w:b w:val="1"/>
          <w:bCs w:val="1"/>
          <w:i w:val="1"/>
          <w:iCs w:val="1"/>
          <w:color w:val="auto"/>
        </w:rPr>
        <w:t>Restricted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Share</w:t>
      </w:r>
      <w:r>
        <w:rPr>
          <w:rFonts w:ascii="Times New Roman" w:cs="Times New Roman" w:eastAsia="Times New Roman" w:hAnsi="Times New Roman"/>
          <w:sz w:val="15"/>
          <w:szCs w:val="15"/>
          <w:color w:val="auto"/>
        </w:rPr>
        <w:t>”) shall be subject to the Company Repurchase Right (as defined in Section 5 below) for so long as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Option shall remain unvested with respect to such Share under the terms of this Agreement. The Restricted Shares shall be released from the Company Repurchase Right as set forth in Section 5. For the avoidance of doubt, all Shares with respect to which the Option is exercised shall at all times be assumed to be Restricted Shares to the fullest extent possible under the terms of this Agreement, unless otherwise provided by the Administrator.</w:t>
      </w:r>
    </w:p>
    <w:p>
      <w:pPr>
        <w:spacing w:after="0" w:line="136" w:lineRule="exact"/>
        <w:rPr>
          <w:rFonts w:ascii="Times New Roman" w:cs="Times New Roman" w:eastAsia="Times New Roman" w:hAnsi="Times New Roman"/>
          <w:sz w:val="15"/>
          <w:szCs w:val="15"/>
          <w:color w:val="auto"/>
        </w:rPr>
      </w:pPr>
    </w:p>
    <w:p>
      <w:pPr>
        <w:jc w:val="both"/>
        <w:ind w:left="1220" w:right="1239" w:firstLine="1013"/>
        <w:spacing w:after="0" w:line="259" w:lineRule="auto"/>
        <w:tabs>
          <w:tab w:leader="none" w:pos="2592" w:val="left"/>
        </w:tabs>
        <w:numPr>
          <w:ilvl w:val="1"/>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Person Eligible to Exercise</w:t>
      </w:r>
      <w:r>
        <w:rPr>
          <w:rFonts w:ascii="Times New Roman" w:cs="Times New Roman" w:eastAsia="Times New Roman" w:hAnsi="Times New Roman"/>
          <w:sz w:val="15"/>
          <w:szCs w:val="15"/>
          <w:color w:val="auto"/>
        </w:rPr>
        <w:t>. During the lifetime of Participant, only Participant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may exercise the Option or any portion thereof. After the death of Participant, any exercisable portion of the Option may, prior to the time when the Option becomes unexercisable under Section 4, be exercised by Participant’s personal representative or by any person empowered to do so under the deceased Participant’s will or under the then Applicable Laws of descent and distribution.</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1"/>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Manner of Exercise</w:t>
      </w:r>
      <w:r>
        <w:rPr>
          <w:rFonts w:ascii="Times New Roman" w:cs="Times New Roman" w:eastAsia="Times New Roman" w:hAnsi="Times New Roman"/>
          <w:sz w:val="15"/>
          <w:szCs w:val="15"/>
          <w:color w:val="auto"/>
        </w:rPr>
        <w:t>. The Option, or any portion thereof, may be exercised solely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delivery to the Secretary of the Company or the Secretary’s office, or such other place as may be determined by the Administrator, of all of the following prior to the time when the Option or such portion thereof becomes unexercisable under Section 4:</w:t>
      </w:r>
    </w:p>
    <w:p>
      <w:pPr>
        <w:spacing w:after="0" w:line="133" w:lineRule="exact"/>
        <w:rPr>
          <w:rFonts w:ascii="Times New Roman" w:cs="Times New Roman" w:eastAsia="Times New Roman" w:hAnsi="Times New Roman"/>
          <w:sz w:val="15"/>
          <w:szCs w:val="15"/>
          <w:color w:val="auto"/>
        </w:rPr>
      </w:pPr>
    </w:p>
    <w:p>
      <w:pPr>
        <w:jc w:val="both"/>
        <w:ind w:left="1720" w:right="1239" w:firstLine="1018"/>
        <w:spacing w:after="0" w:line="256" w:lineRule="auto"/>
        <w:tabs>
          <w:tab w:leader="none" w:pos="3128" w:val="left"/>
        </w:tabs>
        <w:numPr>
          <w:ilvl w:val="2"/>
          <w:numId w:val="2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 written exercise notice in substantially in the form attached as </w:t>
      </w:r>
      <w:r>
        <w:rPr>
          <w:rFonts w:ascii="Times New Roman" w:cs="Times New Roman" w:eastAsia="Times New Roman" w:hAnsi="Times New Roman"/>
          <w:sz w:val="15"/>
          <w:szCs w:val="15"/>
          <w:u w:val="single" w:color="auto"/>
          <w:color w:val="auto"/>
        </w:rPr>
        <w:t>Exhibit B</w:t>
      </w:r>
      <w:r>
        <w:rPr>
          <w:rFonts w:ascii="Times New Roman" w:cs="Times New Roman" w:eastAsia="Times New Roman" w:hAnsi="Times New Roman"/>
          <w:sz w:val="15"/>
          <w:szCs w:val="15"/>
          <w:color w:val="auto"/>
        </w:rPr>
        <w:t xml:space="preserve"> to the Grant Notice (or such other form as is prescribed by the Administrator, which may be an electronic form) (the “</w:t>
      </w:r>
      <w:r>
        <w:rPr>
          <w:rFonts w:ascii="Times New Roman" w:cs="Times New Roman" w:eastAsia="Times New Roman" w:hAnsi="Times New Roman"/>
          <w:sz w:val="15"/>
          <w:szCs w:val="15"/>
          <w:b w:val="1"/>
          <w:bCs w:val="1"/>
          <w:i w:val="1"/>
          <w:iCs w:val="1"/>
          <w:color w:val="auto"/>
        </w:rPr>
        <w:t>Exercise Notice</w:t>
      </w:r>
      <w:r>
        <w:rPr>
          <w:rFonts w:ascii="Times New Roman" w:cs="Times New Roman" w:eastAsia="Times New Roman" w:hAnsi="Times New Roman"/>
          <w:sz w:val="15"/>
          <w:szCs w:val="15"/>
          <w:color w:val="auto"/>
        </w:rPr>
        <w:t>”) signed by Participant or any other person then entitled to exercise the Option or portion thereof, stating that the Option or portion thereof is thereby exercised, such Exercise Notice complying with all applicable rules established by the Administrator;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788670</wp:posOffset>
            </wp:positionV>
            <wp:extent cx="54857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90" w:name="page391"/>
    <w:bookmarkEnd w:id="390"/>
    <w:p>
      <w:pPr>
        <w:ind w:left="1720" w:right="1239" w:firstLine="1018"/>
        <w:spacing w:after="0" w:line="285" w:lineRule="auto"/>
        <w:tabs>
          <w:tab w:leader="none" w:pos="3116" w:val="left"/>
        </w:tabs>
        <w:numPr>
          <w:ilvl w:val="1"/>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5(f) of the Plan, full payment for the Shares with respect to which the Option or portion thereof is exercised by:</w:t>
      </w:r>
    </w:p>
    <w:p>
      <w:pPr>
        <w:spacing w:after="0" w:line="115" w:lineRule="exact"/>
        <w:rPr>
          <w:rFonts w:ascii="Times New Roman" w:cs="Times New Roman" w:eastAsia="Times New Roman" w:hAnsi="Times New Roman"/>
          <w:sz w:val="15"/>
          <w:szCs w:val="15"/>
          <w:color w:val="auto"/>
        </w:rPr>
      </w:pPr>
    </w:p>
    <w:p>
      <w:pPr>
        <w:ind w:left="3620" w:hanging="377"/>
        <w:spacing w:after="0"/>
        <w:tabs>
          <w:tab w:leader="none" w:pos="3620" w:val="left"/>
        </w:tabs>
        <w:numPr>
          <w:ilvl w:val="2"/>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Cash or check, payable to the order of the Company; or</w:t>
      </w:r>
    </w:p>
    <w:p>
      <w:pPr>
        <w:spacing w:after="0" w:line="174" w:lineRule="exact"/>
        <w:rPr>
          <w:rFonts w:ascii="Times New Roman" w:cs="Times New Roman" w:eastAsia="Times New Roman" w:hAnsi="Times New Roman"/>
          <w:sz w:val="15"/>
          <w:szCs w:val="15"/>
          <w:color w:val="auto"/>
        </w:rPr>
      </w:pPr>
    </w:p>
    <w:p>
      <w:pPr>
        <w:jc w:val="both"/>
        <w:ind w:left="2240" w:right="1239" w:firstLine="1003"/>
        <w:spacing w:after="0" w:line="267" w:lineRule="auto"/>
        <w:tabs>
          <w:tab w:leader="none" w:pos="3632" w:val="left"/>
        </w:tabs>
        <w:numPr>
          <w:ilvl w:val="2"/>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consent of the Administrator, surrendering shares of Common Stock then issuable upon exercise of the Option valued at their Fair Market Value on the date of exercise; or</w:t>
      </w:r>
    </w:p>
    <w:p>
      <w:pPr>
        <w:spacing w:after="0" w:line="128" w:lineRule="exact"/>
        <w:rPr>
          <w:rFonts w:ascii="Times New Roman" w:cs="Times New Roman" w:eastAsia="Times New Roman" w:hAnsi="Times New Roman"/>
          <w:sz w:val="15"/>
          <w:szCs w:val="15"/>
          <w:color w:val="auto"/>
        </w:rPr>
      </w:pPr>
    </w:p>
    <w:p>
      <w:pPr>
        <w:jc w:val="both"/>
        <w:ind w:left="2240" w:right="1239" w:firstLine="1003"/>
        <w:spacing w:after="0" w:line="256" w:lineRule="auto"/>
        <w:tabs>
          <w:tab w:leader="none" w:pos="3632" w:val="left"/>
        </w:tabs>
        <w:numPr>
          <w:ilvl w:val="2"/>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and after the date the Company becomes a Publicly Listed Company, through the (A) delivery by Participant to the Company of an irrevocable and unconditional undertaking by a creditworthy broker to deliver promptly to the Company sufficient funds to pay the exercise price or (B) delivery by Participant to the Company of a copy of irrevocable and unconditional instructions to a creditworthy broker to deliver promptly to the Company cash or a check sufficient to pay the exercise price; or</w:t>
      </w:r>
    </w:p>
    <w:p>
      <w:pPr>
        <w:spacing w:after="0" w:line="136" w:lineRule="exact"/>
        <w:rPr>
          <w:rFonts w:ascii="Times New Roman" w:cs="Times New Roman" w:eastAsia="Times New Roman" w:hAnsi="Times New Roman"/>
          <w:sz w:val="15"/>
          <w:szCs w:val="15"/>
          <w:color w:val="auto"/>
        </w:rPr>
      </w:pPr>
    </w:p>
    <w:p>
      <w:pPr>
        <w:ind w:left="2240" w:right="1239" w:firstLine="1003"/>
        <w:spacing w:after="0" w:line="285" w:lineRule="auto"/>
        <w:tabs>
          <w:tab w:leader="none" w:pos="3632" w:val="left"/>
        </w:tabs>
        <w:numPr>
          <w:ilvl w:val="2"/>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the consent of the Administrator, any other form of payment permitted under Section 5(f) of the Plan; or</w:t>
      </w:r>
    </w:p>
    <w:p>
      <w:pPr>
        <w:spacing w:after="0" w:line="115" w:lineRule="exact"/>
        <w:rPr>
          <w:rFonts w:ascii="Times New Roman" w:cs="Times New Roman" w:eastAsia="Times New Roman" w:hAnsi="Times New Roman"/>
          <w:sz w:val="15"/>
          <w:szCs w:val="15"/>
          <w:color w:val="auto"/>
        </w:rPr>
      </w:pPr>
    </w:p>
    <w:p>
      <w:pPr>
        <w:ind w:left="3620" w:hanging="377"/>
        <w:spacing w:after="0"/>
        <w:tabs>
          <w:tab w:leader="none" w:pos="3620" w:val="left"/>
        </w:tabs>
        <w:numPr>
          <w:ilvl w:val="2"/>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combination of the above permitted forms of payment; and</w:t>
      </w:r>
    </w:p>
    <w:p>
      <w:pPr>
        <w:spacing w:after="0" w:line="174" w:lineRule="exact"/>
        <w:rPr>
          <w:rFonts w:ascii="Times New Roman" w:cs="Times New Roman" w:eastAsia="Times New Roman" w:hAnsi="Times New Roman"/>
          <w:sz w:val="15"/>
          <w:szCs w:val="15"/>
          <w:color w:val="auto"/>
        </w:rPr>
      </w:pPr>
    </w:p>
    <w:p>
      <w:pPr>
        <w:jc w:val="both"/>
        <w:ind w:left="1720" w:right="1239" w:firstLine="1018"/>
        <w:spacing w:after="0" w:line="257" w:lineRule="auto"/>
        <w:tabs>
          <w:tab w:leader="none" w:pos="3257" w:val="left"/>
        </w:tabs>
        <w:numPr>
          <w:ilvl w:val="1"/>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Section 9(e) of the Plan, full payment for any applicable withholding taxes in cash or by check or in the form of consideration permitted by the Administrator for the payment of the exercise price pursuant to Section 3(c)(ii) above or pursuant to Section 3(d) below, which, following the date the Company becomes a Publicly Listed Company shall include the method provided for in Section 3(c)(ii)(C) above; and</w:t>
      </w:r>
    </w:p>
    <w:p>
      <w:pPr>
        <w:spacing w:after="0" w:line="138" w:lineRule="exact"/>
        <w:rPr>
          <w:rFonts w:ascii="Times New Roman" w:cs="Times New Roman" w:eastAsia="Times New Roman" w:hAnsi="Times New Roman"/>
          <w:sz w:val="15"/>
          <w:szCs w:val="15"/>
          <w:color w:val="auto"/>
        </w:rPr>
      </w:pPr>
    </w:p>
    <w:p>
      <w:pPr>
        <w:jc w:val="both"/>
        <w:ind w:left="1720" w:right="1239" w:firstLine="1018"/>
        <w:spacing w:after="0" w:line="267" w:lineRule="auto"/>
        <w:tabs>
          <w:tab w:leader="none" w:pos="3169" w:val="left"/>
        </w:tabs>
        <w:numPr>
          <w:ilvl w:val="1"/>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the Option or portion thereof shall be exercised pursuant to Section 3.1 by any person or persons other than Participant, appropriate proof of the right of such person or persons to exercise the Option; and</w:t>
      </w:r>
    </w:p>
    <w:p>
      <w:pPr>
        <w:spacing w:after="0" w:line="128" w:lineRule="exact"/>
        <w:rPr>
          <w:rFonts w:ascii="Times New Roman" w:cs="Times New Roman" w:eastAsia="Times New Roman" w:hAnsi="Times New Roman"/>
          <w:sz w:val="15"/>
          <w:szCs w:val="15"/>
          <w:color w:val="auto"/>
        </w:rPr>
      </w:pPr>
    </w:p>
    <w:p>
      <w:pPr>
        <w:ind w:left="1720" w:right="1239" w:firstLine="1018"/>
        <w:spacing w:after="0" w:line="285" w:lineRule="auto"/>
        <w:tabs>
          <w:tab w:leader="none" w:pos="3101" w:val="left"/>
        </w:tabs>
        <w:numPr>
          <w:ilvl w:val="1"/>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the Option or portion thereof shall be exercised as to Restricted Shares, the following (collectively, the “</w:t>
      </w:r>
      <w:r>
        <w:rPr>
          <w:rFonts w:ascii="Times New Roman" w:cs="Times New Roman" w:eastAsia="Times New Roman" w:hAnsi="Times New Roman"/>
          <w:sz w:val="15"/>
          <w:szCs w:val="15"/>
          <w:b w:val="1"/>
          <w:bCs w:val="1"/>
          <w:i w:val="1"/>
          <w:iCs w:val="1"/>
          <w:color w:val="auto"/>
        </w:rPr>
        <w:t>Additional Documents</w:t>
      </w:r>
      <w:r>
        <w:rPr>
          <w:rFonts w:ascii="Times New Roman" w:cs="Times New Roman" w:eastAsia="Times New Roman" w:hAnsi="Times New Roman"/>
          <w:sz w:val="15"/>
          <w:szCs w:val="15"/>
          <w:color w:val="auto"/>
        </w:rPr>
        <w:t>”):</w:t>
      </w:r>
    </w:p>
    <w:p>
      <w:pPr>
        <w:spacing w:after="0" w:line="115" w:lineRule="exact"/>
        <w:rPr>
          <w:rFonts w:ascii="Times New Roman" w:cs="Times New Roman" w:eastAsia="Times New Roman" w:hAnsi="Times New Roman"/>
          <w:sz w:val="15"/>
          <w:szCs w:val="15"/>
          <w:color w:val="auto"/>
        </w:rPr>
      </w:pPr>
    </w:p>
    <w:p>
      <w:pPr>
        <w:ind w:left="2240" w:right="1239" w:firstLine="1003"/>
        <w:spacing w:after="0" w:line="285" w:lineRule="auto"/>
        <w:tabs>
          <w:tab w:leader="none" w:pos="3632" w:val="left"/>
        </w:tabs>
        <w:numPr>
          <w:ilvl w:val="2"/>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stock assignment duly endorsed in blank, attached as </w:t>
      </w:r>
      <w:r>
        <w:rPr>
          <w:rFonts w:ascii="Times New Roman" w:cs="Times New Roman" w:eastAsia="Times New Roman" w:hAnsi="Times New Roman"/>
          <w:sz w:val="15"/>
          <w:szCs w:val="15"/>
          <w:u w:val="single" w:color="auto"/>
          <w:color w:val="auto"/>
        </w:rPr>
        <w:t>Exhibit C</w:t>
      </w:r>
      <w:r>
        <w:rPr>
          <w:rFonts w:ascii="Times New Roman" w:cs="Times New Roman" w:eastAsia="Times New Roman" w:hAnsi="Times New Roman"/>
          <w:sz w:val="15"/>
          <w:szCs w:val="15"/>
          <w:color w:val="auto"/>
        </w:rPr>
        <w:t xml:space="preserve"> to the Grant Notice (the “</w:t>
      </w:r>
      <w:r>
        <w:rPr>
          <w:rFonts w:ascii="Times New Roman" w:cs="Times New Roman" w:eastAsia="Times New Roman" w:hAnsi="Times New Roman"/>
          <w:sz w:val="15"/>
          <w:szCs w:val="15"/>
          <w:b w:val="1"/>
          <w:bCs w:val="1"/>
          <w:i w:val="1"/>
          <w:iCs w:val="1"/>
          <w:color w:val="auto"/>
        </w:rPr>
        <w:t>Stock Assignment</w:t>
      </w:r>
      <w:r>
        <w:rPr>
          <w:rFonts w:ascii="Times New Roman" w:cs="Times New Roman" w:eastAsia="Times New Roman" w:hAnsi="Times New Roman"/>
          <w:sz w:val="15"/>
          <w:szCs w:val="15"/>
          <w:color w:val="auto"/>
        </w:rPr>
        <w:t>”), executed by Participant; and</w:t>
      </w:r>
    </w:p>
    <w:p>
      <w:pPr>
        <w:spacing w:after="0" w:line="115" w:lineRule="exact"/>
        <w:rPr>
          <w:rFonts w:ascii="Times New Roman" w:cs="Times New Roman" w:eastAsia="Times New Roman" w:hAnsi="Times New Roman"/>
          <w:sz w:val="15"/>
          <w:szCs w:val="15"/>
          <w:color w:val="auto"/>
        </w:rPr>
      </w:pPr>
    </w:p>
    <w:p>
      <w:pPr>
        <w:ind w:left="2240" w:right="1239" w:firstLine="1003"/>
        <w:spacing w:after="0" w:line="285" w:lineRule="auto"/>
        <w:tabs>
          <w:tab w:leader="none" w:pos="3632" w:val="left"/>
        </w:tabs>
        <w:numPr>
          <w:ilvl w:val="2"/>
          <w:numId w:val="2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Participant has a spouse of Participant, the Consent of Spouse attached as </w:t>
      </w:r>
      <w:r>
        <w:rPr>
          <w:rFonts w:ascii="Times New Roman" w:cs="Times New Roman" w:eastAsia="Times New Roman" w:hAnsi="Times New Roman"/>
          <w:sz w:val="15"/>
          <w:szCs w:val="15"/>
          <w:u w:val="single" w:color="auto"/>
          <w:color w:val="auto"/>
        </w:rPr>
        <w:t>Exhibit D</w:t>
      </w:r>
      <w:r>
        <w:rPr>
          <w:rFonts w:ascii="Times New Roman" w:cs="Times New Roman" w:eastAsia="Times New Roman" w:hAnsi="Times New Roman"/>
          <w:sz w:val="15"/>
          <w:szCs w:val="15"/>
          <w:color w:val="auto"/>
        </w:rPr>
        <w:t xml:space="preserve"> to the Grant Notice, executed by Participant’s spouse.</w:t>
      </w:r>
    </w:p>
    <w:p>
      <w:pPr>
        <w:spacing w:after="0" w:line="111" w:lineRule="exact"/>
        <w:rPr>
          <w:rFonts w:ascii="Times New Roman" w:cs="Times New Roman" w:eastAsia="Times New Roman" w:hAnsi="Times New Roman"/>
          <w:sz w:val="15"/>
          <w:szCs w:val="15"/>
          <w:color w:val="auto"/>
        </w:rPr>
      </w:pPr>
    </w:p>
    <w:p>
      <w:pPr>
        <w:jc w:val="both"/>
        <w:ind w:left="1720" w:right="1239" w:firstLine="513"/>
        <w:spacing w:after="0" w:line="257" w:lineRule="auto"/>
        <w:tabs>
          <w:tab w:leader="none" w:pos="2588"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Tax Withholding</w:t>
      </w:r>
      <w:r>
        <w:rPr>
          <w:rFonts w:ascii="Times New Roman" w:cs="Times New Roman" w:eastAsia="Times New Roman" w:hAnsi="Times New Roman"/>
          <w:sz w:val="15"/>
          <w:szCs w:val="15"/>
          <w:color w:val="auto"/>
        </w:rPr>
        <w:t>. The Company shall have the authority and the right to deduct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withhold, or require Participant to remit to the Company, an amount sufficient to satisfy federal, state, local and foreign taxes (including Participant’s employment tax obligation) required by law to be withheld with respect to any taxable event concerning Participant arising as a result of the Option or otherwise under this Agreement, including, without limitation, the authority to deduct such amounts from other compensation payable to Participant by the Company.</w:t>
      </w:r>
    </w:p>
    <w:p>
      <w:pPr>
        <w:spacing w:after="0" w:line="132" w:lineRule="exact"/>
        <w:rPr>
          <w:rFonts w:ascii="Times New Roman" w:cs="Times New Roman" w:eastAsia="Times New Roman" w:hAnsi="Times New Roman"/>
          <w:sz w:val="15"/>
          <w:szCs w:val="15"/>
          <w:color w:val="auto"/>
        </w:rPr>
      </w:pPr>
    </w:p>
    <w:p>
      <w:pPr>
        <w:ind w:left="1720" w:right="1239" w:firstLine="513"/>
        <w:spacing w:after="0" w:line="291" w:lineRule="auto"/>
        <w:tabs>
          <w:tab w:leader="none" w:pos="2588" w:val="left"/>
        </w:tabs>
        <w:numPr>
          <w:ilvl w:val="0"/>
          <w:numId w:val="2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Fractional Shares</w:t>
      </w:r>
      <w:r>
        <w:rPr>
          <w:rFonts w:ascii="Times New Roman" w:cs="Times New Roman" w:eastAsia="Times New Roman" w:hAnsi="Times New Roman"/>
          <w:sz w:val="15"/>
          <w:szCs w:val="15"/>
          <w:color w:val="auto"/>
        </w:rPr>
        <w:t>. The Option may only be exercised for whole shares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Common Stock. Any fractional Shares shall be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655955</wp:posOffset>
            </wp:positionV>
            <wp:extent cx="54857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91" w:name="page392"/>
    <w:bookmarkEnd w:id="391"/>
    <w:p>
      <w:pPr>
        <w:ind w:left="1220" w:right="1239" w:firstLine="509"/>
        <w:spacing w:after="0" w:line="291" w:lineRule="auto"/>
        <w:tabs>
          <w:tab w:leader="none" w:pos="1906" w:val="left"/>
        </w:tabs>
        <w:numPr>
          <w:ilvl w:val="0"/>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Expiration of Option</w:t>
      </w:r>
      <w:r>
        <w:rPr>
          <w:rFonts w:ascii="Times New Roman" w:cs="Times New Roman" w:eastAsia="Times New Roman" w:hAnsi="Times New Roman"/>
          <w:sz w:val="15"/>
          <w:szCs w:val="15"/>
          <w:color w:val="auto"/>
        </w:rPr>
        <w:t>. The Option may not be exercised to any extent by anyone after the first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occur of the following events:</w:t>
      </w:r>
    </w:p>
    <w:p>
      <w:pPr>
        <w:spacing w:after="0" w:line="111" w:lineRule="exact"/>
        <w:rPr>
          <w:rFonts w:ascii="Times New Roman" w:cs="Times New Roman" w:eastAsia="Times New Roman" w:hAnsi="Times New Roman"/>
          <w:sz w:val="15"/>
          <w:szCs w:val="15"/>
          <w:color w:val="auto"/>
        </w:rPr>
      </w:pPr>
    </w:p>
    <w:p>
      <w:pPr>
        <w:ind w:left="2600" w:hanging="367"/>
        <w:spacing w:after="0"/>
        <w:tabs>
          <w:tab w:leader="none" w:pos="2600"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Date set forth in the Grant Notice;</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67" w:lineRule="auto"/>
        <w:tabs>
          <w:tab w:leader="none" w:pos="2592"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three months following the date of Participant’s Termination of Service, unless such Termination of Service occurs by reason of Participant’s death or Disability or Participant’s discharge by the Company for Cause;</w:t>
      </w:r>
    </w:p>
    <w:p>
      <w:pPr>
        <w:spacing w:after="0" w:line="128" w:lineRule="exact"/>
        <w:rPr>
          <w:rFonts w:ascii="Times New Roman" w:cs="Times New Roman" w:eastAsia="Times New Roman" w:hAnsi="Times New Roman"/>
          <w:sz w:val="15"/>
          <w:szCs w:val="15"/>
          <w:color w:val="auto"/>
        </w:rPr>
      </w:pPr>
    </w:p>
    <w:p>
      <w:pPr>
        <w:ind w:left="1220" w:right="1239" w:firstLine="1013"/>
        <w:spacing w:after="0" w:line="285" w:lineRule="auto"/>
        <w:tabs>
          <w:tab w:leader="none" w:pos="2592"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expiration of one year following the date of Participant’s Termination of Service by reason of Participant’s death or Disability;</w:t>
      </w:r>
    </w:p>
    <w:p>
      <w:pPr>
        <w:spacing w:after="0" w:line="115" w:lineRule="exact"/>
        <w:rPr>
          <w:rFonts w:ascii="Times New Roman" w:cs="Times New Roman" w:eastAsia="Times New Roman" w:hAnsi="Times New Roman"/>
          <w:sz w:val="15"/>
          <w:szCs w:val="15"/>
          <w:color w:val="auto"/>
        </w:rPr>
      </w:pPr>
    </w:p>
    <w:p>
      <w:pPr>
        <w:ind w:left="1220" w:right="1239" w:firstLine="1013"/>
        <w:spacing w:after="0" w:line="285" w:lineRule="auto"/>
        <w:tabs>
          <w:tab w:leader="none" w:pos="2592"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date of Participant’s Termination of Service as a result of Participant’s discharge by the Company for Cause; or</w:t>
      </w:r>
    </w:p>
    <w:p>
      <w:pPr>
        <w:spacing w:after="0" w:line="115" w:lineRule="exact"/>
        <w:rPr>
          <w:rFonts w:ascii="Times New Roman" w:cs="Times New Roman" w:eastAsia="Times New Roman" w:hAnsi="Times New Roman"/>
          <w:sz w:val="15"/>
          <w:szCs w:val="15"/>
          <w:color w:val="auto"/>
        </w:rPr>
      </w:pPr>
    </w:p>
    <w:p>
      <w:pPr>
        <w:jc w:val="both"/>
        <w:ind w:left="1220" w:right="1239" w:firstLine="1013"/>
        <w:spacing w:after="0" w:line="267" w:lineRule="auto"/>
        <w:tabs>
          <w:tab w:leader="none" w:pos="2592" w:val="left"/>
        </w:tabs>
        <w:numPr>
          <w:ilvl w:val="1"/>
          <w:numId w:val="2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unvested portion of the Option, the date that is thirty days following Participant’s Termination of Service for any reason other than as a result of Participant’s discharge by the Company for Cause, or such shorter period as may be determined by the Administrator.</w:t>
      </w:r>
    </w:p>
    <w:p>
      <w:pPr>
        <w:spacing w:after="0" w:line="129" w:lineRule="exact"/>
        <w:rPr>
          <w:sz w:val="20"/>
          <w:szCs w:val="20"/>
          <w:color w:val="auto"/>
        </w:rPr>
      </w:pPr>
    </w:p>
    <w:p>
      <w:pPr>
        <w:jc w:val="both"/>
        <w:ind w:left="1220" w:right="1239" w:firstLine="1009"/>
        <w:spacing w:after="0" w:line="267" w:lineRule="auto"/>
        <w:rPr>
          <w:sz w:val="20"/>
          <w:szCs w:val="20"/>
          <w:color w:val="auto"/>
        </w:rPr>
      </w:pPr>
      <w:r>
        <w:rPr>
          <w:rFonts w:ascii="Times New Roman" w:cs="Times New Roman" w:eastAsia="Times New Roman" w:hAnsi="Times New Roman"/>
          <w:sz w:val="15"/>
          <w:szCs w:val="15"/>
          <w:color w:val="auto"/>
        </w:rPr>
        <w:t>Participant acknowledges that an Incentive Stock Option exercised more than three months after Participant’s termination of status as an Employee, other than by reason of death or Disability, will be taxed as a Non-Qualified Stock Option.</w:t>
      </w:r>
    </w:p>
    <w:p>
      <w:pPr>
        <w:spacing w:after="0" w:line="125" w:lineRule="exact"/>
        <w:rPr>
          <w:sz w:val="20"/>
          <w:szCs w:val="20"/>
          <w:color w:val="auto"/>
        </w:rPr>
      </w:pPr>
    </w:p>
    <w:p>
      <w:pPr>
        <w:ind w:left="1920" w:hanging="191"/>
        <w:spacing w:after="0"/>
        <w:tabs>
          <w:tab w:leader="none" w:pos="1920" w:val="left"/>
        </w:tabs>
        <w:numPr>
          <w:ilvl w:val="0"/>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Company Repurchase Right</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1"/>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Repurchase Right</w:t>
      </w:r>
      <w:r>
        <w:rPr>
          <w:rFonts w:ascii="Times New Roman" w:cs="Times New Roman" w:eastAsia="Times New Roman" w:hAnsi="Times New Roman"/>
          <w:sz w:val="15"/>
          <w:szCs w:val="15"/>
          <w:color w:val="auto"/>
        </w:rPr>
        <w:t>. Upon Participant’s Termination of Service for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reason, the Company shall have the right and option to repurchase all of the Restricted Shares from Participant, or Participant’s transferee or legal representative, as the case may be, for a purchase price equal to the price per Share paid for such Restricted Shares (the “</w:t>
      </w:r>
      <w:r>
        <w:rPr>
          <w:rFonts w:ascii="Times New Roman" w:cs="Times New Roman" w:eastAsia="Times New Roman" w:hAnsi="Times New Roman"/>
          <w:sz w:val="15"/>
          <w:szCs w:val="15"/>
          <w:b w:val="1"/>
          <w:bCs w:val="1"/>
          <w:i w:val="1"/>
          <w:iCs w:val="1"/>
          <w:color w:val="auto"/>
        </w:rPr>
        <w:t>Company Repurchase Right</w:t>
      </w:r>
      <w:r>
        <w:rPr>
          <w:rFonts w:ascii="Times New Roman" w:cs="Times New Roman" w:eastAsia="Times New Roman" w:hAnsi="Times New Roman"/>
          <w:sz w:val="15"/>
          <w:szCs w:val="15"/>
          <w:color w:val="auto"/>
        </w:rPr>
        <w:t>”).</w:t>
      </w:r>
    </w:p>
    <w:p>
      <w:pPr>
        <w:spacing w:after="0" w:line="129" w:lineRule="exact"/>
        <w:rPr>
          <w:rFonts w:ascii="Times New Roman" w:cs="Times New Roman" w:eastAsia="Times New Roman" w:hAnsi="Times New Roman"/>
          <w:sz w:val="15"/>
          <w:szCs w:val="15"/>
          <w:color w:val="auto"/>
        </w:rPr>
      </w:pPr>
    </w:p>
    <w:p>
      <w:pPr>
        <w:jc w:val="both"/>
        <w:ind w:left="1220" w:right="1239" w:firstLine="1013"/>
        <w:spacing w:after="0" w:line="252" w:lineRule="auto"/>
        <w:tabs>
          <w:tab w:leader="none" w:pos="2592" w:val="left"/>
        </w:tabs>
        <w:numPr>
          <w:ilvl w:val="1"/>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Exercise of Company Repurchase Right</w:t>
      </w:r>
      <w:r>
        <w:rPr>
          <w:rFonts w:ascii="Times New Roman" w:cs="Times New Roman" w:eastAsia="Times New Roman" w:hAnsi="Times New Roman"/>
          <w:sz w:val="15"/>
          <w:szCs w:val="15"/>
          <w:color w:val="auto"/>
        </w:rPr>
        <w:t>. The Company may exercise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Repurchase Right by delivering to Participant (or his or her transferee or legal representative, as the case may be), within ninety days of the date of Participant’s Termination of Service, a written notice indicating the Company’s intention to exercise the Company Repurchase Right and setting forth a date for closing not later than thirty days from the issuance of such notice. The closing shall take place at the Company’s office. At the closing, the holder of the certificates for the Restricted Shares shall deliver the stock certificate or certificates evidencing the Restricted Shares, and the Company shall deliver the purchase price therefore. At its option, the Company may elect to make payment for the Restricted Shares to a bank selected by the Company. The Company shall avail itself of this option by a written notice to Participant stating the name and address of the bank, date of closing, and waiving the closing at the Company’s office. If the Company does not elect to exercise the Company Repurchase Right by giving the requisite notice within ninety days following the date of Participant’s Termination of Service, the Company Repurchase Right shall terminate.</w:t>
      </w:r>
    </w:p>
    <w:p>
      <w:pPr>
        <w:spacing w:after="0" w:line="318" w:lineRule="exact"/>
        <w:rPr>
          <w:rFonts w:ascii="Times New Roman" w:cs="Times New Roman" w:eastAsia="Times New Roman" w:hAnsi="Times New Roman"/>
          <w:sz w:val="15"/>
          <w:szCs w:val="15"/>
          <w:color w:val="auto"/>
        </w:rPr>
      </w:pPr>
    </w:p>
    <w:p>
      <w:pPr>
        <w:jc w:val="both"/>
        <w:ind w:left="1220" w:right="1239" w:firstLine="1013"/>
        <w:spacing w:after="0" w:line="257" w:lineRule="auto"/>
        <w:tabs>
          <w:tab w:leader="none" w:pos="2592" w:val="left"/>
        </w:tabs>
        <w:numPr>
          <w:ilvl w:val="1"/>
          <w:numId w:val="2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Release of Restricted Shares</w:t>
      </w:r>
      <w:r>
        <w:rPr>
          <w:rFonts w:ascii="Times New Roman" w:cs="Times New Roman" w:eastAsia="Times New Roman" w:hAnsi="Times New Roman"/>
          <w:sz w:val="15"/>
          <w:szCs w:val="15"/>
          <w:color w:val="auto"/>
        </w:rPr>
        <w:t>. The Restricted Shares shall be released from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Repurchase Right upon vesting of the Option with respect to such Shares in accordance with the terms of this Agreement. For the avoidance of doubt, all Shares with respect to which the Option is exercised shall at all times be assumed to be Restricted Shares to the fullest extent possible under the terms of this Agreement, unless otherwise provided by the Administrator. Fractional Shares shall be rounded down to the nearest whole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671830</wp:posOffset>
            </wp:positionV>
            <wp:extent cx="54857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92" w:name="page393"/>
    <w:bookmarkEnd w:id="392"/>
    <w:p>
      <w:pPr>
        <w:jc w:val="both"/>
        <w:ind w:left="1220" w:right="1239" w:firstLine="509"/>
        <w:spacing w:after="0" w:line="251" w:lineRule="auto"/>
        <w:tabs>
          <w:tab w:leader="none" w:pos="1906"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Escrow</w:t>
      </w:r>
      <w:r>
        <w:rPr>
          <w:rFonts w:ascii="Times New Roman" w:cs="Times New Roman" w:eastAsia="Times New Roman" w:hAnsi="Times New Roman"/>
          <w:sz w:val="15"/>
          <w:szCs w:val="15"/>
          <w:color w:val="auto"/>
        </w:rPr>
        <w:t>. To insure the availability for delivery of the Restricted Shares upon repurchase by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Company pursuant to the Company Repurchase Right, Participant appoints the Secretary of the Company, or such other person designated by the Administrator from time to time as escrow agent, as its attorney-in-fact to sell, assign and transfer unto the Company, such Restricted Shares, if any, repurchased by the Company pursuant to the Company Repurchase Right and shall, upon execution of the applicable Exercise Notice, deliver and deposit with the Secretary of the Company, or such other person designated by the Administrator from time to time, the share certificate(s) representing the Restricted Shares, together with the Stock Assignment. The Restricted Shares and Stock Assignment shall be held by the Secretary, or such other person designated by the Administrator from time to time, in escrow, until the Company exercises the Company Repurchase Right, until such Restricted Shares are released from the Company Repurchase Right as set forth in Section 5 or until such time as this Agreement no longer is in effect. Upon release of the Restricted Shares from the Company’s Repurchase Right, the escrow agent shall as soon as reasonably practicable deliver to Participant the certificate or certificates representing such Shares in the escrow agent’s possession belonging to Participant, and the escrow agent shall be discharged of all further obligations hereunder. The Company, or its designee, shall not be liable for any act it may do or omit to do with respect to holding the Restricted Shares in escrow and while acting in good faith and in the exercise of its judgment.</w:t>
      </w:r>
    </w:p>
    <w:p>
      <w:pPr>
        <w:spacing w:after="0" w:line="319" w:lineRule="exact"/>
        <w:rPr>
          <w:rFonts w:ascii="Times New Roman" w:cs="Times New Roman" w:eastAsia="Times New Roman" w:hAnsi="Times New Roman"/>
          <w:sz w:val="15"/>
          <w:szCs w:val="15"/>
          <w:color w:val="auto"/>
        </w:rPr>
      </w:pPr>
    </w:p>
    <w:p>
      <w:pPr>
        <w:ind w:left="1920" w:hanging="191"/>
        <w:spacing w:after="0"/>
        <w:tabs>
          <w:tab w:leader="none" w:pos="1920"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Transferability</w:t>
      </w:r>
      <w:r>
        <w:rPr>
          <w:rFonts w:ascii="Times New Roman" w:cs="Times New Roman" w:eastAsia="Times New Roman" w:hAnsi="Times New Roman"/>
          <w:sz w:val="15"/>
          <w:szCs w:val="15"/>
          <w:color w:val="auto"/>
        </w:rPr>
        <w:t>.</w:t>
      </w:r>
    </w:p>
    <w:p>
      <w:pPr>
        <w:spacing w:after="0" w:line="174"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Transferability of Option and Restricted Shares</w:t>
      </w:r>
      <w:r>
        <w:rPr>
          <w:rFonts w:ascii="Times New Roman" w:cs="Times New Roman" w:eastAsia="Times New Roman" w:hAnsi="Times New Roman"/>
          <w:sz w:val="15"/>
          <w:szCs w:val="15"/>
          <w:color w:val="auto"/>
        </w:rPr>
        <w:t>. Neither the Option nor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Restricted Shares shall be sold, assigned, transferred, pledged or otherwise encumbered by Participant, either voluntarily or by operation of law, except by will or the laws of descent and distribution, and, during the life of the Participant, the Option shall be exercisable only by the Participant.</w:t>
      </w:r>
    </w:p>
    <w:p>
      <w:pPr>
        <w:spacing w:after="0" w:line="129"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1"/>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Transferees Subject to Restrictions</w:t>
      </w:r>
      <w:r>
        <w:rPr>
          <w:rFonts w:ascii="Times New Roman" w:cs="Times New Roman" w:eastAsia="Times New Roman" w:hAnsi="Times New Roman"/>
          <w:sz w:val="15"/>
          <w:szCs w:val="15"/>
          <w:color w:val="auto"/>
        </w:rPr>
        <w:t>. Any transferee of the Restricted Shares shall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hold such Shares subject to all of the provisions hereof and the Plan and the Exercise Notice and Additional Documents executed by Purchaser with respect to such Shares.</w:t>
      </w:r>
    </w:p>
    <w:p>
      <w:pPr>
        <w:spacing w:after="0" w:line="122" w:lineRule="exact"/>
        <w:rPr>
          <w:rFonts w:ascii="Times New Roman" w:cs="Times New Roman" w:eastAsia="Times New Roman" w:hAnsi="Times New Roman"/>
          <w:sz w:val="15"/>
          <w:szCs w:val="15"/>
          <w:color w:val="auto"/>
        </w:rPr>
      </w:pPr>
    </w:p>
    <w:p>
      <w:pPr>
        <w:jc w:val="both"/>
        <w:ind w:left="1220" w:right="1239" w:firstLine="509"/>
        <w:spacing w:after="0" w:line="250" w:lineRule="auto"/>
        <w:tabs>
          <w:tab w:leader="none" w:pos="1906" w:val="left"/>
        </w:tabs>
        <w:numPr>
          <w:ilvl w:val="0"/>
          <w:numId w:val="2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Rights as a Stockholder</w:t>
      </w:r>
      <w:r>
        <w:rPr>
          <w:rFonts w:ascii="Times New Roman" w:cs="Times New Roman" w:eastAsia="Times New Roman" w:hAnsi="Times New Roman"/>
          <w:sz w:val="15"/>
          <w:szCs w:val="15"/>
          <w:color w:val="auto"/>
        </w:rPr>
        <w:t>. Except as otherwise provided herein, upon exercise of the Option</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the issuance of the Shares to Participant (as evidenced by the appropriate entry on the books of the Company or of a duly authorized transfer agent of the Company), Participant shall have all the rights of a stockholder with respect to the Restricted Shares, including the right to receive any cash or stock dividends or other distributions paid to or made with respect to the Restricted Shares, subject to the restrictions described in the following sentence, which restrictions shall lapse when the Restricted Shares are released from the Company Repurchase Right as set forth in Section 5. Unless otherwise provided by the Administrator, if any dividends or distributions are paid in shares, or consist of a dividend or distribution to holders of Common Stock of property other than an ordinary cash dividend, the shares or other property will be subject to same restrictions on transferability as the Restricted Shares with respect to which they were paid and shall automatically be forfeited to the Company for no consideration in the event the Company exercises the Company Repurchase Right for the Restricted Shares with respect to which they were paid. In no event shall a dividend or distribution be paid with respect to Restricted Shares later than the end of the calendar year in which the dividends are paid to holders of Common Stock or, if later, the 15th day of the third month following the later of (i) the date the dividends are paid to holders of Common Stock and (ii) the date the Restricted Shares with respect to which the dividends are paid vest. Participant shall enjoy rights as a stockholder until such time as Participant disposes of the Shares or the Company and/or its assignee(s) exercises the Right of First Refusal hereunder. Upon such exercise, Participant shall have no further rights as a holder of the Shares so purchased except the right to receive payment for the Shares so purchased in accordance with the provisions of this Agreement, and Participant shall forthwith cause the certificate(s), if any issued, evidencing the Shares so purchased to be surrendered to the Company for transfer or cancellation.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681355</wp:posOffset>
            </wp:positionV>
            <wp:extent cx="54857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93" w:name="page394"/>
    <w:bookmarkEnd w:id="393"/>
    <w:p>
      <w:pPr>
        <w:ind w:left="1920" w:hanging="191"/>
        <w:spacing w:after="0" w:line="173" w:lineRule="exact"/>
        <w:tabs>
          <w:tab w:leader="none" w:pos="1920" w:val="left"/>
        </w:tabs>
        <w:numPr>
          <w:ilvl w:val="0"/>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Restrictive Legends and Stop</w:t>
      </w:r>
      <w:r>
        <w:rPr>
          <w:rFonts w:ascii="MS PGothic" w:cs="MS PGothic" w:eastAsia="MS PGothic" w:hAnsi="MS PGothic"/>
          <w:sz w:val="15"/>
          <w:szCs w:val="15"/>
          <w:i w:val="1"/>
          <w:iCs w:val="1"/>
          <w:color w:val="auto"/>
        </w:rPr>
        <w:t>‑</w:t>
      </w:r>
      <w:r>
        <w:rPr>
          <w:rFonts w:ascii="Times New Roman" w:cs="Times New Roman" w:eastAsia="Times New Roman" w:hAnsi="Times New Roman"/>
          <w:sz w:val="15"/>
          <w:szCs w:val="15"/>
          <w:b w:val="1"/>
          <w:bCs w:val="1"/>
          <w:i w:val="1"/>
          <w:iCs w:val="1"/>
          <w:color w:val="auto"/>
        </w:rPr>
        <w:t>Transfer Orders</w:t>
      </w:r>
      <w:r>
        <w:rPr>
          <w:rFonts w:ascii="Times New Roman" w:cs="Times New Roman" w:eastAsia="Times New Roman" w:hAnsi="Times New Roman"/>
          <w:sz w:val="15"/>
          <w:szCs w:val="15"/>
          <w:color w:val="auto"/>
        </w:rPr>
        <w:t>.</w:t>
      </w:r>
    </w:p>
    <w:p>
      <w:pPr>
        <w:spacing w:after="0" w:line="206"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1"/>
          <w:numId w:val="2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Legends</w:t>
      </w:r>
      <w:r>
        <w:rPr>
          <w:rFonts w:ascii="Times New Roman" w:cs="Times New Roman" w:eastAsia="Times New Roman" w:hAnsi="Times New Roman"/>
          <w:sz w:val="15"/>
          <w:szCs w:val="15"/>
          <w:color w:val="auto"/>
        </w:rPr>
        <w:t>. Participant understands and agrees that the Company shall cause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certificates issued evidencing the Shares to have the legends set forth below or legends substantially equivalent thereto, together with any other legends that may be required by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2376170</wp:posOffset>
            </wp:positionH>
            <wp:positionV relativeFrom="paragraph">
              <wp:posOffset>-536575</wp:posOffset>
            </wp:positionV>
            <wp:extent cx="58420" cy="3683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58420" cy="36830"/>
                    </a:xfrm>
                    <a:prstGeom prst="rect">
                      <a:avLst/>
                    </a:prstGeom>
                    <a:noFill/>
                  </pic:spPr>
                </pic:pic>
              </a:graphicData>
            </a:graphic>
          </wp:anchor>
        </w:drawing>
      </w:r>
    </w:p>
    <w:p>
      <w:pPr>
        <w:spacing w:after="0" w:line="106" w:lineRule="exact"/>
        <w:rPr>
          <w:sz w:val="20"/>
          <w:szCs w:val="20"/>
          <w:color w:val="auto"/>
        </w:rPr>
      </w:pPr>
    </w:p>
    <w:p>
      <w:pPr>
        <w:ind w:left="2240"/>
        <w:spacing w:after="0"/>
        <w:tabs>
          <w:tab w:leader="none" w:pos="2640" w:val="left"/>
          <w:tab w:leader="none" w:pos="3380" w:val="left"/>
          <w:tab w:leader="none" w:pos="4580" w:val="left"/>
          <w:tab w:leader="none" w:pos="5320" w:val="left"/>
          <w:tab w:leader="none" w:pos="5900" w:val="left"/>
          <w:tab w:leader="none" w:pos="6340" w:val="left"/>
        </w:tabs>
        <w:rPr>
          <w:sz w:val="20"/>
          <w:szCs w:val="20"/>
          <w:color w:val="auto"/>
        </w:rPr>
      </w:pPr>
      <w:r>
        <w:rPr>
          <w:rFonts w:ascii="Times New Roman" w:cs="Times New Roman" w:eastAsia="Times New Roman" w:hAnsi="Times New Roman"/>
          <w:sz w:val="15"/>
          <w:szCs w:val="15"/>
          <w:color w:val="auto"/>
        </w:rPr>
        <w:t>THE</w:t>
        <w:tab/>
        <w:t>SHARES</w:t>
        <w:tab/>
        <w:t>REPRESENTED</w:t>
        <w:tab/>
        <w:t>HEREBY</w:t>
        <w:tab/>
        <w:t>HAVE</w:t>
        <w:tab/>
        <w:t>NOT</w:t>
        <w:tab/>
        <w:t>BEEN</w:t>
      </w:r>
    </w:p>
    <w:p>
      <w:pPr>
        <w:spacing w:after="0" w:line="22" w:lineRule="exact"/>
        <w:rPr>
          <w:sz w:val="20"/>
          <w:szCs w:val="20"/>
          <w:color w:val="auto"/>
        </w:rPr>
      </w:pPr>
    </w:p>
    <w:p>
      <w:pPr>
        <w:ind w:left="2240"/>
        <w:spacing w:after="0"/>
        <w:tabs>
          <w:tab w:leader="none" w:pos="3280" w:val="left"/>
          <w:tab w:leader="none" w:pos="3920" w:val="left"/>
          <w:tab w:leader="none" w:pos="4340" w:val="left"/>
          <w:tab w:leader="none" w:pos="5340" w:val="left"/>
          <w:tab w:leader="none" w:pos="5780" w:val="left"/>
          <w:tab w:leader="none" w:pos="6100" w:val="left"/>
          <w:tab w:leader="none" w:pos="6560" w:val="left"/>
        </w:tabs>
        <w:rPr>
          <w:sz w:val="20"/>
          <w:szCs w:val="20"/>
          <w:color w:val="auto"/>
        </w:rPr>
      </w:pPr>
      <w:r>
        <w:rPr>
          <w:rFonts w:ascii="Times New Roman" w:cs="Times New Roman" w:eastAsia="Times New Roman" w:hAnsi="Times New Roman"/>
          <w:sz w:val="15"/>
          <w:szCs w:val="15"/>
          <w:color w:val="auto"/>
        </w:rPr>
        <w:t>REGISTERED</w:t>
        <w:tab/>
        <w:t>UNDER</w:t>
        <w:tab/>
        <w:t>THE</w:t>
        <w:tab/>
        <w:t>SECURITIES</w:t>
        <w:tab/>
        <w:t>ACT</w:t>
        <w:tab/>
        <w:t>OF</w:t>
        <w:tab/>
        <w:t>1933,</w:t>
        <w:tab/>
        <w:t>AS</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AMENDED (“ACT”), NOR HAVE THEY BEEN REGISTERED OR</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QUALIFIED UNDER THE SECURITIES LAWS OF ANY STATE.</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NO TRANSFER OF SUCH SECURITIES WILL BE PERMITTED</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UNLESS A REGISTRATION STATEMENT UNDER THE ACT IS IN</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EFFECT AS TO SUCH TRANSFER, THE TRANSFER IS MADE IN</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ACCORDANCE WITH RULE 144 UNDER THE ACT, OR IN THE</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OPINION OF COUNSEL (WHICH MAY BE COUNSEL FOR THE</w:t>
      </w:r>
    </w:p>
    <w:p>
      <w:pPr>
        <w:spacing w:after="0" w:line="6" w:lineRule="exact"/>
        <w:rPr>
          <w:sz w:val="20"/>
          <w:szCs w:val="20"/>
          <w:color w:val="auto"/>
        </w:rPr>
      </w:pPr>
    </w:p>
    <w:p>
      <w:pPr>
        <w:ind w:left="2240"/>
        <w:spacing w:after="0"/>
        <w:tabs>
          <w:tab w:leader="none" w:pos="3300" w:val="left"/>
          <w:tab w:leader="none" w:pos="4680" w:val="left"/>
          <w:tab w:leader="none" w:pos="5480" w:val="left"/>
          <w:tab w:leader="none" w:pos="6040" w:val="left"/>
          <w:tab w:leader="none" w:pos="6620" w:val="left"/>
        </w:tabs>
        <w:rPr>
          <w:sz w:val="20"/>
          <w:szCs w:val="20"/>
          <w:color w:val="auto"/>
        </w:rPr>
      </w:pPr>
      <w:r>
        <w:rPr>
          <w:rFonts w:ascii="Times New Roman" w:cs="Times New Roman" w:eastAsia="Times New Roman" w:hAnsi="Times New Roman"/>
          <w:sz w:val="15"/>
          <w:szCs w:val="15"/>
          <w:color w:val="auto"/>
        </w:rPr>
        <w:t>COMPANY)</w:t>
      </w:r>
      <w:r>
        <w:rPr>
          <w:sz w:val="20"/>
          <w:szCs w:val="20"/>
          <w:color w:val="auto"/>
        </w:rPr>
        <w:tab/>
      </w:r>
      <w:r>
        <w:rPr>
          <w:rFonts w:ascii="Times New Roman" w:cs="Times New Roman" w:eastAsia="Times New Roman" w:hAnsi="Times New Roman"/>
          <w:sz w:val="15"/>
          <w:szCs w:val="15"/>
          <w:color w:val="auto"/>
        </w:rPr>
        <w:t>REGISTRATION</w:t>
      </w:r>
      <w:r>
        <w:rPr>
          <w:sz w:val="20"/>
          <w:szCs w:val="20"/>
          <w:color w:val="auto"/>
        </w:rPr>
        <w:tab/>
      </w:r>
      <w:r>
        <w:rPr>
          <w:rFonts w:ascii="Times New Roman" w:cs="Times New Roman" w:eastAsia="Times New Roman" w:hAnsi="Times New Roman"/>
          <w:sz w:val="15"/>
          <w:szCs w:val="15"/>
          <w:color w:val="auto"/>
        </w:rPr>
        <w:t>UNDER</w:t>
      </w:r>
      <w:r>
        <w:rPr>
          <w:sz w:val="20"/>
          <w:szCs w:val="20"/>
          <w:color w:val="auto"/>
        </w:rPr>
        <w:tab/>
      </w:r>
      <w:r>
        <w:rPr>
          <w:rFonts w:ascii="Times New Roman" w:cs="Times New Roman" w:eastAsia="Times New Roman" w:hAnsi="Times New Roman"/>
          <w:sz w:val="15"/>
          <w:szCs w:val="15"/>
          <w:color w:val="auto"/>
        </w:rPr>
        <w:t>THE</w:t>
      </w:r>
      <w:r>
        <w:rPr>
          <w:sz w:val="20"/>
          <w:szCs w:val="20"/>
          <w:color w:val="auto"/>
        </w:rPr>
        <w:tab/>
      </w:r>
      <w:r>
        <w:rPr>
          <w:rFonts w:ascii="Times New Roman" w:cs="Times New Roman" w:eastAsia="Times New Roman" w:hAnsi="Times New Roman"/>
          <w:sz w:val="15"/>
          <w:szCs w:val="15"/>
          <w:color w:val="auto"/>
        </w:rPr>
        <w:t>ACT</w:t>
      </w:r>
      <w:r>
        <w:rPr>
          <w:sz w:val="20"/>
          <w:szCs w:val="20"/>
          <w:color w:val="auto"/>
        </w:rPr>
        <w:tab/>
      </w:r>
      <w:r>
        <w:rPr>
          <w:rFonts w:ascii="Times New Roman" w:cs="Times New Roman" w:eastAsia="Times New Roman" w:hAnsi="Times New Roman"/>
          <w:sz w:val="13"/>
          <w:szCs w:val="13"/>
          <w:color w:val="auto"/>
        </w:rPr>
        <w:t>IS</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UNNECESSARY IN ORDER FOR SUCH TRANSFER TO COMPLY</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WITH THE ACT AND WITH APPLICABLE STATE SECURITIES</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LAWS.</w:t>
      </w:r>
    </w:p>
    <w:p>
      <w:pPr>
        <w:spacing w:after="0" w:line="158"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THE SHARES REPRESENTED BY THIS CERTIFICATE MAY BE</w:t>
      </w:r>
    </w:p>
    <w:p>
      <w:pPr>
        <w:spacing w:after="0" w:line="2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SUBJECT  TO  REPURCHASE  PURSUANT  TO,  AND  MAY  BE</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TRANSFERRED ONLY IN ACCORDANCE WITH, THE TERMS OF</w:t>
      </w:r>
    </w:p>
    <w:p>
      <w:pPr>
        <w:spacing w:after="0" w:line="6" w:lineRule="exact"/>
        <w:rPr>
          <w:sz w:val="20"/>
          <w:szCs w:val="20"/>
          <w:color w:val="auto"/>
        </w:rPr>
      </w:pPr>
    </w:p>
    <w:p>
      <w:pPr>
        <w:ind w:left="2240"/>
        <w:spacing w:after="0"/>
        <w:tabs>
          <w:tab w:leader="none" w:pos="2600" w:val="left"/>
          <w:tab w:leader="none" w:pos="3700" w:val="left"/>
          <w:tab w:leader="none" w:pos="4580" w:val="left"/>
          <w:tab w:leader="none" w:pos="5040" w:val="left"/>
          <w:tab w:leader="none" w:pos="5960" w:val="left"/>
          <w:tab w:leader="none" w:pos="6460" w:val="left"/>
        </w:tabs>
        <w:rPr>
          <w:sz w:val="20"/>
          <w:szCs w:val="20"/>
          <w:color w:val="auto"/>
        </w:rPr>
      </w:pPr>
      <w:r>
        <w:rPr>
          <w:rFonts w:ascii="Times New Roman" w:cs="Times New Roman" w:eastAsia="Times New Roman" w:hAnsi="Times New Roman"/>
          <w:sz w:val="15"/>
          <w:szCs w:val="15"/>
          <w:color w:val="auto"/>
        </w:rPr>
        <w:t>AN</w:t>
        <w:tab/>
        <w:t>AGREEMENT</w:t>
        <w:tab/>
        <w:t>BETWEEN</w:t>
        <w:tab/>
        <w:t>THE</w:t>
        <w:tab/>
        <w:t>COMPANY</w:t>
        <w:tab/>
        <w:t>AND</w:t>
        <w:tab/>
        <w:t>THE</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STOCKHOLDER, A COPY OF WHICH IS ON FILE WITH THE</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SECRETARY OF THE COMPANY. SUCH REPURCHASE AND/OR</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TRANSFER RESTRICTIONS ARE BINDING ON TRANSFEREES</w:t>
      </w:r>
    </w:p>
    <w:p>
      <w:pPr>
        <w:spacing w:after="0" w:line="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OF THESE SHARES.</w:t>
      </w:r>
    </w:p>
    <w:p>
      <w:pPr>
        <w:spacing w:after="0" w:line="154" w:lineRule="exact"/>
        <w:rPr>
          <w:sz w:val="20"/>
          <w:szCs w:val="20"/>
          <w:color w:val="auto"/>
        </w:rPr>
      </w:pPr>
    </w:p>
    <w:p>
      <w:pPr>
        <w:jc w:val="both"/>
        <w:ind w:left="1220" w:right="1239" w:firstLine="1013"/>
        <w:spacing w:after="0" w:line="262" w:lineRule="auto"/>
        <w:tabs>
          <w:tab w:leader="none" w:pos="2592"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Stop Transfer Orders</w:t>
      </w:r>
      <w:r>
        <w:rPr>
          <w:rFonts w:ascii="Times New Roman" w:cs="Times New Roman" w:eastAsia="Times New Roman" w:hAnsi="Times New Roman"/>
          <w:sz w:val="15"/>
          <w:szCs w:val="15"/>
          <w:color w:val="auto"/>
        </w:rPr>
        <w:t>. Participant agrees that, in order to ensure compliance with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restrictions referred to in the Plan and this Agreement, the Company may issue appropriate “stop transfer” instructions to its transfer agent, if any, and that, if the Company transfers its own securities, it may make appropriate notations to the same effect in its own records.</w:t>
      </w:r>
    </w:p>
    <w:p>
      <w:pPr>
        <w:spacing w:after="0" w:line="129" w:lineRule="exact"/>
        <w:rPr>
          <w:rFonts w:ascii="Times New Roman" w:cs="Times New Roman" w:eastAsia="Times New Roman" w:hAnsi="Times New Roman"/>
          <w:sz w:val="15"/>
          <w:szCs w:val="15"/>
          <w:color w:val="auto"/>
        </w:rPr>
      </w:pPr>
    </w:p>
    <w:p>
      <w:pPr>
        <w:jc w:val="both"/>
        <w:ind w:left="1220" w:right="1239" w:firstLine="1013"/>
        <w:spacing w:after="0" w:line="257" w:lineRule="auto"/>
        <w:tabs>
          <w:tab w:leader="none" w:pos="2592" w:val="left"/>
        </w:tabs>
        <w:numPr>
          <w:ilvl w:val="0"/>
          <w:numId w:val="2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Impermissible Transfers Void</w:t>
      </w:r>
      <w:r>
        <w:rPr>
          <w:rFonts w:ascii="Times New Roman" w:cs="Times New Roman" w:eastAsia="Times New Roman" w:hAnsi="Times New Roman"/>
          <w:sz w:val="15"/>
          <w:szCs w:val="15"/>
          <w:color w:val="auto"/>
        </w:rPr>
        <w:t>. The Company shall not be required (i) to transfer 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its books any Shares that have been sold or otherwise transferred in violation of any of the provisions of this Agreement or (ii) to treat as owner of such Shares or to accord the right to vote or pay dividends to any purchaser or other transferee to whom such Shares shall have been so transferred. Any transfer or attempted transfer of the Option or any of the Restricted Shares not in accordance with the terms of this Agreement shall be void</w:t>
      </w:r>
    </w:p>
    <w:p>
      <w:pPr>
        <w:spacing w:after="0" w:line="13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10.</w:t>
      </w:r>
      <w:r>
        <w:rPr>
          <w:rFonts w:ascii="Times New Roman" w:cs="Times New Roman" w:eastAsia="Times New Roman" w:hAnsi="Times New Roman"/>
          <w:sz w:val="15"/>
          <w:szCs w:val="15"/>
          <w:b w:val="1"/>
          <w:bCs w:val="1"/>
          <w:i w:val="1"/>
          <w:iCs w:val="1"/>
          <w:color w:val="auto"/>
        </w:rPr>
        <w:t>Taxes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13"/>
        <w:spacing w:after="0" w:line="254" w:lineRule="auto"/>
        <w:tabs>
          <w:tab w:leader="none" w:pos="2592" w:val="left"/>
        </w:tabs>
        <w:numPr>
          <w:ilvl w:val="0"/>
          <w:numId w:val="2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Tax Consequences of Award</w:t>
      </w:r>
      <w:r>
        <w:rPr>
          <w:rFonts w:ascii="Times New Roman" w:cs="Times New Roman" w:eastAsia="Times New Roman" w:hAnsi="Times New Roman"/>
          <w:sz w:val="15"/>
          <w:szCs w:val="15"/>
          <w:color w:val="auto"/>
        </w:rPr>
        <w:t>. Participant understands that Participant may suffer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the transactions contemplated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675005</wp:posOffset>
            </wp:positionV>
            <wp:extent cx="5485765" cy="3873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75" w:right="1440" w:bottom="1440" w:gutter="0" w:footer="0" w:header="0"/>
        </w:sectPr>
      </w:pPr>
    </w:p>
    <w:bookmarkStart w:id="394" w:name="page395"/>
    <w:bookmarkEnd w:id="394"/>
    <w:p>
      <w:pPr>
        <w:jc w:val="both"/>
        <w:ind w:left="1220" w:right="1239" w:firstLine="1013"/>
        <w:spacing w:after="0" w:line="252" w:lineRule="auto"/>
        <w:tabs>
          <w:tab w:leader="none" w:pos="2592"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Section 83(b) Election for Restricted Shares Purchased Pursuant to a Non-Qualified Stock Option</w:t>
      </w:r>
      <w:r>
        <w:rPr>
          <w:rFonts w:ascii="Times New Roman" w:cs="Times New Roman" w:eastAsia="Times New Roman" w:hAnsi="Times New Roman"/>
          <w:sz w:val="15"/>
          <w:szCs w:val="15"/>
          <w:color w:val="auto"/>
        </w:rPr>
        <w:t>. Participant acknowledges that, with respect to the exercise of a Non-Qualified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Option for Restricted Shares, unless an election is filed by Participant with the Internal Revenue Service and, if necessary, the proper state taxing authorities, within thirty days of the purchase of the Shares, electing pursuant to Section 83(b) of the Code (and similar state tax provisions if applicable) to be taxed currently on any difference between the purchase price of the Shares and their Fair Market Value on the date of purchase, there will be a recognition of taxable income to the Purchaser, measured by the excess, if any, of the Fair Market Value of the Shares, at the time the Company Repurchase Right lapses over the purchase price for the Shares. Participant represents that Participant has consulted any tax consultant(s) Participant deems advisable in connection with the purchase of the Shares or the filing of the election under Section 83(b) of the Code and similar tax provisions.</w:t>
      </w:r>
    </w:p>
    <w:p>
      <w:pPr>
        <w:spacing w:after="0" w:line="141" w:lineRule="exact"/>
        <w:rPr>
          <w:rFonts w:ascii="Times New Roman" w:cs="Times New Roman" w:eastAsia="Times New Roman" w:hAnsi="Times New Roman"/>
          <w:sz w:val="15"/>
          <w:szCs w:val="15"/>
          <w:color w:val="auto"/>
        </w:rPr>
      </w:pPr>
    </w:p>
    <w:p>
      <w:pPr>
        <w:jc w:val="both"/>
        <w:ind w:left="1220" w:right="1239" w:firstLine="1013"/>
        <w:spacing w:after="0" w:line="251" w:lineRule="auto"/>
        <w:tabs>
          <w:tab w:leader="none" w:pos="2592" w:val="left"/>
        </w:tabs>
        <w:numPr>
          <w:ilvl w:val="0"/>
          <w:numId w:val="2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Section 83(b) Election for Restricted Shares Purchased Pursuant to an Incentive Stock Option</w:t>
      </w:r>
      <w:r>
        <w:rPr>
          <w:rFonts w:ascii="Times New Roman" w:cs="Times New Roman" w:eastAsia="Times New Roman" w:hAnsi="Times New Roman"/>
          <w:sz w:val="15"/>
          <w:szCs w:val="15"/>
          <w:color w:val="auto"/>
        </w:rPr>
        <w:t>. Participant hereby acknowledges that he or she has been informed that, with respect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exercise of an Incentive Stock Option for Restricted Shares, unless an election is filed by Participant with the Internal Revenue Service and, if necessary, the proper state taxing authorities, within thirty days of the purchase of the Shares, electing pursuant to Section 83(b) of the Code (and similar state tax provisions if applicable) to be taxed currently on any difference between the purchase price of the Shares and their Fair Market Value on the date of purchase, there will be a recognition of income to the Participant, for alternative minimum tax purposes measured by the excess, if any, of the Fair Market Value of the Shares at the time the Company’s Repurchase Option lapses over the purchase price for the Shares. Participant further acknowledges that if an election is filed under Section 83(b) of the Code for the Unvested Shares and such shares are sold or transferred prior to the date two years following the Grant Date and one year following the purchase date of such shares, there will be a recognition of income to the Participant, for ordinary income, measured by the excess, if any, of the Fair Market Value of the Shares at the time the Company’s Repurchase Option lapses over the purchase price for the Shares. Participant represents that Participant has consulted any tax consultant(s) Participant deems advisable in connection with the purchase of the Shares or the filing of the election under Section 83(b) and similar tax provisions.</w:t>
      </w:r>
    </w:p>
    <w:p>
      <w:pPr>
        <w:spacing w:after="0" w:line="145" w:lineRule="exact"/>
        <w:rPr>
          <w:sz w:val="20"/>
          <w:szCs w:val="20"/>
          <w:color w:val="auto"/>
        </w:rPr>
      </w:pPr>
    </w:p>
    <w:p>
      <w:pPr>
        <w:jc w:val="both"/>
        <w:ind w:left="1220" w:right="1239" w:firstLine="1009"/>
        <w:spacing w:after="0" w:line="261" w:lineRule="auto"/>
        <w:rPr>
          <w:sz w:val="20"/>
          <w:szCs w:val="20"/>
          <w:color w:val="auto"/>
        </w:rPr>
      </w:pPr>
      <w:r>
        <w:rPr>
          <w:rFonts w:ascii="Times New Roman" w:cs="Times New Roman" w:eastAsia="Times New Roman" w:hAnsi="Times New Roman"/>
          <w:sz w:val="15"/>
          <w:szCs w:val="15"/>
          <w:color w:val="auto"/>
        </w:rPr>
        <w:t>PARTICIPANT ACKNOWLEDGES THAT IT IS PARTICIPANT’S SOLE RESPONSIBILITY AND NOT THE COMPANY’S TO FILE TIMELY THE ELECTION UNDER SECTION 83(B) OF THE CODE, EVEN IF PARTICIPANT REQUESTS THE COMPANY OR ITS REPRESENTATIVE TO MAKE THIS FILING ON PARTICIPANT’S BEHALF.</w:t>
      </w:r>
    </w:p>
    <w:p>
      <w:pPr>
        <w:spacing w:after="0" w:line="1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11.</w:t>
      </w:r>
      <w:r>
        <w:rPr>
          <w:rFonts w:ascii="Times New Roman" w:cs="Times New Roman" w:eastAsia="Times New Roman" w:hAnsi="Times New Roman"/>
          <w:sz w:val="15"/>
          <w:szCs w:val="15"/>
          <w:b w:val="1"/>
          <w:bCs w:val="1"/>
          <w:i w:val="1"/>
          <w:iCs w:val="1"/>
          <w:color w:val="auto"/>
        </w:rPr>
        <w:t>Miscellaneous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13"/>
        <w:spacing w:after="0" w:line="259" w:lineRule="auto"/>
        <w:tabs>
          <w:tab w:leader="none" w:pos="2592"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No Right To Employment or Other Status. </w:t>
      </w:r>
      <w:r>
        <w:rPr>
          <w:rFonts w:ascii="Times New Roman" w:cs="Times New Roman" w:eastAsia="Times New Roman" w:hAnsi="Times New Roman"/>
          <w:sz w:val="15"/>
          <w:szCs w:val="15"/>
          <w:color w:val="auto"/>
        </w:rPr>
        <w:t>No person shall have any claim or right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to be granted an Award,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or this Agreement.</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54" w:lineRule="auto"/>
        <w:tabs>
          <w:tab w:leader="none" w:pos="2592" w:val="left"/>
        </w:tabs>
        <w:numPr>
          <w:ilvl w:val="0"/>
          <w:numId w:val="2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Notices</w:t>
      </w:r>
      <w:r>
        <w:rPr>
          <w:rFonts w:ascii="Times New Roman" w:cs="Times New Roman" w:eastAsia="Times New Roman" w:hAnsi="Times New Roman"/>
          <w:sz w:val="15"/>
          <w:szCs w:val="15"/>
          <w:color w:val="auto"/>
        </w:rPr>
        <w:t>. Any notice to be given under the terms of this Agreement to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be addressed to the Company in care of the Secretary of the Company at the Company’s principal office or to the then-current email address for the Secretary of the Company, and any notice to be given to Participant shall be addressed to Participant at the most-recent physical or email address for Participant listed in the Company’s personnel records. By a notice given pursuant to this Section 11(b), either party may hereafter designate a different address for notices to be given to that party. Any notice which is required to be given to Participant shall, if Participant is then deceased, be given to the person entitled to exercise his or her Option by written notice under this Section 11(b). Any notice shall be deemed duly given when sent via email or when sent by certified mail (return receipt requested) and deposited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672465</wp:posOffset>
            </wp:positionV>
            <wp:extent cx="54857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395" w:name="page396"/>
    <w:bookmarkEnd w:id="395"/>
    <w:p>
      <w:pPr>
        <w:ind w:left="1220" w:right="1239"/>
        <w:spacing w:after="0" w:line="285" w:lineRule="auto"/>
        <w:rPr>
          <w:sz w:val="20"/>
          <w:szCs w:val="20"/>
          <w:color w:val="auto"/>
        </w:rPr>
      </w:pPr>
      <w:r>
        <w:rPr>
          <w:rFonts w:ascii="Times New Roman" w:cs="Times New Roman" w:eastAsia="Times New Roman" w:hAnsi="Times New Roman"/>
          <w:sz w:val="15"/>
          <w:szCs w:val="15"/>
          <w:color w:val="auto"/>
        </w:rPr>
        <w:t>postage prepaid) in a post office or branch post office regularly maintained by the United States Postal Service.</w:t>
      </w:r>
    </w:p>
    <w:p>
      <w:pPr>
        <w:spacing w:after="0" w:line="112" w:lineRule="exact"/>
        <w:rPr>
          <w:sz w:val="20"/>
          <w:szCs w:val="20"/>
          <w:color w:val="auto"/>
        </w:rPr>
      </w:pPr>
    </w:p>
    <w:p>
      <w:pPr>
        <w:jc w:val="both"/>
        <w:ind w:left="1220" w:right="1239" w:firstLine="1013"/>
        <w:spacing w:after="0" w:line="259" w:lineRule="auto"/>
        <w:tabs>
          <w:tab w:leader="none" w:pos="2592"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Successors and Assigns</w:t>
      </w:r>
      <w:r>
        <w:rPr>
          <w:rFonts w:ascii="Times New Roman" w:cs="Times New Roman" w:eastAsia="Times New Roman" w:hAnsi="Times New Roman"/>
          <w:sz w:val="15"/>
          <w:szCs w:val="15"/>
          <w:color w:val="auto"/>
        </w:rPr>
        <w:t>. The Company may assign any of its rights under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and the Exercise Notice to single or multiple assignees, and this Agreement shall inure to the benefit of the successors and assigns of the Company. Subject to the restrictions on transfer herein set forth, this Agreement shall be binding upon Participant and his or her heirs, executors, administrators, successors and assigns.</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59" w:lineRule="auto"/>
        <w:tabs>
          <w:tab w:leader="none" w:pos="2592"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Severability</w:t>
      </w:r>
      <w:r>
        <w:rPr>
          <w:rFonts w:ascii="Times New Roman" w:cs="Times New Roman" w:eastAsia="Times New Roman" w:hAnsi="Times New Roman"/>
          <w:sz w:val="15"/>
          <w:szCs w:val="15"/>
          <w:color w:val="auto"/>
        </w:rPr>
        <w:t>. In the event any portion of the Plan or this Agreement or any action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taken pursuant thereto shall be held illegal or invalid for any reason, the illegality or invalidity shall not affect the remaining parts of the Plan and this Agreement, and the Plan and this Agreement shall be construed and enforced as if the illegal or invalid provisions had not been included, and the illegal or invalid action shall be null and void.</w:t>
      </w:r>
    </w:p>
    <w:p>
      <w:pPr>
        <w:spacing w:after="0" w:line="131" w:lineRule="exact"/>
        <w:rPr>
          <w:rFonts w:ascii="Times New Roman" w:cs="Times New Roman" w:eastAsia="Times New Roman" w:hAnsi="Times New Roman"/>
          <w:sz w:val="15"/>
          <w:szCs w:val="15"/>
          <w:color w:val="auto"/>
        </w:rPr>
      </w:pPr>
    </w:p>
    <w:p>
      <w:pPr>
        <w:jc w:val="both"/>
        <w:ind w:left="1220" w:right="1239" w:firstLine="1013"/>
        <w:spacing w:after="0" w:line="255" w:lineRule="auto"/>
        <w:tabs>
          <w:tab w:leader="none" w:pos="2592"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Entire Agreement; Governing Documents</w:t>
      </w:r>
      <w:r>
        <w:rPr>
          <w:rFonts w:ascii="Times New Roman" w:cs="Times New Roman" w:eastAsia="Times New Roman" w:hAnsi="Times New Roman"/>
          <w:sz w:val="15"/>
          <w:szCs w:val="15"/>
          <w:color w:val="auto"/>
        </w:rPr>
        <w:t>. The Plan, the Grant Notice and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Agreement (including all Exhibits thereto) constitute the entire agreement of the parties and supersede in their entirety all prior undertakings and agreements of the Company and Participant with respect to the subject matter hereof. In the event of any contradiction between the Plan and any Award Agreement or any other written agreement between a Participant and the Company that has been approved by the Administrator, the terms of the Plan shall govern, unless it is expressly specified in such Award Agreement or other written document that a specific provision of the Plan shall not apply.</w:t>
      </w:r>
    </w:p>
    <w:p>
      <w:pPr>
        <w:spacing w:after="0" w:line="136" w:lineRule="exact"/>
        <w:rPr>
          <w:rFonts w:ascii="Times New Roman" w:cs="Times New Roman" w:eastAsia="Times New Roman" w:hAnsi="Times New Roman"/>
          <w:sz w:val="15"/>
          <w:szCs w:val="15"/>
          <w:color w:val="auto"/>
        </w:rPr>
      </w:pPr>
    </w:p>
    <w:p>
      <w:pPr>
        <w:jc w:val="both"/>
        <w:ind w:left="1220" w:right="1239" w:firstLine="1013"/>
        <w:spacing w:after="0" w:line="262" w:lineRule="auto"/>
        <w:tabs>
          <w:tab w:leader="none" w:pos="2592"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Governing Law</w:t>
      </w:r>
      <w:r>
        <w:rPr>
          <w:rFonts w:ascii="Times New Roman" w:cs="Times New Roman" w:eastAsia="Times New Roman" w:hAnsi="Times New Roman"/>
          <w:sz w:val="15"/>
          <w:szCs w:val="15"/>
          <w:color w:val="auto"/>
        </w:rPr>
        <w:t>. The provisions of the Plan and all Awards made thereunder,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including the Option, shall be governed by and interpreted in accordance with the laws of the State of Delaware, disregarding choice-of-law principles of the law of any state that would require the application of the laws of a jurisdiction other than such state.</w:t>
      </w:r>
    </w:p>
    <w:p>
      <w:pPr>
        <w:spacing w:after="0" w:line="129" w:lineRule="exact"/>
        <w:rPr>
          <w:rFonts w:ascii="Times New Roman" w:cs="Times New Roman" w:eastAsia="Times New Roman" w:hAnsi="Times New Roman"/>
          <w:sz w:val="15"/>
          <w:szCs w:val="15"/>
          <w:color w:val="auto"/>
        </w:rPr>
      </w:pPr>
    </w:p>
    <w:p>
      <w:pPr>
        <w:jc w:val="both"/>
        <w:ind w:left="1220" w:right="1239" w:firstLine="1013"/>
        <w:spacing w:after="0" w:line="270" w:lineRule="auto"/>
        <w:tabs>
          <w:tab w:leader="none" w:pos="2592" w:val="left"/>
        </w:tabs>
        <w:numPr>
          <w:ilvl w:val="0"/>
          <w:numId w:val="2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Titles and Headings</w:t>
      </w:r>
      <w:r>
        <w:rPr>
          <w:rFonts w:ascii="Times New Roman" w:cs="Times New Roman" w:eastAsia="Times New Roman" w:hAnsi="Times New Roman"/>
          <w:sz w:val="15"/>
          <w:szCs w:val="15"/>
          <w:color w:val="auto"/>
        </w:rPr>
        <w:t>. The titles and headings of the Sections in this Agreement are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 convenience of reference only and, in the event of any conflict, the text of this Agreement, rather than such titles or headings,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665480</wp:posOffset>
            </wp:positionV>
            <wp:extent cx="54857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96" w:name="page397"/>
    <w:bookmarkEnd w:id="39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TO STOCK OPTION GRANT NOTICE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EXERCISE NOTICE</w:t>
      </w:r>
    </w:p>
    <w:p>
      <w:pPr>
        <w:spacing w:after="0" w:line="170"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3080" w:type="dxa"/>
            <w:vAlign w:val="bottom"/>
            <w:gridSpan w:val="2"/>
          </w:tcPr>
          <w:p>
            <w:pPr>
              <w:ind w:left="500"/>
              <w:spacing w:after="0"/>
              <w:rPr>
                <w:sz w:val="20"/>
                <w:szCs w:val="20"/>
                <w:color w:val="auto"/>
              </w:rPr>
            </w:pPr>
            <w:r>
              <w:rPr>
                <w:rFonts w:ascii="Times New Roman" w:cs="Times New Roman" w:eastAsia="Times New Roman" w:hAnsi="Times New Roman"/>
                <w:sz w:val="15"/>
                <w:szCs w:val="15"/>
                <w:color w:val="auto"/>
              </w:rPr>
              <w:t>Effective as of today,</w:t>
            </w:r>
          </w:p>
        </w:tc>
        <w:tc>
          <w:tcPr>
            <w:tcW w:w="8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w w:val="70"/>
              </w:rPr>
              <w:t>,</w:t>
            </w:r>
          </w:p>
        </w:tc>
        <w:tc>
          <w:tcPr>
            <w:tcW w:w="34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xml:space="preserve">, the undersigned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hereby</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Shares of Genoa Pharmaceuticals, Inc.</w:t>
            </w:r>
          </w:p>
        </w:tc>
        <w:tc>
          <w:tcPr>
            <w:tcW w:w="0" w:type="dxa"/>
            <w:vAlign w:val="bottom"/>
          </w:tcPr>
          <w:p>
            <w:pPr>
              <w:spacing w:after="0" w:line="20" w:lineRule="exact"/>
              <w:rPr>
                <w:sz w:val="1"/>
                <w:szCs w:val="1"/>
                <w:color w:val="auto"/>
              </w:rPr>
            </w:pPr>
          </w:p>
        </w:tc>
      </w:tr>
      <w:tr>
        <w:trPr>
          <w:trHeight w:val="159"/>
        </w:trPr>
        <w:tc>
          <w:tcPr>
            <w:tcW w:w="3080" w:type="dxa"/>
            <w:vAlign w:val="bottom"/>
            <w:gridSpan w:val="2"/>
          </w:tcPr>
          <w:p>
            <w:pPr>
              <w:spacing w:after="0" w:line="159" w:lineRule="exact"/>
              <w:rPr>
                <w:sz w:val="20"/>
                <w:szCs w:val="20"/>
                <w:color w:val="auto"/>
              </w:rPr>
            </w:pPr>
            <w:r>
              <w:rPr>
                <w:rFonts w:ascii="Times New Roman" w:cs="Times New Roman" w:eastAsia="Times New Roman" w:hAnsi="Times New Roman"/>
                <w:sz w:val="15"/>
                <w:szCs w:val="15"/>
                <w:color w:val="auto"/>
              </w:rPr>
              <w:t>elects to exercise Participant’s option to purchase</w:t>
            </w:r>
          </w:p>
        </w:tc>
        <w:tc>
          <w:tcPr>
            <w:tcW w:w="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jc w:val="center"/>
        <w:ind w:right="19"/>
        <w:spacing w:after="0"/>
        <w:rPr>
          <w:sz w:val="20"/>
          <w:szCs w:val="20"/>
          <w:color w:val="auto"/>
        </w:rPr>
      </w:pP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under and pursuant to the Genoa Pharmaceuticals, Inc. 2012 Equity Incentive Plan (the</w:t>
      </w:r>
    </w:p>
    <w:p>
      <w:pPr>
        <w:spacing w:after="0" w:line="26" w:lineRule="exact"/>
        <w:rPr>
          <w:sz w:val="20"/>
          <w:szCs w:val="20"/>
          <w:color w:val="auto"/>
        </w:rPr>
      </w:pPr>
    </w:p>
    <w:p>
      <w:pPr>
        <w:ind w:left="1220"/>
        <w:spacing w:after="0"/>
        <w:tabs>
          <w:tab w:leader="none" w:pos="7080" w:val="left"/>
          <w:tab w:leader="none" w:pos="7520" w:val="left"/>
        </w:tabs>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and the Stock Option Grant Notice and Stock Option Agreement dated</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3908425</wp:posOffset>
            </wp:positionH>
            <wp:positionV relativeFrom="paragraph">
              <wp:posOffset>-15240</wp:posOffset>
            </wp:positionV>
            <wp:extent cx="851535" cy="698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851535" cy="6985"/>
                    </a:xfrm>
                    <a:prstGeom prst="rect">
                      <a:avLst/>
                    </a:prstGeom>
                    <a:noFill/>
                  </pic:spPr>
                </pic:pic>
              </a:graphicData>
            </a:graphic>
          </wp:anchor>
        </w:drawing>
      </w:r>
    </w:p>
    <w:p>
      <w:pPr>
        <w:jc w:val="both"/>
        <w:ind w:left="1220" w:right="1239"/>
        <w:spacing w:after="0" w:line="26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Capitalized terms used herein without definition shall have the meanings given in the Agreement.</w:t>
      </w:r>
    </w:p>
    <w:p>
      <w:pPr>
        <w:sectPr>
          <w:pgSz w:w="11900" w:h="16838" w:orient="portrait"/>
          <w:cols w:equalWidth="0" w:num="1">
            <w:col w:w="9019"/>
          </w:cols>
          <w:pgMar w:left="1440" w:top="1296" w:right="1440" w:bottom="1440" w:gutter="0" w:footer="0" w:header="0"/>
        </w:sectPr>
      </w:pPr>
    </w:p>
    <w:p>
      <w:pPr>
        <w:spacing w:after="0" w:line="2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Grant Date:</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Number of Shares as to which Option is Exercised:</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Exercise Price per Share:</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Total Exercise Price:</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Certificate to be issued in name of:</w:t>
      </w: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Cash Payment delivered herewith:</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20"/>
        <w:spacing w:after="0" w:line="173" w:lineRule="exact"/>
        <w:tabs>
          <w:tab w:leader="none" w:pos="2860" w:val="left"/>
        </w:tabs>
        <w:rPr>
          <w:sz w:val="20"/>
          <w:szCs w:val="20"/>
          <w:color w:val="auto"/>
        </w:rPr>
      </w:pPr>
      <w:r>
        <w:rPr>
          <w:rFonts w:ascii="Times New Roman" w:cs="Times New Roman" w:eastAsia="Times New Roman" w:hAnsi="Times New Roman"/>
          <w:sz w:val="15"/>
          <w:szCs w:val="15"/>
          <w:b w:val="1"/>
          <w:bCs w:val="1"/>
          <w:color w:val="auto"/>
        </w:rPr>
        <w:t>Type of Option:</w:t>
      </w:r>
      <w:r>
        <w:rPr>
          <w:sz w:val="20"/>
          <w:szCs w:val="20"/>
          <w:color w:val="auto"/>
        </w:rPr>
        <w:tab/>
      </w:r>
      <w:r>
        <w:rPr>
          <w:rFonts w:ascii="MS PGothic" w:cs="MS PGothic" w:eastAsia="MS PGothic" w:hAnsi="MS PGothic"/>
          <w:sz w:val="15"/>
          <w:szCs w:val="15"/>
          <w:color w:val="auto"/>
        </w:rPr>
        <w:t xml:space="preserve">☐ </w:t>
      </w:r>
      <w:r>
        <w:rPr>
          <w:rFonts w:ascii="Times New Roman" w:cs="Times New Roman" w:eastAsia="Times New Roman" w:hAnsi="Times New Roman"/>
          <w:sz w:val="15"/>
          <w:szCs w:val="15"/>
          <w:color w:val="auto"/>
        </w:rPr>
        <w:t>Incentive Stock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-332105</wp:posOffset>
            </wp:positionV>
            <wp:extent cx="1208405" cy="698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20840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-158115</wp:posOffset>
            </wp:positionV>
            <wp:extent cx="1541780" cy="698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541780" cy="6985"/>
                    </a:xfrm>
                    <a:prstGeom prst="rect">
                      <a:avLst/>
                    </a:prstGeom>
                    <a:noFill/>
                  </pic:spPr>
                </pic:pic>
              </a:graphicData>
            </a:graphic>
          </wp:anchor>
        </w:drawing>
        <w:drawing>
          <wp:anchor simplePos="0" relativeHeight="251657728" behindDoc="1" locked="0" layoutInCell="0" allowOverlap="1">
            <wp:simplePos x="0" y="0"/>
            <wp:positionH relativeFrom="column">
              <wp:posOffset>57150</wp:posOffset>
            </wp:positionH>
            <wp:positionV relativeFrom="paragraph">
              <wp:posOffset>14605</wp:posOffset>
            </wp:positionV>
            <wp:extent cx="661035" cy="698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61035" cy="698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14605</wp:posOffset>
            </wp:positionV>
            <wp:extent cx="661035" cy="698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61035" cy="698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187960</wp:posOffset>
            </wp:positionV>
            <wp:extent cx="1541780" cy="698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541780" cy="6985"/>
                    </a:xfrm>
                    <a:prstGeom prst="rect">
                      <a:avLst/>
                    </a:prstGeom>
                    <a:noFill/>
                  </pic:spPr>
                </pic:pic>
              </a:graphicData>
            </a:graphic>
          </wp:anchor>
        </w:drawing>
      </w:r>
    </w:p>
    <w:p>
      <w:pPr>
        <w:spacing w:after="0" w:line="354" w:lineRule="exact"/>
        <w:rPr>
          <w:sz w:val="20"/>
          <w:szCs w:val="20"/>
          <w:color w:val="auto"/>
        </w:rPr>
      </w:pPr>
    </w:p>
    <w:p>
      <w:pPr>
        <w:ind w:left="1120" w:hanging="1120"/>
        <w:spacing w:after="0"/>
        <w:tabs>
          <w:tab w:leader="none" w:pos="1120" w:val="left"/>
        </w:tabs>
        <w:numPr>
          <w:ilvl w:val="0"/>
          <w:numId w:val="2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(Representing the full</w:t>
      </w:r>
    </w:p>
    <w:p>
      <w:pPr>
        <w:spacing w:after="0" w:line="22" w:lineRule="exact"/>
        <w:rPr>
          <w:rFonts w:ascii="Times New Roman" w:cs="Times New Roman" w:eastAsia="Times New Roman" w:hAnsi="Times New Roman"/>
          <w:sz w:val="15"/>
          <w:szCs w:val="15"/>
          <w:color w:val="auto"/>
        </w:rPr>
      </w:pPr>
    </w:p>
    <w:p>
      <w:pPr>
        <w:ind w:right="1459"/>
        <w:spacing w:after="0" w:line="26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Exercise Price for the Shares, as well as any applicable withholding tax)</w:t>
      </w:r>
    </w:p>
    <w:p>
      <w:pPr>
        <w:spacing w:after="0" w:line="331" w:lineRule="exact"/>
        <w:rPr>
          <w:rFonts w:ascii="Times New Roman" w:cs="Times New Roman" w:eastAsia="Times New Roman" w:hAnsi="Times New Roman"/>
          <w:sz w:val="15"/>
          <w:szCs w:val="15"/>
          <w:color w:val="auto"/>
        </w:rPr>
      </w:pPr>
    </w:p>
    <w:p>
      <w:pPr>
        <w:ind w:left="320" w:hanging="257"/>
        <w:spacing w:after="0"/>
        <w:tabs>
          <w:tab w:leader="none" w:pos="320" w:val="left"/>
        </w:tabs>
        <w:numPr>
          <w:ilvl w:val="1"/>
          <w:numId w:val="29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Non-Qualified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-579120</wp:posOffset>
            </wp:positionV>
            <wp:extent cx="635635" cy="698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35635" cy="6985"/>
                    </a:xfrm>
                    <a:prstGeom prst="rect">
                      <a:avLst/>
                    </a:prstGeom>
                    <a:noFill/>
                  </pic:spPr>
                </pic:pic>
              </a:graphicData>
            </a:graphic>
          </wp:anchor>
        </w:drawing>
      </w:r>
    </w:p>
    <w:p>
      <w:pPr>
        <w:spacing w:after="0" w:line="181" w:lineRule="exact"/>
        <w:rPr>
          <w:sz w:val="20"/>
          <w:szCs w:val="20"/>
          <w:color w:val="auto"/>
        </w:rPr>
      </w:pPr>
    </w:p>
    <w:p>
      <w:pPr>
        <w:sectPr>
          <w:pgSz w:w="11900" w:h="16838" w:orient="portrait"/>
          <w:cols w:equalWidth="0" w:num="2">
            <w:col w:w="4580" w:space="260"/>
            <w:col w:w="4179"/>
          </w:cols>
          <w:pgMar w:left="1440" w:top="1296" w:right="1440" w:bottom="1440" w:gutter="0" w:footer="0" w:header="0"/>
          <w:type w:val="continuous"/>
        </w:sectPr>
      </w:pPr>
    </w:p>
    <w:p>
      <w:pPr>
        <w:jc w:val="both"/>
        <w:ind w:left="1220" w:right="1239" w:firstLine="509"/>
        <w:spacing w:after="0" w:line="270" w:lineRule="auto"/>
        <w:tabs>
          <w:tab w:leader="none" w:pos="1906"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Representations of Participant</w:t>
      </w:r>
      <w:r>
        <w:rPr>
          <w:rFonts w:ascii="Times New Roman" w:cs="Times New Roman" w:eastAsia="Times New Roman" w:hAnsi="Times New Roman"/>
          <w:sz w:val="15"/>
          <w:szCs w:val="15"/>
          <w:color w:val="auto"/>
        </w:rPr>
        <w:t>. Participant acknowledges that Participant has received, read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and understood the Plan and the Agreement. Participant agrees to abide by and be bound by their terms and conditions.</w:t>
      </w:r>
    </w:p>
    <w:p>
      <w:pPr>
        <w:spacing w:after="0" w:line="122" w:lineRule="exact"/>
        <w:rPr>
          <w:rFonts w:ascii="Times New Roman" w:cs="Times New Roman" w:eastAsia="Times New Roman" w:hAnsi="Times New Roman"/>
          <w:sz w:val="15"/>
          <w:szCs w:val="15"/>
          <w:color w:val="auto"/>
        </w:rPr>
      </w:pPr>
    </w:p>
    <w:p>
      <w:pPr>
        <w:jc w:val="both"/>
        <w:ind w:left="1220" w:right="1239" w:firstLine="509"/>
        <w:spacing w:after="0" w:line="255" w:lineRule="auto"/>
        <w:tabs>
          <w:tab w:leader="none" w:pos="1906"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Tax Consultation</w:t>
      </w:r>
      <w:r>
        <w:rPr>
          <w:rFonts w:ascii="Times New Roman" w:cs="Times New Roman" w:eastAsia="Times New Roman" w:hAnsi="Times New Roman"/>
          <w:sz w:val="15"/>
          <w:szCs w:val="15"/>
          <w:color w:val="auto"/>
        </w:rPr>
        <w:t>. Participant understands that Participant may suffer adverse tax</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 Participant is relying solely on such advisors and not on any statements or representations of the Company or any of its agents. Participant understands that Participant (and not the Company) shall be responsible for Participant’s tax liability that may arise as a result of this investment or the transactions contemplated by this Agreement.</w:t>
      </w:r>
    </w:p>
    <w:p>
      <w:pPr>
        <w:spacing w:after="0" w:line="314" w:lineRule="exact"/>
        <w:rPr>
          <w:rFonts w:ascii="Times New Roman" w:cs="Times New Roman" w:eastAsia="Times New Roman" w:hAnsi="Times New Roman"/>
          <w:sz w:val="15"/>
          <w:szCs w:val="15"/>
          <w:color w:val="auto"/>
        </w:rPr>
      </w:pPr>
    </w:p>
    <w:p>
      <w:pPr>
        <w:ind w:left="1220" w:right="1239" w:firstLine="509"/>
        <w:spacing w:after="0" w:line="291" w:lineRule="auto"/>
        <w:tabs>
          <w:tab w:leader="none" w:pos="1906" w:val="left"/>
        </w:tabs>
        <w:numPr>
          <w:ilvl w:val="0"/>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Participant Representations</w:t>
      </w:r>
      <w:r>
        <w:rPr>
          <w:rFonts w:ascii="Times New Roman" w:cs="Times New Roman" w:eastAsia="Times New Roman" w:hAnsi="Times New Roman"/>
          <w:sz w:val="15"/>
          <w:szCs w:val="15"/>
          <w:color w:val="auto"/>
        </w:rPr>
        <w:t>. Participant hereby makes the following certifications and</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representations with respect to the Shares listed above:</w:t>
      </w:r>
    </w:p>
    <w:p>
      <w:pPr>
        <w:spacing w:after="0" w:line="111" w:lineRule="exact"/>
        <w:rPr>
          <w:rFonts w:ascii="Times New Roman" w:cs="Times New Roman" w:eastAsia="Times New Roman" w:hAnsi="Times New Roman"/>
          <w:sz w:val="15"/>
          <w:szCs w:val="15"/>
          <w:color w:val="auto"/>
        </w:rPr>
      </w:pPr>
    </w:p>
    <w:p>
      <w:pPr>
        <w:jc w:val="both"/>
        <w:ind w:left="1220" w:right="1239" w:firstLine="1013"/>
        <w:spacing w:after="0" w:line="267" w:lineRule="auto"/>
        <w:tabs>
          <w:tab w:leader="none" w:pos="2592" w:val="left"/>
        </w:tabs>
        <w:numPr>
          <w:ilvl w:val="1"/>
          <w:numId w:val="3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is aware of the Company’s business affairs and financial condition and has acquired sufficient information about the Company to reach an informed and knowledgeable decision to acquire the Shares. Participant is acquiring these Shares for investment for Participant’s own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666750</wp:posOffset>
            </wp:positionV>
            <wp:extent cx="54857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type w:val="continuous"/>
        </w:sectPr>
      </w:pPr>
    </w:p>
    <w:bookmarkStart w:id="397" w:name="page398"/>
    <w:bookmarkEnd w:id="397"/>
    <w:p>
      <w:pPr>
        <w:ind w:left="1220" w:right="1239"/>
        <w:spacing w:after="0" w:line="285" w:lineRule="auto"/>
        <w:rPr>
          <w:sz w:val="20"/>
          <w:szCs w:val="20"/>
          <w:color w:val="auto"/>
        </w:rPr>
      </w:pPr>
      <w:r>
        <w:rPr>
          <w:rFonts w:ascii="Times New Roman" w:cs="Times New Roman" w:eastAsia="Times New Roman" w:hAnsi="Times New Roman"/>
          <w:sz w:val="15"/>
          <w:szCs w:val="15"/>
          <w:color w:val="auto"/>
        </w:rPr>
        <w:t>only and not with a view to, or for resale in connection with, any “distribution” thereof within the meaning of the Securities Act.</w:t>
      </w:r>
    </w:p>
    <w:p>
      <w:pPr>
        <w:spacing w:after="0" w:line="116" w:lineRule="exact"/>
        <w:rPr>
          <w:sz w:val="20"/>
          <w:szCs w:val="20"/>
          <w:color w:val="auto"/>
        </w:rPr>
      </w:pPr>
    </w:p>
    <w:p>
      <w:pPr>
        <w:jc w:val="both"/>
        <w:ind w:left="1220" w:right="1239" w:firstLine="1013"/>
        <w:spacing w:after="0" w:line="252" w:lineRule="auto"/>
        <w:tabs>
          <w:tab w:leader="none" w:pos="2592" w:val="left"/>
        </w:tabs>
        <w:numPr>
          <w:ilvl w:val="1"/>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acknowledges and understands that the Shares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Participant understands that the Shares must be held indefinitely unless they are subsequently registered under the Securities Act or an exemption from such registration is available. Participant further acknowledges and understands that the Company is under no obligation to register the Shares. Participant understands that the certificate evidencing the Shares will be imprinted with a legend which prohibits the transfer of the Shares unless they are registered or such registration is not required in the opinion of counsel satisfactory to the Company and any other legend required under Applicable Laws.</w:t>
      </w:r>
    </w:p>
    <w:p>
      <w:pPr>
        <w:spacing w:after="0" w:line="144" w:lineRule="exact"/>
        <w:rPr>
          <w:rFonts w:ascii="Times New Roman" w:cs="Times New Roman" w:eastAsia="Times New Roman" w:hAnsi="Times New Roman"/>
          <w:sz w:val="15"/>
          <w:szCs w:val="15"/>
          <w:color w:val="auto"/>
        </w:rPr>
      </w:pPr>
    </w:p>
    <w:p>
      <w:pPr>
        <w:jc w:val="both"/>
        <w:ind w:left="1220" w:right="1239" w:firstLine="1013"/>
        <w:spacing w:after="0" w:line="253" w:lineRule="auto"/>
        <w:tabs>
          <w:tab w:leader="none" w:pos="2592" w:val="left"/>
        </w:tabs>
        <w:numPr>
          <w:ilvl w:val="1"/>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will be exempt from registration under the Securities Act. In the event the Company becomes subject to the reporting requirements of Section 13 or 15(d) of the Exchange Act, ninety days thereafter (or such longer period as any market stand-off agreement may require) the securities exempt under Rule 701 may be resold, subject to the satisfaction of certain of the conditions specified by Rule 144.</w:t>
      </w:r>
    </w:p>
    <w:p>
      <w:pPr>
        <w:spacing w:after="0" w:line="140" w:lineRule="exact"/>
        <w:rPr>
          <w:rFonts w:ascii="Times New Roman" w:cs="Times New Roman" w:eastAsia="Times New Roman" w:hAnsi="Times New Roman"/>
          <w:sz w:val="15"/>
          <w:szCs w:val="15"/>
          <w:color w:val="auto"/>
        </w:rPr>
      </w:pPr>
    </w:p>
    <w:p>
      <w:pPr>
        <w:jc w:val="both"/>
        <w:ind w:left="1220" w:right="1239" w:firstLine="1013"/>
        <w:spacing w:after="0" w:line="267" w:lineRule="auto"/>
        <w:tabs>
          <w:tab w:leader="none" w:pos="2592" w:val="left"/>
        </w:tabs>
        <w:numPr>
          <w:ilvl w:val="1"/>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Company does not qualify under Rule 701 at the time of grant of the Option, then the securities may be resold in certain limited circumstances subject to the provisions of Rule 144.</w:t>
      </w:r>
    </w:p>
    <w:p>
      <w:pPr>
        <w:spacing w:after="0" w:line="128" w:lineRule="exact"/>
        <w:rPr>
          <w:rFonts w:ascii="Times New Roman" w:cs="Times New Roman" w:eastAsia="Times New Roman" w:hAnsi="Times New Roman"/>
          <w:sz w:val="15"/>
          <w:szCs w:val="15"/>
          <w:color w:val="auto"/>
        </w:rPr>
      </w:pPr>
    </w:p>
    <w:p>
      <w:pPr>
        <w:jc w:val="both"/>
        <w:ind w:left="1220" w:right="1239" w:firstLine="1013"/>
        <w:spacing w:after="0" w:line="253" w:lineRule="auto"/>
        <w:tabs>
          <w:tab w:leader="none" w:pos="2592" w:val="left"/>
        </w:tabs>
        <w:numPr>
          <w:ilvl w:val="1"/>
          <w:numId w:val="3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Participant further understands that in the event all of the applicable requirements of Rule 701 or 144 are not satisfied, registration under the Securities Act, compliance with Regulation A, or some other registration exemption will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will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will be available in such event.</w:t>
      </w:r>
    </w:p>
    <w:p>
      <w:pPr>
        <w:spacing w:after="0" w:line="136" w:lineRule="exact"/>
        <w:rPr>
          <w:rFonts w:ascii="Times New Roman" w:cs="Times New Roman" w:eastAsia="Times New Roman" w:hAnsi="Times New Roman"/>
          <w:sz w:val="15"/>
          <w:szCs w:val="15"/>
          <w:color w:val="auto"/>
        </w:rPr>
      </w:pPr>
    </w:p>
    <w:p>
      <w:pPr>
        <w:ind w:left="1220" w:right="1239" w:firstLine="509"/>
        <w:spacing w:after="0" w:line="291" w:lineRule="auto"/>
        <w:tabs>
          <w:tab w:leader="none" w:pos="1906"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Notices</w:t>
      </w:r>
      <w:r>
        <w:rPr>
          <w:rFonts w:ascii="Times New Roman" w:cs="Times New Roman" w:eastAsia="Times New Roman" w:hAnsi="Times New Roman"/>
          <w:sz w:val="15"/>
          <w:szCs w:val="15"/>
          <w:color w:val="auto"/>
        </w:rPr>
        <w:t>. Any notice required or permitted hereunder shall be given in accordance with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provisions set forth in Section 11(b) of the Agreement.</w:t>
      </w:r>
    </w:p>
    <w:p>
      <w:pPr>
        <w:spacing w:after="0" w:line="107" w:lineRule="exact"/>
        <w:rPr>
          <w:rFonts w:ascii="Times New Roman" w:cs="Times New Roman" w:eastAsia="Times New Roman" w:hAnsi="Times New Roman"/>
          <w:sz w:val="15"/>
          <w:szCs w:val="15"/>
          <w:color w:val="auto"/>
        </w:rPr>
      </w:pPr>
    </w:p>
    <w:p>
      <w:pPr>
        <w:jc w:val="both"/>
        <w:ind w:left="1220" w:right="1239" w:firstLine="509"/>
        <w:spacing w:after="0" w:line="265" w:lineRule="auto"/>
        <w:tabs>
          <w:tab w:leader="none" w:pos="1906" w:val="left"/>
        </w:tabs>
        <w:numPr>
          <w:ilvl w:val="0"/>
          <w:numId w:val="3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i w:val="1"/>
          <w:iCs w:val="1"/>
          <w:color w:val="auto"/>
        </w:rPr>
        <w:t>Entire Agreement</w:t>
      </w:r>
      <w:r>
        <w:rPr>
          <w:rFonts w:ascii="Times New Roman" w:cs="Times New Roman" w:eastAsia="Times New Roman" w:hAnsi="Times New Roman"/>
          <w:sz w:val="15"/>
          <w:szCs w:val="15"/>
          <w:color w:val="auto"/>
        </w:rPr>
        <w:t>. The Plan and Agreement are incorporated herein by reference. This</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Notice, the Plan and the Agreement constitute the entire agreement of the parties and supersede in their entirety all prior undertakings and agreements of the Company and Participant with respect to the subject matter hereof.</w:t>
      </w:r>
    </w:p>
    <w:p>
      <w:pPr>
        <w:spacing w:after="0" w:line="333" w:lineRule="exact"/>
        <w:rPr>
          <w:sz w:val="20"/>
          <w:szCs w:val="20"/>
          <w:color w:val="auto"/>
        </w:rPr>
      </w:pPr>
    </w:p>
    <w:tbl>
      <w:tblPr>
        <w:tblLayout w:type="fixed"/>
        <w:tblInd w:w="200" w:type="dxa"/>
        <w:tblCellMar>
          <w:top w:w="0" w:type="dxa"/>
          <w:left w:w="0" w:type="dxa"/>
          <w:bottom w:w="0" w:type="dxa"/>
          <w:right w:w="0" w:type="dxa"/>
        </w:tblCellMar>
      </w:tblPr>
      <w:tr>
        <w:trPr>
          <w:trHeight w:val="179"/>
        </w:trPr>
        <w:tc>
          <w:tcPr>
            <w:tcW w:w="3840" w:type="dxa"/>
            <w:vAlign w:val="bottom"/>
            <w:gridSpan w:val="4"/>
          </w:tcPr>
          <w:p>
            <w:pPr>
              <w:ind w:left="1020"/>
              <w:spacing w:after="0"/>
              <w:rPr>
                <w:sz w:val="20"/>
                <w:szCs w:val="20"/>
                <w:color w:val="auto"/>
              </w:rPr>
            </w:pPr>
            <w:r>
              <w:rPr>
                <w:rFonts w:ascii="Times New Roman" w:cs="Times New Roman" w:eastAsia="Times New Roman" w:hAnsi="Times New Roman"/>
                <w:sz w:val="15"/>
                <w:szCs w:val="15"/>
                <w:b w:val="1"/>
                <w:bCs w:val="1"/>
                <w:color w:val="auto"/>
              </w:rPr>
              <w:t>ACCEPTED BY:</w:t>
            </w:r>
          </w:p>
        </w:tc>
        <w:tc>
          <w:tcPr>
            <w:tcW w:w="4760" w:type="dxa"/>
            <w:vAlign w:val="bottom"/>
            <w:gridSpan w:val="4"/>
          </w:tcPr>
          <w:p>
            <w:pPr>
              <w:ind w:left="480"/>
              <w:spacing w:after="0"/>
              <w:rPr>
                <w:sz w:val="20"/>
                <w:szCs w:val="20"/>
                <w:color w:val="auto"/>
              </w:rPr>
            </w:pPr>
            <w:r>
              <w:rPr>
                <w:rFonts w:ascii="Times New Roman" w:cs="Times New Roman" w:eastAsia="Times New Roman" w:hAnsi="Times New Roman"/>
                <w:sz w:val="15"/>
                <w:szCs w:val="15"/>
                <w:b w:val="1"/>
                <w:bCs w:val="1"/>
                <w:color w:val="auto"/>
              </w:rPr>
              <w:t>SUBMITTED BY</w:t>
            </w:r>
          </w:p>
        </w:tc>
      </w:tr>
      <w:tr>
        <w:trPr>
          <w:trHeight w:val="203"/>
        </w:trPr>
        <w:tc>
          <w:tcPr>
            <w:tcW w:w="3840" w:type="dxa"/>
            <w:vAlign w:val="bottom"/>
            <w:gridSpan w:val="4"/>
          </w:tcPr>
          <w:p>
            <w:pPr>
              <w:ind w:left="1020"/>
              <w:spacing w:after="0"/>
              <w:rPr>
                <w:sz w:val="20"/>
                <w:szCs w:val="20"/>
                <w:color w:val="auto"/>
              </w:rPr>
            </w:pPr>
            <w:r>
              <w:rPr>
                <w:rFonts w:ascii="Times New Roman" w:cs="Times New Roman" w:eastAsia="Times New Roman" w:hAnsi="Times New Roman"/>
                <w:sz w:val="15"/>
                <w:szCs w:val="15"/>
                <w:b w:val="1"/>
                <w:bCs w:val="1"/>
                <w:color w:val="auto"/>
              </w:rPr>
              <w:t>GENOA PHARMACEUTICALS, INC.</w:t>
            </w:r>
          </w:p>
        </w:tc>
        <w:tc>
          <w:tcPr>
            <w:tcW w:w="4760" w:type="dxa"/>
            <w:vAlign w:val="bottom"/>
            <w:gridSpan w:val="4"/>
          </w:tcPr>
          <w:p>
            <w:pPr>
              <w:ind w:left="480"/>
              <w:spacing w:after="0"/>
              <w:rPr>
                <w:sz w:val="20"/>
                <w:szCs w:val="20"/>
                <w:color w:val="auto"/>
              </w:rPr>
            </w:pPr>
            <w:r>
              <w:rPr>
                <w:rFonts w:ascii="Times New Roman" w:cs="Times New Roman" w:eastAsia="Times New Roman" w:hAnsi="Times New Roman"/>
                <w:sz w:val="15"/>
                <w:szCs w:val="15"/>
                <w:b w:val="1"/>
                <w:bCs w:val="1"/>
                <w:color w:val="auto"/>
              </w:rPr>
              <w:t>PARTICIPANT:</w:t>
            </w:r>
          </w:p>
        </w:tc>
      </w:tr>
      <w:tr>
        <w:trPr>
          <w:trHeight w:val="353"/>
        </w:trPr>
        <w:tc>
          <w:tcPr>
            <w:tcW w:w="3840" w:type="dxa"/>
            <w:vAlign w:val="bottom"/>
            <w:gridSpan w:val="4"/>
          </w:tcPr>
          <w:p>
            <w:pPr>
              <w:ind w:left="1020"/>
              <w:spacing w:after="0"/>
              <w:rPr>
                <w:sz w:val="20"/>
                <w:szCs w:val="20"/>
                <w:color w:val="auto"/>
              </w:rPr>
            </w:pPr>
            <w:r>
              <w:rPr>
                <w:rFonts w:ascii="Times New Roman" w:cs="Times New Roman" w:eastAsia="Times New Roman" w:hAnsi="Times New Roman"/>
                <w:sz w:val="15"/>
                <w:szCs w:val="15"/>
                <w:color w:val="auto"/>
              </w:rPr>
              <w:t>By:</w:t>
            </w:r>
          </w:p>
        </w:tc>
        <w:tc>
          <w:tcPr>
            <w:tcW w:w="4760" w:type="dxa"/>
            <w:vAlign w:val="bottom"/>
            <w:gridSpan w:val="4"/>
          </w:tcPr>
          <w:p>
            <w:pPr>
              <w:ind w:left="480"/>
              <w:spacing w:after="0"/>
              <w:rPr>
                <w:sz w:val="20"/>
                <w:szCs w:val="20"/>
                <w:color w:val="auto"/>
              </w:rPr>
            </w:pPr>
            <w:r>
              <w:rPr>
                <w:rFonts w:ascii="Times New Roman" w:cs="Times New Roman" w:eastAsia="Times New Roman" w:hAnsi="Times New Roman"/>
                <w:sz w:val="15"/>
                <w:szCs w:val="15"/>
                <w:color w:val="auto"/>
              </w:rPr>
              <w:t>By:</w:t>
            </w:r>
          </w:p>
        </w:tc>
      </w:tr>
      <w:tr>
        <w:trPr>
          <w:trHeight w:val="169"/>
        </w:trPr>
        <w:tc>
          <w:tcPr>
            <w:tcW w:w="1280" w:type="dxa"/>
            <w:vAlign w:val="bottom"/>
          </w:tcPr>
          <w:p>
            <w:pPr>
              <w:ind w:left="1020"/>
              <w:spacing w:after="0" w:line="169" w:lineRule="exact"/>
              <w:rPr>
                <w:sz w:val="20"/>
                <w:szCs w:val="20"/>
                <w:color w:val="auto"/>
              </w:rPr>
            </w:pPr>
            <w:r>
              <w:rPr>
                <w:rFonts w:ascii="Times New Roman" w:cs="Times New Roman" w:eastAsia="Times New Roman" w:hAnsi="Times New Roman"/>
                <w:sz w:val="15"/>
                <w:szCs w:val="15"/>
                <w:color w:val="auto"/>
                <w:w w:val="82"/>
              </w:rPr>
              <w:t>Print</w:t>
            </w:r>
          </w:p>
        </w:tc>
        <w:tc>
          <w:tcPr>
            <w:tcW w:w="2560" w:type="dxa"/>
            <w:vAlign w:val="bottom"/>
            <w:tcBorders>
              <w:top w:val="single" w:sz="8" w:color="auto"/>
            </w:tcBorders>
            <w:gridSpan w:val="3"/>
          </w:tcPr>
          <w:p>
            <w:pPr>
              <w:ind w:left="80"/>
              <w:spacing w:after="0" w:line="169" w:lineRule="exact"/>
              <w:rPr>
                <w:sz w:val="20"/>
                <w:szCs w:val="20"/>
                <w:color w:val="auto"/>
              </w:rPr>
            </w:pPr>
            <w:r>
              <w:rPr>
                <w:rFonts w:ascii="Times New Roman" w:cs="Times New Roman" w:eastAsia="Times New Roman" w:hAnsi="Times New Roman"/>
                <w:sz w:val="15"/>
                <w:szCs w:val="15"/>
                <w:color w:val="auto"/>
              </w:rPr>
              <w:t>Name:</w:t>
            </w:r>
          </w:p>
        </w:tc>
        <w:tc>
          <w:tcPr>
            <w:tcW w:w="740" w:type="dxa"/>
            <w:vAlign w:val="bottom"/>
          </w:tcPr>
          <w:p>
            <w:pPr>
              <w:ind w:left="480"/>
              <w:spacing w:after="0" w:line="169" w:lineRule="exact"/>
              <w:rPr>
                <w:sz w:val="20"/>
                <w:szCs w:val="20"/>
                <w:color w:val="auto"/>
              </w:rPr>
            </w:pPr>
            <w:r>
              <w:rPr>
                <w:rFonts w:ascii="Times New Roman" w:cs="Times New Roman" w:eastAsia="Times New Roman" w:hAnsi="Times New Roman"/>
                <w:sz w:val="15"/>
                <w:szCs w:val="15"/>
                <w:color w:val="auto"/>
                <w:w w:val="82"/>
              </w:rPr>
              <w:t>Print</w:t>
            </w:r>
          </w:p>
        </w:tc>
        <w:tc>
          <w:tcPr>
            <w:tcW w:w="3000" w:type="dxa"/>
            <w:vAlign w:val="bottom"/>
            <w:tcBorders>
              <w:top w:val="single" w:sz="8" w:color="auto"/>
            </w:tcBorders>
            <w:gridSpan w:val="2"/>
          </w:tcPr>
          <w:p>
            <w:pPr>
              <w:ind w:left="80"/>
              <w:spacing w:after="0" w:line="169" w:lineRule="exact"/>
              <w:rPr>
                <w:sz w:val="20"/>
                <w:szCs w:val="20"/>
                <w:color w:val="auto"/>
              </w:rPr>
            </w:pPr>
            <w:r>
              <w:rPr>
                <w:rFonts w:ascii="Times New Roman" w:cs="Times New Roman" w:eastAsia="Times New Roman" w:hAnsi="Times New Roman"/>
                <w:sz w:val="15"/>
                <w:szCs w:val="15"/>
                <w:color w:val="auto"/>
              </w:rPr>
              <w:t>Name:</w:t>
            </w:r>
          </w:p>
        </w:tc>
        <w:tc>
          <w:tcPr>
            <w:tcW w:w="1020" w:type="dxa"/>
            <w:vAlign w:val="bottom"/>
          </w:tcPr>
          <w:p>
            <w:pPr>
              <w:spacing w:after="0"/>
              <w:rPr>
                <w:sz w:val="14"/>
                <w:szCs w:val="14"/>
                <w:color w:val="auto"/>
              </w:rPr>
            </w:pPr>
          </w:p>
        </w:tc>
      </w:tr>
      <w:tr>
        <w:trPr>
          <w:trHeight w:val="169"/>
        </w:trPr>
        <w:tc>
          <w:tcPr>
            <w:tcW w:w="1800" w:type="dxa"/>
            <w:vAlign w:val="bottom"/>
            <w:gridSpan w:val="3"/>
          </w:tcPr>
          <w:p>
            <w:pPr>
              <w:ind w:left="1020"/>
              <w:spacing w:after="0" w:line="169" w:lineRule="exact"/>
              <w:rPr>
                <w:sz w:val="20"/>
                <w:szCs w:val="20"/>
                <w:color w:val="auto"/>
              </w:rPr>
            </w:pPr>
            <w:r>
              <w:rPr>
                <w:rFonts w:ascii="Times New Roman" w:cs="Times New Roman" w:eastAsia="Times New Roman" w:hAnsi="Times New Roman"/>
                <w:sz w:val="15"/>
                <w:szCs w:val="15"/>
                <w:color w:val="auto"/>
              </w:rPr>
              <w:t>Title:</w:t>
            </w:r>
          </w:p>
        </w:tc>
        <w:tc>
          <w:tcPr>
            <w:tcW w:w="2040" w:type="dxa"/>
            <w:vAlign w:val="bottom"/>
            <w:tcBorders>
              <w:top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500" w:type="dxa"/>
            <w:vAlign w:val="bottom"/>
            <w:tcBorders>
              <w:top w:val="single" w:sz="8" w:color="auto"/>
            </w:tcBorders>
          </w:tcPr>
          <w:p>
            <w:pPr>
              <w:spacing w:after="0"/>
              <w:rPr>
                <w:sz w:val="14"/>
                <w:szCs w:val="14"/>
                <w:color w:val="auto"/>
              </w:rPr>
            </w:pPr>
          </w:p>
        </w:tc>
        <w:tc>
          <w:tcPr>
            <w:tcW w:w="1020" w:type="dxa"/>
            <w:vAlign w:val="bottom"/>
          </w:tcPr>
          <w:p>
            <w:pPr>
              <w:spacing w:after="0"/>
              <w:rPr>
                <w:sz w:val="14"/>
                <w:szCs w:val="14"/>
                <w:color w:val="auto"/>
              </w:rPr>
            </w:pPr>
          </w:p>
        </w:tc>
      </w:tr>
      <w:tr>
        <w:trPr>
          <w:trHeight w:val="1253"/>
        </w:trPr>
        <w:tc>
          <w:tcPr>
            <w:tcW w:w="1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0" w:type="dxa"/>
            <w:vAlign w:val="bottom"/>
            <w:tcBorders>
              <w:top w:val="single" w:sz="8" w:color="auto"/>
              <w:bottom w:val="single" w:sz="8" w:color="9A9A9A"/>
            </w:tcBorders>
          </w:tcPr>
          <w:p>
            <w:pPr>
              <w:spacing w:after="0"/>
              <w:rPr>
                <w:sz w:val="24"/>
                <w:szCs w:val="24"/>
                <w:color w:val="auto"/>
              </w:rPr>
            </w:pPr>
          </w:p>
        </w:tc>
        <w:tc>
          <w:tcPr>
            <w:tcW w:w="2040" w:type="dxa"/>
            <w:vAlign w:val="bottom"/>
            <w:tcBorders>
              <w:top w:val="single" w:sz="8" w:color="auto"/>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398" w:name="page399"/>
    <w:bookmarkEnd w:id="39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TO STOCK OPTION GRANT NOTICE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STOCK ASSIGNMENT</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See instructions below</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ind w:left="1720"/>
        <w:spacing w:after="0"/>
        <w:tabs>
          <w:tab w:leader="none" w:pos="4620" w:val="left"/>
          <w:tab w:leader="none" w:pos="7520" w:val="left"/>
        </w:tabs>
        <w:rPr>
          <w:sz w:val="20"/>
          <w:szCs w:val="20"/>
          <w:color w:val="auto"/>
        </w:rPr>
      </w:pPr>
      <w:r>
        <w:rPr>
          <w:rFonts w:ascii="Times New Roman" w:cs="Times New Roman" w:eastAsia="Times New Roman" w:hAnsi="Times New Roman"/>
          <w:sz w:val="15"/>
          <w:szCs w:val="15"/>
          <w:color w:val="auto"/>
        </w:rPr>
        <w:t>FOR VALUE RECEIVED I,</w:t>
      </w:r>
      <w:r>
        <w:rPr>
          <w:sz w:val="20"/>
          <w:szCs w:val="20"/>
          <w:color w:val="auto"/>
        </w:rPr>
        <w:tab/>
      </w:r>
      <w:r>
        <w:rPr>
          <w:rFonts w:ascii="Times New Roman" w:cs="Times New Roman" w:eastAsia="Times New Roman" w:hAnsi="Times New Roman"/>
          <w:sz w:val="15"/>
          <w:szCs w:val="15"/>
          <w:color w:val="auto"/>
        </w:rPr>
        <w:t>, hereby sell, assign and transfer unto</w:t>
      </w:r>
      <w:r>
        <w:rPr>
          <w:sz w:val="20"/>
          <w:szCs w:val="20"/>
          <w:color w:val="auto"/>
        </w:rPr>
        <w:tab/>
      </w:r>
      <w:r>
        <w:rPr>
          <w:rFonts w:ascii="Times New Roman" w:cs="Times New Roman" w:eastAsia="Times New Roman" w:hAnsi="Times New Roman"/>
          <w:sz w:val="15"/>
          <w:szCs w:val="15"/>
          <w:color w:val="auto"/>
        </w:rPr>
        <w:t>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2258060</wp:posOffset>
            </wp:positionH>
            <wp:positionV relativeFrom="paragraph">
              <wp:posOffset>-5080</wp:posOffset>
            </wp:positionV>
            <wp:extent cx="685165" cy="69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5165" cy="6985"/>
                    </a:xfrm>
                    <a:prstGeom prst="rect">
                      <a:avLst/>
                    </a:prstGeom>
                    <a:noFill/>
                  </pic:spPr>
                </pic:pic>
              </a:graphicData>
            </a:graphic>
          </wp:anchor>
        </w:drawing>
        <w:drawing>
          <wp:anchor simplePos="0" relativeHeight="251657728" behindDoc="1" locked="0" layoutInCell="0" allowOverlap="1">
            <wp:simplePos x="0" y="0"/>
            <wp:positionH relativeFrom="column">
              <wp:posOffset>4423410</wp:posOffset>
            </wp:positionH>
            <wp:positionV relativeFrom="paragraph">
              <wp:posOffset>-5080</wp:posOffset>
            </wp:positionV>
            <wp:extent cx="342265" cy="698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342265" cy="6985"/>
                    </a:xfrm>
                    <a:prstGeom prst="rect">
                      <a:avLst/>
                    </a:prstGeom>
                    <a:noFill/>
                  </pic:spPr>
                </pic:pic>
              </a:graphicData>
            </a:graphic>
          </wp:anchor>
        </w:drawing>
      </w:r>
    </w:p>
    <w:p>
      <w:pPr>
        <w:spacing w:after="0" w:line="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shares of the Common Stock of Genoa Pharmaceuticals, Inc. registered in my name on the books of said</w:t>
      </w:r>
    </w:p>
    <w:p>
      <w:pPr>
        <w:spacing w:after="0" w:line="6" w:lineRule="exact"/>
        <w:rPr>
          <w:sz w:val="20"/>
          <w:szCs w:val="20"/>
          <w:color w:val="auto"/>
        </w:rPr>
      </w:pPr>
    </w:p>
    <w:p>
      <w:pPr>
        <w:ind w:left="1220"/>
        <w:spacing w:after="0"/>
        <w:tabs>
          <w:tab w:leader="none" w:pos="4340" w:val="left"/>
        </w:tabs>
        <w:rPr>
          <w:sz w:val="20"/>
          <w:szCs w:val="20"/>
          <w:color w:val="auto"/>
        </w:rPr>
      </w:pPr>
      <w:r>
        <w:rPr>
          <w:rFonts w:ascii="Times New Roman" w:cs="Times New Roman" w:eastAsia="Times New Roman" w:hAnsi="Times New Roman"/>
          <w:sz w:val="15"/>
          <w:szCs w:val="15"/>
          <w:color w:val="auto"/>
        </w:rPr>
        <w:t>corporation represented by Certificate No.</w:t>
      </w:r>
      <w:r>
        <w:rPr>
          <w:sz w:val="20"/>
          <w:szCs w:val="20"/>
          <w:color w:val="auto"/>
        </w:rPr>
        <w:tab/>
      </w:r>
      <w:r>
        <w:rPr>
          <w:rFonts w:ascii="Times New Roman" w:cs="Times New Roman" w:eastAsia="Times New Roman" w:hAnsi="Times New Roman"/>
          <w:sz w:val="15"/>
          <w:szCs w:val="15"/>
          <w:color w:val="auto"/>
        </w:rPr>
        <w:t>and do hereby irrevocably constitute and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-15240</wp:posOffset>
            </wp:positionV>
            <wp:extent cx="293370" cy="69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293370" cy="698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-15240</wp:posOffset>
            </wp:positionV>
            <wp:extent cx="831850" cy="698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831850" cy="6985"/>
                    </a:xfrm>
                    <a:prstGeom prst="rect">
                      <a:avLst/>
                    </a:prstGeom>
                    <a:noFill/>
                  </pic:spPr>
                </pic:pic>
              </a:graphicData>
            </a:graphic>
          </wp:anchor>
        </w:drawing>
      </w:r>
    </w:p>
    <w:p>
      <w:pPr>
        <w:ind w:left="1220" w:right="1359"/>
        <w:spacing w:after="0" w:line="263" w:lineRule="auto"/>
        <w:rPr>
          <w:sz w:val="20"/>
          <w:szCs w:val="20"/>
          <w:color w:val="auto"/>
        </w:rPr>
      </w:pPr>
      <w:r>
        <w:rPr>
          <w:rFonts w:ascii="Times New Roman" w:cs="Times New Roman" w:eastAsia="Times New Roman" w:hAnsi="Times New Roman"/>
          <w:sz w:val="15"/>
          <w:szCs w:val="15"/>
          <w:color w:val="auto"/>
        </w:rPr>
        <w:t>to transfer the said stock on the books of the within named corporation with full power of substitution in the premises.</w:t>
      </w:r>
    </w:p>
    <w:p>
      <w:pPr>
        <w:spacing w:after="0" w:line="132" w:lineRule="exact"/>
        <w:rPr>
          <w:sz w:val="20"/>
          <w:szCs w:val="20"/>
          <w:color w:val="auto"/>
        </w:rPr>
      </w:pPr>
    </w:p>
    <w:p>
      <w:pPr>
        <w:ind w:left="1220" w:right="1239" w:firstLine="505"/>
        <w:spacing w:after="0" w:line="276" w:lineRule="auto"/>
        <w:rPr>
          <w:sz w:val="20"/>
          <w:szCs w:val="20"/>
          <w:color w:val="auto"/>
        </w:rPr>
      </w:pPr>
      <w:r>
        <w:rPr>
          <w:rFonts w:ascii="Times New Roman" w:cs="Times New Roman" w:eastAsia="Times New Roman" w:hAnsi="Times New Roman"/>
          <w:sz w:val="15"/>
          <w:szCs w:val="15"/>
          <w:color w:val="auto"/>
        </w:rPr>
        <w:t>This Assignment Separate from Certificate may be used only in accordance with the Stock Option Grant Notice and Stock Option Agreement between Genoa Pharmaceuticals, Inc. and the undersigned dated</w:t>
      </w:r>
    </w:p>
    <w:p>
      <w:pPr>
        <w:spacing w:after="0" w:line="318" w:lineRule="exact"/>
        <w:rPr>
          <w:sz w:val="20"/>
          <w:szCs w:val="20"/>
          <w:color w:val="auto"/>
        </w:rPr>
      </w:pPr>
    </w:p>
    <w:p>
      <w:pPr>
        <w:ind w:left="3600" w:hanging="599"/>
        <w:spacing w:after="0"/>
        <w:tabs>
          <w:tab w:leader="none" w:pos="3600" w:val="left"/>
        </w:tabs>
        <w:numPr>
          <w:ilvl w:val="0"/>
          <w:numId w:val="3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p>
    <w:p>
      <w:pPr>
        <w:spacing w:after="0" w:line="374"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-332105</wp:posOffset>
            </wp:positionV>
            <wp:extent cx="1508760" cy="698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508760" cy="6985"/>
                    </a:xfrm>
                    <a:prstGeom prst="rect">
                      <a:avLst/>
                    </a:prstGeom>
                    <a:noFill/>
                  </pic:spPr>
                </pic:pic>
              </a:graphicData>
            </a:graphic>
          </wp:anchor>
        </w:drawing>
        <w:drawing>
          <wp:anchor simplePos="0" relativeHeight="251657728" behindDoc="1" locked="0" layoutInCell="0" allowOverlap="1">
            <wp:simplePos x="0" y="0"/>
            <wp:positionH relativeFrom="column">
              <wp:posOffset>1074420</wp:posOffset>
            </wp:positionH>
            <wp:positionV relativeFrom="paragraph">
              <wp:posOffset>14605</wp:posOffset>
            </wp:positionV>
            <wp:extent cx="1595120" cy="698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595120" cy="6985"/>
                    </a:xfrm>
                    <a:prstGeom prst="rect">
                      <a:avLst/>
                    </a:prstGeom>
                    <a:noFill/>
                  </pic:spPr>
                </pic:pic>
              </a:graphicData>
            </a:graphic>
          </wp:anchor>
        </w:drawing>
      </w:r>
    </w:p>
    <w:p>
      <w:pPr>
        <w:spacing w:after="0" w:line="354"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3410585</wp:posOffset>
            </wp:positionH>
            <wp:positionV relativeFrom="paragraph">
              <wp:posOffset>14605</wp:posOffset>
            </wp:positionV>
            <wp:extent cx="1535430" cy="69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53543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u w:val="single" w:color="auto"/>
          <w:color w:val="auto"/>
        </w:rPr>
        <w:t xml:space="preserve">INSTRUCTIONS: </w:t>
      </w:r>
      <w:r>
        <w:rPr>
          <w:rFonts w:ascii="Times New Roman" w:cs="Times New Roman" w:eastAsia="Times New Roman" w:hAnsi="Times New Roman"/>
          <w:sz w:val="15"/>
          <w:szCs w:val="15"/>
          <w:u w:val="single" w:color="auto"/>
          <w:color w:val="auto"/>
        </w:rPr>
        <w:t>Please do not fill in any blanks other than the signature line. The purpose of this</w:t>
      </w:r>
      <w:r>
        <w:rPr>
          <w:rFonts w:ascii="Times New Roman" w:cs="Times New Roman" w:eastAsia="Times New Roman" w:hAnsi="Times New Roman"/>
          <w:sz w:val="15"/>
          <w:szCs w:val="15"/>
          <w:b w:val="1"/>
          <w:bCs w:val="1"/>
          <w:u w:val="single" w:color="auto"/>
          <w:color w:val="auto"/>
        </w:rPr>
        <w:t xml:space="preserve"> </w:t>
      </w:r>
      <w:r>
        <w:rPr>
          <w:rFonts w:ascii="Times New Roman" w:cs="Times New Roman" w:eastAsia="Times New Roman" w:hAnsi="Times New Roman"/>
          <w:sz w:val="15"/>
          <w:szCs w:val="15"/>
          <w:u w:val="single" w:color="auto"/>
          <w:color w:val="auto"/>
        </w:rPr>
        <w:t>assignment is to enable the Company to exercise the Company Repurchase Right, as set forth in the Stock Option Grant Notice and Stock Option Agreement, without requiring additional signatures on the part of Purchaser</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670560</wp:posOffset>
            </wp:positionV>
            <wp:extent cx="54857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399" w:name="page400"/>
    <w:bookmarkEnd w:id="399"/>
    <w:tbl>
      <w:tblPr>
        <w:tblLayout w:type="fixed"/>
        <w:tblInd w:w="1220" w:type="dxa"/>
        <w:tblCellMar>
          <w:top w:w="0" w:type="dxa"/>
          <w:left w:w="0" w:type="dxa"/>
          <w:bottom w:w="0" w:type="dxa"/>
          <w:right w:w="0" w:type="dxa"/>
        </w:tblCellMar>
      </w:tblPr>
      <w:tr>
        <w:trPr>
          <w:trHeight w:val="203"/>
        </w:trPr>
        <w:tc>
          <w:tcPr>
            <w:tcW w:w="6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5"/>
                <w:szCs w:val="15"/>
                <w:b w:val="1"/>
                <w:bCs w:val="1"/>
                <w:color w:val="auto"/>
              </w:rPr>
              <w:t>EXHIBIT 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347"/>
        </w:trPr>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700" w:type="dxa"/>
            <w:vAlign w:val="bottom"/>
            <w:gridSpan w:val="7"/>
          </w:tcPr>
          <w:p>
            <w:pPr>
              <w:jc w:val="center"/>
              <w:ind w:right="1783"/>
              <w:spacing w:after="0"/>
              <w:rPr>
                <w:sz w:val="20"/>
                <w:szCs w:val="20"/>
                <w:color w:val="auto"/>
              </w:rPr>
            </w:pPr>
            <w:r>
              <w:rPr>
                <w:rFonts w:ascii="Times New Roman" w:cs="Times New Roman" w:eastAsia="Times New Roman" w:hAnsi="Times New Roman"/>
                <w:sz w:val="15"/>
                <w:szCs w:val="15"/>
                <w:b w:val="1"/>
                <w:bCs w:val="1"/>
                <w:color w:val="auto"/>
              </w:rPr>
              <w:t>TO STOCK OPTION GRANT NOTICE</w:t>
            </w:r>
          </w:p>
        </w:tc>
      </w:tr>
      <w:tr>
        <w:trPr>
          <w:trHeight w:val="347"/>
        </w:trPr>
        <w:tc>
          <w:tcPr>
            <w:tcW w:w="6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300" w:type="dxa"/>
            <w:vAlign w:val="bottom"/>
            <w:gridSpan w:val="5"/>
          </w:tcPr>
          <w:p>
            <w:pPr>
              <w:jc w:val="center"/>
              <w:ind w:left="463"/>
              <w:spacing w:after="0"/>
              <w:rPr>
                <w:sz w:val="20"/>
                <w:szCs w:val="20"/>
                <w:color w:val="auto"/>
              </w:rPr>
            </w:pPr>
            <w:r>
              <w:rPr>
                <w:rFonts w:ascii="Times New Roman" w:cs="Times New Roman" w:eastAsia="Times New Roman" w:hAnsi="Times New Roman"/>
                <w:sz w:val="15"/>
                <w:szCs w:val="15"/>
                <w:b w:val="1"/>
                <w:bCs w:val="1"/>
                <w:color w:val="auto"/>
              </w:rPr>
              <w:t>CONSENT OF SPOUSE</w:t>
            </w:r>
          </w:p>
        </w:tc>
        <w:tc>
          <w:tcPr>
            <w:tcW w:w="400" w:type="dxa"/>
            <w:vAlign w:val="bottom"/>
          </w:tcPr>
          <w:p>
            <w:pPr>
              <w:spacing w:after="0"/>
              <w:rPr>
                <w:sz w:val="24"/>
                <w:szCs w:val="24"/>
                <w:color w:val="auto"/>
              </w:rPr>
            </w:pPr>
          </w:p>
        </w:tc>
        <w:tc>
          <w:tcPr>
            <w:tcW w:w="2000" w:type="dxa"/>
            <w:vAlign w:val="bottom"/>
          </w:tcPr>
          <w:p>
            <w:pPr>
              <w:spacing w:after="0"/>
              <w:rPr>
                <w:sz w:val="24"/>
                <w:szCs w:val="24"/>
                <w:color w:val="auto"/>
              </w:rPr>
            </w:pPr>
          </w:p>
        </w:tc>
      </w:tr>
      <w:tr>
        <w:trPr>
          <w:trHeight w:val="311"/>
        </w:trPr>
        <w:tc>
          <w:tcPr>
            <w:tcW w:w="640" w:type="dxa"/>
            <w:vAlign w:val="bottom"/>
          </w:tcPr>
          <w:p>
            <w:pPr>
              <w:ind w:left="500"/>
              <w:spacing w:after="0"/>
              <w:rPr>
                <w:sz w:val="20"/>
                <w:szCs w:val="20"/>
                <w:color w:val="auto"/>
              </w:rPr>
            </w:pPr>
            <w:r>
              <w:rPr>
                <w:rFonts w:ascii="Times New Roman" w:cs="Times New Roman" w:eastAsia="Times New Roman" w:hAnsi="Times New Roman"/>
                <w:sz w:val="15"/>
                <w:szCs w:val="15"/>
                <w:color w:val="auto"/>
              </w:rPr>
              <w:t>I,</w:t>
            </w:r>
          </w:p>
        </w:tc>
        <w:tc>
          <w:tcPr>
            <w:tcW w:w="1220" w:type="dxa"/>
            <w:vAlign w:val="bottom"/>
            <w:tcBorders>
              <w:bottom w:val="single" w:sz="8" w:color="auto"/>
            </w:tcBorders>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spouse of</w:t>
            </w:r>
          </w:p>
        </w:tc>
        <w:tc>
          <w:tcPr>
            <w:tcW w:w="1420" w:type="dxa"/>
            <w:vAlign w:val="bottom"/>
            <w:tcBorders>
              <w:bottom w:val="single" w:sz="8" w:color="auto"/>
            </w:tcBorders>
            <w:gridSpan w:val="2"/>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 have read and approve the Stock Option</w:t>
            </w:r>
          </w:p>
        </w:tc>
      </w:tr>
      <w:tr>
        <w:trPr>
          <w:trHeight w:val="159"/>
        </w:trPr>
        <w:tc>
          <w:tcPr>
            <w:tcW w:w="3120" w:type="dxa"/>
            <w:vAlign w:val="bottom"/>
            <w:gridSpan w:val="4"/>
          </w:tcPr>
          <w:p>
            <w:pPr>
              <w:spacing w:after="0" w:line="159" w:lineRule="exact"/>
              <w:rPr>
                <w:sz w:val="20"/>
                <w:szCs w:val="20"/>
                <w:color w:val="auto"/>
              </w:rPr>
            </w:pPr>
            <w:r>
              <w:rPr>
                <w:rFonts w:ascii="Times New Roman" w:cs="Times New Roman" w:eastAsia="Times New Roman" w:hAnsi="Times New Roman"/>
                <w:sz w:val="15"/>
                <w:szCs w:val="15"/>
                <w:color w:val="auto"/>
              </w:rPr>
              <w:t>Grant Notice and Stock Option Agreement dated</w:t>
            </w: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0"/>
              </w:rPr>
              <w:t>,</w:t>
            </w:r>
          </w:p>
        </w:tc>
        <w:tc>
          <w:tcPr>
            <w:tcW w:w="400" w:type="dxa"/>
            <w:vAlign w:val="bottom"/>
            <w:tcBorders>
              <w:bottom w:val="single" w:sz="8" w:color="auto"/>
            </w:tcBorders>
          </w:tcPr>
          <w:p>
            <w:pPr>
              <w:spacing w:after="0"/>
              <w:rPr>
                <w:sz w:val="13"/>
                <w:szCs w:val="13"/>
                <w:color w:val="auto"/>
              </w:rPr>
            </w:pPr>
          </w:p>
        </w:tc>
        <w:tc>
          <w:tcPr>
            <w:tcW w:w="2000" w:type="dxa"/>
            <w:vAlign w:val="bottom"/>
          </w:tcPr>
          <w:p>
            <w:pPr>
              <w:jc w:val="right"/>
              <w:spacing w:after="0" w:line="159" w:lineRule="exact"/>
              <w:rPr>
                <w:sz w:val="20"/>
                <w:szCs w:val="20"/>
                <w:color w:val="auto"/>
              </w:rPr>
            </w:pPr>
            <w:r>
              <w:rPr>
                <w:rFonts w:ascii="Times New Roman" w:cs="Times New Roman" w:eastAsia="Times New Roman" w:hAnsi="Times New Roman"/>
                <w:sz w:val="15"/>
                <w:szCs w:val="15"/>
                <w:color w:val="auto"/>
              </w:rPr>
              <w:t>between my spouse and Genoa</w:t>
            </w:r>
          </w:p>
        </w:tc>
      </w:tr>
    </w:tbl>
    <w:p>
      <w:pPr>
        <w:spacing w:after="0" w:line="4"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color w:val="auto"/>
        </w:rPr>
        <w:t>Pharmaceuticals, Inc. In consideration of granting of the right to my spouse to purchase shares of Genoa Pharmaceuticals, Inc. set forth in the Stock Option Grant Notice and Stock Option Agreement, I hereby appoint my spouse as my attorney-in-fact in respect to the exercise of any rights under the Stock Option Grant Notice and Stock Option Agreement and agree to be bound by the provisions of the Stock Option Grant Notice and Stock Option Agreement insofar as I may have any rights in said Stock Option Grant Notice and Stock Option Agreement or any shares issued pursuant thereto under the community property laws or similar laws relating to marital property in effect in the state of our residence as of the date of the signing of the Stock Option Grant Notice and Stock Option Agreement or the exercise of the option granted thereunder.</w:t>
      </w:r>
    </w:p>
    <w:p>
      <w:pPr>
        <w:spacing w:after="0" w:line="151" w:lineRule="exact"/>
        <w:rPr>
          <w:sz w:val="20"/>
          <w:szCs w:val="20"/>
          <w:color w:val="auto"/>
        </w:rPr>
      </w:pPr>
    </w:p>
    <w:p>
      <w:pPr>
        <w:ind w:left="1220"/>
        <w:spacing w:after="0"/>
        <w:tabs>
          <w:tab w:leader="none" w:pos="312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1074420</wp:posOffset>
            </wp:positionH>
            <wp:positionV relativeFrom="paragraph">
              <wp:posOffset>14605</wp:posOffset>
            </wp:positionV>
            <wp:extent cx="1334770" cy="698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334770" cy="6985"/>
                    </a:xfrm>
                    <a:prstGeom prst="rect">
                      <a:avLst/>
                    </a:prstGeom>
                    <a:noFill/>
                  </pic:spPr>
                </pic:pic>
              </a:graphicData>
            </a:graphic>
          </wp:anchor>
        </w:drawing>
      </w:r>
    </w:p>
    <w:p>
      <w:pPr>
        <w:spacing w:after="0" w:line="18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Signature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-104775</wp:posOffset>
            </wp:positionV>
            <wp:extent cx="2082800" cy="698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2082800" cy="6985"/>
                    </a:xfrm>
                    <a:prstGeom prst="rect">
                      <a:avLst/>
                    </a:prstGeom>
                    <a:noFill/>
                  </pic:spPr>
                </pic:pic>
              </a:graphicData>
            </a:graphic>
          </wp:anchor>
        </w:drawing>
      </w:r>
    </w:p>
    <w:p>
      <w:pPr>
        <w:spacing w:after="0" w:line="161" w:lineRule="exact"/>
        <w:rPr>
          <w:sz w:val="20"/>
          <w:szCs w:val="20"/>
          <w:color w:val="auto"/>
        </w:rPr>
      </w:pPr>
    </w:p>
    <w:p>
      <w:pPr>
        <w:jc w:val="both"/>
        <w:ind w:left="1220" w:right="1239" w:firstLine="505"/>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INSTRUCTIONS: </w:t>
      </w:r>
      <w:r>
        <w:rPr>
          <w:rFonts w:ascii="Times New Roman" w:cs="Times New Roman" w:eastAsia="Times New Roman" w:hAnsi="Times New Roman"/>
          <w:sz w:val="15"/>
          <w:szCs w:val="15"/>
          <w:color w:val="auto"/>
        </w:rPr>
        <w:t>Please do not fill in the blanks other than the signature line. The purpose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assignment is to enable the Company to exercise its “Repurchase Option,” as set forth in the Stock Option Grant Notice and Stock Option Agreement, without requiring additional signatures on the part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785495</wp:posOffset>
            </wp:positionV>
            <wp:extent cx="54857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00" w:name="page401"/>
    <w:bookmarkEnd w:id="400"/>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83(B) ELECTION AND INSTRUCTIONS</w:t>
      </w:r>
    </w:p>
    <w:p>
      <w:pPr>
        <w:spacing w:after="0" w:line="17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 xml:space="preserve">These instructions are provided to assist you if you choose to make an election under Section 83(b) of the Internal Revenue Code, as amended, with respect to the shares of common stock of Genoa Pharmaceuticals, Inc. transferred to you. </w:t>
      </w:r>
      <w:r>
        <w:rPr>
          <w:rFonts w:ascii="Times New Roman" w:cs="Times New Roman" w:eastAsia="Times New Roman" w:hAnsi="Times New Roman"/>
          <w:sz w:val="15"/>
          <w:szCs w:val="15"/>
          <w:b w:val="1"/>
          <w:bCs w:val="1"/>
          <w:color w:val="auto"/>
        </w:rPr>
        <w:t>Please consult with your personal tax advisor as to whether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an election of this nature will be in your best interests in light of your personal tax situation.</w:t>
      </w:r>
    </w:p>
    <w:p>
      <w:pPr>
        <w:spacing w:after="0" w:line="133" w:lineRule="exact"/>
        <w:rPr>
          <w:sz w:val="20"/>
          <w:szCs w:val="20"/>
          <w:color w:val="auto"/>
        </w:rPr>
      </w:pPr>
    </w:p>
    <w:p>
      <w:pPr>
        <w:jc w:val="both"/>
        <w:ind w:left="1220" w:right="1239" w:firstLine="505"/>
        <w:spacing w:after="0" w:line="259" w:lineRule="auto"/>
        <w:rPr>
          <w:sz w:val="20"/>
          <w:szCs w:val="20"/>
          <w:color w:val="auto"/>
        </w:rPr>
      </w:pPr>
      <w:r>
        <w:rPr>
          <w:rFonts w:ascii="Times New Roman" w:cs="Times New Roman" w:eastAsia="Times New Roman" w:hAnsi="Times New Roman"/>
          <w:sz w:val="15"/>
          <w:szCs w:val="15"/>
          <w:color w:val="auto"/>
        </w:rPr>
        <w:t xml:space="preserve">The executed original of the Section 83(b) election must be filed with the Internal Revenue Service not later than 30 days after the date the shares were transferred to you. </w:t>
      </w:r>
      <w:r>
        <w:rPr>
          <w:rFonts w:ascii="Times New Roman" w:cs="Times New Roman" w:eastAsia="Times New Roman" w:hAnsi="Times New Roman"/>
          <w:sz w:val="15"/>
          <w:szCs w:val="15"/>
          <w:b w:val="1"/>
          <w:bCs w:val="1"/>
          <w:color w:val="auto"/>
        </w:rPr>
        <w:t>There is no remedy for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 xml:space="preserve">failure to file on time. </w:t>
      </w:r>
      <w:r>
        <w:rPr>
          <w:rFonts w:ascii="Times New Roman" w:cs="Times New Roman" w:eastAsia="Times New Roman" w:hAnsi="Times New Roman"/>
          <w:sz w:val="15"/>
          <w:szCs w:val="15"/>
          <w:color w:val="auto"/>
        </w:rPr>
        <w:t>The steps outlined below should be followed to ensure the election is mailed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filed correctly and in a timely manner. </w:t>
      </w:r>
      <w:r>
        <w:rPr>
          <w:rFonts w:ascii="Times New Roman" w:cs="Times New Roman" w:eastAsia="Times New Roman" w:hAnsi="Times New Roman"/>
          <w:sz w:val="15"/>
          <w:szCs w:val="15"/>
          <w:b w:val="1"/>
          <w:bCs w:val="1"/>
          <w:color w:val="auto"/>
        </w:rPr>
        <w:t>If you make the Section 83(b) election, the election is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irrevocable.</w:t>
      </w:r>
    </w:p>
    <w:p>
      <w:pPr>
        <w:spacing w:after="0" w:line="317" w:lineRule="exact"/>
        <w:rPr>
          <w:sz w:val="20"/>
          <w:szCs w:val="20"/>
          <w:color w:val="auto"/>
        </w:rPr>
      </w:pPr>
    </w:p>
    <w:p>
      <w:pPr>
        <w:jc w:val="both"/>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 xml:space="preserve">Complete the Section 83(b) election form (attached as </w:t>
      </w:r>
      <w:r>
        <w:rPr>
          <w:rFonts w:ascii="Times New Roman" w:cs="Times New Roman" w:eastAsia="Times New Roman" w:hAnsi="Times New Roman"/>
          <w:sz w:val="15"/>
          <w:szCs w:val="15"/>
          <w:u w:val="single" w:color="auto"/>
          <w:color w:val="auto"/>
        </w:rPr>
        <w:t>Attachment 1</w:t>
      </w:r>
      <w:r>
        <w:rPr>
          <w:rFonts w:ascii="Times New Roman" w:cs="Times New Roman" w:eastAsia="Times New Roman" w:hAnsi="Times New Roman"/>
          <w:sz w:val="15"/>
          <w:szCs w:val="15"/>
          <w:color w:val="auto"/>
        </w:rPr>
        <w:t>) and make four (4) copies of the signed election form. Your spouse, if any, should sign the Section 83(b) election form as well.</w:t>
      </w:r>
    </w:p>
    <w:p>
      <w:pPr>
        <w:spacing w:after="0" w:line="1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 xml:space="preserve">Prepare the cover letter to the Internal Revenue Service (sample letter attached as </w:t>
      </w:r>
      <w:r>
        <w:rPr>
          <w:rFonts w:ascii="Times New Roman" w:cs="Times New Roman" w:eastAsia="Times New Roman" w:hAnsi="Times New Roman"/>
          <w:sz w:val="15"/>
          <w:szCs w:val="15"/>
          <w:u w:val="single" w:color="auto"/>
          <w:color w:val="auto"/>
        </w:rPr>
        <w:t>Attachment 2</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505"/>
        <w:spacing w:after="0" w:line="254" w:lineRule="auto"/>
        <w:rPr>
          <w:sz w:val="20"/>
          <w:szCs w:val="20"/>
          <w:color w:val="auto"/>
        </w:rPr>
      </w:pPr>
      <w:r>
        <w:rPr>
          <w:rFonts w:ascii="Times New Roman" w:cs="Times New Roman" w:eastAsia="Times New Roman" w:hAnsi="Times New Roman"/>
          <w:sz w:val="15"/>
          <w:szCs w:val="15"/>
          <w:color w:val="auto"/>
        </w:rPr>
        <w:t>Send the cover letter with the originally executed Section 83(b) election form and one (1) copy via certified mail, return receipt requested to the Internal Revenue Service at the address of the Internal Revenue Service where you file your personal tax returns. We suggest that you have the package date-stamped at the post office. The post office will provide you with a certified receipt that includes a dated postmark. Enclose a self-addressed, stamped envelope so that the Internal Revenue Service may return a date-stamped copy to you. However, your postmarked receipt is your proof of having timely filed the Section 83(b) election if you do not receive confirmation from the Internal Revenue Service.</w:t>
      </w:r>
    </w:p>
    <w:p>
      <w:pPr>
        <w:spacing w:after="0" w:line="137" w:lineRule="exact"/>
        <w:rPr>
          <w:sz w:val="20"/>
          <w:szCs w:val="20"/>
          <w:color w:val="auto"/>
        </w:rPr>
      </w:pPr>
    </w:p>
    <w:p>
      <w:pPr>
        <w:jc w:val="both"/>
        <w:ind w:left="1220" w:right="1239" w:firstLine="505"/>
        <w:spacing w:after="0" w:line="291" w:lineRule="auto"/>
        <w:rPr>
          <w:sz w:val="20"/>
          <w:szCs w:val="20"/>
          <w:color w:val="auto"/>
        </w:rPr>
      </w:pPr>
      <w:r>
        <w:rPr>
          <w:rFonts w:ascii="Times New Roman" w:cs="Times New Roman" w:eastAsia="Times New Roman" w:hAnsi="Times New Roman"/>
          <w:sz w:val="15"/>
          <w:szCs w:val="15"/>
          <w:color w:val="auto"/>
        </w:rPr>
        <w:t xml:space="preserve">One (1) copy must be sent to Genoa Pharmaceuticals, Inc. for its records and </w:t>
      </w:r>
      <w:r>
        <w:rPr>
          <w:rFonts w:ascii="Times New Roman" w:cs="Times New Roman" w:eastAsia="Times New Roman" w:hAnsi="Times New Roman"/>
          <w:sz w:val="15"/>
          <w:szCs w:val="15"/>
          <w:b w:val="1"/>
          <w:bCs w:val="1"/>
          <w:color w:val="auto"/>
        </w:rPr>
        <w:t>one (1) copy must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be attached to your federal income tax return for the applicable calendar year</w:t>
      </w:r>
      <w:r>
        <w:rPr>
          <w:rFonts w:ascii="Times New Roman" w:cs="Times New Roman" w:eastAsia="Times New Roman" w:hAnsi="Times New Roman"/>
          <w:sz w:val="15"/>
          <w:szCs w:val="15"/>
          <w:color w:val="auto"/>
        </w:rPr>
        <w:t>.</w:t>
      </w:r>
    </w:p>
    <w:p>
      <w:pPr>
        <w:spacing w:after="0" w:line="11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Retain the Internal Revenue Service file stamped copy (when returned) for your records.</w:t>
      </w:r>
    </w:p>
    <w:p>
      <w:pPr>
        <w:spacing w:after="0" w:line="174" w:lineRule="exact"/>
        <w:rPr>
          <w:sz w:val="20"/>
          <w:szCs w:val="20"/>
          <w:color w:val="auto"/>
        </w:rPr>
      </w:pPr>
    </w:p>
    <w:p>
      <w:pPr>
        <w:jc w:val="both"/>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Please consult your personal tax advisor for the address of the office of the Internal Revenue Service to which you should mail your election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659130</wp:posOffset>
            </wp:positionV>
            <wp:extent cx="54857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01" w:name="page402"/>
    <w:bookmarkEnd w:id="40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ATTACHMENT 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ELECTION UNDER INTERNAL REVENUE CODE SECTION 83(B)</w:t>
      </w:r>
    </w:p>
    <w:p>
      <w:pPr>
        <w:spacing w:after="0" w:line="17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The undersigned taxpayer hereby elects, pursuant to Section 83(b) of the Internal Revenue Code of 1986, as amended, to include in taxpayer’s gross income for the current taxable year the amount of any compensation taxable to taxpayer in connection with taxpayer’s receipt of shares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of Common Stock of Genoa Pharmaceuticals,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w:t>
      </w:r>
    </w:p>
    <w:p>
      <w:pPr>
        <w:spacing w:after="0" w:line="1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The name, address and taxpayer identification number of the undersigned taxpayer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241300</wp:posOffset>
            </wp:positionV>
            <wp:extent cx="1041400" cy="69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041400" cy="698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361950</wp:posOffset>
            </wp:positionV>
            <wp:extent cx="1041400" cy="698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041400" cy="698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481965</wp:posOffset>
            </wp:positionV>
            <wp:extent cx="1041400" cy="698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0414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5"/>
          <w:szCs w:val="15"/>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14605</wp:posOffset>
            </wp:positionV>
            <wp:extent cx="1041400" cy="698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041400" cy="6985"/>
                    </a:xfrm>
                    <a:prstGeom prst="rect">
                      <a:avLst/>
                    </a:prstGeom>
                    <a:noFill/>
                  </pic:spPr>
                </pic:pic>
              </a:graphicData>
            </a:graphic>
          </wp:anchor>
        </w:drawing>
      </w:r>
    </w:p>
    <w:p>
      <w:pPr>
        <w:spacing w:after="0" w:line="175" w:lineRule="exact"/>
        <w:rPr>
          <w:sz w:val="20"/>
          <w:szCs w:val="20"/>
          <w:color w:val="auto"/>
        </w:rPr>
      </w:pPr>
    </w:p>
    <w:p>
      <w:pPr>
        <w:ind w:left="1720" w:right="1239"/>
        <w:spacing w:after="0" w:line="285" w:lineRule="auto"/>
        <w:rPr>
          <w:sz w:val="20"/>
          <w:szCs w:val="20"/>
          <w:color w:val="auto"/>
        </w:rPr>
      </w:pPr>
      <w:r>
        <w:rPr>
          <w:rFonts w:ascii="Times New Roman" w:cs="Times New Roman" w:eastAsia="Times New Roman" w:hAnsi="Times New Roman"/>
          <w:sz w:val="15"/>
          <w:szCs w:val="15"/>
          <w:color w:val="auto"/>
        </w:rPr>
        <w:t>The name, address and taxpayer identification number of the Taxpayer’s spouse are (complete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1161415</wp:posOffset>
            </wp:positionH>
            <wp:positionV relativeFrom="paragraph">
              <wp:posOffset>204470</wp:posOffset>
            </wp:positionV>
            <wp:extent cx="1041400" cy="698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041400" cy="698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324485</wp:posOffset>
            </wp:positionV>
            <wp:extent cx="1041400" cy="698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041400" cy="6985"/>
                    </a:xfrm>
                    <a:prstGeom prst="rect">
                      <a:avLst/>
                    </a:prstGeom>
                    <a:noFill/>
                  </pic:spPr>
                </pic:pic>
              </a:graphicData>
            </a:graphic>
          </wp:anchor>
        </w:drawing>
        <w:drawing>
          <wp:anchor simplePos="0" relativeHeight="251657728" behindDoc="1" locked="0" layoutInCell="0" allowOverlap="1">
            <wp:simplePos x="0" y="0"/>
            <wp:positionH relativeFrom="column">
              <wp:posOffset>1161415</wp:posOffset>
            </wp:positionH>
            <wp:positionV relativeFrom="paragraph">
              <wp:posOffset>444500</wp:posOffset>
            </wp:positionV>
            <wp:extent cx="1041400" cy="698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0414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5"/>
          <w:szCs w:val="15"/>
          <w:color w:val="auto"/>
        </w:rPr>
        <w:t>SSN: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1408430</wp:posOffset>
            </wp:positionH>
            <wp:positionV relativeFrom="paragraph">
              <wp:posOffset>14605</wp:posOffset>
            </wp:positionV>
            <wp:extent cx="1041400" cy="698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041400" cy="6985"/>
                    </a:xfrm>
                    <a:prstGeom prst="rect">
                      <a:avLst/>
                    </a:prstGeom>
                    <a:noFill/>
                  </pic:spPr>
                </pic:pic>
              </a:graphicData>
            </a:graphic>
          </wp:anchor>
        </w:drawing>
      </w:r>
    </w:p>
    <w:p>
      <w:pPr>
        <w:spacing w:after="0" w:line="17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Description of the property with respect to which the election is being made:</w:t>
      </w:r>
    </w:p>
    <w:p>
      <w:pPr>
        <w:spacing w:after="0" w:line="174" w:lineRule="exact"/>
        <w:rPr>
          <w:sz w:val="20"/>
          <w:szCs w:val="20"/>
          <w:color w:val="auto"/>
        </w:rPr>
      </w:pPr>
    </w:p>
    <w:p>
      <w:pPr>
        <w:ind w:left="3560" w:hanging="445"/>
        <w:spacing w:after="0"/>
        <w:tabs>
          <w:tab w:leader="none" w:pos="3560" w:val="left"/>
        </w:tabs>
        <w:numPr>
          <w:ilvl w:val="0"/>
          <w:numId w:val="3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shares of Common Stock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-5080</wp:posOffset>
            </wp:positionV>
            <wp:extent cx="1157605" cy="698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146" w:lineRule="exact"/>
        <w:rPr>
          <w:sz w:val="20"/>
          <w:szCs w:val="20"/>
          <w:color w:val="auto"/>
        </w:rPr>
      </w:pPr>
    </w:p>
    <w:tbl>
      <w:tblPr>
        <w:tblLayout w:type="fixed"/>
        <w:tblInd w:w="1220" w:type="dxa"/>
        <w:tblCellMar>
          <w:top w:w="0" w:type="dxa"/>
          <w:left w:w="0" w:type="dxa"/>
          <w:bottom w:w="0" w:type="dxa"/>
          <w:right w:w="0" w:type="dxa"/>
        </w:tblCellMar>
      </w:tblPr>
      <w:tr>
        <w:trPr>
          <w:trHeight w:val="172"/>
        </w:trPr>
        <w:tc>
          <w:tcPr>
            <w:tcW w:w="3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The date on which the property was transferred was</w:t>
            </w:r>
          </w:p>
        </w:tc>
        <w:tc>
          <w:tcPr>
            <w:tcW w:w="3240" w:type="dxa"/>
            <w:vAlign w:val="bottom"/>
            <w:gridSpan w:val="2"/>
          </w:tcPr>
          <w:p>
            <w:pPr>
              <w:ind w:left="1180"/>
              <w:spacing w:after="0"/>
              <w:rPr>
                <w:sz w:val="20"/>
                <w:szCs w:val="20"/>
                <w:color w:val="auto"/>
              </w:rPr>
            </w:pPr>
            <w:r>
              <w:rPr>
                <w:rFonts w:ascii="Times New Roman" w:cs="Times New Roman" w:eastAsia="Times New Roman" w:hAnsi="Times New Roman"/>
                <w:sz w:val="15"/>
                <w:szCs w:val="15"/>
                <w:color w:val="auto"/>
              </w:rPr>
              <w:t>.  The taxable year to which this</w:t>
            </w:r>
          </w:p>
        </w:tc>
      </w:tr>
      <w:tr>
        <w:trPr>
          <w:trHeight w:val="159"/>
        </w:trPr>
        <w:tc>
          <w:tcPr>
            <w:tcW w:w="198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election relates is calendar year</w:t>
            </w:r>
          </w:p>
        </w:tc>
        <w:tc>
          <w:tcPr>
            <w:tcW w:w="380" w:type="dxa"/>
            <w:vAlign w:val="bottom"/>
            <w:tcBorders>
              <w:bottom w:val="single" w:sz="8" w:color="auto"/>
            </w:tcBorders>
          </w:tcPr>
          <w:p>
            <w:pPr>
              <w:spacing w:after="0"/>
              <w:rPr>
                <w:sz w:val="13"/>
                <w:szCs w:val="13"/>
                <w:color w:val="auto"/>
              </w:rPr>
            </w:pPr>
          </w:p>
        </w:tc>
        <w:tc>
          <w:tcPr>
            <w:tcW w:w="960" w:type="dxa"/>
            <w:vAlign w:val="bottom"/>
          </w:tcPr>
          <w:p>
            <w:pPr>
              <w:jc w:val="right"/>
              <w:ind w:right="865"/>
              <w:spacing w:after="0"/>
              <w:rPr>
                <w:sz w:val="20"/>
                <w:szCs w:val="20"/>
                <w:color w:val="auto"/>
              </w:rPr>
            </w:pPr>
            <w:r>
              <w:rPr>
                <w:rFonts w:ascii="Times New Roman" w:cs="Times New Roman" w:eastAsia="Times New Roman" w:hAnsi="Times New Roman"/>
                <w:sz w:val="11"/>
                <w:szCs w:val="11"/>
                <w:color w:val="auto"/>
                <w:w w:val="70"/>
              </w:rPr>
              <w:t>.</w:t>
            </w:r>
          </w:p>
        </w:tc>
        <w:tc>
          <w:tcPr>
            <w:tcW w:w="1180" w:type="dxa"/>
            <w:vAlign w:val="bottom"/>
            <w:tcBorders>
              <w:top w:val="single" w:sz="8" w:color="auto"/>
            </w:tcBorders>
          </w:tcPr>
          <w:p>
            <w:pPr>
              <w:spacing w:after="0"/>
              <w:rPr>
                <w:sz w:val="13"/>
                <w:szCs w:val="13"/>
                <w:color w:val="auto"/>
              </w:rPr>
            </w:pPr>
          </w:p>
        </w:tc>
        <w:tc>
          <w:tcPr>
            <w:tcW w:w="2060" w:type="dxa"/>
            <w:vAlign w:val="bottom"/>
          </w:tcPr>
          <w:p>
            <w:pPr>
              <w:spacing w:after="0"/>
              <w:rPr>
                <w:sz w:val="13"/>
                <w:szCs w:val="13"/>
                <w:color w:val="auto"/>
              </w:rPr>
            </w:pPr>
          </w:p>
        </w:tc>
      </w:tr>
    </w:tbl>
    <w:p>
      <w:pPr>
        <w:spacing w:after="0" w:line="17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Nature of restrictions to which the property is subject:</w:t>
      </w:r>
    </w:p>
    <w:p>
      <w:pPr>
        <w:spacing w:after="0" w:line="174" w:lineRule="exact"/>
        <w:rPr>
          <w:sz w:val="20"/>
          <w:szCs w:val="20"/>
          <w:color w:val="auto"/>
        </w:rPr>
      </w:pPr>
    </w:p>
    <w:p>
      <w:pPr>
        <w:jc w:val="both"/>
        <w:ind w:left="1720" w:right="1239"/>
        <w:spacing w:after="0" w:line="267" w:lineRule="auto"/>
        <w:rPr>
          <w:sz w:val="20"/>
          <w:szCs w:val="20"/>
          <w:color w:val="auto"/>
        </w:rPr>
      </w:pPr>
      <w:r>
        <w:rPr>
          <w:rFonts w:ascii="Times New Roman" w:cs="Times New Roman" w:eastAsia="Times New Roman" w:hAnsi="Times New Roman"/>
          <w:sz w:val="15"/>
          <w:szCs w:val="15"/>
          <w:color w:val="auto"/>
        </w:rPr>
        <w:t>The Shares are subject to repurchase by the Company or its assignee upon the occurrence of certain events. This repurchase right lapses based upon the continued performance of services by the taxpayer over time.</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The fair market value at the time of transfer (determined without regard to any lapse restrictions, as</w:t>
      </w:r>
    </w:p>
    <w:tbl>
      <w:tblPr>
        <w:tblLayout w:type="fixed"/>
        <w:tblInd w:w="200" w:type="dxa"/>
        <w:tblCellMar>
          <w:top w:w="0" w:type="dxa"/>
          <w:left w:w="0" w:type="dxa"/>
          <w:bottom w:w="0" w:type="dxa"/>
          <w:right w:w="0" w:type="dxa"/>
        </w:tblCellMar>
      </w:tblPr>
      <w:tr>
        <w:trPr>
          <w:trHeight w:val="170"/>
        </w:trPr>
        <w:tc>
          <w:tcPr>
            <w:tcW w:w="5320" w:type="dxa"/>
            <w:vAlign w:val="bottom"/>
            <w:gridSpan w:val="7"/>
          </w:tcPr>
          <w:p>
            <w:pPr>
              <w:ind w:left="1020"/>
              <w:spacing w:after="0" w:line="170" w:lineRule="exact"/>
              <w:rPr>
                <w:sz w:val="20"/>
                <w:szCs w:val="20"/>
                <w:color w:val="auto"/>
              </w:rPr>
            </w:pPr>
            <w:r>
              <w:rPr>
                <w:rFonts w:ascii="Times New Roman" w:cs="Times New Roman" w:eastAsia="Times New Roman" w:hAnsi="Times New Roman"/>
                <w:sz w:val="15"/>
                <w:szCs w:val="15"/>
                <w:color w:val="auto"/>
              </w:rPr>
              <w:t>defined in Treasury Regulation Section 1.83-3(i)) of the Shares was $</w:t>
            </w:r>
          </w:p>
        </w:tc>
        <w:tc>
          <w:tcPr>
            <w:tcW w:w="920" w:type="dxa"/>
            <w:vAlign w:val="bottom"/>
            <w:tcBorders>
              <w:bottom w:val="single" w:sz="8" w:color="auto"/>
            </w:tcBorders>
            <w:gridSpan w:val="2"/>
          </w:tcPr>
          <w:p>
            <w:pPr>
              <w:spacing w:after="0"/>
              <w:rPr>
                <w:sz w:val="14"/>
                <w:szCs w:val="14"/>
                <w:color w:val="auto"/>
              </w:rPr>
            </w:pPr>
          </w:p>
        </w:tc>
        <w:tc>
          <w:tcPr>
            <w:tcW w:w="2360" w:type="dxa"/>
            <w:vAlign w:val="bottom"/>
            <w:gridSpan w:val="2"/>
          </w:tcPr>
          <w:p>
            <w:pPr>
              <w:ind w:left="40"/>
              <w:spacing w:after="0" w:line="170" w:lineRule="exact"/>
              <w:rPr>
                <w:sz w:val="20"/>
                <w:szCs w:val="20"/>
                <w:color w:val="auto"/>
              </w:rPr>
            </w:pPr>
            <w:r>
              <w:rPr>
                <w:rFonts w:ascii="Times New Roman" w:cs="Times New Roman" w:eastAsia="Times New Roman" w:hAnsi="Times New Roman"/>
                <w:sz w:val="15"/>
                <w:szCs w:val="15"/>
                <w:color w:val="auto"/>
              </w:rPr>
              <w:t>per Share.</w:t>
            </w:r>
          </w:p>
        </w:tc>
        <w:tc>
          <w:tcPr>
            <w:tcW w:w="0" w:type="dxa"/>
            <w:vAlign w:val="bottom"/>
          </w:tcPr>
          <w:p>
            <w:pPr>
              <w:spacing w:after="0"/>
              <w:rPr>
                <w:sz w:val="1"/>
                <w:szCs w:val="1"/>
                <w:color w:val="auto"/>
              </w:rPr>
            </w:pPr>
          </w:p>
        </w:tc>
      </w:tr>
      <w:tr>
        <w:trPr>
          <w:trHeight w:val="327"/>
        </w:trPr>
        <w:tc>
          <w:tcPr>
            <w:tcW w:w="4260" w:type="dxa"/>
            <w:vAlign w:val="bottom"/>
            <w:gridSpan w:val="5"/>
          </w:tcPr>
          <w:p>
            <w:pPr>
              <w:ind w:left="1020"/>
              <w:spacing w:after="0"/>
              <w:rPr>
                <w:sz w:val="20"/>
                <w:szCs w:val="20"/>
                <w:color w:val="auto"/>
              </w:rPr>
            </w:pPr>
            <w:r>
              <w:rPr>
                <w:rFonts w:ascii="Times New Roman" w:cs="Times New Roman" w:eastAsia="Times New Roman" w:hAnsi="Times New Roman"/>
                <w:sz w:val="15"/>
                <w:szCs w:val="15"/>
                <w:color w:val="auto"/>
              </w:rPr>
              <w:t>The amount paid by the taxpayer for the Shares was</w:t>
            </w:r>
          </w:p>
        </w:tc>
        <w:tc>
          <w:tcPr>
            <w:tcW w:w="940" w:type="dxa"/>
            <w:vAlign w:val="bottom"/>
            <w:tcBorders>
              <w:bottom w:val="single" w:sz="8" w:color="auto"/>
            </w:tcBorders>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5"/>
                <w:szCs w:val="15"/>
                <w:color w:val="auto"/>
              </w:rPr>
              <w:t>per share.</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6240" w:type="dxa"/>
            <w:vAlign w:val="bottom"/>
            <w:gridSpan w:val="9"/>
          </w:tcPr>
          <w:p>
            <w:pPr>
              <w:ind w:left="1020"/>
              <w:spacing w:after="0"/>
              <w:rPr>
                <w:sz w:val="20"/>
                <w:szCs w:val="20"/>
                <w:color w:val="auto"/>
              </w:rPr>
            </w:pPr>
            <w:r>
              <w:rPr>
                <w:rFonts w:ascii="Times New Roman" w:cs="Times New Roman" w:eastAsia="Times New Roman" w:hAnsi="Times New Roman"/>
                <w:sz w:val="15"/>
                <w:szCs w:val="15"/>
                <w:color w:val="auto"/>
              </w:rPr>
              <w:t>A copy of this statement has been furnished to the Company.</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500" w:type="dxa"/>
            <w:vAlign w:val="bottom"/>
            <w:vMerge w:val="restart"/>
          </w:tcPr>
          <w:p>
            <w:pPr>
              <w:ind w:left="1020"/>
              <w:spacing w:after="0"/>
              <w:rPr>
                <w:sz w:val="20"/>
                <w:szCs w:val="20"/>
                <w:color w:val="auto"/>
              </w:rPr>
            </w:pPr>
            <w:r>
              <w:rPr>
                <w:rFonts w:ascii="Times New Roman" w:cs="Times New Roman" w:eastAsia="Times New Roman" w:hAnsi="Times New Roman"/>
                <w:sz w:val="15"/>
                <w:szCs w:val="15"/>
                <w:color w:val="auto"/>
              </w:rPr>
              <w:t>Dated:</w:t>
            </w:r>
          </w:p>
        </w:tc>
        <w:tc>
          <w:tcPr>
            <w:tcW w:w="15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5"/>
                <w:szCs w:val="15"/>
                <w:color w:val="auto"/>
              </w:rPr>
              <w:t>,</w:t>
            </w: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gridSpan w:val="4"/>
          </w:tcPr>
          <w:p>
            <w:pPr>
              <w:ind w:left="260"/>
              <w:spacing w:after="0"/>
              <w:rPr>
                <w:sz w:val="20"/>
                <w:szCs w:val="20"/>
                <w:color w:val="auto"/>
              </w:rPr>
            </w:pPr>
            <w:r>
              <w:rPr>
                <w:rFonts w:ascii="Times New Roman" w:cs="Times New Roman" w:eastAsia="Times New Roman" w:hAnsi="Times New Roman"/>
                <w:sz w:val="15"/>
                <w:szCs w:val="15"/>
                <w:color w:val="auto"/>
              </w:rPr>
              <w:t>Taxpayer Signature</w:t>
            </w:r>
          </w:p>
        </w:tc>
        <w:tc>
          <w:tcPr>
            <w:tcW w:w="1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3"/>
        </w:trPr>
        <w:tc>
          <w:tcPr>
            <w:tcW w:w="1500" w:type="dxa"/>
            <w:vAlign w:val="bottom"/>
            <w:tcBorders>
              <w:bottom w:val="single" w:sz="8" w:color="9A9A9A"/>
            </w:tcBorders>
          </w:tcPr>
          <w:p>
            <w:pPr>
              <w:spacing w:after="0"/>
              <w:rPr>
                <w:sz w:val="24"/>
                <w:szCs w:val="24"/>
                <w:color w:val="auto"/>
              </w:rPr>
            </w:pPr>
          </w:p>
        </w:tc>
        <w:tc>
          <w:tcPr>
            <w:tcW w:w="1440" w:type="dxa"/>
            <w:vAlign w:val="bottom"/>
            <w:tcBorders>
              <w:top w:val="single" w:sz="8" w:color="auto"/>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top w:val="single" w:sz="8" w:color="auto"/>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02" w:name="page403"/>
    <w:bookmarkEnd w:id="402"/>
    <w:p>
      <w:pPr>
        <w:jc w:val="right"/>
        <w:ind w:right="1239"/>
        <w:spacing w:after="0"/>
        <w:rPr>
          <w:sz w:val="20"/>
          <w:szCs w:val="20"/>
          <w:color w:val="auto"/>
        </w:rPr>
      </w:pPr>
      <w:r>
        <w:rPr>
          <w:rFonts w:ascii="Times New Roman" w:cs="Times New Roman" w:eastAsia="Times New Roman" w:hAnsi="Times New Roman"/>
          <w:sz w:val="15"/>
          <w:szCs w:val="15"/>
          <w:b w:val="1"/>
          <w:bCs w:val="1"/>
          <w:color w:val="auto"/>
        </w:rPr>
        <w:t>Exhibit 10.2</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AMENDMENT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EQUITY INCENTIVE PLAN</w:t>
      </w:r>
    </w:p>
    <w:p>
      <w:pPr>
        <w:spacing w:after="0" w:line="15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WHEREAS, the Board of Directors of Avalyn Pharma Inc.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approved and adopted the 2022 Equity Incentive Plan (the “</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of the Company on February 10, 2022. The Plan was first amended by the Company on November 18, 2022 and amended again on September 22, 2023 and on April 25, 2025; and</w:t>
      </w:r>
    </w:p>
    <w:p>
      <w:pPr>
        <w:spacing w:after="0" w:line="133"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WHEREAS, the Board of Directors and the stockholders of the Company have determined that it is in the best interest of the Company to further amend the Plan as set forth in this Amendment (this “Amendment”).</w:t>
      </w:r>
    </w:p>
    <w:p>
      <w:pPr>
        <w:spacing w:after="0" w:line="1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NOW, THEREFORE, the Plan is amended as follows:</w:t>
      </w:r>
    </w:p>
    <w:p>
      <w:pPr>
        <w:spacing w:after="0" w:line="170" w:lineRule="exact"/>
        <w:rPr>
          <w:sz w:val="20"/>
          <w:szCs w:val="20"/>
          <w:color w:val="auto"/>
        </w:rPr>
      </w:pPr>
    </w:p>
    <w:p>
      <w:pPr>
        <w:ind w:left="2000" w:hanging="271"/>
        <w:spacing w:after="0"/>
        <w:tabs>
          <w:tab w:leader="none" w:pos="2000" w:val="left"/>
        </w:tabs>
        <w:numPr>
          <w:ilvl w:val="0"/>
          <w:numId w:val="30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Amendment of the Plan</w:t>
      </w:r>
    </w:p>
    <w:p>
      <w:pPr>
        <w:spacing w:after="0" w:line="174" w:lineRule="exact"/>
        <w:rPr>
          <w:sz w:val="20"/>
          <w:szCs w:val="20"/>
          <w:color w:val="auto"/>
        </w:rPr>
      </w:pPr>
    </w:p>
    <w:p>
      <w:pPr>
        <w:ind w:left="2240"/>
        <w:spacing w:after="0"/>
        <w:tabs>
          <w:tab w:leader="none" w:pos="2720" w:val="left"/>
        </w:tabs>
        <w:rPr>
          <w:sz w:val="20"/>
          <w:szCs w:val="20"/>
          <w:color w:val="auto"/>
        </w:rPr>
      </w:pPr>
      <w:r>
        <w:rPr>
          <w:rFonts w:ascii="Times New Roman" w:cs="Times New Roman" w:eastAsia="Times New Roman" w:hAnsi="Times New Roman"/>
          <w:sz w:val="15"/>
          <w:szCs w:val="15"/>
          <w:b w:val="1"/>
          <w:bCs w:val="1"/>
          <w:color w:val="auto"/>
        </w:rPr>
        <w:t>1.01.</w:t>
      </w:r>
      <w:r>
        <w:rPr>
          <w:sz w:val="20"/>
          <w:szCs w:val="20"/>
          <w:color w:val="auto"/>
        </w:rPr>
        <w:tab/>
      </w:r>
      <w:r>
        <w:rPr>
          <w:rFonts w:ascii="Times New Roman" w:cs="Times New Roman" w:eastAsia="Times New Roman" w:hAnsi="Times New Roman"/>
          <w:sz w:val="15"/>
          <w:szCs w:val="15"/>
          <w:color w:val="auto"/>
        </w:rPr>
        <w:t>Section 2.1 of the Plan is hereby amended and restated in its entirety to read as</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follows:</w:t>
      </w:r>
    </w:p>
    <w:p>
      <w:pPr>
        <w:spacing w:after="0" w:line="154"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5"/>
          <w:szCs w:val="15"/>
          <w:b w:val="1"/>
          <w:bCs w:val="1"/>
          <w:u w:val="single" w:color="auto"/>
          <w:color w:val="auto"/>
        </w:rPr>
        <w:t>“2.1. Number of Shares Available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Sections 2.2 and 11 hereof, the total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number of Shares reserved and available for grant and issuance pursuant to this Plan will be 74,840,074 Shares, plus (a) shares that are subject to issuance under the Company’s 2012 Equity Incentive Plan (the “</w:t>
      </w:r>
      <w:r>
        <w:rPr>
          <w:rFonts w:ascii="Times New Roman" w:cs="Times New Roman" w:eastAsia="Times New Roman" w:hAnsi="Times New Roman"/>
          <w:sz w:val="15"/>
          <w:szCs w:val="15"/>
          <w:b w:val="1"/>
          <w:bCs w:val="1"/>
          <w:i w:val="1"/>
          <w:iCs w:val="1"/>
          <w:color w:val="auto"/>
        </w:rPr>
        <w:t>Prior Plan</w:t>
      </w:r>
      <w:r>
        <w:rPr>
          <w:rFonts w:ascii="Times New Roman" w:cs="Times New Roman" w:eastAsia="Times New Roman" w:hAnsi="Times New Roman"/>
          <w:sz w:val="15"/>
          <w:szCs w:val="15"/>
          <w:color w:val="auto"/>
        </w:rPr>
        <w:t>”) but cease to be subject to an award for any reason other than exercise of an option or settlement of such award after the Effective Date (as defined in Section 13.1 hereof); and (b) shares that were issued under the Prior Plan which are repurchased by the Company or which are forfeited, used to pay withholding obligations with respect to any award granted under the Prior Plan or pay the exercise price of an option granted under the Prior Plan after the Effective Date.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748,400,740 Shares (adjusted in proportion to any adjustments under Section 2.2 hereof) over the term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680085</wp:posOffset>
            </wp:positionV>
            <wp:extent cx="54857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03" w:name="page404"/>
    <w:bookmarkEnd w:id="403"/>
    <w:p>
      <w:pPr>
        <w:ind w:left="2000" w:hanging="271"/>
        <w:spacing w:after="0"/>
        <w:tabs>
          <w:tab w:leader="none" w:pos="2000" w:val="left"/>
        </w:tabs>
        <w:numPr>
          <w:ilvl w:val="0"/>
          <w:numId w:val="30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Miscellaneous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5"/>
          <w:szCs w:val="15"/>
          <w:b w:val="1"/>
          <w:bCs w:val="1"/>
          <w:color w:val="auto"/>
        </w:rPr>
        <w:t>2.01.</w:t>
      </w:r>
      <w:r>
        <w:rPr>
          <w:sz w:val="20"/>
          <w:szCs w:val="20"/>
          <w:color w:val="auto"/>
        </w:rPr>
        <w:tab/>
      </w:r>
      <w:r>
        <w:rPr>
          <w:rFonts w:ascii="Times New Roman" w:cs="Times New Roman" w:eastAsia="Times New Roman" w:hAnsi="Times New Roman"/>
          <w:sz w:val="15"/>
          <w:szCs w:val="15"/>
          <w:u w:val="single" w:color="auto"/>
          <w:color w:val="auto"/>
        </w:rPr>
        <w:t>Effect</w:t>
      </w:r>
      <w:r>
        <w:rPr>
          <w:rFonts w:ascii="Times New Roman" w:cs="Times New Roman" w:eastAsia="Times New Roman" w:hAnsi="Times New Roman"/>
          <w:sz w:val="15"/>
          <w:szCs w:val="15"/>
          <w:color w:val="auto"/>
        </w:rPr>
        <w:t>. Except as amended hereby, the Plan shall remain in full force and effect.</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2.02. </w:t>
      </w: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All capitalized terms used but not specifically defined herein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have the same meanings given such terms in the Plan unless the context clearly indicates or dictates a contrary meaning.</w:t>
      </w:r>
    </w:p>
    <w:p>
      <w:pPr>
        <w:spacing w:after="0" w:line="122"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2.03.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Amendment shall be governed by and construed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accordance with the laws of the State of Delaware, without giving effect to that body of laws pertaining to conflict of laws.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422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ADOPTED BY BOARD OF DIRECTORS:</w:t>
            </w:r>
          </w:p>
        </w:tc>
        <w:tc>
          <w:tcPr>
            <w:tcW w:w="4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January 2, 2026</w:t>
            </w:r>
          </w:p>
        </w:tc>
      </w:tr>
      <w:tr>
        <w:trPr>
          <w:trHeight w:val="347"/>
        </w:trPr>
        <w:tc>
          <w:tcPr>
            <w:tcW w:w="422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APPROVED BY STOCKHOLDERS:</w:t>
            </w:r>
          </w:p>
        </w:tc>
        <w:tc>
          <w:tcPr>
            <w:tcW w:w="43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January 2, 2026</w:t>
            </w:r>
          </w:p>
        </w:tc>
      </w:tr>
      <w:tr>
        <w:trPr>
          <w:trHeight w:val="1259"/>
        </w:trPr>
        <w:tc>
          <w:tcPr>
            <w:tcW w:w="42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04" w:name="page405"/>
    <w:bookmarkEnd w:id="404"/>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AMENDMENT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EQUITY INCENTIVE PLAN</w:t>
      </w:r>
    </w:p>
    <w:p>
      <w:pPr>
        <w:spacing w:after="0" w:line="158" w:lineRule="exact"/>
        <w:rPr>
          <w:sz w:val="20"/>
          <w:szCs w:val="20"/>
          <w:color w:val="auto"/>
        </w:rPr>
      </w:pPr>
    </w:p>
    <w:p>
      <w:pPr>
        <w:jc w:val="both"/>
        <w:ind w:left="1220" w:right="1239" w:firstLine="505"/>
        <w:spacing w:after="0" w:line="256" w:lineRule="auto"/>
        <w:rPr>
          <w:sz w:val="20"/>
          <w:szCs w:val="20"/>
          <w:color w:val="auto"/>
        </w:rPr>
      </w:pPr>
      <w:r>
        <w:rPr>
          <w:rFonts w:ascii="Times New Roman" w:cs="Times New Roman" w:eastAsia="Times New Roman" w:hAnsi="Times New Roman"/>
          <w:sz w:val="15"/>
          <w:szCs w:val="15"/>
          <w:color w:val="auto"/>
        </w:rPr>
        <w:t>WHEREAS, the Board of Directors of Avalyn Pharma Inc.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approved and adopted the 2022 Equity Incentive Plan (the “</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of the Company on February 10, 2022. The Plan was first amended by the Company on November 18, 2022 and amended again on September 22, 2023; and WHEREAS, the Board of Directors and the stockholders of the Company have determined that it is in the best interest of the Company to further amend the Plan as set forth in this Amendment (this “Amendment”).</w:t>
      </w:r>
    </w:p>
    <w:p>
      <w:pPr>
        <w:spacing w:after="0" w:line="3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NOW, THEREFORE, the Plan is amended as follows:</w:t>
      </w:r>
    </w:p>
    <w:p>
      <w:pPr>
        <w:spacing w:after="0" w:line="170" w:lineRule="exact"/>
        <w:rPr>
          <w:sz w:val="20"/>
          <w:szCs w:val="20"/>
          <w:color w:val="auto"/>
        </w:rPr>
      </w:pPr>
    </w:p>
    <w:p>
      <w:pPr>
        <w:ind w:left="2000" w:hanging="271"/>
        <w:spacing w:after="0"/>
        <w:tabs>
          <w:tab w:leader="none" w:pos="2000" w:val="left"/>
        </w:tabs>
        <w:numPr>
          <w:ilvl w:val="0"/>
          <w:numId w:val="30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Amendment of the Plan</w:t>
      </w:r>
    </w:p>
    <w:p>
      <w:pPr>
        <w:spacing w:after="0" w:line="174" w:lineRule="exact"/>
        <w:rPr>
          <w:sz w:val="20"/>
          <w:szCs w:val="20"/>
          <w:color w:val="auto"/>
        </w:rPr>
      </w:pPr>
    </w:p>
    <w:p>
      <w:pPr>
        <w:ind w:left="2240"/>
        <w:spacing w:after="0"/>
        <w:tabs>
          <w:tab w:leader="none" w:pos="2720" w:val="left"/>
        </w:tabs>
        <w:rPr>
          <w:sz w:val="20"/>
          <w:szCs w:val="20"/>
          <w:color w:val="auto"/>
        </w:rPr>
      </w:pPr>
      <w:r>
        <w:rPr>
          <w:rFonts w:ascii="Times New Roman" w:cs="Times New Roman" w:eastAsia="Times New Roman" w:hAnsi="Times New Roman"/>
          <w:sz w:val="15"/>
          <w:szCs w:val="15"/>
          <w:b w:val="1"/>
          <w:bCs w:val="1"/>
          <w:color w:val="auto"/>
        </w:rPr>
        <w:t>1.01.</w:t>
      </w:r>
      <w:r>
        <w:rPr>
          <w:sz w:val="20"/>
          <w:szCs w:val="20"/>
          <w:color w:val="auto"/>
        </w:rPr>
        <w:tab/>
      </w:r>
      <w:r>
        <w:rPr>
          <w:rFonts w:ascii="Times New Roman" w:cs="Times New Roman" w:eastAsia="Times New Roman" w:hAnsi="Times New Roman"/>
          <w:sz w:val="15"/>
          <w:szCs w:val="15"/>
          <w:color w:val="auto"/>
        </w:rPr>
        <w:t>Section 2.1 of the Plan is hereby amended and restated in its entirety to read as</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follows:</w:t>
      </w:r>
    </w:p>
    <w:p>
      <w:pPr>
        <w:spacing w:after="0" w:line="154"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5"/>
          <w:szCs w:val="15"/>
          <w:b w:val="1"/>
          <w:bCs w:val="1"/>
          <w:u w:val="single" w:color="auto"/>
          <w:color w:val="auto"/>
        </w:rPr>
        <w:t>“2.1 Number of Shares Available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Sections 2.2 and 11 hereof, the total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number of Shares reserved and available for grant and issuance pursuant to this Plan will be 65,771,251 Shares, plus (a) shares that are subject to issuance under the Company’s 2012 Equity Incentive Plan (the “</w:t>
      </w:r>
      <w:r>
        <w:rPr>
          <w:rFonts w:ascii="Times New Roman" w:cs="Times New Roman" w:eastAsia="Times New Roman" w:hAnsi="Times New Roman"/>
          <w:sz w:val="15"/>
          <w:szCs w:val="15"/>
          <w:b w:val="1"/>
          <w:bCs w:val="1"/>
          <w:i w:val="1"/>
          <w:iCs w:val="1"/>
          <w:color w:val="auto"/>
        </w:rPr>
        <w:t>Prior Plan</w:t>
      </w:r>
      <w:r>
        <w:rPr>
          <w:rFonts w:ascii="Times New Roman" w:cs="Times New Roman" w:eastAsia="Times New Roman" w:hAnsi="Times New Roman"/>
          <w:sz w:val="15"/>
          <w:szCs w:val="15"/>
          <w:color w:val="auto"/>
        </w:rPr>
        <w:t>”) but cease to be subject to an award for any reason other than exercise of an option or settlement of such award after the Effective Date (as defined in Section 13.1 hereof); and (b) shares that were issued under the Prior Plan which are repurchased by the Company or which are forfeited, used to pay withholding obligations with respect to any award granted under the Prior Plan or pay the exercise price of an option granted under the Prior Plan after the Effective Date.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657,712,510 Shares (adjusted in proportion to any adjustments under Section 2.2 hereof) over the term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680085</wp:posOffset>
            </wp:positionV>
            <wp:extent cx="54857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05" w:name="page406"/>
    <w:bookmarkEnd w:id="405"/>
    <w:p>
      <w:pPr>
        <w:ind w:left="2000" w:hanging="271"/>
        <w:spacing w:after="0"/>
        <w:tabs>
          <w:tab w:leader="none" w:pos="2000" w:val="left"/>
        </w:tabs>
        <w:numPr>
          <w:ilvl w:val="0"/>
          <w:numId w:val="3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Miscellaneous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ind w:left="2240"/>
        <w:spacing w:after="0"/>
        <w:tabs>
          <w:tab w:leader="none" w:pos="2680" w:val="left"/>
        </w:tabs>
        <w:rPr>
          <w:sz w:val="20"/>
          <w:szCs w:val="20"/>
          <w:color w:val="auto"/>
        </w:rPr>
      </w:pPr>
      <w:r>
        <w:rPr>
          <w:rFonts w:ascii="Times New Roman" w:cs="Times New Roman" w:eastAsia="Times New Roman" w:hAnsi="Times New Roman"/>
          <w:sz w:val="15"/>
          <w:szCs w:val="15"/>
          <w:b w:val="1"/>
          <w:bCs w:val="1"/>
          <w:color w:val="auto"/>
        </w:rPr>
        <w:t>2.01.</w:t>
      </w:r>
      <w:r>
        <w:rPr>
          <w:sz w:val="20"/>
          <w:szCs w:val="20"/>
          <w:color w:val="auto"/>
        </w:rPr>
        <w:tab/>
      </w:r>
      <w:r>
        <w:rPr>
          <w:rFonts w:ascii="Times New Roman" w:cs="Times New Roman" w:eastAsia="Times New Roman" w:hAnsi="Times New Roman"/>
          <w:sz w:val="15"/>
          <w:szCs w:val="15"/>
          <w:u w:val="single" w:color="auto"/>
          <w:color w:val="auto"/>
        </w:rPr>
        <w:t>Effect</w:t>
      </w:r>
      <w:r>
        <w:rPr>
          <w:rFonts w:ascii="Times New Roman" w:cs="Times New Roman" w:eastAsia="Times New Roman" w:hAnsi="Times New Roman"/>
          <w:sz w:val="15"/>
          <w:szCs w:val="15"/>
          <w:color w:val="auto"/>
        </w:rPr>
        <w:t>. Except as amended hereby, the Plan shall remain in full force and effect.</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2.02. </w:t>
      </w: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All capitalized terms used but not specifically defined herein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have the same meanings given such terms in the Plan unless the context clearly indicates or dictates a contrary meaning.</w:t>
      </w:r>
    </w:p>
    <w:p>
      <w:pPr>
        <w:spacing w:after="0" w:line="122"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2.03.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Amendment shall be governed by and construed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accordance with the laws of the State of Delaware, without giving effect to that body of laws pertaining to conflict of laws.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426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ADOPTED BY BOARD OF DIRECTORS:</w:t>
            </w:r>
          </w:p>
        </w:tc>
        <w:tc>
          <w:tcPr>
            <w:tcW w:w="4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April 25, 2025</w:t>
            </w:r>
          </w:p>
        </w:tc>
      </w:tr>
      <w:tr>
        <w:trPr>
          <w:trHeight w:val="347"/>
        </w:trPr>
        <w:tc>
          <w:tcPr>
            <w:tcW w:w="426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APPROVED BY STOCKHOLDERS:</w:t>
            </w:r>
          </w:p>
        </w:tc>
        <w:tc>
          <w:tcPr>
            <w:tcW w:w="4340" w:type="dxa"/>
            <w:vAlign w:val="bottom"/>
          </w:tcPr>
          <w:p>
            <w:pPr>
              <w:ind w:left="380"/>
              <w:spacing w:after="0"/>
              <w:rPr>
                <w:sz w:val="20"/>
                <w:szCs w:val="20"/>
                <w:color w:val="auto"/>
              </w:rPr>
            </w:pPr>
            <w:r>
              <w:rPr>
                <w:rFonts w:ascii="Times New Roman" w:cs="Times New Roman" w:eastAsia="Times New Roman" w:hAnsi="Times New Roman"/>
                <w:sz w:val="15"/>
                <w:szCs w:val="15"/>
                <w:color w:val="auto"/>
              </w:rPr>
              <w:t>April 25, 2025</w:t>
            </w:r>
          </w:p>
        </w:tc>
      </w:tr>
      <w:tr>
        <w:trPr>
          <w:trHeight w:val="1259"/>
        </w:trPr>
        <w:tc>
          <w:tcPr>
            <w:tcW w:w="4260" w:type="dxa"/>
            <w:vAlign w:val="bottom"/>
            <w:tcBorders>
              <w:bottom w:val="single" w:sz="8" w:color="9A9A9A"/>
            </w:tcBorders>
          </w:tcPr>
          <w:p>
            <w:pPr>
              <w:spacing w:after="0"/>
              <w:rPr>
                <w:sz w:val="24"/>
                <w:szCs w:val="24"/>
                <w:color w:val="auto"/>
              </w:rPr>
            </w:pPr>
          </w:p>
        </w:tc>
        <w:tc>
          <w:tcPr>
            <w:tcW w:w="43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06" w:name="page407"/>
    <w:bookmarkEnd w:id="40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AMENDMENT TO</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EQUITY INCENTIVE PLAN</w:t>
      </w:r>
    </w:p>
    <w:p>
      <w:pPr>
        <w:spacing w:after="0" w:line="158"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5"/>
          <w:szCs w:val="15"/>
          <w:color w:val="auto"/>
        </w:rPr>
        <w:t>WHEREAS, the Board of Directors of Avalyn Pharma Inc.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 approved and adopted the 2022 Equity Incentive Plan (the “</w:t>
      </w:r>
      <w:r>
        <w:rPr>
          <w:rFonts w:ascii="Times New Roman" w:cs="Times New Roman" w:eastAsia="Times New Roman" w:hAnsi="Times New Roman"/>
          <w:sz w:val="15"/>
          <w:szCs w:val="15"/>
          <w:u w:val="single" w:color="auto"/>
          <w:color w:val="auto"/>
        </w:rPr>
        <w:t>Plan</w:t>
      </w:r>
      <w:r>
        <w:rPr>
          <w:rFonts w:ascii="Times New Roman" w:cs="Times New Roman" w:eastAsia="Times New Roman" w:hAnsi="Times New Roman"/>
          <w:sz w:val="15"/>
          <w:szCs w:val="15"/>
          <w:color w:val="auto"/>
        </w:rPr>
        <w:t>”) of the Company on February 10, 2022. The Plan was amended by the Company on November 18, 2022; and WHEREAS, the Board of Directors and the stockholders of the Company have determined that it is in the best interest of the Company to further amend the Plan as set forth in this Amendment (this “Amendment”).</w:t>
      </w:r>
    </w:p>
    <w:p>
      <w:pPr>
        <w:spacing w:after="0" w:line="13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NOW, THEREFORE, the Plan is amended as follows:</w:t>
      </w:r>
    </w:p>
    <w:p>
      <w:pPr>
        <w:spacing w:after="0" w:line="170" w:lineRule="exact"/>
        <w:rPr>
          <w:sz w:val="20"/>
          <w:szCs w:val="20"/>
          <w:color w:val="auto"/>
        </w:rPr>
      </w:pPr>
    </w:p>
    <w:p>
      <w:pPr>
        <w:ind w:left="2000" w:hanging="271"/>
        <w:spacing w:after="0"/>
        <w:tabs>
          <w:tab w:leader="none" w:pos="2000" w:val="left"/>
        </w:tabs>
        <w:numPr>
          <w:ilvl w:val="0"/>
          <w:numId w:val="30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Amendment of the Plan</w:t>
      </w:r>
    </w:p>
    <w:p>
      <w:pPr>
        <w:spacing w:after="0" w:line="174" w:lineRule="exact"/>
        <w:rPr>
          <w:sz w:val="20"/>
          <w:szCs w:val="20"/>
          <w:color w:val="auto"/>
        </w:rPr>
      </w:pPr>
    </w:p>
    <w:p>
      <w:pPr>
        <w:ind w:left="2240"/>
        <w:spacing w:after="0"/>
        <w:tabs>
          <w:tab w:leader="none" w:pos="2720" w:val="left"/>
        </w:tabs>
        <w:rPr>
          <w:sz w:val="20"/>
          <w:szCs w:val="20"/>
          <w:color w:val="auto"/>
        </w:rPr>
      </w:pPr>
      <w:r>
        <w:rPr>
          <w:rFonts w:ascii="Times New Roman" w:cs="Times New Roman" w:eastAsia="Times New Roman" w:hAnsi="Times New Roman"/>
          <w:sz w:val="15"/>
          <w:szCs w:val="15"/>
          <w:b w:val="1"/>
          <w:bCs w:val="1"/>
          <w:color w:val="auto"/>
        </w:rPr>
        <w:t>1.01.</w:t>
      </w:r>
      <w:r>
        <w:rPr>
          <w:sz w:val="20"/>
          <w:szCs w:val="20"/>
          <w:color w:val="auto"/>
        </w:rPr>
        <w:tab/>
      </w:r>
      <w:r>
        <w:rPr>
          <w:rFonts w:ascii="Times New Roman" w:cs="Times New Roman" w:eastAsia="Times New Roman" w:hAnsi="Times New Roman"/>
          <w:sz w:val="15"/>
          <w:szCs w:val="15"/>
          <w:color w:val="auto"/>
        </w:rPr>
        <w:t>Section 2.1 of the Plan is hereby amended and restated in its entirety to read as</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follows:</w:t>
      </w:r>
    </w:p>
    <w:p>
      <w:pPr>
        <w:spacing w:after="0" w:line="154"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5"/>
          <w:szCs w:val="15"/>
          <w:b w:val="1"/>
          <w:bCs w:val="1"/>
          <w:u w:val="single" w:color="auto"/>
          <w:color w:val="auto"/>
        </w:rPr>
        <w:t>“2.1. Number of Shares Available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Subject to Sections 2.2 and 11 hereof, the total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number of Shares reserved and available for grant and issuance pursuant to this Plan will be 43,481,297 Shares, plus (a) shares that are subject to issuance under the Company’s 2012 Equity Incentive Plan (the “</w:t>
      </w:r>
      <w:r>
        <w:rPr>
          <w:rFonts w:ascii="Times New Roman" w:cs="Times New Roman" w:eastAsia="Times New Roman" w:hAnsi="Times New Roman"/>
          <w:sz w:val="15"/>
          <w:szCs w:val="15"/>
          <w:b w:val="1"/>
          <w:bCs w:val="1"/>
          <w:i w:val="1"/>
          <w:iCs w:val="1"/>
          <w:color w:val="auto"/>
        </w:rPr>
        <w:t>Prior Plan</w:t>
      </w:r>
      <w:r>
        <w:rPr>
          <w:rFonts w:ascii="Times New Roman" w:cs="Times New Roman" w:eastAsia="Times New Roman" w:hAnsi="Times New Roman"/>
          <w:sz w:val="15"/>
          <w:szCs w:val="15"/>
          <w:color w:val="auto"/>
        </w:rPr>
        <w:t>”) but cease to be subject to an award for any reason other than exercise of an option or settlement of such award after the Effective Date (as defined in Section 13.1 hereof); and (b) shares that were issued under the Prior Plan which are repurchased by the Company or which are forfeited, used to pay withholding obligations with respect to any award granted under the Prior Plan or pay the exercise price of an option granted under the Prior Plan after the Effective Date.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434,812,970 Shares (adjusted in proportion to any adjustments under Section 2.2 hereof) over the term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680085</wp:posOffset>
            </wp:positionV>
            <wp:extent cx="54857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07" w:name="page408"/>
    <w:bookmarkEnd w:id="407"/>
    <w:p>
      <w:pPr>
        <w:ind w:left="2000" w:hanging="271"/>
        <w:spacing w:after="0"/>
        <w:tabs>
          <w:tab w:leader="none" w:pos="2000" w:val="left"/>
        </w:tabs>
        <w:numPr>
          <w:ilvl w:val="0"/>
          <w:numId w:val="31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Miscellaneous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ind w:left="2240"/>
        <w:spacing w:after="0"/>
        <w:tabs>
          <w:tab w:leader="none" w:pos="2640" w:val="left"/>
        </w:tabs>
        <w:rPr>
          <w:sz w:val="20"/>
          <w:szCs w:val="20"/>
          <w:color w:val="auto"/>
        </w:rPr>
      </w:pPr>
      <w:r>
        <w:rPr>
          <w:rFonts w:ascii="Times New Roman" w:cs="Times New Roman" w:eastAsia="Times New Roman" w:hAnsi="Times New Roman"/>
          <w:sz w:val="15"/>
          <w:szCs w:val="15"/>
          <w:b w:val="1"/>
          <w:bCs w:val="1"/>
          <w:color w:val="auto"/>
        </w:rPr>
        <w:t>2.01</w:t>
      </w:r>
      <w:r>
        <w:rPr>
          <w:sz w:val="20"/>
          <w:szCs w:val="20"/>
          <w:color w:val="auto"/>
        </w:rPr>
        <w:tab/>
      </w:r>
      <w:r>
        <w:rPr>
          <w:rFonts w:ascii="Times New Roman" w:cs="Times New Roman" w:eastAsia="Times New Roman" w:hAnsi="Times New Roman"/>
          <w:sz w:val="15"/>
          <w:szCs w:val="15"/>
          <w:u w:val="single" w:color="auto"/>
          <w:color w:val="auto"/>
        </w:rPr>
        <w:t>Effect</w:t>
      </w:r>
      <w:r>
        <w:rPr>
          <w:rFonts w:ascii="Times New Roman" w:cs="Times New Roman" w:eastAsia="Times New Roman" w:hAnsi="Times New Roman"/>
          <w:sz w:val="15"/>
          <w:szCs w:val="15"/>
          <w:color w:val="auto"/>
        </w:rPr>
        <w:t>. Except as amended hereby, the Plan shall remain in full force and effect.</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2.02. </w:t>
      </w:r>
      <w:r>
        <w:rPr>
          <w:rFonts w:ascii="Times New Roman" w:cs="Times New Roman" w:eastAsia="Times New Roman" w:hAnsi="Times New Roman"/>
          <w:sz w:val="15"/>
          <w:szCs w:val="15"/>
          <w:u w:val="single" w:color="auto"/>
          <w:color w:val="auto"/>
        </w:rPr>
        <w:t>Defined Terms</w:t>
      </w:r>
      <w:r>
        <w:rPr>
          <w:rFonts w:ascii="Times New Roman" w:cs="Times New Roman" w:eastAsia="Times New Roman" w:hAnsi="Times New Roman"/>
          <w:sz w:val="15"/>
          <w:szCs w:val="15"/>
          <w:color w:val="auto"/>
        </w:rPr>
        <w:t>. All capitalized terms used but not specifically defined herein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shall have the same meanings given such terms in the Plan unless the context clearly indicates or dictates a contrary meaning.</w:t>
      </w:r>
    </w:p>
    <w:p>
      <w:pPr>
        <w:spacing w:after="0" w:line="122"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2.03.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Amendment shall be governed by and construed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accordance with the laws of the State of Delaware, without giving effect to that body of laws pertaining to conflict of laws.</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422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ADOPTED BY BOARD OF DIRECTORS:</w:t>
            </w:r>
          </w:p>
        </w:tc>
        <w:tc>
          <w:tcPr>
            <w:tcW w:w="43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SEPTEMBER 22, 2023</w:t>
            </w:r>
          </w:p>
        </w:tc>
      </w:tr>
      <w:tr>
        <w:trPr>
          <w:trHeight w:val="347"/>
        </w:trPr>
        <w:tc>
          <w:tcPr>
            <w:tcW w:w="4220" w:type="dxa"/>
            <w:vAlign w:val="bottom"/>
          </w:tcPr>
          <w:p>
            <w:pPr>
              <w:ind w:left="1020"/>
              <w:spacing w:after="0"/>
              <w:rPr>
                <w:sz w:val="20"/>
                <w:szCs w:val="20"/>
                <w:color w:val="auto"/>
              </w:rPr>
            </w:pPr>
            <w:r>
              <w:rPr>
                <w:rFonts w:ascii="Times New Roman" w:cs="Times New Roman" w:eastAsia="Times New Roman" w:hAnsi="Times New Roman"/>
                <w:sz w:val="15"/>
                <w:szCs w:val="15"/>
                <w:b w:val="1"/>
                <w:bCs w:val="1"/>
                <w:color w:val="auto"/>
              </w:rPr>
              <w:t>APPROVED BY STOCKHOLDERS:</w:t>
            </w:r>
          </w:p>
        </w:tc>
        <w:tc>
          <w:tcPr>
            <w:tcW w:w="4380" w:type="dxa"/>
            <w:vAlign w:val="bottom"/>
          </w:tcPr>
          <w:p>
            <w:pPr>
              <w:ind w:left="340"/>
              <w:spacing w:after="0"/>
              <w:rPr>
                <w:sz w:val="20"/>
                <w:szCs w:val="20"/>
                <w:color w:val="auto"/>
              </w:rPr>
            </w:pPr>
            <w:r>
              <w:rPr>
                <w:rFonts w:ascii="Times New Roman" w:cs="Times New Roman" w:eastAsia="Times New Roman" w:hAnsi="Times New Roman"/>
                <w:sz w:val="15"/>
                <w:szCs w:val="15"/>
                <w:b w:val="1"/>
                <w:bCs w:val="1"/>
                <w:color w:val="auto"/>
              </w:rPr>
              <w:t>SEPTEMBER 22, 2023</w:t>
            </w:r>
          </w:p>
        </w:tc>
      </w:tr>
      <w:tr>
        <w:trPr>
          <w:trHeight w:val="1259"/>
        </w:trPr>
        <w:tc>
          <w:tcPr>
            <w:tcW w:w="42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08" w:name="page409"/>
    <w:bookmarkEnd w:id="408"/>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EQUITY INCENTIVE PLAN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As Adopted on February 10, 2022</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As Amended on November 18, 2022</w:t>
      </w:r>
    </w:p>
    <w:p>
      <w:pPr>
        <w:spacing w:after="0" w:line="154" w:lineRule="exact"/>
        <w:rPr>
          <w:sz w:val="20"/>
          <w:szCs w:val="20"/>
          <w:color w:val="auto"/>
        </w:rPr>
      </w:pPr>
    </w:p>
    <w:p>
      <w:pPr>
        <w:jc w:val="both"/>
        <w:ind w:left="1220" w:right="1239" w:firstLine="509"/>
        <w:spacing w:after="0" w:line="254" w:lineRule="auto"/>
        <w:tabs>
          <w:tab w:leader="none" w:pos="2015" w:val="left"/>
        </w:tabs>
        <w:numPr>
          <w:ilvl w:val="0"/>
          <w:numId w:val="3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PURPOSE</w:t>
      </w:r>
      <w:r>
        <w:rPr>
          <w:rFonts w:ascii="Times New Roman" w:cs="Times New Roman" w:eastAsia="Times New Roman" w:hAnsi="Times New Roman"/>
          <w:sz w:val="15"/>
          <w:szCs w:val="15"/>
          <w:color w:val="auto"/>
        </w:rPr>
        <w:t>. The purpose of this Plan is to provide incentives to attract, retain and motivate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eligible persons whose present and potential contributions are important to the success of the Company, its Parent and Subsidiaries by offering eligible persons an opportunity to participate in the Company’s future performance through the grant of Awards covering Shares. Capitalized terms not defined in the text are defined in Section 14 hereof. Although this Plan is intended to be a written compensatory benefit plan within the meaning of Rule 701, grants may be made pursuant to this Plan that do not qualify for exemption under Rule 701 or Section 25102(o). Any requirement of this Plan that is required in law only because of Section 25102(o) need not apply if the Committee so provides.</w:t>
      </w:r>
    </w:p>
    <w:p>
      <w:pPr>
        <w:spacing w:after="0" w:line="137" w:lineRule="exact"/>
        <w:rPr>
          <w:rFonts w:ascii="Times New Roman" w:cs="Times New Roman" w:eastAsia="Times New Roman" w:hAnsi="Times New Roman"/>
          <w:sz w:val="15"/>
          <w:szCs w:val="15"/>
          <w:b w:val="1"/>
          <w:bCs w:val="1"/>
          <w:color w:val="auto"/>
        </w:rPr>
      </w:pPr>
    </w:p>
    <w:p>
      <w:pPr>
        <w:ind w:left="2000" w:hanging="271"/>
        <w:spacing w:after="0"/>
        <w:tabs>
          <w:tab w:leader="none" w:pos="2000" w:val="left"/>
        </w:tabs>
        <w:numPr>
          <w:ilvl w:val="0"/>
          <w:numId w:val="3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SHARES SUBJECT TO THE PLAN</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2.1 </w:t>
      </w:r>
      <w:r>
        <w:rPr>
          <w:rFonts w:ascii="Times New Roman" w:cs="Times New Roman" w:eastAsia="Times New Roman" w:hAnsi="Times New Roman"/>
          <w:sz w:val="15"/>
          <w:szCs w:val="15"/>
          <w:b w:val="1"/>
          <w:bCs w:val="1"/>
          <w:u w:val="single" w:color="auto"/>
          <w:color w:val="auto"/>
        </w:rPr>
        <w:t>Number of Shares Available</w:t>
      </w:r>
      <w:r>
        <w:rPr>
          <w:rFonts w:ascii="Times New Roman" w:cs="Times New Roman" w:eastAsia="Times New Roman" w:hAnsi="Times New Roman"/>
          <w:sz w:val="15"/>
          <w:szCs w:val="15"/>
          <w:color w:val="auto"/>
        </w:rPr>
        <w:t>. Subject to Sections 2.2 and 11 hereof, the total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number of Shares reserved and available for grant and issuance pursuant to this Plan will be 7,299,426 Shares, plus (a) shares that are subject to issuance under the Company’s 2012 Equity Incentive Plan (the “</w:t>
      </w:r>
      <w:r>
        <w:rPr>
          <w:rFonts w:ascii="Times New Roman" w:cs="Times New Roman" w:eastAsia="Times New Roman" w:hAnsi="Times New Roman"/>
          <w:sz w:val="15"/>
          <w:szCs w:val="15"/>
          <w:b w:val="1"/>
          <w:bCs w:val="1"/>
          <w:i w:val="1"/>
          <w:iCs w:val="1"/>
          <w:color w:val="auto"/>
        </w:rPr>
        <w:t>Prior Plan</w:t>
      </w:r>
      <w:r>
        <w:rPr>
          <w:rFonts w:ascii="Times New Roman" w:cs="Times New Roman" w:eastAsia="Times New Roman" w:hAnsi="Times New Roman"/>
          <w:sz w:val="15"/>
          <w:szCs w:val="15"/>
          <w:color w:val="auto"/>
        </w:rPr>
        <w:t>”) but cease to be subject to an award for any reason other than exercise of an option or settlement of such award after the Effective Date (as defined in Section 13.1 hereof); and (b) shares that were issued under the Prior Plan which are repurchased by the Company or which are forfeited, used to pay withholding obligations with respect to any award granted under the Prior Plan or pay the exercise price of an option granted under the Prior Plan after the Effective Date. Subject to Sections 2.2 and 11 hereof, (A) in the event that Shares previously issued under the Plan are reacquired by the Company pursuant to a forfeiture provision, right of first refusal, or repurchase by the Company, such Shares shall be added to the number of Shares then available for issuance under the Plan; (B) in the event that Shares that otherwise would have been issuable under the Plan are withheld by the Company in payment of the Purchase Price, Exercise Price or withholding obligations, such Shares shall remain available for issuance under the Plan; and (C) in the event that an outstanding Option, Restricted Stock Unit or SAR for any reason expires or is cancelled, forfeited or terminated, the Shares allocable to the unexercised or unsettled portion of such Option, Restricted Stock Unit or SAR, as applicable, shall remain available for issuance under the Plan. To the extent an Award is settled in cash, the cash settlement shall not reduce the number of Shares remaining available for issuance under the Plan. At all times the Company will reserve and keep available a sufficient number of Shares as will be required to satisfy the requirements of all Awards granted and outstanding under this Plan. In no event shall the total number of Shares issued (counting each reissuance of a Share that was previously issued and then reacquired by the Company pursuant to a forfeiture provision, right of first refusal, or repurchase by the Company as a separate issuance) under the Plan upon exercise of ISOs (as defined in Section 4 hereof) exceed 72,994,260 Shares (adjusted in proportion to any adjustments under Section 2.2 hereof) over the term of the Plan.</w:t>
      </w:r>
    </w:p>
    <w:p>
      <w:pPr>
        <w:spacing w:after="0" w:line="30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09" w:name="page410"/>
    <w:bookmarkEnd w:id="409"/>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2.2 </w:t>
      </w:r>
      <w:r>
        <w:rPr>
          <w:rFonts w:ascii="Times New Roman" w:cs="Times New Roman" w:eastAsia="Times New Roman" w:hAnsi="Times New Roman"/>
          <w:sz w:val="15"/>
          <w:szCs w:val="15"/>
          <w:b w:val="1"/>
          <w:bCs w:val="1"/>
          <w:u w:val="single" w:color="auto"/>
          <w:color w:val="auto"/>
        </w:rPr>
        <w:t>Adjustment of Shares</w:t>
      </w:r>
      <w:r>
        <w:rPr>
          <w:rFonts w:ascii="Times New Roman" w:cs="Times New Roman" w:eastAsia="Times New Roman" w:hAnsi="Times New Roman"/>
          <w:sz w:val="15"/>
          <w:szCs w:val="15"/>
          <w:color w:val="auto"/>
        </w:rPr>
        <w:t>. In the event that the Company’s Common Stock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changed by a stock dividend, recapitalization, stock split, reverse stock split, subdivision, combination, reclassification or other change in the capital structure of the Company affecting Shares without consideration, then in order to prevent diminution or enlargement of the benefits or potential benefits intended to be made available under the Plan (a) the number and class of Shares reserved for issuance under this Plan, (b) the Exercise Prices of and number and class of Shares subject to outstanding Options and SARs, and (c) the Purchase Prices of and/or number and class of Shares subject to other outstanding Awards will (to the extent appropriate) be proportionately adjusted, subject to any required action by the Board or the stockholders of the Company and compliance with applicable securities or other laws;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i w:val="1"/>
          <w:iCs w:val="1"/>
          <w:u w:val="single" w:color="auto"/>
          <w:color w:val="auto"/>
        </w:rPr>
        <w:t>however</w:t>
      </w:r>
      <w:r>
        <w:rPr>
          <w:rFonts w:ascii="Times New Roman" w:cs="Times New Roman" w:eastAsia="Times New Roman" w:hAnsi="Times New Roman"/>
          <w:sz w:val="15"/>
          <w:szCs w:val="15"/>
          <w:color w:val="auto"/>
        </w:rPr>
        <w:t>, that fractions of a Share will not be issued but will either be paid in cash at the Fair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Market Value of such fraction of a Share or will be rounded down to the nearest whole Share, as determined by the Committee.</w:t>
      </w:r>
    </w:p>
    <w:p>
      <w:pPr>
        <w:spacing w:after="0" w:line="320" w:lineRule="exact"/>
        <w:rPr>
          <w:sz w:val="20"/>
          <w:szCs w:val="20"/>
          <w:color w:val="auto"/>
        </w:rPr>
      </w:pPr>
    </w:p>
    <w:p>
      <w:pPr>
        <w:ind w:left="2000" w:hanging="271"/>
        <w:spacing w:after="0"/>
        <w:tabs>
          <w:tab w:leader="none" w:pos="2000" w:val="left"/>
        </w:tabs>
        <w:numPr>
          <w:ilvl w:val="0"/>
          <w:numId w:val="31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PLAN FOR BENEFIT OF SERVICE PROVIDERS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3.1 </w:t>
      </w:r>
      <w:r>
        <w:rPr>
          <w:rFonts w:ascii="Times New Roman" w:cs="Times New Roman" w:eastAsia="Times New Roman" w:hAnsi="Times New Roman"/>
          <w:sz w:val="15"/>
          <w:szCs w:val="15"/>
          <w:b w:val="1"/>
          <w:bCs w:val="1"/>
          <w:u w:val="single" w:color="auto"/>
          <w:color w:val="auto"/>
        </w:rPr>
        <w:t>Eligibility</w:t>
      </w:r>
      <w:r>
        <w:rPr>
          <w:rFonts w:ascii="Times New Roman" w:cs="Times New Roman" w:eastAsia="Times New Roman" w:hAnsi="Times New Roman"/>
          <w:sz w:val="15"/>
          <w:szCs w:val="15"/>
          <w:color w:val="auto"/>
        </w:rPr>
        <w:t>. The Committee will have the authority to select persons to receive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Awards. ISOs may be granted only to employees (including officers and directors who are also employees) of the Company or of a Parent or Subsidiary of the Company. NQSOs (as defined in Section 4 hereof) and all other types of Awards may be granted to employees, officers, directors and consultants of the Company or any Parent or Subsidiary of the Company;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such consultants render bona fide services not in connection with the offer and sale of securities in a capital-raising transaction when Rule 701 is to apply to the Award granted for such services. A person may be granted more than one Award under this Plan.</w:t>
      </w:r>
    </w:p>
    <w:p>
      <w:pPr>
        <w:spacing w:after="0" w:line="315"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3.2 </w:t>
      </w:r>
      <w:r>
        <w:rPr>
          <w:rFonts w:ascii="Times New Roman" w:cs="Times New Roman" w:eastAsia="Times New Roman" w:hAnsi="Times New Roman"/>
          <w:sz w:val="15"/>
          <w:szCs w:val="15"/>
          <w:b w:val="1"/>
          <w:bCs w:val="1"/>
          <w:u w:val="single" w:color="auto"/>
          <w:color w:val="auto"/>
        </w:rPr>
        <w:t>No Obligation to Employ</w:t>
      </w:r>
      <w:r>
        <w:rPr>
          <w:rFonts w:ascii="Times New Roman" w:cs="Times New Roman" w:eastAsia="Times New Roman" w:hAnsi="Times New Roman"/>
          <w:sz w:val="15"/>
          <w:szCs w:val="15"/>
          <w:color w:val="auto"/>
        </w:rPr>
        <w:t>. Nothing in this Plan or any Award granted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will confer or be deemed to confer on any Participant any right to continue in the employ of, or to continue any other relationship with, the Company or any Subsidiary or Parent of the Company or limit in any way the right of the Company or any Subsidiary or Parent of the Company to terminate Participant’s employment or other relationship at any time, with or without Cause.</w:t>
      </w:r>
    </w:p>
    <w:p>
      <w:pPr>
        <w:spacing w:after="0" w:line="131" w:lineRule="exact"/>
        <w:rPr>
          <w:sz w:val="20"/>
          <w:szCs w:val="20"/>
          <w:color w:val="auto"/>
        </w:rPr>
      </w:pPr>
    </w:p>
    <w:p>
      <w:pPr>
        <w:jc w:val="both"/>
        <w:ind w:left="1220" w:right="1239" w:firstLine="509"/>
        <w:spacing w:after="0" w:line="259" w:lineRule="auto"/>
        <w:tabs>
          <w:tab w:leader="none" w:pos="2047" w:val="left"/>
        </w:tabs>
        <w:numPr>
          <w:ilvl w:val="0"/>
          <w:numId w:val="31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OPTIONS</w:t>
      </w:r>
      <w:r>
        <w:rPr>
          <w:rFonts w:ascii="Times New Roman" w:cs="Times New Roman" w:eastAsia="Times New Roman" w:hAnsi="Times New Roman"/>
          <w:sz w:val="15"/>
          <w:szCs w:val="15"/>
          <w:color w:val="auto"/>
        </w:rPr>
        <w:t>. The Committee may grant Options to eligible persons described in Section 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hereof and will determine whether such Options will be Incentive Stock Options within the meaning of the Code (“</w:t>
      </w:r>
      <w:r>
        <w:rPr>
          <w:rFonts w:ascii="Times New Roman" w:cs="Times New Roman" w:eastAsia="Times New Roman" w:hAnsi="Times New Roman"/>
          <w:sz w:val="15"/>
          <w:szCs w:val="15"/>
          <w:b w:val="1"/>
          <w:bCs w:val="1"/>
          <w:i w:val="1"/>
          <w:iCs w:val="1"/>
          <w:color w:val="auto"/>
        </w:rPr>
        <w:t>ISOs</w:t>
      </w:r>
      <w:r>
        <w:rPr>
          <w:rFonts w:ascii="Times New Roman" w:cs="Times New Roman" w:eastAsia="Times New Roman" w:hAnsi="Times New Roman"/>
          <w:sz w:val="15"/>
          <w:szCs w:val="15"/>
          <w:color w:val="auto"/>
        </w:rPr>
        <w:t>”) or Nonqualified Stock Options (“</w:t>
      </w:r>
      <w:r>
        <w:rPr>
          <w:rFonts w:ascii="Times New Roman" w:cs="Times New Roman" w:eastAsia="Times New Roman" w:hAnsi="Times New Roman"/>
          <w:sz w:val="15"/>
          <w:szCs w:val="15"/>
          <w:b w:val="1"/>
          <w:bCs w:val="1"/>
          <w:i w:val="1"/>
          <w:iCs w:val="1"/>
          <w:color w:val="auto"/>
        </w:rPr>
        <w:t>NQSOs</w:t>
      </w:r>
      <w:r>
        <w:rPr>
          <w:rFonts w:ascii="Times New Roman" w:cs="Times New Roman" w:eastAsia="Times New Roman" w:hAnsi="Times New Roman"/>
          <w:sz w:val="15"/>
          <w:szCs w:val="15"/>
          <w:color w:val="auto"/>
        </w:rPr>
        <w:t>”), the number of Shares subject to the Option, the Exercise Price of the Option, the period during which the Option may be exercised, and all other terms and conditions of the Option, subject to the following.</w:t>
      </w:r>
    </w:p>
    <w:p>
      <w:pPr>
        <w:spacing w:after="0" w:line="131"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4.1 </w:t>
      </w:r>
      <w:r>
        <w:rPr>
          <w:rFonts w:ascii="Times New Roman" w:cs="Times New Roman" w:eastAsia="Times New Roman" w:hAnsi="Times New Roman"/>
          <w:sz w:val="15"/>
          <w:szCs w:val="15"/>
          <w:b w:val="1"/>
          <w:bCs w:val="1"/>
          <w:u w:val="single" w:color="auto"/>
          <w:color w:val="auto"/>
        </w:rPr>
        <w:t>Form of Option Grant</w:t>
      </w:r>
      <w:r>
        <w:rPr>
          <w:rFonts w:ascii="Times New Roman" w:cs="Times New Roman" w:eastAsia="Times New Roman" w:hAnsi="Times New Roman"/>
          <w:sz w:val="15"/>
          <w:szCs w:val="15"/>
          <w:color w:val="auto"/>
        </w:rPr>
        <w:t>. Each Option granted under this Plan will be evidenced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 Award Agreement which will expressly identify the Option as an ISO or an NQSO (“</w:t>
      </w:r>
      <w:r>
        <w:rPr>
          <w:rFonts w:ascii="Times New Roman" w:cs="Times New Roman" w:eastAsia="Times New Roman" w:hAnsi="Times New Roman"/>
          <w:sz w:val="15"/>
          <w:szCs w:val="15"/>
          <w:b w:val="1"/>
          <w:bCs w:val="1"/>
          <w:i w:val="1"/>
          <w:iCs w:val="1"/>
          <w:color w:val="auto"/>
        </w:rPr>
        <w:t>Stock Option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and will be in such form and contain such provisions (which need not be the same for each</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Participant) as the Committee may from time to time approve, and which will comply with and be subject to the terms and conditions of this Plan.</w:t>
      </w:r>
    </w:p>
    <w:p>
      <w:pPr>
        <w:spacing w:after="0" w:line="131"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4.2 </w:t>
      </w:r>
      <w:r>
        <w:rPr>
          <w:rFonts w:ascii="Times New Roman" w:cs="Times New Roman" w:eastAsia="Times New Roman" w:hAnsi="Times New Roman"/>
          <w:sz w:val="15"/>
          <w:szCs w:val="15"/>
          <w:b w:val="1"/>
          <w:bCs w:val="1"/>
          <w:u w:val="single" w:color="auto"/>
          <w:color w:val="auto"/>
        </w:rPr>
        <w:t>Date of Grant</w:t>
      </w:r>
      <w:r>
        <w:rPr>
          <w:rFonts w:ascii="Times New Roman" w:cs="Times New Roman" w:eastAsia="Times New Roman" w:hAnsi="Times New Roman"/>
          <w:sz w:val="15"/>
          <w:szCs w:val="15"/>
          <w:color w:val="auto"/>
        </w:rPr>
        <w:t>. The date of grant of an Option will be the date on which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Committee makes the determination to grant such Option, unless a later date is otherwise specified by the Committee. The Stock Option Agreement and a copy of this Plan will be delivered to the Participant within a reasonable time after the granting of the Option.</w:t>
      </w:r>
    </w:p>
    <w:p>
      <w:pPr>
        <w:spacing w:after="0" w:line="130"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4.3 </w:t>
      </w:r>
      <w:r>
        <w:rPr>
          <w:rFonts w:ascii="Times New Roman" w:cs="Times New Roman" w:eastAsia="Times New Roman" w:hAnsi="Times New Roman"/>
          <w:sz w:val="15"/>
          <w:szCs w:val="15"/>
          <w:b w:val="1"/>
          <w:bCs w:val="1"/>
          <w:u w:val="single" w:color="auto"/>
          <w:color w:val="auto"/>
        </w:rPr>
        <w:t>Exercise Period</w:t>
      </w:r>
      <w:r>
        <w:rPr>
          <w:rFonts w:ascii="Times New Roman" w:cs="Times New Roman" w:eastAsia="Times New Roman" w:hAnsi="Times New Roman"/>
          <w:sz w:val="15"/>
          <w:szCs w:val="15"/>
          <w:color w:val="auto"/>
        </w:rPr>
        <w:t>. Options may be exercisable within the time or upon the events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determined by the Committee in the Award Agreement and may be awarded as immediately exercisable but subject to repurchase pursuant to Section 10 hereof or may be exercisable within the times or upon the events determined by the Committee as set forth in the Stock Option Agreement governing such Option;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i w:val="1"/>
          <w:iCs w:val="1"/>
          <w:u w:val="single" w:color="auto"/>
          <w:color w:val="auto"/>
        </w:rPr>
        <w:t>however</w:t>
      </w:r>
      <w:r>
        <w:rPr>
          <w:rFonts w:ascii="Times New Roman" w:cs="Times New Roman" w:eastAsia="Times New Roman" w:hAnsi="Times New Roman"/>
          <w:sz w:val="15"/>
          <w:szCs w:val="15"/>
          <w:color w:val="auto"/>
        </w:rPr>
        <w:t>, that (a) no Option will be exercisable after the expiration of ten (10) years from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date</w:t>
      </w: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10" w:name="page411"/>
    <w:bookmarkEnd w:id="410"/>
    <w:p>
      <w:pPr>
        <w:jc w:val="both"/>
        <w:ind w:left="1220" w:right="1239"/>
        <w:spacing w:after="0" w:line="253" w:lineRule="auto"/>
        <w:rPr>
          <w:sz w:val="20"/>
          <w:szCs w:val="20"/>
          <w:color w:val="auto"/>
        </w:rPr>
      </w:pPr>
      <w:r>
        <w:rPr>
          <w:rFonts w:ascii="Times New Roman" w:cs="Times New Roman" w:eastAsia="Times New Roman" w:hAnsi="Times New Roman"/>
          <w:sz w:val="15"/>
          <w:szCs w:val="15"/>
          <w:color w:val="auto"/>
        </w:rPr>
        <w:t>the Option is granted; and (b) no ISO granted to a person who directly or by attribution owns more than ten percent (10%) of the total combined voting power of all classes of stock of the Company or of any Subsidiary or Parent of the Company (“</w:t>
      </w:r>
      <w:r>
        <w:rPr>
          <w:rFonts w:ascii="Times New Roman" w:cs="Times New Roman" w:eastAsia="Times New Roman" w:hAnsi="Times New Roman"/>
          <w:sz w:val="15"/>
          <w:szCs w:val="15"/>
          <w:b w:val="1"/>
          <w:bCs w:val="1"/>
          <w:i w:val="1"/>
          <w:iCs w:val="1"/>
          <w:color w:val="auto"/>
        </w:rPr>
        <w:t>Ten Percent Stockholder</w:t>
      </w:r>
      <w:r>
        <w:rPr>
          <w:rFonts w:ascii="Times New Roman" w:cs="Times New Roman" w:eastAsia="Times New Roman" w:hAnsi="Times New Roman"/>
          <w:sz w:val="15"/>
          <w:szCs w:val="15"/>
          <w:color w:val="auto"/>
        </w:rPr>
        <w:t>”) will be exercisable after the expiration of five (5) years from the date the ISO is granted; but in no event shall an Option granted to an employee who is a non-exempt employee for purposes of overtime pay under the U.S. Fair Labor Standards Act of 1938 be exercisable earlier than six (6) months after its date of grant. The Committee also may provide for Options to become exercisable at one time or from time to time, periodically or otherwise, in such number of Shares or percentage of Shares as the Committee determines.</w:t>
      </w:r>
    </w:p>
    <w:p>
      <w:pPr>
        <w:spacing w:after="0" w:line="139"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4.4 </w:t>
      </w:r>
      <w:r>
        <w:rPr>
          <w:rFonts w:ascii="Times New Roman" w:cs="Times New Roman" w:eastAsia="Times New Roman" w:hAnsi="Times New Roman"/>
          <w:sz w:val="15"/>
          <w:szCs w:val="15"/>
          <w:b w:val="1"/>
          <w:bCs w:val="1"/>
          <w:u w:val="single" w:color="auto"/>
          <w:color w:val="auto"/>
        </w:rPr>
        <w:t>Exercise Price</w:t>
      </w:r>
      <w:r>
        <w:rPr>
          <w:rFonts w:ascii="Times New Roman" w:cs="Times New Roman" w:eastAsia="Times New Roman" w:hAnsi="Times New Roman"/>
          <w:sz w:val="15"/>
          <w:szCs w:val="15"/>
          <w:color w:val="auto"/>
        </w:rPr>
        <w:t>. The Exercise Price of an Option will be determined by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Committee when the Option is granted and shall not be less than the Fair Market Value per Share on the date of grant unless expressly determined in writing by the Committee;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the Exercise Price of an ISO granted to a Ten Percent Stockholder will not be less than one hundred ten percent (110%) of the Fair Market Value of the Shares on the date of grant. Payment for the Shares purchased must be made in accordance with Section 8 hereof.</w:t>
      </w:r>
    </w:p>
    <w:p>
      <w:pPr>
        <w:spacing w:after="0" w:line="132"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4.5 </w:t>
      </w:r>
      <w:r>
        <w:rPr>
          <w:rFonts w:ascii="Times New Roman" w:cs="Times New Roman" w:eastAsia="Times New Roman" w:hAnsi="Times New Roman"/>
          <w:sz w:val="15"/>
          <w:szCs w:val="15"/>
          <w:b w:val="1"/>
          <w:bCs w:val="1"/>
          <w:u w:val="single" w:color="auto"/>
          <w:color w:val="auto"/>
        </w:rPr>
        <w:t>Method of Exercise</w:t>
      </w:r>
      <w:r>
        <w:rPr>
          <w:rFonts w:ascii="Times New Roman" w:cs="Times New Roman" w:eastAsia="Times New Roman" w:hAnsi="Times New Roman"/>
          <w:sz w:val="15"/>
          <w:szCs w:val="15"/>
          <w:color w:val="auto"/>
        </w:rPr>
        <w:t>. Options may be exercised only by delivery to the Company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 stock option exercise agreement (accepted via written, electronic or other means) (the “</w:t>
      </w:r>
      <w:r>
        <w:rPr>
          <w:rFonts w:ascii="Times New Roman" w:cs="Times New Roman" w:eastAsia="Times New Roman" w:hAnsi="Times New Roman"/>
          <w:sz w:val="15"/>
          <w:szCs w:val="15"/>
          <w:b w:val="1"/>
          <w:bCs w:val="1"/>
          <w:i w:val="1"/>
          <w:iCs w:val="1"/>
          <w:color w:val="auto"/>
        </w:rPr>
        <w:t>Exercise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in a form approved by the Committee (which need not be the same for each Participant).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The Exercise Agreement will state (a) the number of Shares being purchased, (b) the restrictions imposed on the Shares purchased under such Exercise Agreement, if any, and (c) such representations and agreements regarding Participant’s investment intent and access to information and other matters, if any, as may be required or desirable by the Company to comply with applicable securities or other laws. Each Participant’s Exercise Agreement may be modified by (i) agreement of Participant and the Company or</w:t>
      </w:r>
    </w:p>
    <w:p>
      <w:pPr>
        <w:spacing w:after="0" w:line="1" w:lineRule="exact"/>
        <w:rPr>
          <w:sz w:val="20"/>
          <w:szCs w:val="20"/>
          <w:color w:val="auto"/>
        </w:rPr>
      </w:pPr>
    </w:p>
    <w:p>
      <w:pPr>
        <w:jc w:val="both"/>
        <w:ind w:left="1220" w:right="1239" w:firstLine="4"/>
        <w:spacing w:after="0" w:line="250" w:lineRule="auto"/>
        <w:tabs>
          <w:tab w:leader="none" w:pos="1448" w:val="left"/>
        </w:tabs>
        <w:numPr>
          <w:ilvl w:val="0"/>
          <w:numId w:val="3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substitution by the Company, upon becoming a public company, in order to add the payment terms set forth in Section 8.1 that apply to a public company and such other terms as shall be necessary or advisable in order to exercise a public company option. Upon exercise of an Option, Participant shall execute and deliver to the Company the Exercise Agreement then in effect, together with payment in full of the Exercise Price for the number of Shares being purchased and satisfaction of any applicable Tax-Related Obligations (as defined in Section 8.2 hereof). No adjustment will be made for a dividend or other right for which the record date is prior to the date the Shares are issued, except as provided in Section 2.2 of the Plan. Exercising an Option in any manner will decrease the number of Shares thereafter available, both for purposes of the Plan and for sale under the Option, by the number of Shares as to which the Option is exercised.</w:t>
      </w:r>
    </w:p>
    <w:p>
      <w:pPr>
        <w:spacing w:after="0" w:line="318"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4.6 </w:t>
      </w:r>
      <w:r>
        <w:rPr>
          <w:rFonts w:ascii="Times New Roman" w:cs="Times New Roman" w:eastAsia="Times New Roman" w:hAnsi="Times New Roman"/>
          <w:sz w:val="15"/>
          <w:szCs w:val="15"/>
          <w:b w:val="1"/>
          <w:bCs w:val="1"/>
          <w:u w:val="single" w:color="auto"/>
          <w:color w:val="auto"/>
        </w:rPr>
        <w:t>Termination</w:t>
      </w:r>
      <w:r>
        <w:rPr>
          <w:rFonts w:ascii="Times New Roman" w:cs="Times New Roman" w:eastAsia="Times New Roman" w:hAnsi="Times New Roman"/>
          <w:sz w:val="15"/>
          <w:szCs w:val="15"/>
          <w:color w:val="auto"/>
        </w:rPr>
        <w:t>. Subject to earlier termination pursuant to Sections 11 and 13 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subject to any longer exercise periods set forth in the Stock Option Agreement, exercise of an Option will always be subject to the following terms and conditions.</w:t>
      </w:r>
    </w:p>
    <w:p>
      <w:pPr>
        <w:spacing w:after="0" w:line="126" w:lineRule="exact"/>
        <w:rPr>
          <w:sz w:val="20"/>
          <w:szCs w:val="20"/>
          <w:color w:val="auto"/>
        </w:rPr>
      </w:pPr>
    </w:p>
    <w:p>
      <w:pPr>
        <w:jc w:val="both"/>
        <w:ind w:left="1220" w:right="1239" w:firstLine="1514"/>
        <w:spacing w:after="0" w:line="252" w:lineRule="auto"/>
        <w:rPr>
          <w:sz w:val="20"/>
          <w:szCs w:val="20"/>
          <w:color w:val="auto"/>
        </w:rPr>
      </w:pPr>
      <w:r>
        <w:rPr>
          <w:rFonts w:ascii="Times New Roman" w:cs="Times New Roman" w:eastAsia="Times New Roman" w:hAnsi="Times New Roman"/>
          <w:sz w:val="15"/>
          <w:szCs w:val="15"/>
          <w:color w:val="auto"/>
        </w:rPr>
        <w:t xml:space="preserve">4.6.1 </w:t>
      </w:r>
      <w:r>
        <w:rPr>
          <w:rFonts w:ascii="Times New Roman" w:cs="Times New Roman" w:eastAsia="Times New Roman" w:hAnsi="Times New Roman"/>
          <w:sz w:val="15"/>
          <w:szCs w:val="15"/>
          <w:u w:val="single" w:color="auto"/>
          <w:color w:val="auto"/>
        </w:rPr>
        <w:t>Other than Death or Disability or for Cause</w:t>
      </w:r>
      <w:r>
        <w:rPr>
          <w:rFonts w:ascii="Times New Roman" w:cs="Times New Roman" w:eastAsia="Times New Roman" w:hAnsi="Times New Roman"/>
          <w:sz w:val="15"/>
          <w:szCs w:val="15"/>
          <w:color w:val="auto"/>
        </w:rPr>
        <w:t>. If the Participant is Terminated for any reason other than death, Disability or for Cause, then the Participant may exercise such Participant’s Options only to the extent that such Options are exercisable as to Vested Shares upon the Termination Date, except as otherwise determined by the Committee or required by applicable law. Such Options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required by applicable law, with any exercise beyond three (3) months after the date Participant ceases to be an employee deemed to be an NQSO) but, in any event, no later than the expiration date of the Options.</w:t>
      </w:r>
    </w:p>
    <w:p>
      <w:pPr>
        <w:spacing w:after="0" w:line="200" w:lineRule="exact"/>
        <w:rPr>
          <w:sz w:val="20"/>
          <w:szCs w:val="20"/>
          <w:color w:val="auto"/>
        </w:rPr>
      </w:pPr>
    </w:p>
    <w:p>
      <w:pPr>
        <w:spacing w:after="0" w:line="28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11" w:name="page412"/>
    <w:bookmarkEnd w:id="411"/>
    <w:p>
      <w:pPr>
        <w:jc w:val="both"/>
        <w:ind w:left="1220" w:right="1239" w:firstLine="1514"/>
        <w:spacing w:after="0" w:line="250" w:lineRule="auto"/>
        <w:rPr>
          <w:sz w:val="20"/>
          <w:szCs w:val="20"/>
          <w:color w:val="auto"/>
        </w:rPr>
      </w:pPr>
      <w:r>
        <w:rPr>
          <w:rFonts w:ascii="Times New Roman" w:cs="Times New Roman" w:eastAsia="Times New Roman" w:hAnsi="Times New Roman"/>
          <w:sz w:val="15"/>
          <w:szCs w:val="15"/>
          <w:color w:val="auto"/>
        </w:rPr>
        <w:t xml:space="preserve">4.6.2 </w:t>
      </w:r>
      <w:r>
        <w:rPr>
          <w:rFonts w:ascii="Times New Roman" w:cs="Times New Roman" w:eastAsia="Times New Roman" w:hAnsi="Times New Roman"/>
          <w:sz w:val="15"/>
          <w:szCs w:val="15"/>
          <w:u w:val="single" w:color="auto"/>
          <w:color w:val="auto"/>
        </w:rPr>
        <w:t>Death or Disability</w:t>
      </w:r>
      <w:r>
        <w:rPr>
          <w:rFonts w:ascii="Times New Roman" w:cs="Times New Roman" w:eastAsia="Times New Roman" w:hAnsi="Times New Roman"/>
          <w:sz w:val="15"/>
          <w:szCs w:val="15"/>
          <w:color w:val="auto"/>
        </w:rPr>
        <w:t>. If the Participant is Terminated because of Participant’s death or Disability (or the Participant dies within three (3) months after a Termination other than for Cause), then Participant’s Options may be exercised only to the extent that such Options are exercisable as to Vested Shares on the Termination Date, except as otherwise determined by the Committee or required by applicable law. Such Options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required by applicable law, with any exercise beyond (a) three (3) months after the date Participant ceases to be an employee when the Termination is for any reason other than the Participant’s death or disability, within the meaning of Section 22(e)(3) of the Code, or (b) twelve (12) months after the date Participant ceases to be an employee when the Termination is for Participant’s disability, within the meaning of Section 22(e)</w:t>
      </w:r>
    </w:p>
    <w:p>
      <w:pPr>
        <w:spacing w:after="0" w:line="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(3) of the Code, deemed to be an NQSO) but in any event no later than the expiration date of the Options.</w:t>
      </w:r>
    </w:p>
    <w:p>
      <w:pPr>
        <w:spacing w:after="0" w:line="158" w:lineRule="exact"/>
        <w:rPr>
          <w:sz w:val="20"/>
          <w:szCs w:val="20"/>
          <w:color w:val="auto"/>
        </w:rPr>
      </w:pPr>
    </w:p>
    <w:p>
      <w:pPr>
        <w:jc w:val="both"/>
        <w:ind w:left="1220" w:right="1239" w:firstLine="1514"/>
        <w:spacing w:after="0" w:line="261" w:lineRule="auto"/>
        <w:rPr>
          <w:sz w:val="20"/>
          <w:szCs w:val="20"/>
          <w:color w:val="auto"/>
        </w:rPr>
      </w:pPr>
      <w:r>
        <w:rPr>
          <w:rFonts w:ascii="Times New Roman" w:cs="Times New Roman" w:eastAsia="Times New Roman" w:hAnsi="Times New Roman"/>
          <w:sz w:val="15"/>
          <w:szCs w:val="15"/>
          <w:color w:val="auto"/>
        </w:rPr>
        <w:t xml:space="preserve">4.6.3 </w:t>
      </w:r>
      <w:r>
        <w:rPr>
          <w:rFonts w:ascii="Times New Roman" w:cs="Times New Roman" w:eastAsia="Times New Roman" w:hAnsi="Times New Roman"/>
          <w:sz w:val="15"/>
          <w:szCs w:val="15"/>
          <w:u w:val="single" w:color="auto"/>
          <w:color w:val="auto"/>
        </w:rPr>
        <w:t>For Cause</w:t>
      </w:r>
      <w:r>
        <w:rPr>
          <w:rFonts w:ascii="Times New Roman" w:cs="Times New Roman" w:eastAsia="Times New Roman" w:hAnsi="Times New Roman"/>
          <w:sz w:val="15"/>
          <w:szCs w:val="15"/>
          <w:color w:val="auto"/>
        </w:rPr>
        <w:t>. If the Participant is Terminated for Cause, the Participant may exercise such Participant’s Options, but not to an extent greater than such Options are exercisable as to Vested Shares upon the Termination Date and Participant’s Options shall expire on such Participant’s Termination Date, or at such later time and on such conditions as are determined by the Committee.</w:t>
      </w:r>
    </w:p>
    <w:p>
      <w:pPr>
        <w:spacing w:after="0" w:line="129" w:lineRule="exact"/>
        <w:rPr>
          <w:sz w:val="20"/>
          <w:szCs w:val="20"/>
          <w:color w:val="auto"/>
        </w:rPr>
      </w:pPr>
    </w:p>
    <w:p>
      <w:pPr>
        <w:jc w:val="both"/>
        <w:ind w:left="1220" w:right="1239" w:firstLine="1009"/>
        <w:spacing w:after="0" w:line="265" w:lineRule="auto"/>
        <w:rPr>
          <w:sz w:val="20"/>
          <w:szCs w:val="20"/>
          <w:color w:val="auto"/>
        </w:rPr>
      </w:pPr>
      <w:r>
        <w:rPr>
          <w:rFonts w:ascii="Times New Roman" w:cs="Times New Roman" w:eastAsia="Times New Roman" w:hAnsi="Times New Roman"/>
          <w:sz w:val="15"/>
          <w:szCs w:val="15"/>
          <w:b w:val="1"/>
          <w:bCs w:val="1"/>
          <w:color w:val="auto"/>
        </w:rPr>
        <w:t xml:space="preserve">4.7 </w:t>
      </w:r>
      <w:r>
        <w:rPr>
          <w:rFonts w:ascii="Times New Roman" w:cs="Times New Roman" w:eastAsia="Times New Roman" w:hAnsi="Times New Roman"/>
          <w:sz w:val="15"/>
          <w:szCs w:val="15"/>
          <w:b w:val="1"/>
          <w:bCs w:val="1"/>
          <w:u w:val="single" w:color="auto"/>
          <w:color w:val="auto"/>
        </w:rPr>
        <w:t>Limitations on Exercise</w:t>
      </w:r>
      <w:r>
        <w:rPr>
          <w:rFonts w:ascii="Times New Roman" w:cs="Times New Roman" w:eastAsia="Times New Roman" w:hAnsi="Times New Roman"/>
          <w:sz w:val="15"/>
          <w:szCs w:val="15"/>
          <w:color w:val="auto"/>
        </w:rPr>
        <w:t>. The Committee may specify a reasonable minimum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number of Shares that may be purchased on any exercise of an Option,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such minimum number will not prevent Participant from exercising the Option for the full number of Shares for which it is then exercisable.</w:t>
      </w:r>
    </w:p>
    <w:p>
      <w:pPr>
        <w:spacing w:after="0" w:line="312"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4.8 </w:t>
      </w:r>
      <w:r>
        <w:rPr>
          <w:rFonts w:ascii="Times New Roman" w:cs="Times New Roman" w:eastAsia="Times New Roman" w:hAnsi="Times New Roman"/>
          <w:sz w:val="15"/>
          <w:szCs w:val="15"/>
          <w:b w:val="1"/>
          <w:bCs w:val="1"/>
          <w:u w:val="single" w:color="auto"/>
          <w:color w:val="auto"/>
        </w:rPr>
        <w:t>Limitations on ISOs</w:t>
      </w:r>
      <w:r>
        <w:rPr>
          <w:rFonts w:ascii="Times New Roman" w:cs="Times New Roman" w:eastAsia="Times New Roman" w:hAnsi="Times New Roman"/>
          <w:sz w:val="15"/>
          <w:szCs w:val="15"/>
          <w:color w:val="auto"/>
        </w:rPr>
        <w:t>. The aggregate Fair Market Value (determined as of the date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grant) of Shares with respect to which ISOs are exercisable for the first time by a Participant during any calendar year (under this Plan or under any other incentive stock option plan of the Company or any Parent or Subsidiary of the Company) will not exceed One Hundred Thousand Dollars ($100,000). If the Fair Market Value of Shares on the date of grant with respect to which ISOs are exercisable for the first time by a Participant during any calendar year exceeds One Hundred Thousand Dollars ($100,000), then the Options for the first One Hundred Thousand Dollars ($100,000) worth of Shares to become exercisable in such calendar year will be ISOs and the Options for the amount in excess of One Hundred Thousand Dollars ($100,000) that become exercisable in that calendar year will be NQSOs. In the event that the Code or the regulations promulgated thereunder are amended after the Effective Date (as defined in Section 13.1 hereof) to provide for a different limit on the Fair Market Value of Shares permitted to be subject to ISOs, then such different limit will be automatically incorporated herein and will apply to any Options granted after the effective date of such amendment.</w:t>
      </w:r>
    </w:p>
    <w:p>
      <w:pPr>
        <w:spacing w:after="0" w:line="137"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4.9 </w:t>
      </w:r>
      <w:r>
        <w:rPr>
          <w:rFonts w:ascii="Times New Roman" w:cs="Times New Roman" w:eastAsia="Times New Roman" w:hAnsi="Times New Roman"/>
          <w:sz w:val="15"/>
          <w:szCs w:val="15"/>
          <w:b w:val="1"/>
          <w:bCs w:val="1"/>
          <w:u w:val="single" w:color="auto"/>
          <w:color w:val="auto"/>
        </w:rPr>
        <w:t>Modification, Extension or Renewal</w:t>
      </w:r>
      <w:r>
        <w:rPr>
          <w:rFonts w:ascii="Times New Roman" w:cs="Times New Roman" w:eastAsia="Times New Roman" w:hAnsi="Times New Roman"/>
          <w:sz w:val="15"/>
          <w:szCs w:val="15"/>
          <w:color w:val="auto"/>
        </w:rPr>
        <w:t>. The Committee may modify, extend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renew outstanding Options and authorize the grant of new Options in substitution therefor,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any such action may not, without the written consent of a Participant, impair any of such Participant’s rights under any Option previously granted, unless for the purpose of complying with applicable laws and regulations. Any outstanding ISO that is modified, extended, renewed or otherwise altered will be treated in accordance with Section 424(h) of the Code. Subject to Section 4.10 hereof, the Committee may reduce the Exercise Price of outstanding Options without the consent of Participants by a written notice to them;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u w:val="single" w:color="auto"/>
          <w:color w:val="auto"/>
        </w:rPr>
        <w:t>however</w:t>
      </w:r>
      <w:r>
        <w:rPr>
          <w:rFonts w:ascii="Times New Roman" w:cs="Times New Roman" w:eastAsia="Times New Roman" w:hAnsi="Times New Roman"/>
          <w:sz w:val="15"/>
          <w:szCs w:val="15"/>
          <w:color w:val="auto"/>
        </w:rPr>
        <w:t>, that the Exercise Price may not be reduced below the minimum Exercise Price that would be permitted under Section 4.4 hereof for Options granted on the date the action is taken to reduce the Exercise Price.</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12" w:name="page413"/>
    <w:bookmarkEnd w:id="412"/>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4.10 </w:t>
      </w:r>
      <w:r>
        <w:rPr>
          <w:rFonts w:ascii="Times New Roman" w:cs="Times New Roman" w:eastAsia="Times New Roman" w:hAnsi="Times New Roman"/>
          <w:sz w:val="15"/>
          <w:szCs w:val="15"/>
          <w:b w:val="1"/>
          <w:bCs w:val="1"/>
          <w:u w:val="single" w:color="auto"/>
          <w:color w:val="auto"/>
        </w:rPr>
        <w:t>No Disqualification</w:t>
      </w:r>
      <w:r>
        <w:rPr>
          <w:rFonts w:ascii="Times New Roman" w:cs="Times New Roman" w:eastAsia="Times New Roman" w:hAnsi="Times New Roman"/>
          <w:sz w:val="15"/>
          <w:szCs w:val="15"/>
          <w:color w:val="auto"/>
        </w:rPr>
        <w:t>. Notwithstanding any other provision in this Plan, no term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Plan relating to ISOs will be interpreted, amended or altered, nor will any discretion or authority granted under this Plan be exercised, so as to disqualify this Plan under Section 422 of the Code or, without the consent of the Participant, to disqualify any Participant’s ISO under Section 422 of the Code.</w:t>
      </w:r>
    </w:p>
    <w:p>
      <w:pPr>
        <w:spacing w:after="0" w:line="130" w:lineRule="exact"/>
        <w:rPr>
          <w:sz w:val="20"/>
          <w:szCs w:val="20"/>
          <w:color w:val="auto"/>
        </w:rPr>
      </w:pPr>
    </w:p>
    <w:p>
      <w:pPr>
        <w:jc w:val="both"/>
        <w:ind w:left="1220" w:right="1239" w:firstLine="509"/>
        <w:spacing w:after="0" w:line="259" w:lineRule="auto"/>
        <w:tabs>
          <w:tab w:leader="none" w:pos="2026" w:val="left"/>
        </w:tabs>
        <w:numPr>
          <w:ilvl w:val="0"/>
          <w:numId w:val="31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RESTRICTED STOCK</w:t>
      </w:r>
      <w:r>
        <w:rPr>
          <w:rFonts w:ascii="Times New Roman" w:cs="Times New Roman" w:eastAsia="Times New Roman" w:hAnsi="Times New Roman"/>
          <w:sz w:val="15"/>
          <w:szCs w:val="15"/>
          <w:color w:val="auto"/>
        </w:rPr>
        <w:t>. A Restricted Stock Award is an offer by the Company to sell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 eligible person Shares that are subject to certain specified restrictions. The Committee will determine to whom an offer will be made, the number of Shares the person may purchase, the Purchase Price, the restrictions to which the Shares will be subject, and all other terms and conditions of the Restricted Stock Award, subject to the following terms and conditions.</w:t>
      </w:r>
    </w:p>
    <w:p>
      <w:pPr>
        <w:spacing w:after="0" w:line="131"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5.1 </w:t>
      </w:r>
      <w:r>
        <w:rPr>
          <w:rFonts w:ascii="Times New Roman" w:cs="Times New Roman" w:eastAsia="Times New Roman" w:hAnsi="Times New Roman"/>
          <w:sz w:val="15"/>
          <w:szCs w:val="15"/>
          <w:b w:val="1"/>
          <w:bCs w:val="1"/>
          <w:u w:val="single" w:color="auto"/>
          <w:color w:val="auto"/>
        </w:rPr>
        <w:t>Form of Restricted Stock Award</w:t>
      </w:r>
      <w:r>
        <w:rPr>
          <w:rFonts w:ascii="Times New Roman" w:cs="Times New Roman" w:eastAsia="Times New Roman" w:hAnsi="Times New Roman"/>
          <w:sz w:val="15"/>
          <w:szCs w:val="15"/>
          <w:color w:val="auto"/>
        </w:rPr>
        <w:t>. All purchases under a Restricted Stock Award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made pursuant to this Plan will be evidenced by an Award Agreement (“</w:t>
      </w:r>
      <w:r>
        <w:rPr>
          <w:rFonts w:ascii="Times New Roman" w:cs="Times New Roman" w:eastAsia="Times New Roman" w:hAnsi="Times New Roman"/>
          <w:sz w:val="15"/>
          <w:szCs w:val="15"/>
          <w:b w:val="1"/>
          <w:bCs w:val="1"/>
          <w:i w:val="1"/>
          <w:iCs w:val="1"/>
          <w:color w:val="auto"/>
        </w:rPr>
        <w:t>Restricted Stock Purchase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that will be in such form (which need not be the same for each Participant) as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Committee will from time to time approve, and will comply with and be subject to the terms and conditions of this Plan. The Restricted Stock Award will be accepted by the Participant’s execution and delivery of the Restricted Stock Purchase Agreement (accepted via written, electronic or other means) and full payment for the Shares to the Company within thirty (30) days from the date the Restricted Stock Purchase Agreement is delivered to the person. If such person does not execute and deliver the Restricted Stock Purchase Agreement along with full payment for the Shares to the Company within such thirty (30) days, then the offer will terminate, unless otherwise determined by the Committee.</w:t>
      </w:r>
    </w:p>
    <w:p>
      <w:pPr>
        <w:spacing w:after="0" w:line="137"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5.2 </w:t>
      </w:r>
      <w:r>
        <w:rPr>
          <w:rFonts w:ascii="Times New Roman" w:cs="Times New Roman" w:eastAsia="Times New Roman" w:hAnsi="Times New Roman"/>
          <w:sz w:val="15"/>
          <w:szCs w:val="15"/>
          <w:b w:val="1"/>
          <w:bCs w:val="1"/>
          <w:u w:val="single" w:color="auto"/>
          <w:color w:val="auto"/>
        </w:rPr>
        <w:t>Purchase Price</w:t>
      </w:r>
      <w:r>
        <w:rPr>
          <w:rFonts w:ascii="Times New Roman" w:cs="Times New Roman" w:eastAsia="Times New Roman" w:hAnsi="Times New Roman"/>
          <w:sz w:val="15"/>
          <w:szCs w:val="15"/>
          <w:color w:val="auto"/>
        </w:rPr>
        <w:t>. The Purchase Price of Shares sold pursuant to a Restricted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Award will be determined by the Committee on the date the Restricted Stock Award is granted. Payment of the Purchase Price must be made in accordance with Section 8 hereof.</w:t>
      </w:r>
    </w:p>
    <w:p>
      <w:pPr>
        <w:spacing w:after="0" w:line="122"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5.3 </w:t>
      </w:r>
      <w:r>
        <w:rPr>
          <w:rFonts w:ascii="Times New Roman" w:cs="Times New Roman" w:eastAsia="Times New Roman" w:hAnsi="Times New Roman"/>
          <w:sz w:val="15"/>
          <w:szCs w:val="15"/>
          <w:b w:val="1"/>
          <w:bCs w:val="1"/>
          <w:u w:val="single" w:color="auto"/>
          <w:color w:val="auto"/>
        </w:rPr>
        <w:t>Dividends and Other Distributions</w:t>
      </w:r>
      <w:r>
        <w:rPr>
          <w:rFonts w:ascii="Times New Roman" w:cs="Times New Roman" w:eastAsia="Times New Roman" w:hAnsi="Times New Roman"/>
          <w:sz w:val="15"/>
          <w:szCs w:val="15"/>
          <w:color w:val="auto"/>
        </w:rPr>
        <w:t>. Participants holding Restricted Stock Awards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will be entitled to receive all dividends and other distributions paid with respect to such Shares, unless the Committee provides otherwise at the time the Award is granted. If any such dividends or distributions are paid in Shares, the Shares will be subject to the same restrictions on transferability and forfeitability as the Restricted Stock Awards with respect to which they were paid.</w:t>
      </w:r>
    </w:p>
    <w:p>
      <w:pPr>
        <w:spacing w:after="0" w:line="131"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5.4 </w:t>
      </w:r>
      <w:r>
        <w:rPr>
          <w:rFonts w:ascii="Times New Roman" w:cs="Times New Roman" w:eastAsia="Times New Roman" w:hAnsi="Times New Roman"/>
          <w:sz w:val="15"/>
          <w:szCs w:val="15"/>
          <w:b w:val="1"/>
          <w:bCs w:val="1"/>
          <w:u w:val="single" w:color="auto"/>
          <w:color w:val="auto"/>
        </w:rPr>
        <w:t>Restrictions</w:t>
      </w:r>
      <w:r>
        <w:rPr>
          <w:rFonts w:ascii="Times New Roman" w:cs="Times New Roman" w:eastAsia="Times New Roman" w:hAnsi="Times New Roman"/>
          <w:sz w:val="15"/>
          <w:szCs w:val="15"/>
          <w:color w:val="auto"/>
        </w:rPr>
        <w:t>. Restricted Stock Awards may be subject to the restrictions set forth 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Sections 9 and 10 hereof or, with respect to a Restricted Stock Award to which Section 25102(o) is to apply, such other restrictions not inconsistent with Section 25102(o).</w:t>
      </w:r>
    </w:p>
    <w:p>
      <w:pPr>
        <w:spacing w:after="0" w:line="122" w:lineRule="exact"/>
        <w:rPr>
          <w:sz w:val="20"/>
          <w:szCs w:val="20"/>
          <w:color w:val="auto"/>
        </w:rPr>
      </w:pPr>
    </w:p>
    <w:p>
      <w:pPr>
        <w:ind w:left="2000" w:hanging="271"/>
        <w:spacing w:after="0"/>
        <w:tabs>
          <w:tab w:leader="none" w:pos="2000" w:val="left"/>
        </w:tabs>
        <w:numPr>
          <w:ilvl w:val="0"/>
          <w:numId w:val="31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RESTRICTED STOCK UNITS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6.1 </w:t>
      </w:r>
      <w:r>
        <w:rPr>
          <w:rFonts w:ascii="Times New Roman" w:cs="Times New Roman" w:eastAsia="Times New Roman" w:hAnsi="Times New Roman"/>
          <w:sz w:val="15"/>
          <w:szCs w:val="15"/>
          <w:b w:val="1"/>
          <w:bCs w:val="1"/>
          <w:u w:val="single" w:color="auto"/>
          <w:color w:val="auto"/>
        </w:rPr>
        <w:t>Awards of Restricted Stock Units</w:t>
      </w:r>
      <w:r>
        <w:rPr>
          <w:rFonts w:ascii="Times New Roman" w:cs="Times New Roman" w:eastAsia="Times New Roman" w:hAnsi="Times New Roman"/>
          <w:sz w:val="15"/>
          <w:szCs w:val="15"/>
          <w:color w:val="auto"/>
        </w:rPr>
        <w:t>. A Restricted Stock Unit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 is an Award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covering a number of Shares that may be settled in cash, by issuance of those Shares at a date in the future, or by a combination of cash and Shares. No Purchase Price shall apply to an RSU settled in Shares. The Committee will determine the terms of an RSU including, without limitation: (a) the number of Shares subject to the RSU, (b) the time or times during which the RSU may be settled, (c) the consideration to be distributed on settlement, and (d) the effect of the Participant’s Termination on each RSU. All grants of RSUs will be evidenced by an Award Agreement (the “</w:t>
      </w:r>
      <w:r>
        <w:rPr>
          <w:rFonts w:ascii="Times New Roman" w:cs="Times New Roman" w:eastAsia="Times New Roman" w:hAnsi="Times New Roman"/>
          <w:sz w:val="15"/>
          <w:szCs w:val="15"/>
          <w:b w:val="1"/>
          <w:bCs w:val="1"/>
          <w:i w:val="1"/>
          <w:iCs w:val="1"/>
          <w:color w:val="auto"/>
        </w:rPr>
        <w:t>RSU Agreement</w:t>
      </w:r>
      <w:r>
        <w:rPr>
          <w:rFonts w:ascii="Times New Roman" w:cs="Times New Roman" w:eastAsia="Times New Roman" w:hAnsi="Times New Roman"/>
          <w:sz w:val="15"/>
          <w:szCs w:val="15"/>
          <w:color w:val="auto"/>
        </w:rPr>
        <w:t>”) that will be in such form (which need not be the same for each Participant) as the Committee will from time to time approve, and will comply with and be subject to the terms and conditions of this Plan. No RSU will have a term longer than ten (10) years from the date the RSU is granted.</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13" w:name="page414"/>
    <w:bookmarkEnd w:id="413"/>
    <w:p>
      <w:pPr>
        <w:jc w:val="both"/>
        <w:ind w:left="1220" w:right="1239" w:firstLine="1009"/>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6.2 </w:t>
      </w:r>
      <w:r>
        <w:rPr>
          <w:rFonts w:ascii="Times New Roman" w:cs="Times New Roman" w:eastAsia="Times New Roman" w:hAnsi="Times New Roman"/>
          <w:sz w:val="15"/>
          <w:szCs w:val="15"/>
          <w:b w:val="1"/>
          <w:bCs w:val="1"/>
          <w:u w:val="single" w:color="auto"/>
          <w:color w:val="auto"/>
        </w:rPr>
        <w:t>Form and Timing of Settlement</w:t>
      </w:r>
      <w:r>
        <w:rPr>
          <w:rFonts w:ascii="Times New Roman" w:cs="Times New Roman" w:eastAsia="Times New Roman" w:hAnsi="Times New Roman"/>
          <w:sz w:val="15"/>
          <w:szCs w:val="15"/>
          <w:color w:val="auto"/>
        </w:rPr>
        <w:t>. Payment of earned RSUs will be made as soon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as practicable after the date(s) determined by the Committee and set forth in the RSU Agreement. To the extent permissible under applicable law, the Committee may permit a Participant to defer payment (including settlement) under an RSU to a date or dates after the RSU has vested,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the terms of the RSU and any deferral satisfy the requirements of Section 409A of the Code (or any successor) and any regulations or rulings promulgated thereunder, to the extent the Participant is subject to Section 409A of the Code.</w:t>
      </w:r>
    </w:p>
    <w:p>
      <w:pPr>
        <w:spacing w:after="0" w:line="315"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6.3 </w:t>
      </w:r>
      <w:r>
        <w:rPr>
          <w:rFonts w:ascii="Times New Roman" w:cs="Times New Roman" w:eastAsia="Times New Roman" w:hAnsi="Times New Roman"/>
          <w:sz w:val="15"/>
          <w:szCs w:val="15"/>
          <w:b w:val="1"/>
          <w:bCs w:val="1"/>
          <w:u w:val="single" w:color="auto"/>
          <w:color w:val="auto"/>
        </w:rPr>
        <w:t>Dividend Equivalent Payments</w:t>
      </w:r>
      <w:r>
        <w:rPr>
          <w:rFonts w:ascii="Times New Roman" w:cs="Times New Roman" w:eastAsia="Times New Roman" w:hAnsi="Times New Roman"/>
          <w:sz w:val="15"/>
          <w:szCs w:val="15"/>
          <w:color w:val="auto"/>
        </w:rPr>
        <w:t>. The Board may permit Participants holding RSUs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receive dividend equivalent payments on outstanding RSUs if and when dividends are paid to stockholders on Shares. In the discretion of the Board, such dividend equivalent payments may be paid in cash or Shares and they may either be paid at the same time as dividend payments are made to stockholders or delayed until Shares are issued pursuant to the RSU grants and may be subject to the same vesting or performance requirements as the RSUs. If the Board permits dividend equivalent payments to be made on RSUs, the terms and conditions for such dividend equivalent payments will be set forth in the RSU Agreement.</w:t>
      </w:r>
    </w:p>
    <w:p>
      <w:pPr>
        <w:spacing w:after="0" w:line="315" w:lineRule="exact"/>
        <w:rPr>
          <w:sz w:val="20"/>
          <w:szCs w:val="20"/>
          <w:color w:val="auto"/>
        </w:rPr>
      </w:pPr>
    </w:p>
    <w:p>
      <w:pPr>
        <w:ind w:left="2000" w:hanging="271"/>
        <w:spacing w:after="0"/>
        <w:tabs>
          <w:tab w:leader="none" w:pos="2000" w:val="left"/>
        </w:tabs>
        <w:numPr>
          <w:ilvl w:val="0"/>
          <w:numId w:val="31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STOCK APPRECIATION RIGHTS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7.1 </w:t>
      </w:r>
      <w:r>
        <w:rPr>
          <w:rFonts w:ascii="Times New Roman" w:cs="Times New Roman" w:eastAsia="Times New Roman" w:hAnsi="Times New Roman"/>
          <w:sz w:val="15"/>
          <w:szCs w:val="15"/>
          <w:b w:val="1"/>
          <w:bCs w:val="1"/>
          <w:u w:val="single" w:color="auto"/>
          <w:color w:val="auto"/>
        </w:rPr>
        <w:t>Awards of SARs</w:t>
      </w:r>
      <w:r>
        <w:rPr>
          <w:rFonts w:ascii="Times New Roman" w:cs="Times New Roman" w:eastAsia="Times New Roman" w:hAnsi="Times New Roman"/>
          <w:sz w:val="15"/>
          <w:szCs w:val="15"/>
          <w:color w:val="auto"/>
        </w:rPr>
        <w:t>. Stock Appreciation Rights (“</w:t>
      </w:r>
      <w:r>
        <w:rPr>
          <w:rFonts w:ascii="Times New Roman" w:cs="Times New Roman" w:eastAsia="Times New Roman" w:hAnsi="Times New Roman"/>
          <w:sz w:val="15"/>
          <w:szCs w:val="15"/>
          <w:b w:val="1"/>
          <w:bCs w:val="1"/>
          <w:i w:val="1"/>
          <w:iCs w:val="1"/>
          <w:color w:val="auto"/>
        </w:rPr>
        <w:t>SARs</w:t>
      </w:r>
      <w:r>
        <w:rPr>
          <w:rFonts w:ascii="Times New Roman" w:cs="Times New Roman" w:eastAsia="Times New Roman" w:hAnsi="Times New Roman"/>
          <w:sz w:val="15"/>
          <w:szCs w:val="15"/>
          <w:color w:val="auto"/>
        </w:rPr>
        <w:t>”) may be settled in cash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(which may consist of Restricted Stock or RSUs) or a combination thereof, having a value equal to the value determined by multiplying the difference between the Fair Market Value on the date of exercise over the Exercise Price and the number of Shares with respect to which the SAR is being exercised. All grants of SARs made pursuant to this Plan will be evidenced by an Award Agreement (the “</w:t>
      </w:r>
      <w:r>
        <w:rPr>
          <w:rFonts w:ascii="Times New Roman" w:cs="Times New Roman" w:eastAsia="Times New Roman" w:hAnsi="Times New Roman"/>
          <w:sz w:val="15"/>
          <w:szCs w:val="15"/>
          <w:b w:val="1"/>
          <w:bCs w:val="1"/>
          <w:i w:val="1"/>
          <w:iCs w:val="1"/>
          <w:color w:val="auto"/>
        </w:rPr>
        <w:t>SAR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that will be in such form (which need not be the same for each Participant) as the</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Committee will from time to time approve, and will comply with and be subject to the terms and conditions of this Plan.</w:t>
      </w:r>
    </w:p>
    <w:p>
      <w:pPr>
        <w:spacing w:after="0" w:line="315"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7.2 </w:t>
      </w:r>
      <w:r>
        <w:rPr>
          <w:rFonts w:ascii="Times New Roman" w:cs="Times New Roman" w:eastAsia="Times New Roman" w:hAnsi="Times New Roman"/>
          <w:sz w:val="15"/>
          <w:szCs w:val="15"/>
          <w:b w:val="1"/>
          <w:bCs w:val="1"/>
          <w:u w:val="single" w:color="auto"/>
          <w:color w:val="auto"/>
        </w:rPr>
        <w:t>Exercise Period and Expiration Date</w:t>
      </w:r>
      <w:r>
        <w:rPr>
          <w:rFonts w:ascii="Times New Roman" w:cs="Times New Roman" w:eastAsia="Times New Roman" w:hAnsi="Times New Roman"/>
          <w:sz w:val="15"/>
          <w:szCs w:val="15"/>
          <w:color w:val="auto"/>
        </w:rPr>
        <w:t>. A SAR will be exercisable within the times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or upon the occurrence of events determined by the Committee and set forth in the SAR Agreement. The SAR Agreement shall set forth the expiration date;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no SAR will be exercisable after the expiration of ten (10) years from the date the SAR is granted.</w:t>
      </w:r>
    </w:p>
    <w:p>
      <w:pPr>
        <w:spacing w:after="0" w:line="130"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7.3 </w:t>
      </w:r>
      <w:r>
        <w:rPr>
          <w:rFonts w:ascii="Times New Roman" w:cs="Times New Roman" w:eastAsia="Times New Roman" w:hAnsi="Times New Roman"/>
          <w:sz w:val="15"/>
          <w:szCs w:val="15"/>
          <w:b w:val="1"/>
          <w:bCs w:val="1"/>
          <w:u w:val="single" w:color="auto"/>
          <w:color w:val="auto"/>
        </w:rPr>
        <w:t>Exercise Price</w:t>
      </w:r>
      <w:r>
        <w:rPr>
          <w:rFonts w:ascii="Times New Roman" w:cs="Times New Roman" w:eastAsia="Times New Roman" w:hAnsi="Times New Roman"/>
          <w:sz w:val="15"/>
          <w:szCs w:val="15"/>
          <w:color w:val="auto"/>
        </w:rPr>
        <w:t>. The Committee will determine the Exercise Price of the SAR when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SAR is granted, which may not be less than the Fair Market Value on the date of grant.</w:t>
      </w:r>
    </w:p>
    <w:p>
      <w:pPr>
        <w:spacing w:after="0" w:line="107"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7.4 </w:t>
      </w:r>
      <w:r>
        <w:rPr>
          <w:rFonts w:ascii="Times New Roman" w:cs="Times New Roman" w:eastAsia="Times New Roman" w:hAnsi="Times New Roman"/>
          <w:sz w:val="15"/>
          <w:szCs w:val="15"/>
          <w:b w:val="1"/>
          <w:bCs w:val="1"/>
          <w:u w:val="single" w:color="auto"/>
          <w:color w:val="auto"/>
        </w:rPr>
        <w:t>Termination</w:t>
      </w:r>
      <w:r>
        <w:rPr>
          <w:rFonts w:ascii="Times New Roman" w:cs="Times New Roman" w:eastAsia="Times New Roman" w:hAnsi="Times New Roman"/>
          <w:sz w:val="15"/>
          <w:szCs w:val="15"/>
          <w:color w:val="auto"/>
        </w:rPr>
        <w:t>. Subject to earlier termination pursuant to Sections 11 and 13 hereof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subject to any longer exercise periods set forth in the SAR Agreement, exercise of SARs will always be subject to the following terms and conditions.</w:t>
      </w:r>
    </w:p>
    <w:p>
      <w:pPr>
        <w:spacing w:after="0" w:line="126" w:lineRule="exact"/>
        <w:rPr>
          <w:sz w:val="20"/>
          <w:szCs w:val="20"/>
          <w:color w:val="auto"/>
        </w:rPr>
      </w:pPr>
    </w:p>
    <w:p>
      <w:pPr>
        <w:jc w:val="both"/>
        <w:ind w:left="1220" w:right="1239" w:firstLine="1514"/>
        <w:spacing w:after="0" w:line="253" w:lineRule="auto"/>
        <w:rPr>
          <w:sz w:val="20"/>
          <w:szCs w:val="20"/>
          <w:color w:val="auto"/>
        </w:rPr>
      </w:pPr>
      <w:r>
        <w:rPr>
          <w:rFonts w:ascii="Times New Roman" w:cs="Times New Roman" w:eastAsia="Times New Roman" w:hAnsi="Times New Roman"/>
          <w:sz w:val="15"/>
          <w:szCs w:val="15"/>
          <w:color w:val="auto"/>
        </w:rPr>
        <w:t xml:space="preserve">7.4.1 </w:t>
      </w:r>
      <w:r>
        <w:rPr>
          <w:rFonts w:ascii="Times New Roman" w:cs="Times New Roman" w:eastAsia="Times New Roman" w:hAnsi="Times New Roman"/>
          <w:sz w:val="15"/>
          <w:szCs w:val="15"/>
          <w:u w:val="single" w:color="auto"/>
          <w:color w:val="auto"/>
        </w:rPr>
        <w:t>Other than Death or Disability or for Cause</w:t>
      </w:r>
      <w:r>
        <w:rPr>
          <w:rFonts w:ascii="Times New Roman" w:cs="Times New Roman" w:eastAsia="Times New Roman" w:hAnsi="Times New Roman"/>
          <w:sz w:val="15"/>
          <w:szCs w:val="15"/>
          <w:color w:val="auto"/>
        </w:rPr>
        <w:t>. If the Participant is Terminated for any reason other than death, Disability or for Cause, then the Participant may exercise such Participant’s SARs only to the extent that such SARs are exercisable as to Vested Shares upon the Termination Date or as otherwise determined by the Committee or as required by applicable law. SARs must be exercised by the Participant, if at all, as to all or some of the Vested Shares calculated as of the Termination Date or such other date determined by the Committee, within three (3) months after the Termination Date (or within such shorter time period, not less than thirty (30) days, or within such longer time period after the Termination Date as may be determined by the Committee or as required by applicable law), but in any event no later than the expiration date of the SARs.</w:t>
      </w:r>
    </w:p>
    <w:p>
      <w:pPr>
        <w:spacing w:after="0" w:line="2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14" w:name="page415"/>
    <w:bookmarkEnd w:id="414"/>
    <w:p>
      <w:pPr>
        <w:jc w:val="both"/>
        <w:ind w:left="1220" w:right="1239" w:firstLine="1514"/>
        <w:spacing w:after="0" w:line="252" w:lineRule="auto"/>
        <w:rPr>
          <w:sz w:val="20"/>
          <w:szCs w:val="20"/>
          <w:color w:val="auto"/>
        </w:rPr>
      </w:pPr>
      <w:r>
        <w:rPr>
          <w:rFonts w:ascii="Times New Roman" w:cs="Times New Roman" w:eastAsia="Times New Roman" w:hAnsi="Times New Roman"/>
          <w:sz w:val="15"/>
          <w:szCs w:val="15"/>
          <w:color w:val="auto"/>
        </w:rPr>
        <w:t xml:space="preserve">7.4.2 </w:t>
      </w:r>
      <w:r>
        <w:rPr>
          <w:rFonts w:ascii="Times New Roman" w:cs="Times New Roman" w:eastAsia="Times New Roman" w:hAnsi="Times New Roman"/>
          <w:sz w:val="15"/>
          <w:szCs w:val="15"/>
          <w:u w:val="single" w:color="auto"/>
          <w:color w:val="auto"/>
        </w:rPr>
        <w:t>Death or Disability</w:t>
      </w:r>
      <w:r>
        <w:rPr>
          <w:rFonts w:ascii="Times New Roman" w:cs="Times New Roman" w:eastAsia="Times New Roman" w:hAnsi="Times New Roman"/>
          <w:sz w:val="15"/>
          <w:szCs w:val="15"/>
          <w:color w:val="auto"/>
        </w:rPr>
        <w:t>. If the Participant is Terminated because of Participant’s death or Disability (or the Participant dies within three (3) months after a Termination other than for Cause), then Participant’s SARs may be exercised only to the extent that such SARs are exercisable as to Vested Shares on the Termination Date or as otherwise determined by the Committee or as required by applicable law. Such SARs must be exercised by Participant (or Participant’s legal representative or authorized assignee), if at all, as to all or some of the Vested Shares calculated as of the Termination Date or such other date determined by the Committee, within twelve (12) months after the Termination Date (or within such shorter time period, not less than six (6) months, or within such longer time period after the Termination Date as may be determined by the Committee or as required by applicable law), but in any event no later than the expiration date of the SARs.</w:t>
      </w:r>
    </w:p>
    <w:p>
      <w:pPr>
        <w:spacing w:after="0" w:line="144" w:lineRule="exact"/>
        <w:rPr>
          <w:sz w:val="20"/>
          <w:szCs w:val="20"/>
          <w:color w:val="auto"/>
        </w:rPr>
      </w:pPr>
    </w:p>
    <w:p>
      <w:pPr>
        <w:jc w:val="both"/>
        <w:ind w:left="1220" w:right="1239" w:firstLine="1514"/>
        <w:spacing w:after="0" w:line="261" w:lineRule="auto"/>
        <w:rPr>
          <w:sz w:val="20"/>
          <w:szCs w:val="20"/>
          <w:color w:val="auto"/>
        </w:rPr>
      </w:pPr>
      <w:r>
        <w:rPr>
          <w:rFonts w:ascii="Times New Roman" w:cs="Times New Roman" w:eastAsia="Times New Roman" w:hAnsi="Times New Roman"/>
          <w:sz w:val="15"/>
          <w:szCs w:val="15"/>
          <w:color w:val="auto"/>
        </w:rPr>
        <w:t xml:space="preserve">7.4.3 </w:t>
      </w:r>
      <w:r>
        <w:rPr>
          <w:rFonts w:ascii="Times New Roman" w:cs="Times New Roman" w:eastAsia="Times New Roman" w:hAnsi="Times New Roman"/>
          <w:sz w:val="15"/>
          <w:szCs w:val="15"/>
          <w:u w:val="single" w:color="auto"/>
          <w:color w:val="auto"/>
        </w:rPr>
        <w:t>For Cause</w:t>
      </w:r>
      <w:r>
        <w:rPr>
          <w:rFonts w:ascii="Times New Roman" w:cs="Times New Roman" w:eastAsia="Times New Roman" w:hAnsi="Times New Roman"/>
          <w:sz w:val="15"/>
          <w:szCs w:val="15"/>
          <w:color w:val="auto"/>
        </w:rPr>
        <w:t>. If the Participant is Terminated for Cause, the Participant may exercise such Participant’s SARs, but not to an extent greater than such SARs are exercisable as to Vested Shares upon the Termination Date and Participant’s SARs shall expire on such Participant’s Termination Date, or at such later time and on such conditions as are determined by the Committee.</w:t>
      </w:r>
    </w:p>
    <w:p>
      <w:pPr>
        <w:spacing w:after="0" w:line="129" w:lineRule="exact"/>
        <w:rPr>
          <w:sz w:val="20"/>
          <w:szCs w:val="20"/>
          <w:color w:val="auto"/>
        </w:rPr>
      </w:pPr>
    </w:p>
    <w:p>
      <w:pPr>
        <w:ind w:left="2000" w:hanging="271"/>
        <w:spacing w:after="0"/>
        <w:tabs>
          <w:tab w:leader="none" w:pos="2000" w:val="left"/>
        </w:tabs>
        <w:numPr>
          <w:ilvl w:val="0"/>
          <w:numId w:val="31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PAYMENT FOR PURCHASES AND EXERCISES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8.1 </w:t>
      </w:r>
      <w:r>
        <w:rPr>
          <w:rFonts w:ascii="Times New Roman" w:cs="Times New Roman" w:eastAsia="Times New Roman" w:hAnsi="Times New Roman"/>
          <w:sz w:val="15"/>
          <w:szCs w:val="15"/>
          <w:b w:val="1"/>
          <w:bCs w:val="1"/>
          <w:u w:val="single" w:color="auto"/>
          <w:color w:val="auto"/>
        </w:rPr>
        <w:t>Payment in General</w:t>
      </w:r>
      <w:r>
        <w:rPr>
          <w:rFonts w:ascii="Times New Roman" w:cs="Times New Roman" w:eastAsia="Times New Roman" w:hAnsi="Times New Roman"/>
          <w:sz w:val="15"/>
          <w:szCs w:val="15"/>
          <w:color w:val="auto"/>
        </w:rPr>
        <w:t>. Payment for Shares acquired pursuant to this Plan may be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made in cash equivalents (including by check or Automated Clearing House (“</w:t>
      </w:r>
      <w:r>
        <w:rPr>
          <w:rFonts w:ascii="Times New Roman" w:cs="Times New Roman" w:eastAsia="Times New Roman" w:hAnsi="Times New Roman"/>
          <w:sz w:val="15"/>
          <w:szCs w:val="15"/>
          <w:b w:val="1"/>
          <w:bCs w:val="1"/>
          <w:i w:val="1"/>
          <w:iCs w:val="1"/>
          <w:color w:val="auto"/>
        </w:rPr>
        <w:t>ACH</w:t>
      </w:r>
      <w:r>
        <w:rPr>
          <w:rFonts w:ascii="Times New Roman" w:cs="Times New Roman" w:eastAsia="Times New Roman" w:hAnsi="Times New Roman"/>
          <w:sz w:val="15"/>
          <w:szCs w:val="15"/>
          <w:color w:val="auto"/>
        </w:rPr>
        <w:t>”) transfer) or, where expressly approved for the Participant by the Committee and subject to compliance with applicable law:</w:t>
      </w:r>
    </w:p>
    <w:p>
      <w:pPr>
        <w:spacing w:after="0" w:line="126" w:lineRule="exact"/>
        <w:rPr>
          <w:sz w:val="20"/>
          <w:szCs w:val="20"/>
          <w:color w:val="auto"/>
        </w:rPr>
      </w:pPr>
    </w:p>
    <w:p>
      <w:pPr>
        <w:ind w:left="3020" w:hanging="282"/>
        <w:spacing w:after="0"/>
        <w:tabs>
          <w:tab w:leader="none" w:pos="302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cancellation of indebtedness of the Company owed to the Participant;</w:t>
      </w:r>
    </w:p>
    <w:p>
      <w:pPr>
        <w:spacing w:after="0" w:line="174" w:lineRule="exact"/>
        <w:rPr>
          <w:rFonts w:ascii="Times New Roman" w:cs="Times New Roman" w:eastAsia="Times New Roman" w:hAnsi="Times New Roman"/>
          <w:sz w:val="15"/>
          <w:szCs w:val="15"/>
          <w:color w:val="auto"/>
        </w:rPr>
      </w:pPr>
    </w:p>
    <w:p>
      <w:pPr>
        <w:jc w:val="both"/>
        <w:ind w:left="1220" w:right="1239" w:firstLine="1518"/>
        <w:spacing w:after="0" w:line="257" w:lineRule="auto"/>
        <w:tabs>
          <w:tab w:leader="none" w:pos="3086"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surrender of shares of the Company that are clear of all liens, claims, encumbrances or security interests and: (i) for which the Company has received “full payment of the purchase price” within the meaning of SEC Rule 144 (and, if such shares were purchased from the Company by use of a promissory note, such note has been fully paid with respect to such shares) or (ii) that were obtained by Participant in the public market;</w:t>
      </w:r>
    </w:p>
    <w:p>
      <w:pPr>
        <w:spacing w:after="0" w:line="138" w:lineRule="exact"/>
        <w:rPr>
          <w:rFonts w:ascii="Times New Roman" w:cs="Times New Roman" w:eastAsia="Times New Roman" w:hAnsi="Times New Roman"/>
          <w:sz w:val="15"/>
          <w:szCs w:val="15"/>
          <w:color w:val="auto"/>
        </w:rPr>
      </w:pPr>
    </w:p>
    <w:p>
      <w:pPr>
        <w:jc w:val="both"/>
        <w:ind w:left="1220" w:right="1239" w:firstLine="1518"/>
        <w:spacing w:after="0" w:line="253" w:lineRule="auto"/>
        <w:tabs>
          <w:tab w:leader="none" w:pos="3066"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tender of a full recourse promissory note having such terms as may be approved by the Committee and bearing interest at a rate sufficient to avoid (i) imputation of income under Sections 483 and 1274 of the Code and (ii) unfavorable accounting treatment as determined by the Committee;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u w:val="single" w:color="auto"/>
          <w:color w:val="auto"/>
        </w:rPr>
        <w:t>however</w:t>
      </w:r>
      <w:r>
        <w:rPr>
          <w:rFonts w:ascii="Times New Roman" w:cs="Times New Roman" w:eastAsia="Times New Roman" w:hAnsi="Times New Roman"/>
          <w:sz w:val="15"/>
          <w:szCs w:val="15"/>
          <w:color w:val="auto"/>
        </w:rPr>
        <w:t xml:space="preserve">, that Participants who are not employees or directors of the Company will not be entitled to purchase Shares with a promissory note unless the note is adequately secured by collateral other than the Shares;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u w:val="single" w:color="auto"/>
          <w:color w:val="auto"/>
        </w:rPr>
        <w:t>further</w:t>
      </w:r>
      <w:r>
        <w:rPr>
          <w:rFonts w:ascii="Times New Roman" w:cs="Times New Roman" w:eastAsia="Times New Roman" w:hAnsi="Times New Roman"/>
          <w:sz w:val="15"/>
          <w:szCs w:val="15"/>
          <w:color w:val="auto"/>
        </w:rPr>
        <w:t>, that the portion of the Exercise Price or Purchase Price, as the case may be, equal to the par value (if any) of the Shares must be paid in cash or other legal consideration permitted by the laws under which the Company is then incorporated or organized;</w:t>
      </w:r>
    </w:p>
    <w:p>
      <w:pPr>
        <w:spacing w:after="0" w:line="143"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130"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waiver of compensation due or accrued to the Participant from the Company for services rendered;</w:t>
      </w:r>
    </w:p>
    <w:p>
      <w:pPr>
        <w:spacing w:after="0" w:line="115"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057"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participating in a formal cashless exercise program implemented by the Committee in connection with the Plan;</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046" w:val="left"/>
        </w:tabs>
        <w:numPr>
          <w:ilvl w:val="0"/>
          <w:numId w:val="3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that a public market for the Company’s common stock exists, by exercising through a “same day sale” commitment from the Participant and a broker-dealer whereby the Participant irrevocably elects to exercise the Award and to sell a portion of the Shares so purchased sufficient to pay the total Exercise Price or Purchase Price, and whereby the broker-dealer irrevocably commits upon receipt of such Shares to forward the total Exercise Price or Purchase Price directly to the Company; or</w:t>
      </w:r>
    </w:p>
    <w:p>
      <w:pPr>
        <w:spacing w:after="0" w:line="2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15" w:name="page416"/>
    <w:bookmarkEnd w:id="415"/>
    <w:p>
      <w:pPr>
        <w:ind w:left="3140" w:hanging="402"/>
        <w:spacing w:after="0"/>
        <w:tabs>
          <w:tab w:leader="none" w:pos="3140" w:val="left"/>
        </w:tabs>
        <w:numPr>
          <w:ilvl w:val="0"/>
          <w:numId w:val="3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any combination of the foregoing or any other method of payment</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by the Committee.</w:t>
      </w:r>
    </w:p>
    <w:p>
      <w:pPr>
        <w:spacing w:after="0" w:line="15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For avoidance of uncertainty: ACH transfers that have been received by the Company into its bank account designated for receipt of such transfers under this Section 8.1 shall be deemed to have been received for all purposes under this Plan as of the date on which such transfers were initiated from the transferor’s account and made irrevocable by the transferor.</w:t>
      </w:r>
    </w:p>
    <w:p>
      <w:pPr>
        <w:spacing w:after="0" w:line="12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b w:val="1"/>
          <w:bCs w:val="1"/>
          <w:color w:val="auto"/>
        </w:rPr>
        <w:t xml:space="preserve">8.2  </w:t>
      </w:r>
      <w:r>
        <w:rPr>
          <w:rFonts w:ascii="Times New Roman" w:cs="Times New Roman" w:eastAsia="Times New Roman" w:hAnsi="Times New Roman"/>
          <w:sz w:val="15"/>
          <w:szCs w:val="15"/>
          <w:b w:val="1"/>
          <w:bCs w:val="1"/>
          <w:u w:val="single" w:color="auto"/>
          <w:color w:val="auto"/>
        </w:rPr>
        <w:t>Withholding Taxes</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jc w:val="both"/>
        <w:ind w:left="1220" w:right="1239" w:firstLine="1514"/>
        <w:spacing w:after="0" w:line="253" w:lineRule="auto"/>
        <w:rPr>
          <w:sz w:val="20"/>
          <w:szCs w:val="20"/>
          <w:color w:val="auto"/>
        </w:rPr>
      </w:pPr>
      <w:r>
        <w:rPr>
          <w:rFonts w:ascii="Times New Roman" w:cs="Times New Roman" w:eastAsia="Times New Roman" w:hAnsi="Times New Roman"/>
          <w:sz w:val="15"/>
          <w:szCs w:val="15"/>
          <w:color w:val="auto"/>
        </w:rPr>
        <w:t xml:space="preserve">8.2.1 </w:t>
      </w:r>
      <w:r>
        <w:rPr>
          <w:rFonts w:ascii="Times New Roman" w:cs="Times New Roman" w:eastAsia="Times New Roman" w:hAnsi="Times New Roman"/>
          <w:sz w:val="15"/>
          <w:szCs w:val="15"/>
          <w:u w:val="single" w:color="auto"/>
          <w:color w:val="auto"/>
        </w:rPr>
        <w:t>Withholding Generally</w:t>
      </w:r>
      <w:r>
        <w:rPr>
          <w:rFonts w:ascii="Times New Roman" w:cs="Times New Roman" w:eastAsia="Times New Roman" w:hAnsi="Times New Roman"/>
          <w:sz w:val="15"/>
          <w:szCs w:val="15"/>
          <w:color w:val="auto"/>
        </w:rPr>
        <w:t>. Whenever Shares are to be issued in satisfaction of Awards granted under this Plan, the Company may require the Participant to remit to the Company an amount sufficient to satisfy the maximum tax withholding requirements as to income tax, social insurance, payroll tax, fringe benefits tax, payment on account and other tax-related obligations (collectively, “</w:t>
      </w:r>
      <w:r>
        <w:rPr>
          <w:rFonts w:ascii="Times New Roman" w:cs="Times New Roman" w:eastAsia="Times New Roman" w:hAnsi="Times New Roman"/>
          <w:sz w:val="15"/>
          <w:szCs w:val="15"/>
          <w:b w:val="1"/>
          <w:bCs w:val="1"/>
          <w:i w:val="1"/>
          <w:iCs w:val="1"/>
          <w:color w:val="auto"/>
        </w:rPr>
        <w:t>Tax- Related Obligations</w:t>
      </w:r>
      <w:r>
        <w:rPr>
          <w:rFonts w:ascii="Times New Roman" w:cs="Times New Roman" w:eastAsia="Times New Roman" w:hAnsi="Times New Roman"/>
          <w:sz w:val="15"/>
          <w:szCs w:val="15"/>
          <w:color w:val="auto"/>
        </w:rPr>
        <w:t>”) prior to the delivery of any written or electronic certificate or certificates for such Shares. Whenever, under this Plan, payments in satisfaction of Awards are to be made in cash by the Company, such payment will be net of an amount sufficient to satisfy applicable tax withholding requirements.</w:t>
      </w:r>
    </w:p>
    <w:p>
      <w:pPr>
        <w:spacing w:after="0" w:line="143" w:lineRule="exact"/>
        <w:rPr>
          <w:sz w:val="20"/>
          <w:szCs w:val="20"/>
          <w:color w:val="auto"/>
        </w:rPr>
      </w:pPr>
    </w:p>
    <w:p>
      <w:pPr>
        <w:jc w:val="both"/>
        <w:ind w:left="1220" w:right="1239" w:firstLine="1514"/>
        <w:spacing w:after="0" w:line="251" w:lineRule="auto"/>
        <w:rPr>
          <w:sz w:val="20"/>
          <w:szCs w:val="20"/>
          <w:color w:val="auto"/>
        </w:rPr>
      </w:pPr>
      <w:r>
        <w:rPr>
          <w:rFonts w:ascii="Times New Roman" w:cs="Times New Roman" w:eastAsia="Times New Roman" w:hAnsi="Times New Roman"/>
          <w:sz w:val="15"/>
          <w:szCs w:val="15"/>
          <w:color w:val="auto"/>
        </w:rPr>
        <w:t xml:space="preserve">8.2.2 </w:t>
      </w:r>
      <w:r>
        <w:rPr>
          <w:rFonts w:ascii="Times New Roman" w:cs="Times New Roman" w:eastAsia="Times New Roman" w:hAnsi="Times New Roman"/>
          <w:sz w:val="15"/>
          <w:szCs w:val="15"/>
          <w:u w:val="single" w:color="auto"/>
          <w:color w:val="auto"/>
        </w:rPr>
        <w:t>Stock Withholding</w:t>
      </w:r>
      <w:r>
        <w:rPr>
          <w:rFonts w:ascii="Times New Roman" w:cs="Times New Roman" w:eastAsia="Times New Roman" w:hAnsi="Times New Roman"/>
          <w:sz w:val="15"/>
          <w:szCs w:val="15"/>
          <w:color w:val="auto"/>
        </w:rPr>
        <w:t>. When, under applicable tax laws, a Participant incurs tax liability in connection with the exercise or vesting of any Award that is subject to tax withholding and the Participant is obligated to pay the Company the amount required to be withheld, the Committee may in its sole discretion allow the Participant to satisfy up to the maximum Tax-Related Obligations in the employee’s applicable jurisdictions by electing to have the Company withhold from the Shares to be issued up to the number of Shares having a Fair Market Value on the date that the amount of tax to be withheld is to be determined that is not more than the maximum Tax-Related Obligations in the employee’s applicable jurisdictions; or to arrange a mandatory “sell to cover” on Participant’s behalf (without further authorization) but in no event will the Company withhold Shares or “sell to cover” if such withholding would result in adverse accounting or compliance consequences to the Company. The maximum Tax- Related Obligations are based on the applicable rates of the relevant tax authorities (for example, federal, state and local), including the employee’s share of payroll or similar taxes, as provided in the tax law, regulations or the authority’s administrative practices, not to exceed the highest statutory rate in that jurisdiction. Any elections to have Shares withheld or sold for this purpose will be made in accordance with the requirements established by the Committee for such elections and be in writing in a form acceptable to the Committee.</w:t>
      </w:r>
    </w:p>
    <w:p>
      <w:pPr>
        <w:spacing w:after="0" w:line="322" w:lineRule="exact"/>
        <w:rPr>
          <w:sz w:val="20"/>
          <w:szCs w:val="20"/>
          <w:color w:val="auto"/>
        </w:rPr>
      </w:pPr>
    </w:p>
    <w:p>
      <w:pPr>
        <w:jc w:val="both"/>
        <w:ind w:left="1220" w:right="1239" w:firstLine="1514"/>
        <w:spacing w:after="0" w:line="257" w:lineRule="auto"/>
        <w:rPr>
          <w:sz w:val="20"/>
          <w:szCs w:val="20"/>
          <w:color w:val="auto"/>
        </w:rPr>
      </w:pPr>
      <w:r>
        <w:rPr>
          <w:rFonts w:ascii="Times New Roman" w:cs="Times New Roman" w:eastAsia="Times New Roman" w:hAnsi="Times New Roman"/>
          <w:sz w:val="15"/>
          <w:szCs w:val="15"/>
          <w:color w:val="auto"/>
        </w:rPr>
        <w:t xml:space="preserve">8.2.3 </w:t>
      </w:r>
      <w:r>
        <w:rPr>
          <w:rFonts w:ascii="Times New Roman" w:cs="Times New Roman" w:eastAsia="Times New Roman" w:hAnsi="Times New Roman"/>
          <w:sz w:val="15"/>
          <w:szCs w:val="15"/>
          <w:u w:val="single" w:color="auto"/>
          <w:color w:val="auto"/>
        </w:rPr>
        <w:t>Elections Under Section 83(i) of the Code</w:t>
      </w:r>
      <w:r>
        <w:rPr>
          <w:rFonts w:ascii="Times New Roman" w:cs="Times New Roman" w:eastAsia="Times New Roman" w:hAnsi="Times New Roman"/>
          <w:sz w:val="15"/>
          <w:szCs w:val="15"/>
          <w:color w:val="auto"/>
        </w:rPr>
        <w:t>. A Participant will not make an election under Section 83(i) of the Code if the Company determines that the Participant is then ineligible to make such an election under applicable law or without the Company’s prior written consent (which will not be unreasonably withheld or delayed, but may be conditioned upon the Participant’s entry into additional commitments as determined by the Company).</w:t>
      </w:r>
    </w:p>
    <w:p>
      <w:pPr>
        <w:spacing w:after="0" w:line="134" w:lineRule="exact"/>
        <w:rPr>
          <w:sz w:val="20"/>
          <w:szCs w:val="20"/>
          <w:color w:val="auto"/>
        </w:rPr>
      </w:pPr>
    </w:p>
    <w:p>
      <w:pPr>
        <w:ind w:left="2000" w:hanging="271"/>
        <w:spacing w:after="0"/>
        <w:tabs>
          <w:tab w:leader="none" w:pos="2000" w:val="left"/>
        </w:tabs>
        <w:numPr>
          <w:ilvl w:val="0"/>
          <w:numId w:val="32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RESTRICTIONS ON AWARDS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9.1 </w:t>
      </w:r>
      <w:r>
        <w:rPr>
          <w:rFonts w:ascii="Times New Roman" w:cs="Times New Roman" w:eastAsia="Times New Roman" w:hAnsi="Times New Roman"/>
          <w:sz w:val="15"/>
          <w:szCs w:val="15"/>
          <w:b w:val="1"/>
          <w:bCs w:val="1"/>
          <w:u w:val="single" w:color="auto"/>
          <w:color w:val="auto"/>
        </w:rPr>
        <w:t>Transferability</w:t>
      </w:r>
      <w:r>
        <w:rPr>
          <w:rFonts w:ascii="Times New Roman" w:cs="Times New Roman" w:eastAsia="Times New Roman" w:hAnsi="Times New Roman"/>
          <w:sz w:val="15"/>
          <w:szCs w:val="15"/>
          <w:color w:val="auto"/>
        </w:rPr>
        <w:t>. Except as permitted by the Committee, Awards granted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Plan, and any interest therein, will not be transferable or assignable by Participant, other than by will or by the laws of descent and distribution, and, with respect to NQSOs for Participants in the U.S., by instrument to an inter vivos or testamentary trust in which the NQSOs are to be passed to beneficiaries upon the death of the trustor (settlor), or by gift to “family member” as that term is defined in Rule 701, and may not be made subject to execution, attachment or similar process. For the avoidance of doubt, the prohibition against assignment and transfer applies to Awards and any Shares underlying the Awards prior to the</w:t>
      </w: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16" w:name="page417"/>
    <w:bookmarkEnd w:id="416"/>
    <w:p>
      <w:pPr>
        <w:jc w:val="both"/>
        <w:ind w:left="1220" w:right="1239"/>
        <w:spacing w:after="0" w:line="253" w:lineRule="auto"/>
        <w:rPr>
          <w:sz w:val="20"/>
          <w:szCs w:val="20"/>
          <w:color w:val="auto"/>
        </w:rPr>
      </w:pPr>
      <w:r>
        <w:rPr>
          <w:rFonts w:ascii="Times New Roman" w:cs="Times New Roman" w:eastAsia="Times New Roman" w:hAnsi="Times New Roman"/>
          <w:sz w:val="15"/>
          <w:szCs w:val="15"/>
          <w:color w:val="auto"/>
        </w:rPr>
        <w:t>issuance of the Shares, and pursuant to the foregoing sentence shall be understood to include, without limitation, a prohibition against any pledge, hypothecation, or other transfer, including any short position, any “put equivalent position” or any “call equivalent position” (in each case, as defined in Rule 16a-1 promulgated under the Exchange Act). Unless an Award is transferred pursuant to the terms of this Section, during the lifetime of the Participant an Award will be exercisable only by the Participant or Participant’s legal representative and any elections with respect to an Award may be made only by the Participant or Participant’s legal representative. The terms of an Award shall be binding upon the executor, administrator, successors and assigns of the Participant who is a party thereto.</w:t>
      </w:r>
    </w:p>
    <w:p>
      <w:pPr>
        <w:spacing w:after="0" w:line="139"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9.2 </w:t>
      </w:r>
      <w:r>
        <w:rPr>
          <w:rFonts w:ascii="Times New Roman" w:cs="Times New Roman" w:eastAsia="Times New Roman" w:hAnsi="Times New Roman"/>
          <w:sz w:val="15"/>
          <w:szCs w:val="15"/>
          <w:b w:val="1"/>
          <w:bCs w:val="1"/>
          <w:u w:val="single" w:color="auto"/>
          <w:color w:val="auto"/>
        </w:rPr>
        <w:t>Securities Law and Other Regulatory Compliance</w:t>
      </w:r>
      <w:r>
        <w:rPr>
          <w:rFonts w:ascii="Times New Roman" w:cs="Times New Roman" w:eastAsia="Times New Roman" w:hAnsi="Times New Roman"/>
          <w:sz w:val="15"/>
          <w:szCs w:val="15"/>
          <w:color w:val="auto"/>
        </w:rPr>
        <w:t>. Although this Plan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intended to be a written compensatory benefit plan within the meaning of Rule 701 promulgated under the Securities Act, Awards may be made pursuant to this Plan that do not qualify for exemption under Rule 701 or Section 25102(o). Any requirement of this Plan which is required in law only because of Section 25102(o) need not apply with respect to a particular Award to which Section 25102(o) will not apply. An Award will not be effective unless such Award is in compliance with all applicable U.S. and non-U.S. federal, state and local securities laws, rules and regulations of any governmental body, and the requirements of any stock exchange or automated quotation system upon which the Company’s equity securities may then be listed or quoted, as they are in effect on the date of grant of the Award and also on the date of exercise, settlement or other issuance. Notwithstanding any other provision in this Plan, the Company will have no obligation to issue Shares or deliver certificates for Shares under this Plan prior to</w:t>
      </w:r>
    </w:p>
    <w:p>
      <w:pPr>
        <w:spacing w:after="0" w:line="1" w:lineRule="exact"/>
        <w:rPr>
          <w:sz w:val="20"/>
          <w:szCs w:val="20"/>
          <w:color w:val="auto"/>
        </w:rPr>
      </w:pPr>
    </w:p>
    <w:p>
      <w:pPr>
        <w:jc w:val="both"/>
        <w:ind w:left="1220" w:right="1239" w:firstLine="4"/>
        <w:spacing w:after="0" w:line="251" w:lineRule="auto"/>
        <w:tabs>
          <w:tab w:leader="none" w:pos="1444" w:val="left"/>
        </w:tabs>
        <w:numPr>
          <w:ilvl w:val="0"/>
          <w:numId w:val="3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obtaining any approvals from governmental agencies that the Company determines are necessary or advisable, and/or (b) compliance with any exemption, completion of any registration or other qualification of such Shares under any U.S. and non-U.S. federal, state or local law or ruling of any governmental body that the Company determines to be necessary or advisable. The Company will be under no obligation to register the Shares with the SEC or to effect compliance with the exemption, registration, qualification or listing requirements of any securities laws, stock exchange or automated quotation system, and the Company will have no liability for any inability or failure to do so.</w:t>
      </w:r>
    </w:p>
    <w:p>
      <w:pPr>
        <w:spacing w:after="0" w:line="136"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9.3 </w:t>
      </w:r>
      <w:r>
        <w:rPr>
          <w:rFonts w:ascii="Times New Roman" w:cs="Times New Roman" w:eastAsia="Times New Roman" w:hAnsi="Times New Roman"/>
          <w:sz w:val="15"/>
          <w:szCs w:val="15"/>
          <w:b w:val="1"/>
          <w:bCs w:val="1"/>
          <w:u w:val="single" w:color="auto"/>
          <w:color w:val="auto"/>
        </w:rPr>
        <w:t>Exchange and Buyout of Awards</w:t>
      </w:r>
      <w:r>
        <w:rPr>
          <w:rFonts w:ascii="Times New Roman" w:cs="Times New Roman" w:eastAsia="Times New Roman" w:hAnsi="Times New Roman"/>
          <w:sz w:val="15"/>
          <w:szCs w:val="15"/>
          <w:color w:val="auto"/>
        </w:rPr>
        <w:t>. The Committee may, at any time or from time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time, authorize the Company, with the consent of the respective Participants, to issue new Awards in exchange for the surrender and cancellation of any or all outstanding Awards. Without prior stockholder approval the Committee may reprice Options or SARs (and where such repricing is a reduction in the Exercise Price of outstanding Options or SARs, the consent of the affected Participants is not required provided written notice is provided to them). The Committee may at any time buy from a Participant an Award previously granted with payment in cash, Shares (including Restricted Stock) or other consideration, based on such terms and conditions as the Committee and the Participant may agree.</w:t>
      </w:r>
    </w:p>
    <w:p>
      <w:pPr>
        <w:spacing w:after="0" w:line="137" w:lineRule="exact"/>
        <w:rPr>
          <w:sz w:val="20"/>
          <w:szCs w:val="20"/>
          <w:color w:val="auto"/>
        </w:rPr>
      </w:pPr>
    </w:p>
    <w:p>
      <w:pPr>
        <w:ind w:left="2080" w:hanging="351"/>
        <w:spacing w:after="0"/>
        <w:tabs>
          <w:tab w:leader="none" w:pos="2080" w:val="left"/>
        </w:tabs>
        <w:numPr>
          <w:ilvl w:val="0"/>
          <w:numId w:val="32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RESTRICTIONS ON SHARES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10.1 </w:t>
      </w:r>
      <w:r>
        <w:rPr>
          <w:rFonts w:ascii="Times New Roman" w:cs="Times New Roman" w:eastAsia="Times New Roman" w:hAnsi="Times New Roman"/>
          <w:sz w:val="15"/>
          <w:szCs w:val="15"/>
          <w:b w:val="1"/>
          <w:bCs w:val="1"/>
          <w:u w:val="single" w:color="auto"/>
          <w:color w:val="auto"/>
        </w:rPr>
        <w:t>Privileges of Stock Ownership</w:t>
      </w:r>
      <w:r>
        <w:rPr>
          <w:rFonts w:ascii="Times New Roman" w:cs="Times New Roman" w:eastAsia="Times New Roman" w:hAnsi="Times New Roman"/>
          <w:sz w:val="15"/>
          <w:szCs w:val="15"/>
          <w:color w:val="auto"/>
        </w:rPr>
        <w:t>. No Participant will have any of the rights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stockholder with respect to any Shares until such Shares are issued to the Participant. After Shares are issued to the Participant, the Participant will be a stockholder and have all the rights of a stockholder with respect to such Shares, including the right to vote and receive all dividends or other distributions made or paid with respect to such Shares;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that if such Shares are Restricted Stock, then any new, additional or different securities the Participant may become entitled to receive with respect to such Shares by virtue of a stock dividend, stock split or any other change in the corporate or capital structure of the Company will be subject to the same restrictions as the Restricted Stock. The Participant will have no right to retain such stock dividends or stock distributions with respect to Unvested Shares that are repurchased as described in this Section 10.</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17" w:name="page418"/>
    <w:bookmarkEnd w:id="417"/>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10.2 </w:t>
      </w:r>
      <w:r>
        <w:rPr>
          <w:rFonts w:ascii="Times New Roman" w:cs="Times New Roman" w:eastAsia="Times New Roman" w:hAnsi="Times New Roman"/>
          <w:sz w:val="15"/>
          <w:szCs w:val="15"/>
          <w:b w:val="1"/>
          <w:bCs w:val="1"/>
          <w:u w:val="single" w:color="auto"/>
          <w:color w:val="auto"/>
        </w:rPr>
        <w:t>Rights of First Refusal and Repurchase</w:t>
      </w:r>
      <w:r>
        <w:rPr>
          <w:rFonts w:ascii="Times New Roman" w:cs="Times New Roman" w:eastAsia="Times New Roman" w:hAnsi="Times New Roman"/>
          <w:sz w:val="15"/>
          <w:szCs w:val="15"/>
          <w:color w:val="auto"/>
        </w:rPr>
        <w:t>. At the discretion of the Committee,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Company may reserve to itself and/or its assignee(s) in the Award Agreement (a) a right of first refusal to purchase all Shares that a Participant (or a subsequent transferee) may propose to transfer to a third party,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that such right of first refusal terminates upon (i) subject to any applicable market standoff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restrictions, the effective date of the first sale of common stock of the Company to the general public pursuant to a registration statement filed with and declared effective by the SEC under the Securities Act (other than a registration statement relating solely to the issuance of common stock pursuant to a business combination or an employee incentive or benefit plan); (ii) any transfer or conversion of Shares made pursuant to a statutory merger or statutory consolidation of the Company with or into another corporation or corporations if the common stock of the surviving corporation or any direct or indirect Parent thereof is registered under the Exchange Act; or (iii) any transfer or conversion of Shares made pursuant to a statutory conversion of the Company into another form of legal entity if the common equity (or comparable equity security) of entity resulting from such conversion is registered under the Exchange Act; and (b) a right to repurchase Unvested Shares held by a Participant for cash and/or cancellation of purchase money indebtedness owed to the Company by the Participant following such Participant’s Termination at any time.</w:t>
      </w:r>
    </w:p>
    <w:p>
      <w:pPr>
        <w:spacing w:after="0" w:line="322" w:lineRule="exact"/>
        <w:rPr>
          <w:sz w:val="20"/>
          <w:szCs w:val="20"/>
          <w:color w:val="auto"/>
        </w:rPr>
      </w:pPr>
    </w:p>
    <w:p>
      <w:pPr>
        <w:jc w:val="both"/>
        <w:ind w:left="1220" w:right="1239" w:firstLine="1009"/>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10.3 </w:t>
      </w:r>
      <w:r>
        <w:rPr>
          <w:rFonts w:ascii="Times New Roman" w:cs="Times New Roman" w:eastAsia="Times New Roman" w:hAnsi="Times New Roman"/>
          <w:sz w:val="15"/>
          <w:szCs w:val="15"/>
          <w:b w:val="1"/>
          <w:bCs w:val="1"/>
          <w:u w:val="single" w:color="auto"/>
          <w:color w:val="auto"/>
        </w:rPr>
        <w:t>Agreement to Vote Shares</w:t>
      </w:r>
      <w:r>
        <w:rPr>
          <w:rFonts w:ascii="Times New Roman" w:cs="Times New Roman" w:eastAsia="Times New Roman" w:hAnsi="Times New Roman"/>
          <w:sz w:val="15"/>
          <w:szCs w:val="15"/>
          <w:color w:val="auto"/>
        </w:rPr>
        <w:t>. At the discretion of the Committee,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may require that, as a condition to the receipt of the Shares upon issuance of an Award, exercise of an Option or SAR or settlement of an RSU, the Participant and any transferee of the Shares agree to vote such Shares pursuant to the terms of a Voting Agreement by and between the Company and certain of its stockholders.</w:t>
      </w:r>
    </w:p>
    <w:p>
      <w:pPr>
        <w:spacing w:after="0" w:line="314"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10.4 </w:t>
      </w:r>
      <w:r>
        <w:rPr>
          <w:rFonts w:ascii="Times New Roman" w:cs="Times New Roman" w:eastAsia="Times New Roman" w:hAnsi="Times New Roman"/>
          <w:sz w:val="15"/>
          <w:szCs w:val="15"/>
          <w:b w:val="1"/>
          <w:bCs w:val="1"/>
          <w:u w:val="single" w:color="auto"/>
          <w:color w:val="auto"/>
        </w:rPr>
        <w:t>Escrow; Pledge of Shares</w:t>
      </w:r>
      <w:r>
        <w:rPr>
          <w:rFonts w:ascii="Times New Roman" w:cs="Times New Roman" w:eastAsia="Times New Roman" w:hAnsi="Times New Roman"/>
          <w:sz w:val="15"/>
          <w:szCs w:val="15"/>
          <w:color w:val="auto"/>
        </w:rPr>
        <w:t>. To enforce any restrictions on a Participant’s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the Committee may require the Participant to deposit all written or electronic certificates representing Shares, together with stock powers or other instruments of transfer approved by the Committee, appropriately endorsed in blank, with the Company or an agent designated by the Company to hold in escrow until such restrictions have lapsed or terminated. The Committee may cause a legend or legends referencing such restrictions to be placed on the written or electronic certificate. Any Participant who is permitted to execute a promissory note as partial or full consideration for the purchase of Shares under this Plan will be required to pledge and deposit with the Company all or part of the Shares so purchased as collateral to secure the payment of Participant’s obligation to the Company under the promissory note;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i w:val="1"/>
          <w:iCs w:val="1"/>
          <w:u w:val="single" w:color="auto"/>
          <w:color w:val="auto"/>
        </w:rPr>
        <w:t>however</w:t>
      </w:r>
      <w:r>
        <w:rPr>
          <w:rFonts w:ascii="Times New Roman" w:cs="Times New Roman" w:eastAsia="Times New Roman" w:hAnsi="Times New Roman"/>
          <w:sz w:val="15"/>
          <w:szCs w:val="15"/>
          <w:color w:val="auto"/>
        </w:rPr>
        <w:t>, that the Committee may require or accept other or additional forms of collateral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secure the payment of such obligation and, in any event, the Company will have full recourse against the Participant under the promissory note notwithstanding any pledge of the Participant’s Shares or other collateral. In connection with any pledge of the Shares, Participant will be required to execute and deliver a written pledge agreement in such form as the Committee will from time to time approve. The Shares purchased with the promissory note may be released from the pledge on a pro rata basis as the promissory note is paid.</w:t>
      </w:r>
    </w:p>
    <w:p>
      <w:pPr>
        <w:spacing w:after="0" w:line="322"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10.5 </w:t>
      </w:r>
      <w:r>
        <w:rPr>
          <w:rFonts w:ascii="Times New Roman" w:cs="Times New Roman" w:eastAsia="Times New Roman" w:hAnsi="Times New Roman"/>
          <w:sz w:val="15"/>
          <w:szCs w:val="15"/>
          <w:b w:val="1"/>
          <w:bCs w:val="1"/>
          <w:u w:val="single" w:color="auto"/>
          <w:color w:val="auto"/>
        </w:rPr>
        <w:t>Securities Law Restrictions</w:t>
      </w:r>
      <w:r>
        <w:rPr>
          <w:rFonts w:ascii="Times New Roman" w:cs="Times New Roman" w:eastAsia="Times New Roman" w:hAnsi="Times New Roman"/>
          <w:sz w:val="15"/>
          <w:szCs w:val="15"/>
          <w:color w:val="auto"/>
        </w:rPr>
        <w:t>. All written or electronic certificates for Shares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other securities delivered under this Plan will be subject to such stock transfer orders, legends and other restrictions as the Committee may deem necessary or advisable, including restrictions under any applicable U.S. and non-U.S. federal, state or local securities law, or any rules, regulations and other requirements of the SEC or any stock exchange or automated quotation system upon which the Company’s equity securities may be listed or quoted.</w:t>
      </w:r>
    </w:p>
    <w:p>
      <w:pPr>
        <w:spacing w:after="0" w:line="132"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10.6 </w:t>
      </w:r>
      <w:r>
        <w:rPr>
          <w:rFonts w:ascii="Times New Roman" w:cs="Times New Roman" w:eastAsia="Times New Roman" w:hAnsi="Times New Roman"/>
          <w:sz w:val="15"/>
          <w:szCs w:val="15"/>
          <w:b w:val="1"/>
          <w:bCs w:val="1"/>
          <w:u w:val="single" w:color="auto"/>
          <w:color w:val="auto"/>
        </w:rPr>
        <w:t>Transfer Restrictions</w:t>
      </w:r>
      <w:r>
        <w:rPr>
          <w:rFonts w:ascii="Times New Roman" w:cs="Times New Roman" w:eastAsia="Times New Roman" w:hAnsi="Times New Roman"/>
          <w:sz w:val="15"/>
          <w:szCs w:val="15"/>
          <w:color w:val="auto"/>
        </w:rPr>
        <w:t>. All Shares or other securities delivered under this Plan will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subject to any restrictions on transfers of securities as set forth in the Company’s Bylaws, as may be amended from time to time.</w:t>
      </w:r>
    </w:p>
    <w:p>
      <w:pPr>
        <w:spacing w:after="0" w:line="2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18" w:name="page419"/>
    <w:bookmarkEnd w:id="418"/>
    <w:p>
      <w:pPr>
        <w:ind w:left="2080" w:hanging="351"/>
        <w:spacing w:after="0"/>
        <w:tabs>
          <w:tab w:leader="none" w:pos="2080" w:val="left"/>
        </w:tabs>
        <w:numPr>
          <w:ilvl w:val="0"/>
          <w:numId w:val="32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CORPORATE TRANSACTIONS</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11.1 </w:t>
      </w:r>
      <w:r>
        <w:rPr>
          <w:rFonts w:ascii="Times New Roman" w:cs="Times New Roman" w:eastAsia="Times New Roman" w:hAnsi="Times New Roman"/>
          <w:sz w:val="15"/>
          <w:szCs w:val="15"/>
          <w:b w:val="1"/>
          <w:bCs w:val="1"/>
          <w:u w:val="single" w:color="auto"/>
          <w:color w:val="auto"/>
        </w:rPr>
        <w:t>Acquisitions or Other Combinations</w:t>
      </w:r>
      <w:r>
        <w:rPr>
          <w:rFonts w:ascii="Times New Roman" w:cs="Times New Roman" w:eastAsia="Times New Roman" w:hAnsi="Times New Roman"/>
          <w:sz w:val="15"/>
          <w:szCs w:val="15"/>
          <w:color w:val="auto"/>
        </w:rPr>
        <w:t>. In the event that the Company is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 Acquisition or Other Combination, outstanding Awards acquired under the Plan shall be subject to the agreement evidencing the Acquisition or Other Combination, which need not treat all outstanding Awards in an identical manner. Such agreement, without the Participant’s consent, shall provide for one or more of the following with respect to all outstanding Awards as of the effective date of such Acquisition or Other Combination:</w:t>
      </w:r>
    </w:p>
    <w:p>
      <w:pPr>
        <w:spacing w:after="0" w:line="136" w:lineRule="exact"/>
        <w:rPr>
          <w:sz w:val="20"/>
          <w:szCs w:val="20"/>
          <w:color w:val="auto"/>
        </w:rPr>
      </w:pPr>
    </w:p>
    <w:p>
      <w:pPr>
        <w:ind w:left="1220" w:right="1239" w:firstLine="1518"/>
        <w:spacing w:after="0" w:line="285" w:lineRule="auto"/>
        <w:tabs>
          <w:tab w:leader="none" w:pos="3129"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continuation of such outstanding Awards by the Company (if the Company is the successor entity).</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0" w:lineRule="auto"/>
        <w:tabs>
          <w:tab w:leader="none" w:pos="3051"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assumption of outstanding Awards by the successor or acquiring entity (if any) in such Acquisition or Other Combination (or by any of its Parents, if any), which assumption, will be binding on all Participants; provided that the exercise price and the number and nature of shares issuable upon exercise of any such option or stock appreciation right, or upon the settlement of any award that is subject to Section 409A of the Code, will be adjusted appropriately pursuant to Section 424(a) and Section 409A of the Code. For the purposes of this Section 11, an Award will be considered assumed if, following the Acquisition or Other Combination, the Award confers the right to purchase or receive, for each Share subject to the Award immediately prior to the Acquisition or Other Combination, the consideration (whether stock, cash, or other securities or property) received in the Acquisition or Other Combination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Acquisition or Other Combination is not solely common stock of the successor corporation or its Parent, the Committee may, with the consent of the successor corporation, provide for the consideration to be received upon the exercise of an Option or Stock Appreciation Right or upon the settlement of an RSU, for each Share subject to such Award, to be solely common stock of the successor corporation or its Parent equal in fair market value to the per share consideration received by holders of Common Stock in the Acquisition or Other Combination.</w:t>
      </w:r>
    </w:p>
    <w:p>
      <w:pPr>
        <w:spacing w:after="0" w:line="330"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047"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substitution by the successor or acquiring entity in such Acquisition or Other Combination (or by any of its Parents, if any) of equivalent awards with substantially the same terms for such outstanding Awards (except that the exercise price and the number and nature of shares issuable upon exercise of any such option or stock appreciation right, or any award that is subject to Section 409A of the Code, will be adjusted appropriately pursuant to Section 424(a) and Section 409A of the Code).</w:t>
      </w:r>
    </w:p>
    <w:p>
      <w:pPr>
        <w:spacing w:after="0" w:line="320" w:lineRule="exact"/>
        <w:rPr>
          <w:rFonts w:ascii="Times New Roman" w:cs="Times New Roman" w:eastAsia="Times New Roman" w:hAnsi="Times New Roman"/>
          <w:sz w:val="15"/>
          <w:szCs w:val="15"/>
          <w:color w:val="auto"/>
        </w:rPr>
      </w:pPr>
    </w:p>
    <w:p>
      <w:pPr>
        <w:ind w:left="3100" w:hanging="362"/>
        <w:spacing w:after="0"/>
        <w:tabs>
          <w:tab w:leader="none" w:pos="3100"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full or partial exercisability or vesting and accelerated expiration of</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outstanding Awards.</w:t>
      </w:r>
    </w:p>
    <w:p>
      <w:pPr>
        <w:spacing w:after="0" w:line="158" w:lineRule="exact"/>
        <w:rPr>
          <w:rFonts w:ascii="Times New Roman" w:cs="Times New Roman" w:eastAsia="Times New Roman" w:hAnsi="Times New Roman"/>
          <w:sz w:val="15"/>
          <w:szCs w:val="15"/>
          <w:color w:val="auto"/>
        </w:rPr>
      </w:pPr>
    </w:p>
    <w:p>
      <w:pPr>
        <w:jc w:val="both"/>
        <w:ind w:left="1220" w:right="1239" w:firstLine="1518"/>
        <w:spacing w:after="0" w:line="252" w:lineRule="auto"/>
        <w:tabs>
          <w:tab w:leader="none" w:pos="3151" w:val="left"/>
        </w:tabs>
        <w:numPr>
          <w:ilvl w:val="0"/>
          <w:numId w:val="3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settlement of the Fair Market Value of such outstanding Award (whether or not then vested or exercisable) in cash, cash equivalents, or securities of the successor entity (or its Parent, if any), followed by the cancellation of such Awards; provided however, that such Award may be cancelled without consideration if such Award has no value, as determined by the Committee, in its discretion. Subject to Section 409A of the Code, such payment may be made in installments and may be deferred until the date or dates when the Award would have become exercisable or vested. Such payment may be subject to vesting based on the Participant’s continued service, provided that without the Participant’s consent, the vesting schedule shall not be less favorable to the Participant than the schedule under which the Award would have become vested or exercisable. For purposes of this Section 11.1(e), the Fair Market Value of any security shall be determined without regard to any vesting conditions that may apply to such security.</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19" w:name="page420"/>
    <w:bookmarkEnd w:id="419"/>
    <w:p>
      <w:pPr>
        <w:jc w:val="both"/>
        <w:ind w:left="1220" w:right="1239" w:firstLine="1518"/>
        <w:spacing w:after="0" w:line="261" w:lineRule="auto"/>
        <w:tabs>
          <w:tab w:leader="none" w:pos="3003" w:val="left"/>
        </w:tabs>
        <w:numPr>
          <w:ilvl w:val="0"/>
          <w:numId w:val="3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termination in its entirety of any outstanding Award, without payment of any consideration, that is not exercised in accordance with its terms upon or prior to consummation of the transactions contemplated by the Acquisition or Other Combination within a time specified by the Committee, in its discretion, for such exercise, whether or not such Award is then fully exercisable.</w:t>
      </w:r>
    </w:p>
    <w:p>
      <w:pPr>
        <w:spacing w:after="0" w:line="133"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Immediately following an Acquisition or Other Combination, outstanding Awards shall terminate and cease to be outstanding, except to the extent such Awards, have been continued, assumed or substituted, as described in Sections 11.1(a), (b) and/or (c).</w:t>
      </w:r>
    </w:p>
    <w:p>
      <w:pPr>
        <w:spacing w:after="0" w:line="125"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11.2 </w:t>
      </w:r>
      <w:r>
        <w:rPr>
          <w:rFonts w:ascii="Times New Roman" w:cs="Times New Roman" w:eastAsia="Times New Roman" w:hAnsi="Times New Roman"/>
          <w:sz w:val="15"/>
          <w:szCs w:val="15"/>
          <w:b w:val="1"/>
          <w:bCs w:val="1"/>
          <w:u w:val="single" w:color="auto"/>
          <w:color w:val="auto"/>
        </w:rPr>
        <w:t>Substitution or Assumption of Awards by the Company</w:t>
      </w:r>
      <w:r>
        <w:rPr>
          <w:rFonts w:ascii="Times New Roman" w:cs="Times New Roman" w:eastAsia="Times New Roman" w:hAnsi="Times New Roman"/>
          <w:sz w:val="15"/>
          <w:szCs w:val="15"/>
          <w:color w:val="auto"/>
        </w:rPr>
        <w:t>. The Company, from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time to time, also may substitute or assume outstanding awards granted by another entity, whether in connection with an acquisition of such other entity or otherwise, by either (a) granting an Award under this Plan in substitution of such other entity’s award or (b) assuming and/or converting such award as if it had been granted under this Plan if the terms of such assumed award could be applied to an Award granted under this Plan. Such substitution or assumption will be permissible if the holder of the substituted or assumed award would have been eligible to be granted an Award under this Plan if the other entity had applied the rules of this Plan to such grant. In the event the Company assumes an award granted by another entity, the terms and conditions of such award will remain unchanged (except that the exercise price and the number and nature of shares issuable upon exercise of any such option or stock appreciation right, or any award that is subject to Section 409A of the Code, will be adjusted appropriately pursuant to Section 424(a) or Section 409A of the Code). In the event the Company elects to grant a new Option or SAR in substitution for and rather than assuming an existing option or stock appreciation right, such new Option or SAR may be granted with a similarly adjusted Exercise Price and number of underlying Shares and such other changes approved by the Committee, subject to the consent of the Participant.</w:t>
      </w:r>
    </w:p>
    <w:p>
      <w:pPr>
        <w:spacing w:after="0" w:line="322" w:lineRule="exact"/>
        <w:rPr>
          <w:sz w:val="20"/>
          <w:szCs w:val="20"/>
          <w:color w:val="auto"/>
        </w:rPr>
      </w:pPr>
    </w:p>
    <w:p>
      <w:pPr>
        <w:ind w:left="2080" w:hanging="351"/>
        <w:spacing w:after="0"/>
        <w:tabs>
          <w:tab w:leader="none" w:pos="2080" w:val="left"/>
        </w:tabs>
        <w:numPr>
          <w:ilvl w:val="0"/>
          <w:numId w:val="32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ADMINISTRATION</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12.1 </w:t>
      </w:r>
      <w:r>
        <w:rPr>
          <w:rFonts w:ascii="Times New Roman" w:cs="Times New Roman" w:eastAsia="Times New Roman" w:hAnsi="Times New Roman"/>
          <w:sz w:val="15"/>
          <w:szCs w:val="15"/>
          <w:b w:val="1"/>
          <w:bCs w:val="1"/>
          <w:u w:val="single" w:color="auto"/>
          <w:color w:val="auto"/>
        </w:rPr>
        <w:t>Committee Authority</w:t>
      </w:r>
      <w:r>
        <w:rPr>
          <w:rFonts w:ascii="Times New Roman" w:cs="Times New Roman" w:eastAsia="Times New Roman" w:hAnsi="Times New Roman"/>
          <w:sz w:val="15"/>
          <w:szCs w:val="15"/>
          <w:color w:val="auto"/>
        </w:rPr>
        <w:t>. This Plan will be administered by the Committee. Subject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general purposes, terms and conditions of this Plan, and to the direction of the Board, the Committee will have full power to implement and carry out this Plan. Without limitation, the Committee will have the authority to:</w:t>
      </w:r>
    </w:p>
    <w:p>
      <w:pPr>
        <w:spacing w:after="0" w:line="134" w:lineRule="exact"/>
        <w:rPr>
          <w:sz w:val="20"/>
          <w:szCs w:val="20"/>
          <w:color w:val="auto"/>
        </w:rPr>
      </w:pPr>
    </w:p>
    <w:p>
      <w:pPr>
        <w:ind w:left="1220" w:right="1239" w:firstLine="1518"/>
        <w:spacing w:after="0" w:line="285" w:lineRule="auto"/>
        <w:tabs>
          <w:tab w:leader="none" w:pos="3132"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construe and interpret this Plan, any Award Agreement and any other agreement or document executed pursuant to this Plan;</w:t>
      </w:r>
    </w:p>
    <w:p>
      <w:pPr>
        <w:spacing w:after="0" w:line="115"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158"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prescribe, amend, expand, modify and rescind or terminate rules and regulations relating to this Plan;</w:t>
      </w:r>
    </w:p>
    <w:p>
      <w:pPr>
        <w:spacing w:after="0" w:line="115" w:lineRule="exact"/>
        <w:rPr>
          <w:rFonts w:ascii="Times New Roman" w:cs="Times New Roman" w:eastAsia="Times New Roman" w:hAnsi="Times New Roman"/>
          <w:sz w:val="15"/>
          <w:szCs w:val="15"/>
          <w:color w:val="auto"/>
        </w:rPr>
      </w:pPr>
    </w:p>
    <w:p>
      <w:pPr>
        <w:ind w:left="3100" w:hanging="362"/>
        <w:spacing w:after="0"/>
        <w:tabs>
          <w:tab w:leader="none" w:pos="310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 persons to receive Awards;</w:t>
      </w:r>
    </w:p>
    <w:p>
      <w:pPr>
        <w:spacing w:after="0" w:line="174" w:lineRule="exact"/>
        <w:rPr>
          <w:rFonts w:ascii="Times New Roman" w:cs="Times New Roman" w:eastAsia="Times New Roman" w:hAnsi="Times New Roman"/>
          <w:sz w:val="15"/>
          <w:szCs w:val="15"/>
          <w:color w:val="auto"/>
        </w:rPr>
      </w:pPr>
    </w:p>
    <w:p>
      <w:pPr>
        <w:ind w:left="3120" w:hanging="382"/>
        <w:spacing w:after="0"/>
        <w:tabs>
          <w:tab w:leader="none" w:pos="312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form and terms of Awards;</w:t>
      </w:r>
    </w:p>
    <w:p>
      <w:pPr>
        <w:spacing w:after="0" w:line="174" w:lineRule="exact"/>
        <w:rPr>
          <w:rFonts w:ascii="Times New Roman" w:cs="Times New Roman" w:eastAsia="Times New Roman" w:hAnsi="Times New Roman"/>
          <w:sz w:val="15"/>
          <w:szCs w:val="15"/>
          <w:color w:val="auto"/>
        </w:rPr>
      </w:pPr>
    </w:p>
    <w:p>
      <w:pPr>
        <w:ind w:left="3120" w:hanging="382"/>
        <w:spacing w:after="0"/>
        <w:tabs>
          <w:tab w:leader="none" w:pos="3120"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number of Shares or other consideration subject to Awards</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granted under this Plan;</w:t>
      </w:r>
    </w:p>
    <w:p>
      <w:pPr>
        <w:spacing w:after="0" w:line="158" w:lineRule="exact"/>
        <w:rPr>
          <w:rFonts w:ascii="Times New Roman" w:cs="Times New Roman" w:eastAsia="Times New Roman" w:hAnsi="Times New Roman"/>
          <w:sz w:val="15"/>
          <w:szCs w:val="15"/>
          <w:color w:val="auto"/>
        </w:rPr>
      </w:pPr>
    </w:p>
    <w:p>
      <w:pPr>
        <w:jc w:val="both"/>
        <w:ind w:left="1220" w:right="1239" w:firstLine="1518"/>
        <w:spacing w:after="0" w:line="267" w:lineRule="auto"/>
        <w:tabs>
          <w:tab w:leader="none" w:pos="3087" w:val="left"/>
        </w:tabs>
        <w:numPr>
          <w:ilvl w:val="0"/>
          <w:numId w:val="3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Fair Market Value in good faith and interpret the applicable provisions of this Plan and the definition of Fair Market Value in connection with circumstances that impact the Fair Market Value, if necessary;</w:t>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20" w:name="page421"/>
    <w:bookmarkEnd w:id="420"/>
    <w:p>
      <w:pPr>
        <w:jc w:val="both"/>
        <w:ind w:left="1220" w:right="1239" w:firstLine="1518"/>
        <w:spacing w:after="0" w:line="267" w:lineRule="auto"/>
        <w:tabs>
          <w:tab w:leader="none" w:pos="3109"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whether Awards will be granted singly, in combination with, in tandem with, in replacement of, or as alternatives to, other Awards under this Plan or awards under any other incentive or compensation plan of the Company or any Parent or Subsidiary of the Company;</w:t>
      </w:r>
    </w:p>
    <w:p>
      <w:pPr>
        <w:spacing w:after="0" w:line="128" w:lineRule="exact"/>
        <w:rPr>
          <w:rFonts w:ascii="Times New Roman" w:cs="Times New Roman" w:eastAsia="Times New Roman" w:hAnsi="Times New Roman"/>
          <w:sz w:val="15"/>
          <w:szCs w:val="15"/>
          <w:color w:val="auto"/>
        </w:rPr>
      </w:pPr>
    </w:p>
    <w:p>
      <w:pPr>
        <w:ind w:left="3080" w:hanging="342"/>
        <w:spacing w:after="0"/>
        <w:tabs>
          <w:tab w:leader="none" w:pos="30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grant waivers of any conditions of this Plan or any Award;</w:t>
      </w:r>
    </w:p>
    <w:p>
      <w:pPr>
        <w:spacing w:after="0" w:line="174"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111"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the terms of vesting, exercisability, settlement and payment of Awards to be granted pursuant to this Plan;</w:t>
      </w:r>
    </w:p>
    <w:p>
      <w:pPr>
        <w:spacing w:after="0" w:line="115"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087"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correct any defect, supply any omission, or reconcile any inconsistency in this Plan, any Award, any Award Agreement or any Exercise Agreement;</w:t>
      </w:r>
    </w:p>
    <w:p>
      <w:pPr>
        <w:spacing w:after="0" w:line="115" w:lineRule="exact"/>
        <w:rPr>
          <w:rFonts w:ascii="Times New Roman" w:cs="Times New Roman" w:eastAsia="Times New Roman" w:hAnsi="Times New Roman"/>
          <w:sz w:val="15"/>
          <w:szCs w:val="15"/>
          <w:color w:val="auto"/>
        </w:rPr>
      </w:pPr>
    </w:p>
    <w:p>
      <w:pPr>
        <w:ind w:left="3080" w:hanging="342"/>
        <w:spacing w:after="0"/>
        <w:tabs>
          <w:tab w:leader="none" w:pos="30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determine whether an Award has vested or become exercisable;</w:t>
      </w:r>
    </w:p>
    <w:p>
      <w:pPr>
        <w:spacing w:after="0" w:line="174" w:lineRule="exact"/>
        <w:rPr>
          <w:rFonts w:ascii="Times New Roman" w:cs="Times New Roman" w:eastAsia="Times New Roman" w:hAnsi="Times New Roman"/>
          <w:sz w:val="15"/>
          <w:szCs w:val="15"/>
          <w:color w:val="auto"/>
        </w:rPr>
      </w:pPr>
    </w:p>
    <w:p>
      <w:pPr>
        <w:ind w:left="3080" w:hanging="342"/>
        <w:spacing w:after="0"/>
        <w:tabs>
          <w:tab w:leader="none" w:pos="30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extend the vesting period beyond a Participant’s Termination Date;</w:t>
      </w:r>
    </w:p>
    <w:p>
      <w:pPr>
        <w:spacing w:after="0" w:line="174" w:lineRule="exact"/>
        <w:rPr>
          <w:rFonts w:ascii="Times New Roman" w:cs="Times New Roman" w:eastAsia="Times New Roman" w:hAnsi="Times New Roman"/>
          <w:sz w:val="15"/>
          <w:szCs w:val="15"/>
          <w:color w:val="auto"/>
        </w:rPr>
      </w:pPr>
    </w:p>
    <w:p>
      <w:pPr>
        <w:jc w:val="both"/>
        <w:ind w:left="1220" w:right="1239" w:firstLine="1518"/>
        <w:spacing w:after="0" w:line="267" w:lineRule="auto"/>
        <w:tabs>
          <w:tab w:leader="none" w:pos="3086"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rules and/or procedures (including the adoption of any subplan under this Plan) relating to the operation and administration of the Plan to accommodate or facilitate requirements of local law and procedures outside of the United States;</w:t>
      </w:r>
    </w:p>
    <w:p>
      <w:pPr>
        <w:spacing w:after="0" w:line="128" w:lineRule="exact"/>
        <w:rPr>
          <w:rFonts w:ascii="Times New Roman" w:cs="Times New Roman" w:eastAsia="Times New Roman" w:hAnsi="Times New Roman"/>
          <w:sz w:val="15"/>
          <w:szCs w:val="15"/>
          <w:color w:val="auto"/>
        </w:rPr>
      </w:pPr>
    </w:p>
    <w:p>
      <w:pPr>
        <w:jc w:val="both"/>
        <w:ind w:left="1220" w:right="1239" w:firstLine="1518"/>
        <w:spacing w:after="0" w:line="267" w:lineRule="auto"/>
        <w:tabs>
          <w:tab w:leader="none" w:pos="3096"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delegate any of the foregoing to a subcommittee consisting of one or more directors or executive officers pursuant to a specific delegation as may otherwise be permitted by applicable law;</w:t>
      </w:r>
    </w:p>
    <w:p>
      <w:pPr>
        <w:spacing w:after="0" w:line="128" w:lineRule="exact"/>
        <w:rPr>
          <w:rFonts w:ascii="Times New Roman" w:cs="Times New Roman" w:eastAsia="Times New Roman" w:hAnsi="Times New Roman"/>
          <w:sz w:val="15"/>
          <w:szCs w:val="15"/>
          <w:color w:val="auto"/>
        </w:rPr>
      </w:pPr>
    </w:p>
    <w:p>
      <w:pPr>
        <w:jc w:val="both"/>
        <w:ind w:left="1220" w:right="1239" w:firstLine="1518"/>
        <w:spacing w:after="0" w:line="267" w:lineRule="auto"/>
        <w:tabs>
          <w:tab w:leader="none" w:pos="3098"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the vesting schedule of Awards under the Plan prospectively in the event that the Participant’s service status changes between full and part time status in accordance with Company policies relating to work schedules and vesting of Awards; and</w:t>
      </w:r>
    </w:p>
    <w:p>
      <w:pPr>
        <w:spacing w:after="0" w:line="128" w:lineRule="exact"/>
        <w:rPr>
          <w:rFonts w:ascii="Times New Roman" w:cs="Times New Roman" w:eastAsia="Times New Roman" w:hAnsi="Times New Roman"/>
          <w:sz w:val="15"/>
          <w:szCs w:val="15"/>
          <w:color w:val="auto"/>
        </w:rPr>
      </w:pPr>
    </w:p>
    <w:p>
      <w:pPr>
        <w:ind w:left="3080" w:hanging="342"/>
        <w:spacing w:after="0"/>
        <w:tabs>
          <w:tab w:leader="none" w:pos="3080" w:val="left"/>
        </w:tabs>
        <w:numPr>
          <w:ilvl w:val="0"/>
          <w:numId w:val="3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all other determinations necessary or advisable in connection with the</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administration of this Plan.</w:t>
      </w:r>
    </w:p>
    <w:p>
      <w:pPr>
        <w:spacing w:after="0" w:line="154"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12.2 </w:t>
      </w:r>
      <w:r>
        <w:rPr>
          <w:rFonts w:ascii="Times New Roman" w:cs="Times New Roman" w:eastAsia="Times New Roman" w:hAnsi="Times New Roman"/>
          <w:sz w:val="15"/>
          <w:szCs w:val="15"/>
          <w:b w:val="1"/>
          <w:bCs w:val="1"/>
          <w:u w:val="single" w:color="auto"/>
          <w:color w:val="auto"/>
        </w:rPr>
        <w:t>Standalone, Tandem and Substitute Awards</w:t>
      </w:r>
      <w:r>
        <w:rPr>
          <w:rFonts w:ascii="Times New Roman" w:cs="Times New Roman" w:eastAsia="Times New Roman" w:hAnsi="Times New Roman"/>
          <w:sz w:val="15"/>
          <w:szCs w:val="15"/>
          <w:color w:val="auto"/>
        </w:rPr>
        <w:t>. Awards granted under the Plan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may, in the sole discretion of the Committee, be granted either alone or in addition to, in tandem with, or in substitution for, any other Award granted under the Plan. Awards granted in addition to or in tandem with other Awards may be granted either at the same time as or at a different time from the grant of such other Awards.</w:t>
      </w:r>
    </w:p>
    <w:p>
      <w:pPr>
        <w:spacing w:after="0" w:line="131"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12.3 </w:t>
      </w:r>
      <w:r>
        <w:rPr>
          <w:rFonts w:ascii="Times New Roman" w:cs="Times New Roman" w:eastAsia="Times New Roman" w:hAnsi="Times New Roman"/>
          <w:sz w:val="15"/>
          <w:szCs w:val="15"/>
          <w:b w:val="1"/>
          <w:bCs w:val="1"/>
          <w:u w:val="single" w:color="auto"/>
          <w:color w:val="auto"/>
        </w:rPr>
        <w:t>Committee Composition and Discretion</w:t>
      </w:r>
      <w:r>
        <w:rPr>
          <w:rFonts w:ascii="Times New Roman" w:cs="Times New Roman" w:eastAsia="Times New Roman" w:hAnsi="Times New Roman"/>
          <w:sz w:val="15"/>
          <w:szCs w:val="15"/>
          <w:color w:val="auto"/>
        </w:rPr>
        <w:t>. The Board may delegate full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administrative authority over the Plan and Awards to a Committee consisting of at least one member of the Board (or such greater number as may then be required by applicable law). Unless in contravention of any express terms of this Plan or Award, any determination made by the Committee with respect to any Award will be made in its sole discretion either (a) at the time of grant of the Award, or (b) subject to Section 4.9 hereof, at any later time. Any such determination will be final and binding on the Company and on all persons having an interest in any Award under this Plan. To the extent permitted by applicable law, the Committee may delegate to one or more directors or officers of the Company the authority to grant an Award under this Plan.</w:t>
      </w:r>
    </w:p>
    <w:p>
      <w:pPr>
        <w:spacing w:after="0" w:line="316"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12.4 </w:t>
      </w:r>
      <w:r>
        <w:rPr>
          <w:rFonts w:ascii="Times New Roman" w:cs="Times New Roman" w:eastAsia="Times New Roman" w:hAnsi="Times New Roman"/>
          <w:sz w:val="15"/>
          <w:szCs w:val="15"/>
          <w:b w:val="1"/>
          <w:bCs w:val="1"/>
          <w:u w:val="single" w:color="auto"/>
          <w:color w:val="auto"/>
        </w:rPr>
        <w:t>Nonexclusivity of the Plan</w:t>
      </w:r>
      <w:r>
        <w:rPr>
          <w:rFonts w:ascii="Times New Roman" w:cs="Times New Roman" w:eastAsia="Times New Roman" w:hAnsi="Times New Roman"/>
          <w:sz w:val="15"/>
          <w:szCs w:val="15"/>
          <w:color w:val="auto"/>
        </w:rPr>
        <w:t>. Neither the adoption of this Plan by the Board,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submission of this Plan to the stockholders of the Company for approval, nor any provision of this Plan will be construed as creating any limitations on the power of the Board to adopt such additional compensation arrangements as it may deem desirable, including, without limitation, the granting of stock options and other equity awards otherwise than under this Plan, and such arrangements may be either generally applicable or applicable only in specific cases.</w:t>
      </w:r>
    </w:p>
    <w:p>
      <w:pPr>
        <w:spacing w:after="0" w:line="2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21" w:name="page422"/>
    <w:bookmarkEnd w:id="421"/>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12.5 </w:t>
      </w:r>
      <w:r>
        <w:rPr>
          <w:rFonts w:ascii="Times New Roman" w:cs="Times New Roman" w:eastAsia="Times New Roman" w:hAnsi="Times New Roman"/>
          <w:sz w:val="15"/>
          <w:szCs w:val="15"/>
          <w:b w:val="1"/>
          <w:bCs w:val="1"/>
          <w:u w:val="single" w:color="auto"/>
          <w:color w:val="auto"/>
        </w:rPr>
        <w:t>Governing Law</w:t>
      </w:r>
      <w:r>
        <w:rPr>
          <w:rFonts w:ascii="Times New Roman" w:cs="Times New Roman" w:eastAsia="Times New Roman" w:hAnsi="Times New Roman"/>
          <w:sz w:val="15"/>
          <w:szCs w:val="15"/>
          <w:color w:val="auto"/>
        </w:rPr>
        <w:t>. This Plan and all agreements hereunder shall be governed by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construed in accordance with the laws of the State of Delaware, without giving effect to that body of laws pertaining to conflict of laws.</w:t>
      </w:r>
    </w:p>
    <w:p>
      <w:pPr>
        <w:spacing w:after="0" w:line="122" w:lineRule="exact"/>
        <w:rPr>
          <w:sz w:val="20"/>
          <w:szCs w:val="20"/>
          <w:color w:val="auto"/>
        </w:rPr>
      </w:pPr>
    </w:p>
    <w:p>
      <w:pPr>
        <w:ind w:left="2080" w:hanging="351"/>
        <w:spacing w:after="0"/>
        <w:tabs>
          <w:tab w:leader="none" w:pos="2080" w:val="left"/>
        </w:tabs>
        <w:numPr>
          <w:ilvl w:val="0"/>
          <w:numId w:val="33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EFFECTIVENESS, AMENDMENT AND TERMINATION OF THE PLAN</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13.1 </w:t>
      </w:r>
      <w:r>
        <w:rPr>
          <w:rFonts w:ascii="Times New Roman" w:cs="Times New Roman" w:eastAsia="Times New Roman" w:hAnsi="Times New Roman"/>
          <w:sz w:val="15"/>
          <w:szCs w:val="15"/>
          <w:b w:val="1"/>
          <w:bCs w:val="1"/>
          <w:u w:val="single" w:color="auto"/>
          <w:color w:val="auto"/>
        </w:rPr>
        <w:t>Adoption and Stockholder Approval</w:t>
      </w:r>
      <w:r>
        <w:rPr>
          <w:rFonts w:ascii="Times New Roman" w:cs="Times New Roman" w:eastAsia="Times New Roman" w:hAnsi="Times New Roman"/>
          <w:sz w:val="15"/>
          <w:szCs w:val="15"/>
          <w:color w:val="auto"/>
        </w:rPr>
        <w:t>. This Plan will become effective 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that it is adopted by the Board (the “</w:t>
      </w:r>
      <w:r>
        <w:rPr>
          <w:rFonts w:ascii="Times New Roman" w:cs="Times New Roman" w:eastAsia="Times New Roman" w:hAnsi="Times New Roman"/>
          <w:sz w:val="15"/>
          <w:szCs w:val="15"/>
          <w:b w:val="1"/>
          <w:bCs w:val="1"/>
          <w:i w:val="1"/>
          <w:iCs w:val="1"/>
          <w:color w:val="auto"/>
        </w:rPr>
        <w:t>Effective Date</w:t>
      </w:r>
      <w:r>
        <w:rPr>
          <w:rFonts w:ascii="Times New Roman" w:cs="Times New Roman" w:eastAsia="Times New Roman" w:hAnsi="Times New Roman"/>
          <w:sz w:val="15"/>
          <w:szCs w:val="15"/>
          <w:color w:val="auto"/>
        </w:rPr>
        <w:t xml:space="preserve">”). This Plan will be approved by the stockholders of the Company (excluding Shares issued pursuant to this Plan), consistent with applicable laws, within twelve (12) months before or after the Effective Date. Upon the Effective Date, the Committee may grant Awards pursuant to this Plan;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u w:val="single" w:color="auto"/>
          <w:color w:val="auto"/>
        </w:rPr>
        <w:t>however</w:t>
      </w:r>
      <w:r>
        <w:rPr>
          <w:rFonts w:ascii="Times New Roman" w:cs="Times New Roman" w:eastAsia="Times New Roman" w:hAnsi="Times New Roman"/>
          <w:sz w:val="15"/>
          <w:szCs w:val="15"/>
          <w:color w:val="auto"/>
        </w:rPr>
        <w:t>, that: (a) if stockholder approval is not obtained consistent with this paragraph, at such time as timely stockholder approval is no longer possible, no Option or SAR may thereafter be exercised and any purchased shares will revert to the Company and be refunded in full; (b) no Option or SAR granted pursuant to an increase in the number of Shares approved by the Board shall be exercised prior to the time such increase has been approved by the stockholders of the Company; (c) in the event that initial stockholder approval is not obtained within the time period provided herein, all Awards for which only the exemption from California’s securities qualification requirements provided by Section 25102(o) can apply shall be canceled, any Shares issued pursuant to any such Award shall be canceled and any purchase of such Shares issued hereunder shall be rescinded; and (d) Awards (to which only the exemption from California’s securities qualification requirements provided by Section 25102(o) can apply) granted pursuant to an increase in the number of Shares approved by the Board which increase is not approved by stockholders within the time then required under Section 25102(o) shall be canceled, any Shares issued pursuant to any such Awards shall be canceled, and any purchase of Shares subject to any such Award shall be rescinded.</w:t>
      </w:r>
    </w:p>
    <w:p>
      <w:pPr>
        <w:spacing w:after="0" w:line="138"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13.2 </w:t>
      </w:r>
      <w:r>
        <w:rPr>
          <w:rFonts w:ascii="Times New Roman" w:cs="Times New Roman" w:eastAsia="Times New Roman" w:hAnsi="Times New Roman"/>
          <w:sz w:val="15"/>
          <w:szCs w:val="15"/>
          <w:b w:val="1"/>
          <w:bCs w:val="1"/>
          <w:u w:val="single" w:color="auto"/>
          <w:color w:val="auto"/>
        </w:rPr>
        <w:t>Term of Plan</w:t>
      </w:r>
      <w:r>
        <w:rPr>
          <w:rFonts w:ascii="Times New Roman" w:cs="Times New Roman" w:eastAsia="Times New Roman" w:hAnsi="Times New Roman"/>
          <w:sz w:val="15"/>
          <w:szCs w:val="15"/>
          <w:color w:val="auto"/>
        </w:rPr>
        <w:t>. Unless earlier terminated as provided herein, this Plan will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automatically terminate ten (10) years after the Effective Date.</w:t>
      </w:r>
    </w:p>
    <w:p>
      <w:pPr>
        <w:spacing w:after="0" w:line="107"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13.3 </w:t>
      </w:r>
      <w:r>
        <w:rPr>
          <w:rFonts w:ascii="Times New Roman" w:cs="Times New Roman" w:eastAsia="Times New Roman" w:hAnsi="Times New Roman"/>
          <w:sz w:val="15"/>
          <w:szCs w:val="15"/>
          <w:b w:val="1"/>
          <w:bCs w:val="1"/>
          <w:u w:val="single" w:color="auto"/>
          <w:color w:val="auto"/>
        </w:rPr>
        <w:t>Amendment or Termination of Plan</w:t>
      </w:r>
      <w:r>
        <w:rPr>
          <w:rFonts w:ascii="Times New Roman" w:cs="Times New Roman" w:eastAsia="Times New Roman" w:hAnsi="Times New Roman"/>
          <w:sz w:val="15"/>
          <w:szCs w:val="15"/>
          <w:color w:val="auto"/>
        </w:rPr>
        <w:t>. Subject to Section 4.9 hereof, the Board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may at any time (a) terminate or amend this Plan in any respect, including without limitation amendment of any form of Award Agreement or instrument to be executed pursuant to this Plan and (b) terminate any and all outstanding Options, SARs or RSUs upon a dissolution or liquidation of the Company, followed by the payment of creditors and the distribution of any remaining funds to the Company’s stockholders;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i w:val="1"/>
          <w:iCs w:val="1"/>
          <w:u w:val="single" w:color="auto"/>
          <w:color w:val="auto"/>
        </w:rPr>
        <w:t>however</w:t>
      </w:r>
      <w:r>
        <w:rPr>
          <w:rFonts w:ascii="Times New Roman" w:cs="Times New Roman" w:eastAsia="Times New Roman" w:hAnsi="Times New Roman"/>
          <w:sz w:val="15"/>
          <w:szCs w:val="15"/>
          <w:color w:val="auto"/>
        </w:rPr>
        <w:t>, that the Board will not, without the approval of the stockholders of the Company,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amend this Plan in any manner that requires such stockholder approval pursuant to Section 25102(o) or pursuant to the Code or the regulations promulgated under the Code as such provisions apply to ISO plans. The termination of the Plan, or any amendment thereof, shall not affect any Share previously issued or any Award previously granted under the Plan.</w:t>
      </w:r>
    </w:p>
    <w:p>
      <w:pPr>
        <w:spacing w:after="0" w:line="137" w:lineRule="exact"/>
        <w:rPr>
          <w:sz w:val="20"/>
          <w:szCs w:val="20"/>
          <w:color w:val="auto"/>
        </w:rPr>
      </w:pPr>
    </w:p>
    <w:p>
      <w:pPr>
        <w:ind w:left="2080" w:hanging="351"/>
        <w:spacing w:after="0"/>
        <w:tabs>
          <w:tab w:leader="none" w:pos="2080" w:val="left"/>
        </w:tabs>
        <w:numPr>
          <w:ilvl w:val="0"/>
          <w:numId w:val="33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DEFINITIONS</w:t>
      </w:r>
      <w:r>
        <w:rPr>
          <w:rFonts w:ascii="Times New Roman" w:cs="Times New Roman" w:eastAsia="Times New Roman" w:hAnsi="Times New Roman"/>
          <w:sz w:val="15"/>
          <w:szCs w:val="15"/>
          <w:color w:val="auto"/>
        </w:rPr>
        <w:t>. For all purposes of this Plan, the following terms will have the following</w:t>
      </w:r>
    </w:p>
    <w:p>
      <w:pPr>
        <w:spacing w:after="0" w:line="26" w:lineRule="exact"/>
        <w:rPr>
          <w:rFonts w:ascii="Times New Roman" w:cs="Times New Roman" w:eastAsia="Times New Roman" w:hAnsi="Times New Roman"/>
          <w:sz w:val="15"/>
          <w:szCs w:val="15"/>
          <w:b w:val="1"/>
          <w:bCs w:val="1"/>
          <w:color w:val="auto"/>
        </w:rPr>
      </w:pPr>
    </w:p>
    <w:p>
      <w:pPr>
        <w:ind w:left="122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meanings.</w:t>
      </w:r>
    </w:p>
    <w:p>
      <w:pPr>
        <w:spacing w:after="0" w:line="15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Acquisition</w:t>
      </w:r>
      <w:r>
        <w:rPr>
          <w:rFonts w:ascii="Times New Roman" w:cs="Times New Roman" w:eastAsia="Times New Roman" w:hAnsi="Times New Roman"/>
          <w:sz w:val="15"/>
          <w:szCs w:val="15"/>
          <w:color w:val="auto"/>
        </w:rPr>
        <w:t>,” for purposes of Section 11, means:</w:t>
      </w:r>
    </w:p>
    <w:p>
      <w:pPr>
        <w:spacing w:after="0" w:line="178" w:lineRule="exact"/>
        <w:rPr>
          <w:sz w:val="20"/>
          <w:szCs w:val="20"/>
          <w:color w:val="auto"/>
        </w:rPr>
      </w:pPr>
    </w:p>
    <w:p>
      <w:pPr>
        <w:jc w:val="both"/>
        <w:ind w:left="1220" w:right="1239" w:firstLine="1518"/>
        <w:spacing w:after="0" w:line="254" w:lineRule="auto"/>
        <w:tabs>
          <w:tab w:leader="none" w:pos="3033" w:val="left"/>
        </w:tabs>
        <w:numPr>
          <w:ilvl w:val="0"/>
          <w:numId w:val="3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consolidation or merger in which the Company is a constituent entity or is a party in which the voting stock and other voting securities of the Company that are outstanding immediately prior to the consummation of such consolidation or merger represent, or are converted into, securities of the surviving entity of such consolidation or merger (or of any Parent of such surviving entity) that, immediately after the consummation of such consolidation or merger, together possess less than fifty percent (50%) of the total voting power of all voting securities of such surviving entity (or of any of its Parents, if any) that are outstanding immediately after the consummation of such consolidation or merger;</w:t>
      </w:r>
    </w:p>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22" w:name="page423"/>
    <w:bookmarkEnd w:id="422"/>
    <w:p>
      <w:pPr>
        <w:jc w:val="both"/>
        <w:ind w:left="1220" w:right="1239" w:firstLine="1518"/>
        <w:spacing w:after="0" w:line="254" w:lineRule="auto"/>
        <w:tabs>
          <w:tab w:leader="none" w:pos="3081"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sale or other transfer by the holders thereof of outstanding voting stock and/or other voting securities of the Company possessing more than fifty percent (50%) of the total voting power of all outstanding voting securities of the Company, whether in one transaction or in a series of related transactions, pursuant to an agreement or agreements to which the Company is a party and that has been approved by the Board, and pursuant to which such outstanding voting securities are sold or transferred to a single person or entity, to one or more persons or entities who are Affiliates of each other, or to one or more persons or entities acting in concert; or</w:t>
      </w:r>
    </w:p>
    <w:p>
      <w:pPr>
        <w:spacing w:after="0" w:line="141" w:lineRule="exact"/>
        <w:rPr>
          <w:rFonts w:ascii="Times New Roman" w:cs="Times New Roman" w:eastAsia="Times New Roman" w:hAnsi="Times New Roman"/>
          <w:sz w:val="15"/>
          <w:szCs w:val="15"/>
          <w:color w:val="auto"/>
        </w:rPr>
      </w:pPr>
    </w:p>
    <w:p>
      <w:pPr>
        <w:jc w:val="both"/>
        <w:ind w:left="1220" w:right="1239" w:firstLine="1518"/>
        <w:spacing w:after="0" w:line="254" w:lineRule="auto"/>
        <w:tabs>
          <w:tab w:leader="none" w:pos="3048" w:val="left"/>
        </w:tabs>
        <w:numPr>
          <w:ilvl w:val="0"/>
          <w:numId w:val="3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sale, lease, transfer or other disposition, in a single transaction or series of related transactions, by the Company and/or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except where such sale, lease, transfer or other disposition is made to the Company or one or more wholly owned Subsidiaries of the Company.</w:t>
      </w:r>
    </w:p>
    <w:p>
      <w:pPr>
        <w:spacing w:after="0" w:line="141"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5"/>
          <w:szCs w:val="15"/>
          <w:color w:val="auto"/>
        </w:rPr>
        <w:t>Notwithstanding the foregoing, the following transactions shall not constitute an “Acquisition”: (1) the closing of the Company’s first public offering pursuant to an effective registration statement filed under the Securities Act or (2) any transaction the sole purpose of which is to change the state of incorporation of the Company or to create a holding company that will be owned in substantially the same proportions by the persons who held the Company’s securities immediately before such transaction.</w:t>
      </w:r>
    </w:p>
    <w:p>
      <w:pPr>
        <w:spacing w:after="0" w:line="134"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Affiliate</w:t>
      </w:r>
      <w:r>
        <w:rPr>
          <w:rFonts w:ascii="Times New Roman" w:cs="Times New Roman" w:eastAsia="Times New Roman" w:hAnsi="Times New Roman"/>
          <w:sz w:val="15"/>
          <w:szCs w:val="15"/>
          <w:color w:val="auto"/>
        </w:rPr>
        <w:t>” of a specified person means a person that directly, or indirectly through one or more intermediaries, controls or is controlled by, or is under common control with, the person specified (where, for purposes of this definition, the term “</w:t>
      </w:r>
      <w:r>
        <w:rPr>
          <w:rFonts w:ascii="Times New Roman" w:cs="Times New Roman" w:eastAsia="Times New Roman" w:hAnsi="Times New Roman"/>
          <w:sz w:val="15"/>
          <w:szCs w:val="15"/>
          <w:b w:val="1"/>
          <w:bCs w:val="1"/>
          <w:i w:val="1"/>
          <w:iCs w:val="1"/>
          <w:color w:val="auto"/>
        </w:rPr>
        <w:t>control”</w:t>
      </w:r>
      <w:r>
        <w:rPr>
          <w:rFonts w:ascii="Times New Roman" w:cs="Times New Roman" w:eastAsia="Times New Roman" w:hAnsi="Times New Roman"/>
          <w:sz w:val="15"/>
          <w:szCs w:val="15"/>
          <w:color w:val="auto"/>
        </w:rPr>
        <w:t xml:space="preserve"> (including the terms “</w:t>
      </w:r>
      <w:r>
        <w:rPr>
          <w:rFonts w:ascii="Times New Roman" w:cs="Times New Roman" w:eastAsia="Times New Roman" w:hAnsi="Times New Roman"/>
          <w:sz w:val="15"/>
          <w:szCs w:val="15"/>
          <w:b w:val="1"/>
          <w:bCs w:val="1"/>
          <w:i w:val="1"/>
          <w:iCs w:val="1"/>
          <w:color w:val="auto"/>
        </w:rPr>
        <w:t>controlling</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b w:val="1"/>
          <w:bCs w:val="1"/>
          <w:i w:val="1"/>
          <w:iCs w:val="1"/>
          <w:color w:val="auto"/>
        </w:rPr>
        <w:t>controlled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by</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i w:val="1"/>
          <w:iCs w:val="1"/>
          <w:color w:val="auto"/>
        </w:rPr>
        <w:t>under common control with</w:t>
      </w:r>
      <w:r>
        <w:rPr>
          <w:rFonts w:ascii="Times New Roman" w:cs="Times New Roman" w:eastAsia="Times New Roman" w:hAnsi="Times New Roman"/>
          <w:sz w:val="15"/>
          <w:szCs w:val="15"/>
          <w:color w:val="auto"/>
        </w:rPr>
        <w:t>”) means the possession, direct or indirect, of the power to direct or</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cause the direction of the management and policies of a person, whether through the ownership of voting securities, by contract, or otherwise.</w:t>
      </w:r>
    </w:p>
    <w:p>
      <w:pPr>
        <w:spacing w:after="0" w:line="132"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Award</w:t>
      </w:r>
      <w:r>
        <w:rPr>
          <w:rFonts w:ascii="Times New Roman" w:cs="Times New Roman" w:eastAsia="Times New Roman" w:hAnsi="Times New Roman"/>
          <w:sz w:val="15"/>
          <w:szCs w:val="15"/>
          <w:color w:val="auto"/>
        </w:rPr>
        <w:t>” means any award pursuant to the terms and conditions of this Plan, including any Option, Restricted Stock Unit, Stock Appreciation Right or Restricted Stock Award.</w:t>
      </w:r>
    </w:p>
    <w:p>
      <w:pPr>
        <w:spacing w:after="0" w:line="107" w:lineRule="exact"/>
        <w:rPr>
          <w:sz w:val="20"/>
          <w:szCs w:val="20"/>
          <w:color w:val="auto"/>
        </w:rPr>
      </w:pPr>
    </w:p>
    <w:p>
      <w:pPr>
        <w:jc w:val="both"/>
        <w:ind w:left="1220" w:right="1239" w:firstLine="1009"/>
        <w:spacing w:after="0" w:line="26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Award Agreement</w:t>
      </w:r>
      <w:r>
        <w:rPr>
          <w:rFonts w:ascii="Times New Roman" w:cs="Times New Roman" w:eastAsia="Times New Roman" w:hAnsi="Times New Roman"/>
          <w:sz w:val="15"/>
          <w:szCs w:val="15"/>
          <w:color w:val="auto"/>
        </w:rPr>
        <w:t>” means, with respect to each Award, the executed written or electronic agreement between the Company and the Participant setting forth the terms and conditions of the Award as approved by the Committee. For purposes of the Plan, the Award Agreement may be accepted by a Participant via written, electronic or other means, subject to requirements under applicable law.</w:t>
      </w:r>
    </w:p>
    <w:p>
      <w:pPr>
        <w:spacing w:after="0" w:line="31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Board</w:t>
      </w:r>
      <w:r>
        <w:rPr>
          <w:rFonts w:ascii="Times New Roman" w:cs="Times New Roman" w:eastAsia="Times New Roman" w:hAnsi="Times New Roman"/>
          <w:sz w:val="15"/>
          <w:szCs w:val="15"/>
          <w:color w:val="auto"/>
        </w:rPr>
        <w:t>” means the Board of Directors of the Company.</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Cause</w:t>
      </w:r>
      <w:r>
        <w:rPr>
          <w:rFonts w:ascii="Times New Roman" w:cs="Times New Roman" w:eastAsia="Times New Roman" w:hAnsi="Times New Roman"/>
          <w:sz w:val="15"/>
          <w:szCs w:val="15"/>
          <w:color w:val="auto"/>
        </w:rPr>
        <w:t>” means Termination because of (a) Participant’s unauthorized misuse of the Company or a Parent or Subsidiary of the Company’s trade secrets or proprietary information, (b) Participant’s conviction of or plea of nolo contendere to a felony or a crime involving moral turpitude, (c) Participant’s committing an act of fraud against the Company or a Parent or Subsidiary of the Company or (d) Participant’s gross negligence or willful misconduct in the performance of his or her duties that has had or will have a material adverse effect on the Company or Parent or Subsidiary of the Company’s reputation or business.</w:t>
      </w:r>
    </w:p>
    <w:p>
      <w:pPr>
        <w:spacing w:after="0" w:line="136"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 means the U.S. Internal Revenue Code of 1986, as amended.</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23" w:name="page424"/>
    <w:bookmarkEnd w:id="423"/>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Committee</w:t>
      </w:r>
      <w:r>
        <w:rPr>
          <w:rFonts w:ascii="Times New Roman" w:cs="Times New Roman" w:eastAsia="Times New Roman" w:hAnsi="Times New Roman"/>
          <w:sz w:val="15"/>
          <w:szCs w:val="15"/>
          <w:color w:val="auto"/>
        </w:rPr>
        <w:t>” means the committee created and appointed by the Board to administer this Plan, or if no committee is created and appointed, the Board.</w:t>
      </w:r>
    </w:p>
    <w:p>
      <w:pPr>
        <w:spacing w:after="0" w:line="1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means Avalyn Pharma Inc., a Delaware corporation, or any successor</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corporation.</w:t>
      </w:r>
    </w:p>
    <w:p>
      <w:pPr>
        <w:spacing w:after="0" w:line="154"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Disability</w:t>
      </w:r>
      <w:r>
        <w:rPr>
          <w:rFonts w:ascii="Times New Roman" w:cs="Times New Roman" w:eastAsia="Times New Roman" w:hAnsi="Times New Roman"/>
          <w:sz w:val="15"/>
          <w:szCs w:val="15"/>
          <w:color w:val="auto"/>
        </w:rPr>
        <w:t>” means a Participant is unable to perform the duties of his or her customary position of employment by reason of any medically determinable physical or mental impairment that can be expected to result in death or that can be expected to last for a continuous period of not less than twelve (12) months. The Committee may require such medical or other evidence as it deems necessary to judge the nature and permanency of the Participant’s condition.</w:t>
      </w:r>
    </w:p>
    <w:p>
      <w:pPr>
        <w:spacing w:after="0" w:line="1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Exchange Act</w:t>
      </w:r>
      <w:r>
        <w:rPr>
          <w:rFonts w:ascii="Times New Roman" w:cs="Times New Roman" w:eastAsia="Times New Roman" w:hAnsi="Times New Roman"/>
          <w:sz w:val="15"/>
          <w:szCs w:val="15"/>
          <w:color w:val="auto"/>
        </w:rPr>
        <w:t>” means the U.S. Securities Exchange Act of 1934, as amended.</w:t>
      </w:r>
    </w:p>
    <w:p>
      <w:pPr>
        <w:spacing w:after="0" w:line="174"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Exercise Price</w:t>
      </w:r>
      <w:r>
        <w:rPr>
          <w:rFonts w:ascii="Times New Roman" w:cs="Times New Roman" w:eastAsia="Times New Roman" w:hAnsi="Times New Roman"/>
          <w:sz w:val="15"/>
          <w:szCs w:val="15"/>
          <w:color w:val="auto"/>
        </w:rPr>
        <w:t>” means the price per Share at which a holder of an Option or a SAR may purchase Shares issuable upon exercise of the Option or the SAR.</w:t>
      </w:r>
    </w:p>
    <w:p>
      <w:pPr>
        <w:spacing w:after="0" w:line="1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Fair Market Value</w:t>
      </w:r>
      <w:r>
        <w:rPr>
          <w:rFonts w:ascii="Times New Roman" w:cs="Times New Roman" w:eastAsia="Times New Roman" w:hAnsi="Times New Roman"/>
          <w:sz w:val="15"/>
          <w:szCs w:val="15"/>
          <w:color w:val="auto"/>
        </w:rPr>
        <w:t>” means, as of any date, the value of a Share determined as follows:</w:t>
      </w:r>
    </w:p>
    <w:p>
      <w:pPr>
        <w:spacing w:after="0" w:line="178" w:lineRule="exact"/>
        <w:rPr>
          <w:sz w:val="20"/>
          <w:szCs w:val="20"/>
          <w:color w:val="auto"/>
        </w:rPr>
      </w:pPr>
    </w:p>
    <w:p>
      <w:pPr>
        <w:jc w:val="both"/>
        <w:ind w:left="1220" w:right="1239" w:firstLine="1518"/>
        <w:spacing w:after="0" w:line="267" w:lineRule="auto"/>
        <w:tabs>
          <w:tab w:leader="none" w:pos="3069"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such Share is then publicly traded on a national securities exchange, its closing price on the date of determination on the principal national securities exchange on which the Share is listed or admitted to trading as reported in </w:t>
      </w:r>
      <w:r>
        <w:rPr>
          <w:rFonts w:ascii="Times New Roman" w:cs="Times New Roman" w:eastAsia="Times New Roman" w:hAnsi="Times New Roman"/>
          <w:sz w:val="15"/>
          <w:szCs w:val="15"/>
          <w:u w:val="single" w:color="auto"/>
          <w:color w:val="auto"/>
        </w:rPr>
        <w:t>The Wall Street Journal</w:t>
      </w:r>
      <w:r>
        <w:rPr>
          <w:rFonts w:ascii="Times New Roman" w:cs="Times New Roman" w:eastAsia="Times New Roman" w:hAnsi="Times New Roman"/>
          <w:sz w:val="15"/>
          <w:szCs w:val="15"/>
          <w:color w:val="auto"/>
        </w:rPr>
        <w:t>;</w:t>
      </w:r>
    </w:p>
    <w:p>
      <w:pPr>
        <w:spacing w:after="0" w:line="128" w:lineRule="exact"/>
        <w:rPr>
          <w:rFonts w:ascii="Times New Roman" w:cs="Times New Roman" w:eastAsia="Times New Roman" w:hAnsi="Times New Roman"/>
          <w:sz w:val="15"/>
          <w:szCs w:val="15"/>
          <w:color w:val="auto"/>
        </w:rPr>
      </w:pPr>
    </w:p>
    <w:p>
      <w:pPr>
        <w:jc w:val="both"/>
        <w:ind w:left="1220" w:right="1239" w:firstLine="1518"/>
        <w:spacing w:after="0" w:line="261" w:lineRule="auto"/>
        <w:tabs>
          <w:tab w:leader="none" w:pos="3057"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if such Share is publicly traded but is not listed or admitted to trading on a national securities exchange, the average of the closing bid and ask prices on the date of determination as reported by </w:t>
      </w:r>
      <w:r>
        <w:rPr>
          <w:rFonts w:ascii="Times New Roman" w:cs="Times New Roman" w:eastAsia="Times New Roman" w:hAnsi="Times New Roman"/>
          <w:sz w:val="15"/>
          <w:szCs w:val="15"/>
          <w:u w:val="single" w:color="auto"/>
          <w:color w:val="auto"/>
        </w:rPr>
        <w:t>The Wall Street Journal</w:t>
      </w:r>
      <w:r>
        <w:rPr>
          <w:rFonts w:ascii="Times New Roman" w:cs="Times New Roman" w:eastAsia="Times New Roman" w:hAnsi="Times New Roman"/>
          <w:sz w:val="15"/>
          <w:szCs w:val="15"/>
          <w:color w:val="auto"/>
        </w:rPr>
        <w:t xml:space="preserve"> (or as otherwise reported by any newspaper or other source as the Committee may determine); or</w:t>
      </w:r>
    </w:p>
    <w:p>
      <w:pPr>
        <w:spacing w:after="0" w:line="132" w:lineRule="exact"/>
        <w:rPr>
          <w:rFonts w:ascii="Times New Roman" w:cs="Times New Roman" w:eastAsia="Times New Roman" w:hAnsi="Times New Roman"/>
          <w:sz w:val="15"/>
          <w:szCs w:val="15"/>
          <w:color w:val="auto"/>
        </w:rPr>
      </w:pPr>
    </w:p>
    <w:p>
      <w:pPr>
        <w:ind w:left="3080" w:hanging="342"/>
        <w:spacing w:after="0"/>
        <w:tabs>
          <w:tab w:leader="none" w:pos="3080" w:val="left"/>
        </w:tabs>
        <w:numPr>
          <w:ilvl w:val="0"/>
          <w:numId w:val="3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none of the foregoing is applicable to the valuation in question, by the</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Committee in good faith.</w:t>
      </w:r>
    </w:p>
    <w:p>
      <w:pPr>
        <w:spacing w:after="0" w:line="1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means an award of an option to purchase Shares pursuant to Section 4 of this Plan.</w:t>
      </w:r>
    </w:p>
    <w:p>
      <w:pPr>
        <w:spacing w:after="0" w:line="174"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Other Combination</w:t>
      </w:r>
      <w:r>
        <w:rPr>
          <w:rFonts w:ascii="Times New Roman" w:cs="Times New Roman" w:eastAsia="Times New Roman" w:hAnsi="Times New Roman"/>
          <w:sz w:val="15"/>
          <w:szCs w:val="15"/>
          <w:color w:val="auto"/>
        </w:rPr>
        <w:t xml:space="preserve">” for purposes of Section 11 means any (a) consolidation or merger in which the Company is a constituent entity and is not the surviving entity of such consolidation or merger or (b) any conversion of the Company into another form of entity;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such consolidation, merger or conversion does not constitute an Acquisition.</w:t>
      </w:r>
    </w:p>
    <w:p>
      <w:pPr>
        <w:spacing w:after="0" w:line="130"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Parent</w:t>
      </w:r>
      <w:r>
        <w:rPr>
          <w:rFonts w:ascii="Times New Roman" w:cs="Times New Roman" w:eastAsia="Times New Roman" w:hAnsi="Times New Roman"/>
          <w:sz w:val="15"/>
          <w:szCs w:val="15"/>
          <w:color w:val="auto"/>
        </w:rPr>
        <w:t>” of a specified entity means, any entity that, either directly or indirectly, owns or controls such specified entity, where for this purpose, “</w:t>
      </w:r>
      <w:r>
        <w:rPr>
          <w:rFonts w:ascii="Times New Roman" w:cs="Times New Roman" w:eastAsia="Times New Roman" w:hAnsi="Times New Roman"/>
          <w:sz w:val="15"/>
          <w:szCs w:val="15"/>
          <w:b w:val="1"/>
          <w:bCs w:val="1"/>
          <w:i w:val="1"/>
          <w:iCs w:val="1"/>
          <w:color w:val="auto"/>
        </w:rPr>
        <w:t>control</w:t>
      </w:r>
      <w:r>
        <w:rPr>
          <w:rFonts w:ascii="Times New Roman" w:cs="Times New Roman" w:eastAsia="Times New Roman" w:hAnsi="Times New Roman"/>
          <w:sz w:val="15"/>
          <w:szCs w:val="15"/>
          <w:color w:val="auto"/>
        </w:rPr>
        <w:t>” means the ownership of stock, securities or other interests that possess at least a majority of the voting power of such specified entity (including indirect ownership or control of such stock, securities or other interests).</w:t>
      </w:r>
    </w:p>
    <w:p>
      <w:pPr>
        <w:spacing w:after="0" w:line="130"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Participant</w:t>
      </w:r>
      <w:r>
        <w:rPr>
          <w:rFonts w:ascii="Times New Roman" w:cs="Times New Roman" w:eastAsia="Times New Roman" w:hAnsi="Times New Roman"/>
          <w:sz w:val="15"/>
          <w:szCs w:val="15"/>
          <w:color w:val="auto"/>
        </w:rPr>
        <w:t>” means a person who receives an Award under this Plan.</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means this 2022 Equity Incentive Plan, as amended from time to time.</w:t>
      </w:r>
    </w:p>
    <w:p>
      <w:pPr>
        <w:spacing w:after="0" w:line="174"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Purchase Price</w:t>
      </w:r>
      <w:r>
        <w:rPr>
          <w:rFonts w:ascii="Times New Roman" w:cs="Times New Roman" w:eastAsia="Times New Roman" w:hAnsi="Times New Roman"/>
          <w:sz w:val="15"/>
          <w:szCs w:val="15"/>
          <w:color w:val="auto"/>
        </w:rPr>
        <w:t>” means the price at which a Participant may purchase Restricted Stock pursuant to this Plan.</w:t>
      </w:r>
    </w:p>
    <w:p>
      <w:pPr>
        <w:spacing w:after="0" w:line="26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24" w:name="page425"/>
    <w:bookmarkEnd w:id="424"/>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w:t>
      </w:r>
      <w:r>
        <w:rPr>
          <w:rFonts w:ascii="Times New Roman" w:cs="Times New Roman" w:eastAsia="Times New Roman" w:hAnsi="Times New Roman"/>
          <w:sz w:val="15"/>
          <w:szCs w:val="15"/>
          <w:color w:val="auto"/>
        </w:rPr>
        <w:t>” means Shares purchased pursuant to a Restricted Stock Award under</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this Plan.</w:t>
      </w:r>
    </w:p>
    <w:p>
      <w:pPr>
        <w:spacing w:after="0" w:line="15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 Award</w:t>
      </w:r>
      <w:r>
        <w:rPr>
          <w:rFonts w:ascii="Times New Roman" w:cs="Times New Roman" w:eastAsia="Times New Roman" w:hAnsi="Times New Roman"/>
          <w:sz w:val="15"/>
          <w:szCs w:val="15"/>
          <w:color w:val="auto"/>
        </w:rPr>
        <w:t>” means an award of Shares pursuant to Section 5 hereof.</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Restricted Stock Unit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RSU</w:t>
      </w:r>
      <w:r>
        <w:rPr>
          <w:rFonts w:ascii="Times New Roman" w:cs="Times New Roman" w:eastAsia="Times New Roman" w:hAnsi="Times New Roman"/>
          <w:sz w:val="15"/>
          <w:szCs w:val="15"/>
          <w:color w:val="auto"/>
        </w:rPr>
        <w:t>” means an award made pursuant to Section 6 hereof.</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Rule 701</w:t>
      </w:r>
      <w:r>
        <w:rPr>
          <w:rFonts w:ascii="Times New Roman" w:cs="Times New Roman" w:eastAsia="Times New Roman" w:hAnsi="Times New Roman"/>
          <w:sz w:val="15"/>
          <w:szCs w:val="15"/>
          <w:color w:val="auto"/>
        </w:rPr>
        <w:t xml:space="preserve">” means Rule 701 </w:t>
      </w:r>
      <w:r>
        <w:rPr>
          <w:rFonts w:ascii="Times New Roman" w:cs="Times New Roman" w:eastAsia="Times New Roman" w:hAnsi="Times New Roman"/>
          <w:sz w:val="15"/>
          <w:szCs w:val="15"/>
          <w:i w:val="1"/>
          <w:iCs w:val="1"/>
          <w:color w:val="auto"/>
        </w:rPr>
        <w:t>et seq.</w:t>
      </w:r>
      <w:r>
        <w:rPr>
          <w:rFonts w:ascii="Times New Roman" w:cs="Times New Roman" w:eastAsia="Times New Roman" w:hAnsi="Times New Roman"/>
          <w:sz w:val="15"/>
          <w:szCs w:val="15"/>
          <w:color w:val="auto"/>
        </w:rPr>
        <w:t xml:space="preserve"> promulgated by the SEC under the Securities Act.</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w:t>
      </w:r>
      <w:r>
        <w:rPr>
          <w:rFonts w:ascii="Times New Roman" w:cs="Times New Roman" w:eastAsia="Times New Roman" w:hAnsi="Times New Roman"/>
          <w:sz w:val="15"/>
          <w:szCs w:val="15"/>
          <w:color w:val="auto"/>
        </w:rPr>
        <w:t>” means the U.S. Securities and Exchange Commission.</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Section 25102(o)</w:t>
      </w:r>
      <w:r>
        <w:rPr>
          <w:rFonts w:ascii="Times New Roman" w:cs="Times New Roman" w:eastAsia="Times New Roman" w:hAnsi="Times New Roman"/>
          <w:sz w:val="15"/>
          <w:szCs w:val="15"/>
          <w:color w:val="auto"/>
        </w:rPr>
        <w:t>” means Section 25102(o) of the California Corporations Code.</w:t>
      </w:r>
    </w:p>
    <w:p>
      <w:pPr>
        <w:spacing w:after="0" w:line="17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means the U.S. Securities Act of 1933, as amended.</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means shares of the Company’s Common Stock, $0.001 par value per share, reserved for issuance under this Plan, as adjusted pursuant to Sections 2.2 and 11 hereof, and any successor security.</w:t>
      </w:r>
    </w:p>
    <w:p>
      <w:pPr>
        <w:spacing w:after="0" w:line="122"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Stock Appreciation Right</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SAR</w:t>
      </w:r>
      <w:r>
        <w:rPr>
          <w:rFonts w:ascii="Times New Roman" w:cs="Times New Roman" w:eastAsia="Times New Roman" w:hAnsi="Times New Roman"/>
          <w:sz w:val="15"/>
          <w:szCs w:val="15"/>
          <w:color w:val="auto"/>
        </w:rPr>
        <w:t>” means an award granted pursuant to Section 7</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hereof.</w:t>
      </w:r>
    </w:p>
    <w:p>
      <w:pPr>
        <w:spacing w:after="0" w:line="154"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Subsidiary</w:t>
      </w:r>
      <w:r>
        <w:rPr>
          <w:rFonts w:ascii="Times New Roman" w:cs="Times New Roman" w:eastAsia="Times New Roman" w:hAnsi="Times New Roman"/>
          <w:sz w:val="15"/>
          <w:szCs w:val="15"/>
          <w:color w:val="auto"/>
        </w:rPr>
        <w:t>” means any entity (other than the Company) in an unbroken chain of entities beginning with the Company if each of the entities other than the last entity in the unbroken chain owns stock or other equity securities representing fifty percent (50%) or more of the total combined voting power of all classes of stock or other equity securities in one of the other entities in such chain.</w:t>
      </w:r>
    </w:p>
    <w:p>
      <w:pPr>
        <w:spacing w:after="0" w:line="130"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Termination</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i w:val="1"/>
          <w:iCs w:val="1"/>
          <w:color w:val="auto"/>
        </w:rPr>
        <w:t>Terminated</w:t>
      </w:r>
      <w:r>
        <w:rPr>
          <w:rFonts w:ascii="Times New Roman" w:cs="Times New Roman" w:eastAsia="Times New Roman" w:hAnsi="Times New Roman"/>
          <w:sz w:val="15"/>
          <w:szCs w:val="15"/>
          <w:color w:val="auto"/>
        </w:rPr>
        <w:t>” means, for purposes of this Plan with respect to a Participant, that the Participant has for any reason ceased to provide services as an employee, officer, director or consultant to the Company or a Parent or Subsidiary of the Company. A Participant will not be deemed to have ceased to provide services while the Participant is on a bona fide leave of absence, if such leave was approved by the Company in writing. In the case of an approved leave of absence, the Committee may make such provisions respecting crediting of service, including suspension of vesting of the Award (including pursuant to a formal policy adopted from time to time by the Company) it may deem appropriate. The Committee will have sole discretion to determine whether a Participant has ceased to provide services and the effective date on which the Participant ceased to provide services (the “</w:t>
      </w:r>
      <w:r>
        <w:rPr>
          <w:rFonts w:ascii="Times New Roman" w:cs="Times New Roman" w:eastAsia="Times New Roman" w:hAnsi="Times New Roman"/>
          <w:sz w:val="15"/>
          <w:szCs w:val="15"/>
          <w:b w:val="1"/>
          <w:bCs w:val="1"/>
          <w:i w:val="1"/>
          <w:iCs w:val="1"/>
          <w:color w:val="auto"/>
        </w:rPr>
        <w:t>Termination Date</w:t>
      </w:r>
      <w:r>
        <w:rPr>
          <w:rFonts w:ascii="Times New Roman" w:cs="Times New Roman" w:eastAsia="Times New Roman" w:hAnsi="Times New Roman"/>
          <w:sz w:val="15"/>
          <w:szCs w:val="15"/>
          <w:color w:val="auto"/>
        </w:rPr>
        <w:t>”).</w:t>
      </w:r>
    </w:p>
    <w:p>
      <w:pPr>
        <w:spacing w:after="0" w:line="319"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Unvested Shares</w:t>
      </w:r>
      <w:r>
        <w:rPr>
          <w:rFonts w:ascii="Times New Roman" w:cs="Times New Roman" w:eastAsia="Times New Roman" w:hAnsi="Times New Roman"/>
          <w:sz w:val="15"/>
          <w:szCs w:val="15"/>
          <w:color w:val="auto"/>
        </w:rPr>
        <w:t>” means “</w:t>
      </w:r>
      <w:r>
        <w:rPr>
          <w:rFonts w:ascii="Times New Roman" w:cs="Times New Roman" w:eastAsia="Times New Roman" w:hAnsi="Times New Roman"/>
          <w:sz w:val="15"/>
          <w:szCs w:val="15"/>
          <w:b w:val="1"/>
          <w:bCs w:val="1"/>
          <w:i w:val="1"/>
          <w:iCs w:val="1"/>
          <w:color w:val="auto"/>
        </w:rPr>
        <w:t>Unvested Shares</w:t>
      </w:r>
      <w:r>
        <w:rPr>
          <w:rFonts w:ascii="Times New Roman" w:cs="Times New Roman" w:eastAsia="Times New Roman" w:hAnsi="Times New Roman"/>
          <w:sz w:val="15"/>
          <w:szCs w:val="15"/>
          <w:color w:val="auto"/>
        </w:rPr>
        <w:t>” as defined in the Award Agreement for an</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Award.</w:t>
      </w:r>
    </w:p>
    <w:p>
      <w:pPr>
        <w:spacing w:after="0" w:line="15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Vested Shares</w:t>
      </w:r>
      <w:r>
        <w:rPr>
          <w:rFonts w:ascii="Times New Roman" w:cs="Times New Roman" w:eastAsia="Times New Roman" w:hAnsi="Times New Roman"/>
          <w:sz w:val="15"/>
          <w:szCs w:val="15"/>
          <w:color w:val="auto"/>
        </w:rPr>
        <w:t>” means “</w:t>
      </w:r>
      <w:r>
        <w:rPr>
          <w:rFonts w:ascii="Times New Roman" w:cs="Times New Roman" w:eastAsia="Times New Roman" w:hAnsi="Times New Roman"/>
          <w:sz w:val="15"/>
          <w:szCs w:val="15"/>
          <w:b w:val="1"/>
          <w:bCs w:val="1"/>
          <w:i w:val="1"/>
          <w:iCs w:val="1"/>
          <w:color w:val="auto"/>
        </w:rPr>
        <w:t>Vested Shares</w:t>
      </w:r>
      <w:r>
        <w:rPr>
          <w:rFonts w:ascii="Times New Roman" w:cs="Times New Roman" w:eastAsia="Times New Roman" w:hAnsi="Times New Roman"/>
          <w:sz w:val="15"/>
          <w:szCs w:val="15"/>
          <w:color w:val="auto"/>
        </w:rPr>
        <w:t>” as defined in the Award Agreement for an</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Award.</w:t>
      </w: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25" w:name="page426"/>
    <w:bookmarkEnd w:id="425"/>
    <w:p>
      <w:pPr>
        <w:jc w:val="right"/>
        <w:ind w:right="1239"/>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160"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5"/>
          <w:szCs w:val="15"/>
          <w:b w:val="1"/>
          <w:bCs w:val="1"/>
          <w:i w:val="1"/>
          <w:iCs w:val="1"/>
          <w:color w:val="auto"/>
        </w:rPr>
        <w:t>OPTION GRANT NO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u w:val="single" w:color="auto"/>
          <w:color w:val="auto"/>
        </w:rPr>
        <w:t>___</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NOTICE OF STOCK OPTION GRANT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valyn</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harma</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5"/>
          <w:szCs w:val="15"/>
          <w:color w:val="auto"/>
        </w:rPr>
        <w:t>The Optionee named below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color w:val="auto"/>
        </w:rPr>
        <w:t>”) has been granted an option (this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to purchase shares of Common Stock, $0.001 par value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of Avalyn Pharma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pursuant to the Company’s 2022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xml:space="preserve">”) on the terms, and subject to the conditions, described below and in the Stock Option Agreement attached hereto as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including its annexes (the “</w:t>
      </w:r>
      <w:r>
        <w:rPr>
          <w:rFonts w:ascii="Times New Roman" w:cs="Times New Roman" w:eastAsia="Times New Roman" w:hAnsi="Times New Roman"/>
          <w:sz w:val="15"/>
          <w:szCs w:val="15"/>
          <w:b w:val="1"/>
          <w:bCs w:val="1"/>
          <w:i w:val="1"/>
          <w:iCs w:val="1"/>
          <w:color w:val="auto"/>
        </w:rPr>
        <w:t>Stock Option Agreement</w:t>
      </w: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796" w:right="1440" w:bottom="1440" w:gutter="0" w:footer="0" w:header="0"/>
        </w:sectPr>
      </w:pPr>
    </w:p>
    <w:p>
      <w:pPr>
        <w:spacing w:after="0" w:line="1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Optionee:</w:t>
      </w:r>
    </w:p>
    <w:p>
      <w:pPr>
        <w:spacing w:after="0" w:line="5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Maximum</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Number of</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Shares</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Subject to</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this Option</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(the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b w:val="1"/>
          <w:bCs w:val="1"/>
          <w:color w:val="auto"/>
        </w:rPr>
        <w: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Exercise</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Price Per</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Share:</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Date of</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Grant:</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Vesting</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Start Date:</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Exercise</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Schedule:</w:t>
      </w:r>
    </w:p>
    <w:p>
      <w:pPr>
        <w:spacing w:after="0" w:line="3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Expiration</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Date:</w:t>
      </w:r>
    </w:p>
    <w:p>
      <w:pPr>
        <w:spacing w:after="0" w:line="21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Tax Status</w:t>
      </w:r>
    </w:p>
    <w:p>
      <w:pPr>
        <w:spacing w:after="0" w:line="2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of Option:</w:t>
      </w:r>
    </w:p>
    <w:p>
      <w:pPr>
        <w:spacing w:after="0" w:line="5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(Check</w:t>
      </w:r>
    </w:p>
    <w:p>
      <w:pPr>
        <w:spacing w:after="0" w:line="2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i w:val="1"/>
          <w:iCs w:val="1"/>
          <w:u w:val="single" w:color="auto"/>
          <w:color w:val="auto"/>
        </w:rPr>
        <w:t>Only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One</w:t>
      </w:r>
    </w:p>
    <w:p>
      <w:pPr>
        <w:spacing w:after="0" w:line="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Box):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$____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379"/>
        <w:spacing w:after="0" w:line="285" w:lineRule="auto"/>
        <w:rPr>
          <w:sz w:val="20"/>
          <w:szCs w:val="20"/>
          <w:color w:val="auto"/>
        </w:rPr>
      </w:pPr>
      <w:r>
        <w:rPr>
          <w:rFonts w:ascii="Times New Roman" w:cs="Times New Roman" w:eastAsia="Times New Roman" w:hAnsi="Times New Roman"/>
          <w:sz w:val="15"/>
          <w:szCs w:val="15"/>
          <w:color w:val="auto"/>
        </w:rPr>
        <w:t>This Option is immediately exercisable for all of the Shares, subject to the terms of the Stock Option Agreement</w:t>
      </w:r>
    </w:p>
    <w:p>
      <w:pPr>
        <w:ind w:right="1599"/>
        <w:spacing w:after="0" w:line="261" w:lineRule="auto"/>
        <w:rPr>
          <w:sz w:val="20"/>
          <w:szCs w:val="20"/>
          <w:color w:val="auto"/>
        </w:rPr>
      </w:pPr>
      <w:r>
        <w:rPr>
          <w:rFonts w:ascii="Times New Roman" w:cs="Times New Roman" w:eastAsia="Times New Roman" w:hAnsi="Times New Roman"/>
          <w:sz w:val="15"/>
          <w:szCs w:val="15"/>
          <w:color w:val="auto"/>
        </w:rPr>
        <w:t>The date ten (10) years after the Date of Grant set forth above, subject to earlier expiration in the event of Termination as provided in Section 3 of the Stock Option Agreement.</w:t>
      </w:r>
    </w:p>
    <w:p>
      <w:pPr>
        <w:spacing w:after="0" w:line="32" w:lineRule="exact"/>
        <w:rPr>
          <w:sz w:val="20"/>
          <w:szCs w:val="20"/>
          <w:color w:val="auto"/>
        </w:rPr>
      </w:pPr>
    </w:p>
    <w:p>
      <w:pPr>
        <w:ind w:left="220" w:hanging="212"/>
        <w:spacing w:after="0"/>
        <w:tabs>
          <w:tab w:leader="none" w:pos="220" w:val="left"/>
        </w:tabs>
        <w:numPr>
          <w:ilvl w:val="0"/>
          <w:numId w:val="33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Incentive Stock Option (</w:t>
      </w:r>
      <w:r>
        <w:rPr>
          <w:rFonts w:ascii="Times New Roman" w:cs="Times New Roman" w:eastAsia="Times New Roman" w:hAnsi="Times New Roman"/>
          <w:sz w:val="15"/>
          <w:szCs w:val="15"/>
          <w:i w:val="1"/>
          <w:iCs w:val="1"/>
          <w:color w:val="auto"/>
        </w:rPr>
        <w:t>To the fullest extent permitted by the Code</w:t>
      </w:r>
      <w:r>
        <w:rPr>
          <w:rFonts w:ascii="Times New Roman" w:cs="Times New Roman" w:eastAsia="Times New Roman" w:hAnsi="Times New Roman"/>
          <w:sz w:val="15"/>
          <w:szCs w:val="15"/>
          <w:color w:val="auto"/>
        </w:rPr>
        <w:t>)</w:t>
      </w:r>
    </w:p>
    <w:p>
      <w:pPr>
        <w:spacing w:after="0" w:line="83" w:lineRule="exact"/>
        <w:rPr>
          <w:rFonts w:ascii="MS PGothic" w:cs="MS PGothic" w:eastAsia="MS PGothic" w:hAnsi="MS PGothic"/>
          <w:sz w:val="15"/>
          <w:szCs w:val="15"/>
          <w:color w:val="auto"/>
        </w:rPr>
      </w:pPr>
    </w:p>
    <w:p>
      <w:pPr>
        <w:ind w:left="220" w:hanging="212"/>
        <w:spacing w:after="0"/>
        <w:tabs>
          <w:tab w:leader="none" w:pos="220" w:val="left"/>
        </w:tabs>
        <w:numPr>
          <w:ilvl w:val="0"/>
          <w:numId w:val="33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Nonqualified Stock Option.</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If</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u w:val="single" w:color="auto"/>
          <w:color w:val="auto"/>
        </w:rPr>
        <w:t>neither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box is checked, this Option is a Nonqualified Stock Option</w:t>
      </w:r>
      <w:r>
        <w:rPr>
          <w:rFonts w:ascii="Times New Roman" w:cs="Times New Roman" w:eastAsia="Times New Roman" w:hAnsi="Times New Roman"/>
          <w:sz w:val="15"/>
          <w:szCs w:val="15"/>
          <w:color w:val="auto"/>
        </w:rPr>
        <w:t>).</w:t>
      </w:r>
    </w:p>
    <w:p>
      <w:pPr>
        <w:spacing w:after="0" w:line="342" w:lineRule="exact"/>
        <w:rPr>
          <w:sz w:val="20"/>
          <w:szCs w:val="20"/>
          <w:color w:val="auto"/>
        </w:rPr>
      </w:pPr>
    </w:p>
    <w:p>
      <w:pPr>
        <w:sectPr>
          <w:pgSz w:w="11900" w:h="16838" w:orient="portrait"/>
          <w:cols w:equalWidth="0" w:num="2">
            <w:col w:w="2040" w:space="240"/>
            <w:col w:w="6739"/>
          </w:cols>
          <w:pgMar w:left="1440" w:top="796" w:right="1440" w:bottom="1440" w:gutter="0" w:footer="0" w:header="0"/>
          <w:type w:val="continuous"/>
        </w:sectPr>
      </w:pPr>
    </w:p>
    <w:p>
      <w:pPr>
        <w:ind w:left="1300"/>
        <w:spacing w:after="0"/>
        <w:tabs>
          <w:tab w:leader="none" w:pos="2260" w:val="left"/>
        </w:tabs>
        <w:rPr>
          <w:sz w:val="20"/>
          <w:szCs w:val="20"/>
          <w:color w:val="auto"/>
        </w:rPr>
      </w:pPr>
      <w:r>
        <w:rPr>
          <w:rFonts w:ascii="Times New Roman" w:cs="Times New Roman" w:eastAsia="Times New Roman" w:hAnsi="Times New Roman"/>
          <w:sz w:val="15"/>
          <w:szCs w:val="15"/>
          <w:b w:val="1"/>
          <w:bCs w:val="1"/>
          <w:color w:val="auto"/>
        </w:rPr>
        <w:t>Vesting</w:t>
      </w:r>
      <w:r>
        <w:rPr>
          <w:sz w:val="20"/>
          <w:szCs w:val="20"/>
          <w:color w:val="auto"/>
        </w:rPr>
        <w:tab/>
      </w:r>
      <w:r>
        <w:rPr>
          <w:rFonts w:ascii="Times New Roman" w:cs="Times New Roman" w:eastAsia="Times New Roman" w:hAnsi="Times New Roman"/>
          <w:sz w:val="15"/>
          <w:szCs w:val="15"/>
          <w:color w:val="auto"/>
        </w:rPr>
        <w:t>For so long as Optionee continuously provides services to the Company (or any</w:t>
      </w:r>
    </w:p>
    <w:p>
      <w:pPr>
        <w:spacing w:after="0" w:line="26" w:lineRule="exact"/>
        <w:rPr>
          <w:sz w:val="20"/>
          <w:szCs w:val="20"/>
          <w:color w:val="auto"/>
        </w:rPr>
      </w:pPr>
    </w:p>
    <w:p>
      <w:pPr>
        <w:ind w:left="1300" w:right="1499"/>
        <w:spacing w:after="0" w:line="248" w:lineRule="auto"/>
        <w:rPr>
          <w:sz w:val="20"/>
          <w:szCs w:val="20"/>
          <w:color w:val="auto"/>
        </w:rPr>
      </w:pPr>
      <w:r>
        <w:rPr>
          <w:rFonts w:ascii="Times New Roman" w:cs="Times New Roman" w:eastAsia="Times New Roman" w:hAnsi="Times New Roman"/>
          <w:sz w:val="15"/>
          <w:szCs w:val="15"/>
          <w:b w:val="1"/>
          <w:bCs w:val="1"/>
          <w:color w:val="auto"/>
        </w:rPr>
        <w:t xml:space="preserve">Schedule </w:t>
      </w:r>
      <w:r>
        <w:rPr>
          <w:rFonts w:ascii="Times New Roman" w:cs="Times New Roman" w:eastAsia="Times New Roman" w:hAnsi="Times New Roman"/>
          <w:sz w:val="15"/>
          <w:szCs w:val="15"/>
          <w:color w:val="auto"/>
        </w:rPr>
        <w:t>Subsidiary or Parent of the Company) as an employee, officer, director, contractor or</w:t>
      </w:r>
      <w:r>
        <w:rPr>
          <w:rFonts w:ascii="Times New Roman" w:cs="Times New Roman" w:eastAsia="Times New Roman" w:hAnsi="Times New Roman"/>
          <w:sz w:val="15"/>
          <w:szCs w:val="15"/>
          <w:b w:val="1"/>
          <w:bCs w:val="1"/>
          <w:color w:val="auto"/>
        </w:rPr>
        <w:t xml:space="preserve"> [EXAMPLE </w:t>
      </w:r>
      <w:r>
        <w:rPr>
          <w:rFonts w:ascii="Times New Roman" w:cs="Times New Roman" w:eastAsia="Times New Roman" w:hAnsi="Times New Roman"/>
          <w:sz w:val="15"/>
          <w:szCs w:val="15"/>
          <w:color w:val="auto"/>
        </w:rPr>
        <w:t>consultant, the Shares subject to this Option will vest as follows: (a) prior to the first</w:t>
      </w:r>
    </w:p>
    <w:p>
      <w:pPr>
        <w:ind w:left="1300"/>
        <w:spacing w:after="0" w:line="210" w:lineRule="auto"/>
        <w:tabs>
          <w:tab w:leader="none" w:pos="2260" w:val="left"/>
        </w:tabs>
        <w:rPr>
          <w:sz w:val="20"/>
          <w:szCs w:val="20"/>
          <w:color w:val="auto"/>
        </w:rPr>
      </w:pPr>
      <w:r>
        <w:rPr>
          <w:rFonts w:ascii="Times New Roman" w:cs="Times New Roman" w:eastAsia="Times New Roman" w:hAnsi="Times New Roman"/>
          <w:sz w:val="15"/>
          <w:szCs w:val="15"/>
          <w:b w:val="1"/>
          <w:bCs w:val="1"/>
          <w:color w:val="auto"/>
        </w:rPr>
        <w:t>ONLY]:</w:t>
      </w:r>
      <w:r>
        <w:rPr>
          <w:sz w:val="20"/>
          <w:szCs w:val="20"/>
          <w:color w:val="auto"/>
        </w:rPr>
        <w:tab/>
      </w:r>
      <w:r>
        <w:rPr>
          <w:rFonts w:ascii="Times New Roman" w:cs="Times New Roman" w:eastAsia="Times New Roman" w:hAnsi="Times New Roman"/>
          <w:sz w:val="15"/>
          <w:szCs w:val="15"/>
          <w:color w:val="auto"/>
        </w:rPr>
        <w:t>one (1) year anniversary of the Vesting Start Date, none of the Shares will be vested;</w:t>
      </w:r>
    </w:p>
    <w:p>
      <w:pPr>
        <w:ind w:left="2280" w:right="1399" w:firstLine="8"/>
        <w:spacing w:after="0"/>
        <w:tabs>
          <w:tab w:leader="none" w:pos="2498" w:val="left"/>
        </w:tabs>
        <w:numPr>
          <w:ilvl w:val="0"/>
          <w:numId w:val="3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1/4</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of the Shares will be vested on the one (1) year anniversary of the Vesting Start Date; and (c) thereafter, this Option will become vested and exercisable with respect to an additional [</w:t>
      </w:r>
      <w:r>
        <w:rPr>
          <w:rFonts w:ascii="Times New Roman" w:cs="Times New Roman" w:eastAsia="Times New Roman" w:hAnsi="Times New Roman"/>
          <w:sz w:val="15"/>
          <w:szCs w:val="15"/>
          <w:b w:val="1"/>
          <w:bCs w:val="1"/>
          <w:color w:val="auto"/>
        </w:rPr>
        <w:t>1/48</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5"/>
          <w:szCs w:val="15"/>
          <w:color w:val="auto"/>
        </w:rPr>
        <w:t>] of the Shares when Optionee completes each month of continuous service following the first one (1) year anniversary of the Vesting Start Date.</w:t>
      </w:r>
    </w:p>
    <w:p>
      <w:pPr>
        <w:spacing w:after="0" w:line="200" w:lineRule="exact"/>
        <w:rPr>
          <w:sz w:val="20"/>
          <w:szCs w:val="20"/>
          <w:color w:val="auto"/>
        </w:rPr>
      </w:pPr>
    </w:p>
    <w:p>
      <w:pPr>
        <w:spacing w:after="0" w:line="3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type w:val="continuous"/>
        </w:sectPr>
      </w:pPr>
    </w:p>
    <w:bookmarkStart w:id="426" w:name="page427"/>
    <w:bookmarkEnd w:id="426"/>
    <w:p>
      <w:pPr>
        <w:ind w:left="6020"/>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160" w:lineRule="exact"/>
        <w:rPr>
          <w:sz w:val="20"/>
          <w:szCs w:val="20"/>
          <w:color w:val="auto"/>
        </w:rPr>
      </w:pPr>
    </w:p>
    <w:p>
      <w:pPr>
        <w:jc w:val="both"/>
        <w:ind w:left="1220" w:right="123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General; Agreement: </w:t>
      </w:r>
      <w:r>
        <w:rPr>
          <w:rFonts w:ascii="Times New Roman" w:cs="Times New Roman" w:eastAsia="Times New Roman" w:hAnsi="Times New Roman"/>
          <w:sz w:val="15"/>
          <w:szCs w:val="15"/>
          <w:color w:val="auto"/>
        </w:rPr>
        <w:t>By signatures below, Optionee and the Company agree that this Option is granted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under and governed by this Notice of Stock Option Grant (this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234"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Execution and Delivery: </w:t>
      </w:r>
      <w:r>
        <w:rPr>
          <w:rFonts w:ascii="Times New Roman" w:cs="Times New Roman" w:eastAsia="Times New Roman" w:hAnsi="Times New Roman"/>
          <w:sz w:val="15"/>
          <w:szCs w:val="15"/>
          <w:color w:val="auto"/>
        </w:rPr>
        <w:t>This Grant Notice may be executed and delivered electronically whether via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Company’s intranet or the Internet site of a 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5"/>
          <w:szCs w:val="15"/>
          <w:b w:val="1"/>
          <w:bCs w:val="1"/>
          <w:i w:val="1"/>
          <w:iCs w:val="1"/>
          <w:color w:val="auto"/>
        </w:rPr>
        <w:t>701 Disclosures</w:t>
      </w:r>
      <w:r>
        <w:rPr>
          <w:rFonts w:ascii="Times New Roman" w:cs="Times New Roman" w:eastAsia="Times New Roman" w:hAnsi="Times New Roman"/>
          <w:sz w:val="15"/>
          <w:szCs w:val="15"/>
          <w:color w:val="auto"/>
        </w:rPr>
        <w:t>”), account statements, or other communications or information) whether via the Company’s intranet or the Internet site of such third party or via email or such other means of electronic delivery specified by the Company.</w:t>
      </w:r>
    </w:p>
    <w:p>
      <w:pPr>
        <w:spacing w:after="0" w:line="5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200" w:lineRule="exact"/>
        <w:rPr>
          <w:sz w:val="20"/>
          <w:szCs w:val="20"/>
          <w:color w:val="auto"/>
        </w:rPr>
      </w:pPr>
    </w:p>
    <w:p>
      <w:pPr>
        <w:spacing w:after="0" w:line="315" w:lineRule="exact"/>
        <w:rPr>
          <w:sz w:val="20"/>
          <w:szCs w:val="20"/>
          <w:color w:val="auto"/>
        </w:rPr>
      </w:pPr>
    </w:p>
    <w:tbl>
      <w:tblPr>
        <w:tblLayout w:type="fixed"/>
        <w:tblInd w:w="200" w:type="dxa"/>
        <w:tblCellMar>
          <w:top w:w="0" w:type="dxa"/>
          <w:left w:w="0" w:type="dxa"/>
          <w:bottom w:w="0" w:type="dxa"/>
          <w:right w:w="0" w:type="dxa"/>
        </w:tblCellMar>
      </w:tblPr>
      <w:tr>
        <w:trPr>
          <w:trHeight w:val="185"/>
        </w:trPr>
        <w:tc>
          <w:tcPr>
            <w:tcW w:w="19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By /Signature:</w:t>
            </w:r>
          </w:p>
        </w:tc>
        <w:tc>
          <w:tcPr>
            <w:tcW w:w="1920" w:type="dxa"/>
            <w:vAlign w:val="bottom"/>
            <w:tcBorders>
              <w:bottom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Optionee Signature:</w:t>
            </w:r>
          </w:p>
        </w:tc>
        <w:tc>
          <w:tcPr>
            <w:tcW w:w="1760" w:type="dxa"/>
            <w:vAlign w:val="bottom"/>
            <w:tcBorders>
              <w:bottom w:val="single" w:sz="8" w:color="auto"/>
            </w:tcBorders>
          </w:tcPr>
          <w:p>
            <w:pPr>
              <w:spacing w:after="0"/>
              <w:rPr>
                <w:sz w:val="16"/>
                <w:szCs w:val="16"/>
                <w:color w:val="auto"/>
              </w:rPr>
            </w:pPr>
          </w:p>
        </w:tc>
        <w:tc>
          <w:tcPr>
            <w:tcW w:w="1100" w:type="dxa"/>
            <w:vAlign w:val="bottom"/>
          </w:tcPr>
          <w:p>
            <w:pPr>
              <w:spacing w:after="0"/>
              <w:rPr>
                <w:sz w:val="16"/>
                <w:szCs w:val="16"/>
                <w:color w:val="auto"/>
              </w:rPr>
            </w:pPr>
          </w:p>
        </w:tc>
      </w:tr>
      <w:tr>
        <w:trPr>
          <w:trHeight w:val="274"/>
        </w:trPr>
        <w:tc>
          <w:tcPr>
            <w:tcW w:w="19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Typed Name:</w:t>
            </w:r>
          </w:p>
        </w:tc>
        <w:tc>
          <w:tcPr>
            <w:tcW w:w="192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428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Optionee’s Name:</w:t>
            </w:r>
          </w:p>
        </w:tc>
      </w:tr>
      <w:tr>
        <w:trPr>
          <w:trHeight w:val="274"/>
        </w:trPr>
        <w:tc>
          <w:tcPr>
            <w:tcW w:w="1960" w:type="dxa"/>
            <w:vAlign w:val="bottom"/>
          </w:tcPr>
          <w:p>
            <w:pPr>
              <w:ind w:left="1020"/>
              <w:spacing w:after="0"/>
              <w:rPr>
                <w:sz w:val="20"/>
                <w:szCs w:val="20"/>
                <w:color w:val="auto"/>
              </w:rPr>
            </w:pPr>
            <w:r>
              <w:rPr>
                <w:rFonts w:ascii="Times New Roman" w:cs="Times New Roman" w:eastAsia="Times New Roman" w:hAnsi="Times New Roman"/>
                <w:sz w:val="15"/>
                <w:szCs w:val="15"/>
                <w:color w:val="auto"/>
              </w:rPr>
              <w:t>Title:</w:t>
            </w:r>
          </w:p>
        </w:tc>
        <w:tc>
          <w:tcPr>
            <w:tcW w:w="1920" w:type="dxa"/>
            <w:vAlign w:val="bottom"/>
            <w:tcBorders>
              <w:bottom w:val="single" w:sz="8" w:color="auto"/>
            </w:tcBorders>
          </w:tcPr>
          <w:p>
            <w:pPr>
              <w:spacing w:after="0"/>
              <w:rPr>
                <w:sz w:val="23"/>
                <w:szCs w:val="23"/>
                <w:color w:val="auto"/>
              </w:rPr>
            </w:pPr>
          </w:p>
        </w:tc>
        <w:tc>
          <w:tcPr>
            <w:tcW w:w="4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100" w:type="dxa"/>
            <w:vAlign w:val="bottom"/>
          </w:tcPr>
          <w:p>
            <w:pPr>
              <w:spacing w:after="0"/>
              <w:rPr>
                <w:sz w:val="23"/>
                <w:szCs w:val="23"/>
                <w:color w:val="auto"/>
              </w:rPr>
            </w:pPr>
          </w:p>
        </w:tc>
      </w:tr>
      <w:tr>
        <w:trPr>
          <w:trHeight w:val="310"/>
        </w:trPr>
        <w:tc>
          <w:tcPr>
            <w:tcW w:w="43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ttachment</w:t>
            </w:r>
            <w:r>
              <w:rPr>
                <w:rFonts w:ascii="Times New Roman" w:cs="Times New Roman" w:eastAsia="Times New Roman" w:hAnsi="Times New Roman"/>
                <w:sz w:val="15"/>
                <w:szCs w:val="15"/>
                <w:color w:val="auto"/>
              </w:rPr>
              <w:t>:  Exhibit A – Stock Option Agreement</w:t>
            </w:r>
          </w:p>
        </w:tc>
        <w:tc>
          <w:tcPr>
            <w:tcW w:w="14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3"/>
        </w:trPr>
        <w:tc>
          <w:tcPr>
            <w:tcW w:w="19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jc w:val="right"/>
              <w:ind w:right="1123"/>
              <w:spacing w:after="0"/>
              <w:rPr>
                <w:sz w:val="20"/>
                <w:szCs w:val="20"/>
                <w:color w:val="auto"/>
              </w:rPr>
            </w:pPr>
            <w:r>
              <w:rPr>
                <w:rFonts w:ascii="Times New Roman" w:cs="Times New Roman" w:eastAsia="Times New Roman" w:hAnsi="Times New Roman"/>
                <w:sz w:val="15"/>
                <w:szCs w:val="15"/>
                <w:color w:val="auto"/>
              </w:rPr>
              <w:t>19</w:t>
            </w:r>
          </w:p>
        </w:tc>
        <w:tc>
          <w:tcPr>
            <w:tcW w:w="17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586"/>
        </w:trPr>
        <w:tc>
          <w:tcPr>
            <w:tcW w:w="1960" w:type="dxa"/>
            <w:vAlign w:val="bottom"/>
            <w:tcBorders>
              <w:bottom w:val="single" w:sz="8" w:color="9A9A9A"/>
            </w:tcBorders>
          </w:tcPr>
          <w:p>
            <w:pPr>
              <w:spacing w:after="0"/>
              <w:rPr>
                <w:sz w:val="24"/>
                <w:szCs w:val="24"/>
                <w:color w:val="auto"/>
              </w:rPr>
            </w:pPr>
          </w:p>
        </w:tc>
        <w:tc>
          <w:tcPr>
            <w:tcW w:w="19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427" w:name="page428"/>
    <w:bookmarkEnd w:id="42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Stock Option Agreement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28" w:name="page429"/>
    <w:bookmarkEnd w:id="428"/>
    <w:p>
      <w:pPr>
        <w:jc w:val="right"/>
        <w:ind w:right="1239"/>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STOCK OPTION AGREEMENT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valyn</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harma</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 xml:space="preserve">2022 </w:t>
      </w: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5"/>
          <w:szCs w:val="15"/>
          <w:color w:val="auto"/>
        </w:rPr>
        <w:t>This Stock Option Agreement (this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is made and entered into as of the date of grant (the “</w:t>
      </w:r>
      <w:r>
        <w:rPr>
          <w:rFonts w:ascii="Times New Roman" w:cs="Times New Roman" w:eastAsia="Times New Roman" w:hAnsi="Times New Roman"/>
          <w:sz w:val="15"/>
          <w:szCs w:val="15"/>
          <w:b w:val="1"/>
          <w:bCs w:val="1"/>
          <w:i w:val="1"/>
          <w:iCs w:val="1"/>
          <w:color w:val="auto"/>
        </w:rPr>
        <w:t>Date of Grant</w:t>
      </w:r>
      <w:r>
        <w:rPr>
          <w:rFonts w:ascii="Times New Roman" w:cs="Times New Roman" w:eastAsia="Times New Roman" w:hAnsi="Times New Roman"/>
          <w:sz w:val="15"/>
          <w:szCs w:val="15"/>
          <w:color w:val="auto"/>
        </w:rPr>
        <w:t>”) set forth on the Notice of Stock Option Grant attached as the facing page to this Agreement (the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by and between Avalyn Pharma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the optionee named on the Grant Notice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color w:val="auto"/>
        </w:rPr>
        <w:t>”). Capitalized terms not defined in this Agreement shall have the meaning ascribed to them in the Company’s 2022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or in the Grant Notice, as applicable.</w:t>
      </w:r>
    </w:p>
    <w:p>
      <w:pPr>
        <w:spacing w:after="0" w:line="132" w:lineRule="exact"/>
        <w:rPr>
          <w:sz w:val="20"/>
          <w:szCs w:val="20"/>
          <w:color w:val="auto"/>
        </w:rPr>
      </w:pPr>
    </w:p>
    <w:p>
      <w:pPr>
        <w:jc w:val="both"/>
        <w:ind w:left="1220" w:right="1239" w:firstLine="509"/>
        <w:spacing w:after="0" w:line="255" w:lineRule="auto"/>
        <w:tabs>
          <w:tab w:leader="none" w:pos="1981" w:val="left"/>
        </w:tabs>
        <w:numPr>
          <w:ilvl w:val="0"/>
          <w:numId w:val="3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GRANT OF OPTION. </w:t>
      </w:r>
      <w:r>
        <w:rPr>
          <w:rFonts w:ascii="Times New Roman" w:cs="Times New Roman" w:eastAsia="Times New Roman" w:hAnsi="Times New Roman"/>
          <w:sz w:val="15"/>
          <w:szCs w:val="15"/>
          <w:color w:val="auto"/>
        </w:rPr>
        <w:t>The Company hereby grants to Optionee an option (this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purchase up to the total number of shares of Common Stock of the Company, $0.001 par value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set forth in the Grant Notice as the Shares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at the Exercise Price Per Share set forth in the Grant Notice (the “</w:t>
      </w:r>
      <w:r>
        <w:rPr>
          <w:rFonts w:ascii="Times New Roman" w:cs="Times New Roman" w:eastAsia="Times New Roman" w:hAnsi="Times New Roman"/>
          <w:sz w:val="15"/>
          <w:szCs w:val="15"/>
          <w:b w:val="1"/>
          <w:bCs w:val="1"/>
          <w:i w:val="1"/>
          <w:iCs w:val="1"/>
          <w:color w:val="auto"/>
        </w:rPr>
        <w:t>Exercise Price</w:t>
      </w:r>
      <w:r>
        <w:rPr>
          <w:rFonts w:ascii="Times New Roman" w:cs="Times New Roman" w:eastAsia="Times New Roman" w:hAnsi="Times New Roman"/>
          <w:sz w:val="15"/>
          <w:szCs w:val="15"/>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15"/>
          <w:szCs w:val="15"/>
          <w:b w:val="1"/>
          <w:bCs w:val="1"/>
          <w:i w:val="1"/>
          <w:iCs w:val="1"/>
          <w:color w:val="auto"/>
        </w:rPr>
        <w:t>ISO</w:t>
      </w:r>
      <w:r>
        <w:rPr>
          <w:rFonts w:ascii="Times New Roman" w:cs="Times New Roman" w:eastAsia="Times New Roman" w:hAnsi="Times New Roman"/>
          <w:sz w:val="15"/>
          <w:szCs w:val="15"/>
          <w:color w:val="auto"/>
        </w:rPr>
        <w:t>”) within the meaning of Section 422 of the Internal Revenue Code of 1986, as amended (the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w:t>
      </w:r>
    </w:p>
    <w:p>
      <w:pPr>
        <w:spacing w:after="0" w:line="136" w:lineRule="exact"/>
        <w:rPr>
          <w:rFonts w:ascii="Times New Roman" w:cs="Times New Roman" w:eastAsia="Times New Roman" w:hAnsi="Times New Roman"/>
          <w:sz w:val="15"/>
          <w:szCs w:val="15"/>
          <w:b w:val="1"/>
          <w:bCs w:val="1"/>
          <w:color w:val="auto"/>
        </w:rPr>
      </w:pPr>
    </w:p>
    <w:p>
      <w:pPr>
        <w:ind w:left="2000" w:hanging="271"/>
        <w:spacing w:after="0"/>
        <w:tabs>
          <w:tab w:leader="none" w:pos="2000" w:val="left"/>
        </w:tabs>
        <w:numPr>
          <w:ilvl w:val="0"/>
          <w:numId w:val="33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EXERCISE PERIOD.</w:t>
      </w:r>
    </w:p>
    <w:p>
      <w:pPr>
        <w:spacing w:after="0" w:line="174"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u w:val="single" w:color="auto"/>
          <w:color w:val="auto"/>
        </w:rPr>
        <w:t>2.1 Exercise Period of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Option is considered to be “vested” with respect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any particular Shares when this Option is 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32"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u w:val="single" w:color="auto"/>
          <w:color w:val="auto"/>
        </w:rPr>
        <w:t>2.2 Vesting of Option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with respect to which this Option is vested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exercisable at a given time pursuant to the Vesting Schedule set forth in the Grant Notice are “</w:t>
      </w:r>
      <w:r>
        <w:rPr>
          <w:rFonts w:ascii="Times New Roman" w:cs="Times New Roman" w:eastAsia="Times New Roman" w:hAnsi="Times New Roman"/>
          <w:sz w:val="15"/>
          <w:szCs w:val="15"/>
          <w:b w:val="1"/>
          <w:bCs w:val="1"/>
          <w:i w:val="1"/>
          <w:iCs w:val="1"/>
          <w:color w:val="auto"/>
        </w:rPr>
        <w:t>Vested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Shares with respect to which this Option is not vested and exercisable at a given time pursuant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to the Vesting Schedule set forth in the Grant Notice are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Unvested Shares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t>
      </w:r>
    </w:p>
    <w:p>
      <w:pPr>
        <w:spacing w:after="0" w:line="130"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b w:val="1"/>
          <w:bCs w:val="1"/>
          <w:u w:val="single" w:color="auto"/>
          <w:color w:val="auto"/>
        </w:rPr>
        <w:t>2.3 Expiration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Option shall expire on the Expiration Date set forth in the Grant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Notice or earlier as provided in Section 3 below.</w:t>
      </w:r>
    </w:p>
    <w:p>
      <w:pPr>
        <w:spacing w:after="0" w:line="107" w:lineRule="exact"/>
        <w:rPr>
          <w:sz w:val="20"/>
          <w:szCs w:val="20"/>
          <w:color w:val="auto"/>
        </w:rPr>
      </w:pPr>
    </w:p>
    <w:p>
      <w:pPr>
        <w:ind w:left="2000" w:hanging="271"/>
        <w:spacing w:after="0"/>
        <w:tabs>
          <w:tab w:leader="none" w:pos="2000" w:val="left"/>
        </w:tabs>
        <w:numPr>
          <w:ilvl w:val="0"/>
          <w:numId w:val="33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TERMINATION.</w:t>
      </w:r>
    </w:p>
    <w:p>
      <w:pPr>
        <w:spacing w:after="0" w:line="174"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u w:val="single" w:color="auto"/>
          <w:color w:val="auto"/>
        </w:rPr>
        <w:t>3.1 Termination for Any Reason Except Death, Disability or 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provided in subsection 3.2 in a case in which Optionee 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no later than three (3) months after Optionee’s Termination Date (but in no event may this Option be exercised after the Expiration Date).</w:t>
      </w: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29" w:name="page430"/>
    <w:bookmarkEnd w:id="429"/>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u w:val="single" w:color="auto"/>
          <w:color w:val="auto"/>
        </w:rPr>
        <w:t>3.2 Termination Because of Death or Disability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Terminated because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Optionee’s death or Disability (or if Optionee 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37" w:lineRule="exact"/>
        <w:rPr>
          <w:sz w:val="20"/>
          <w:szCs w:val="20"/>
          <w:color w:val="auto"/>
        </w:rPr>
      </w:pPr>
    </w:p>
    <w:p>
      <w:pPr>
        <w:jc w:val="both"/>
        <w:ind w:left="1220" w:right="1239" w:firstLine="1009"/>
        <w:spacing w:after="0" w:line="256" w:lineRule="auto"/>
        <w:rPr>
          <w:sz w:val="20"/>
          <w:szCs w:val="20"/>
          <w:color w:val="auto"/>
        </w:rPr>
      </w:pPr>
      <w:r>
        <w:rPr>
          <w:rFonts w:ascii="Times New Roman" w:cs="Times New Roman" w:eastAsia="Times New Roman" w:hAnsi="Times New Roman"/>
          <w:sz w:val="15"/>
          <w:szCs w:val="15"/>
          <w:b w:val="1"/>
          <w:bCs w:val="1"/>
          <w:u w:val="single" w:color="auto"/>
          <w:color w:val="auto"/>
        </w:rPr>
        <w:t>3.3 Termination for 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Terminated for Cause, then Optionee may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 this Option, but only with respect to any 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315" w:lineRule="exact"/>
        <w:rPr>
          <w:sz w:val="20"/>
          <w:szCs w:val="20"/>
          <w:color w:val="auto"/>
        </w:rPr>
      </w:pPr>
    </w:p>
    <w:p>
      <w:pPr>
        <w:jc w:val="both"/>
        <w:ind w:left="1220" w:right="1239" w:firstLine="1009"/>
        <w:spacing w:after="0" w:line="260" w:lineRule="auto"/>
        <w:rPr>
          <w:sz w:val="20"/>
          <w:szCs w:val="20"/>
          <w:color w:val="auto"/>
        </w:rPr>
      </w:pPr>
      <w:r>
        <w:rPr>
          <w:rFonts w:ascii="Times New Roman" w:cs="Times New Roman" w:eastAsia="Times New Roman" w:hAnsi="Times New Roman"/>
          <w:sz w:val="15"/>
          <w:szCs w:val="15"/>
          <w:b w:val="1"/>
          <w:bCs w:val="1"/>
          <w:u w:val="single" w:color="auto"/>
          <w:color w:val="auto"/>
        </w:rPr>
        <w:t>3.4 No Obligation to Employ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Nothing in the Plan or this Agreement shall confer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any right to continue in the employ of, or 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314" w:lineRule="exact"/>
        <w:rPr>
          <w:sz w:val="20"/>
          <w:szCs w:val="20"/>
          <w:color w:val="auto"/>
        </w:rPr>
      </w:pPr>
    </w:p>
    <w:p>
      <w:pPr>
        <w:ind w:left="2000" w:hanging="271"/>
        <w:spacing w:after="0"/>
        <w:tabs>
          <w:tab w:leader="none" w:pos="2000" w:val="left"/>
        </w:tabs>
        <w:numPr>
          <w:ilvl w:val="0"/>
          <w:numId w:val="33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MANNER OF EXERCISE.</w:t>
      </w:r>
    </w:p>
    <w:p>
      <w:pPr>
        <w:spacing w:after="0" w:line="174"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u w:val="single" w:color="auto"/>
          <w:color w:val="auto"/>
        </w:rPr>
        <w:t>4.1 Stock Option Exercise Notice and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exercise this Option, Optionee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(or in the case of exercise after Optionee’s death or incapacity, Optionee’s executor, administrator, heir or legatee, as the case may be) must deliver to the Company an executed Stock Option Exercise Notice and Agreement in the form attached hereto as </w:t>
      </w:r>
      <w:r>
        <w:rPr>
          <w:rFonts w:ascii="Times New Roman" w:cs="Times New Roman" w:eastAsia="Times New Roman" w:hAnsi="Times New Roman"/>
          <w:sz w:val="15"/>
          <w:szCs w:val="15"/>
          <w:b w:val="1"/>
          <w:bCs w:val="1"/>
          <w:u w:val="single" w:color="auto"/>
          <w:color w:val="auto"/>
        </w:rPr>
        <w:t>Annex A</w:t>
      </w:r>
      <w:r>
        <w:rPr>
          <w:rFonts w:ascii="Times New Roman" w:cs="Times New Roman" w:eastAsia="Times New Roman" w:hAnsi="Times New Roman"/>
          <w:sz w:val="15"/>
          <w:szCs w:val="15"/>
          <w:color w:val="auto"/>
        </w:rPr>
        <w:t>, or in such other form as may be approved by the Committee from time to time (the “</w:t>
      </w:r>
      <w:r>
        <w:rPr>
          <w:rFonts w:ascii="Times New Roman" w:cs="Times New Roman" w:eastAsia="Times New Roman" w:hAnsi="Times New Roman"/>
          <w:sz w:val="15"/>
          <w:szCs w:val="15"/>
          <w:b w:val="1"/>
          <w:bCs w:val="1"/>
          <w:i w:val="1"/>
          <w:iCs w:val="1"/>
          <w:color w:val="auto"/>
        </w:rPr>
        <w:t>Exercise Agreement</w:t>
      </w:r>
      <w:r>
        <w:rPr>
          <w:rFonts w:ascii="Times New Roman" w:cs="Times New Roman" w:eastAsia="Times New Roman" w:hAnsi="Times New Roman"/>
          <w:sz w:val="15"/>
          <w:szCs w:val="15"/>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37" w:lineRule="exact"/>
        <w:rPr>
          <w:sz w:val="20"/>
          <w:szCs w:val="20"/>
          <w:color w:val="auto"/>
        </w:rPr>
      </w:pPr>
    </w:p>
    <w:p>
      <w:pPr>
        <w:jc w:val="both"/>
        <w:ind w:left="1220" w:right="1239" w:firstLine="1009"/>
        <w:spacing w:after="0" w:line="280" w:lineRule="auto"/>
        <w:rPr>
          <w:sz w:val="20"/>
          <w:szCs w:val="20"/>
          <w:color w:val="auto"/>
        </w:rPr>
      </w:pPr>
      <w:r>
        <w:rPr>
          <w:rFonts w:ascii="Times New Roman" w:cs="Times New Roman" w:eastAsia="Times New Roman" w:hAnsi="Times New Roman"/>
          <w:sz w:val="15"/>
          <w:szCs w:val="15"/>
          <w:b w:val="1"/>
          <w:bCs w:val="1"/>
          <w:u w:val="single" w:color="auto"/>
          <w:color w:val="auto"/>
        </w:rPr>
        <w:t>4.2 Limitations on Exercise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Option may not be exercised unless such exercise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compliance with all applicable federal and state securities laws, as they are in effect on the date of exercise.</w:t>
      </w:r>
    </w:p>
    <w:p>
      <w:pPr>
        <w:spacing w:after="0" w:line="302"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u w:val="single" w:color="auto"/>
          <w:color w:val="auto"/>
        </w:rPr>
        <w:t>4.3 Payment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Exercise Agreement shall be accompanied by full payment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 Price for the shares being purchased in cash (by check, Automated Clearing House (“</w:t>
      </w:r>
      <w:r>
        <w:rPr>
          <w:rFonts w:ascii="Times New Roman" w:cs="Times New Roman" w:eastAsia="Times New Roman" w:hAnsi="Times New Roman"/>
          <w:sz w:val="15"/>
          <w:szCs w:val="15"/>
          <w:b w:val="1"/>
          <w:bCs w:val="1"/>
          <w:i w:val="1"/>
          <w:iCs w:val="1"/>
          <w:color w:val="auto"/>
        </w:rPr>
        <w:t>ACH</w:t>
      </w:r>
      <w:r>
        <w:rPr>
          <w:rFonts w:ascii="Times New Roman" w:cs="Times New Roman" w:eastAsia="Times New Roman" w:hAnsi="Times New Roman"/>
          <w:sz w:val="15"/>
          <w:szCs w:val="15"/>
          <w:color w:val="auto"/>
        </w:rPr>
        <w:t>”) or wire transfer), or where permitted by law:</w:t>
      </w:r>
    </w:p>
    <w:p>
      <w:pPr>
        <w:spacing w:after="0" w:line="126" w:lineRule="exact"/>
        <w:rPr>
          <w:sz w:val="20"/>
          <w:szCs w:val="20"/>
          <w:color w:val="auto"/>
        </w:rPr>
      </w:pPr>
    </w:p>
    <w:p>
      <w:pPr>
        <w:ind w:left="4640" w:right="1839" w:hanging="1902"/>
        <w:spacing w:after="0" w:line="739" w:lineRule="auto"/>
        <w:tabs>
          <w:tab w:leader="none" w:pos="3033" w:val="left"/>
        </w:tabs>
        <w:numPr>
          <w:ilvl w:val="0"/>
          <w:numId w:val="3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cancellation of indebtedness of the Company owed to Optionee;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130810</wp:posOffset>
            </wp:positionV>
            <wp:extent cx="54857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30" w:name="page431"/>
    <w:bookmarkEnd w:id="430"/>
    <w:p>
      <w:pPr>
        <w:jc w:val="both"/>
        <w:ind w:left="1220" w:right="1239" w:firstLine="1518"/>
        <w:spacing w:after="0" w:line="257" w:lineRule="auto"/>
        <w:tabs>
          <w:tab w:leader="none" w:pos="3046"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138"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057"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participating in a formal cashless exercise program implemented by the Committee in connection with the Plan;</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069"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36"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124" w:val="left"/>
        </w:tabs>
        <w:numPr>
          <w:ilvl w:val="0"/>
          <w:numId w:val="3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any combination of the foregoing or any other method of payment approved by the Committee that constitutes legal consideration for the issuance of Shares.</w:t>
      </w:r>
    </w:p>
    <w:p>
      <w:pPr>
        <w:spacing w:after="0" w:line="116"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5"/>
          <w:szCs w:val="15"/>
          <w:color w:val="auto"/>
        </w:rPr>
        <w:t>For avoidance of uncertainty: ACH transfers that have been received by the Company into its bank account designated for receipt of such transfers shall be deemed to have been received for all purposes of this Option as of the date on which such transfers were initiated from the Optionee’s account and made irrevocable by Optionee.</w:t>
      </w:r>
    </w:p>
    <w:p>
      <w:pPr>
        <w:spacing w:after="0" w:line="129"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u w:val="single" w:color="auto"/>
          <w:color w:val="auto"/>
        </w:rPr>
        <w:t>4.4 Tax Withholding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Prior to the issuance of the Shares upon exercise of the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must pay or provide for foreign, federal, state and local income tax, social insurance, payroll tax, fringe benefits tax, payment on account withholding and other tax-related items related to Optionee’s participation in the Plan and legally applicable to Optionee, including, as applicable, obligations of the Company (all the foregoing tax-related items, “</w:t>
      </w:r>
      <w:r>
        <w:rPr>
          <w:rFonts w:ascii="Times New Roman" w:cs="Times New Roman" w:eastAsia="Times New Roman" w:hAnsi="Times New Roman"/>
          <w:sz w:val="15"/>
          <w:szCs w:val="15"/>
          <w:b w:val="1"/>
          <w:bCs w:val="1"/>
          <w:i w:val="1"/>
          <w:iCs w:val="1"/>
          <w:color w:val="auto"/>
        </w:rPr>
        <w:t>Tax-Related Items</w:t>
      </w:r>
      <w:r>
        <w:rPr>
          <w:rFonts w:ascii="Times New Roman" w:cs="Times New Roman" w:eastAsia="Times New Roman" w:hAnsi="Times New Roman"/>
          <w:sz w:val="15"/>
          <w:szCs w:val="15"/>
          <w:color w:val="auto"/>
        </w:rPr>
        <w:t>”). If the Committee permits, Optionee may provide for payment of withholding taxes upon exercise of the Option by requesting that the Company retain the number of Shares with a Fair Market Value equal to the amount of 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 The Company may withhold or account for Tax-Related Items by considering applicable minimum statutory withholding rates or other applicable statutory rates in Optionee’s country, including maximum applicable rates.</w:t>
      </w:r>
    </w:p>
    <w:p>
      <w:pPr>
        <w:spacing w:after="0" w:line="145"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u w:val="single" w:color="auto"/>
          <w:color w:val="auto"/>
        </w:rPr>
        <w:t>4.5 Issuance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Provided that the Exercise Agreement and payment are in form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substance satisfactory to counsel for the 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31" w:lineRule="exact"/>
        <w:rPr>
          <w:sz w:val="20"/>
          <w:szCs w:val="20"/>
          <w:color w:val="auto"/>
        </w:rPr>
      </w:pPr>
    </w:p>
    <w:p>
      <w:pPr>
        <w:ind w:left="1220" w:right="1239" w:firstLine="509"/>
        <w:spacing w:after="0" w:line="253" w:lineRule="auto"/>
        <w:tabs>
          <w:tab w:leader="none" w:pos="2010" w:val="left"/>
        </w:tabs>
        <w:numPr>
          <w:ilvl w:val="0"/>
          <w:numId w:val="34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COMPLIANCE WITH LAWS AND REGULATIONS. </w:t>
      </w:r>
      <w:r>
        <w:rPr>
          <w:rFonts w:ascii="Times New Roman" w:cs="Times New Roman" w:eastAsia="Times New Roman" w:hAnsi="Times New Roman"/>
          <w:sz w:val="15"/>
          <w:szCs w:val="15"/>
          <w:color w:val="auto"/>
        </w:rPr>
        <w:t>The Plan and this Agreement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intended to comply with Section 25102(o) and Rule 701. 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31" w:name="page432"/>
    <w:bookmarkEnd w:id="431"/>
    <w:p>
      <w:pPr>
        <w:jc w:val="both"/>
        <w:ind w:left="1220" w:right="1239" w:firstLine="509"/>
        <w:spacing w:after="0" w:line="255" w:lineRule="auto"/>
        <w:tabs>
          <w:tab w:leader="none" w:pos="2085" w:val="left"/>
        </w:tabs>
        <w:numPr>
          <w:ilvl w:val="0"/>
          <w:numId w:val="3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NONTRANSFERABILITY OF OPTION. </w:t>
      </w:r>
      <w:r>
        <w:rPr>
          <w:rFonts w:ascii="Times New Roman" w:cs="Times New Roman" w:eastAsia="Times New Roman" w:hAnsi="Times New Roman"/>
          <w:sz w:val="15"/>
          <w:szCs w:val="15"/>
          <w:color w:val="auto"/>
        </w:rPr>
        <w:t>This Option may not be transferred in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manner other than by will or by the laws of descent and 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36" w:lineRule="exact"/>
        <w:rPr>
          <w:rFonts w:ascii="Times New Roman" w:cs="Times New Roman" w:eastAsia="Times New Roman" w:hAnsi="Times New Roman"/>
          <w:sz w:val="15"/>
          <w:szCs w:val="15"/>
          <w:b w:val="1"/>
          <w:bCs w:val="1"/>
          <w:color w:val="auto"/>
        </w:rPr>
      </w:pPr>
    </w:p>
    <w:p>
      <w:pPr>
        <w:ind w:left="2000" w:hanging="271"/>
        <w:spacing w:after="0"/>
        <w:tabs>
          <w:tab w:leader="none" w:pos="2000" w:val="left"/>
        </w:tabs>
        <w:numPr>
          <w:ilvl w:val="0"/>
          <w:numId w:val="34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RESTRICTIONS ON TRANSFER.</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u w:val="single" w:color="auto"/>
          <w:color w:val="auto"/>
        </w:rPr>
        <w:t>7.1 Disposition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hereby agrees that Optionee shall make no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disposition of any of the Shares (other than as permitted by this Agreement and the Company’s Bylaws (the “</w:t>
      </w:r>
      <w:r>
        <w:rPr>
          <w:rFonts w:ascii="Times New Roman" w:cs="Times New Roman" w:eastAsia="Times New Roman" w:hAnsi="Times New Roman"/>
          <w:sz w:val="15"/>
          <w:szCs w:val="15"/>
          <w:b w:val="1"/>
          <w:bCs w:val="1"/>
          <w:i w:val="1"/>
          <w:iCs w:val="1"/>
          <w:color w:val="auto"/>
        </w:rPr>
        <w:t>Bylaws</w:t>
      </w:r>
      <w:r>
        <w:rPr>
          <w:rFonts w:ascii="Times New Roman" w:cs="Times New Roman" w:eastAsia="Times New Roman" w:hAnsi="Times New Roman"/>
          <w:sz w:val="15"/>
          <w:szCs w:val="15"/>
          <w:color w:val="auto"/>
        </w:rPr>
        <w:t>”)) unless and until:</w:t>
      </w:r>
    </w:p>
    <w:p>
      <w:pPr>
        <w:spacing w:after="0" w:line="126" w:lineRule="exact"/>
        <w:rPr>
          <w:sz w:val="20"/>
          <w:szCs w:val="20"/>
          <w:color w:val="auto"/>
        </w:rPr>
      </w:pPr>
    </w:p>
    <w:p>
      <w:pPr>
        <w:ind w:left="3060" w:hanging="322"/>
        <w:spacing w:after="0"/>
        <w:tabs>
          <w:tab w:leader="none" w:pos="3060"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notified the Company of the proposed disposition and</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a written summary of the terms and conditions of the proposed disposition;</w:t>
      </w:r>
    </w:p>
    <w:p>
      <w:pPr>
        <w:spacing w:after="0" w:line="158"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063"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complied with all requirements of this Agreement and the Bylaws applicable to the disposition of the Shares;</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035"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36" w:lineRule="exact"/>
        <w:rPr>
          <w:rFonts w:ascii="Times New Roman" w:cs="Times New Roman" w:eastAsia="Times New Roman" w:hAnsi="Times New Roman"/>
          <w:sz w:val="15"/>
          <w:szCs w:val="15"/>
          <w:color w:val="auto"/>
        </w:rPr>
      </w:pPr>
    </w:p>
    <w:p>
      <w:pPr>
        <w:jc w:val="both"/>
        <w:ind w:left="1220" w:right="1239" w:firstLine="1518"/>
        <w:spacing w:after="0" w:line="254" w:lineRule="auto"/>
        <w:tabs>
          <w:tab w:leader="none" w:pos="3041" w:val="left"/>
        </w:tabs>
        <w:numPr>
          <w:ilvl w:val="0"/>
          <w:numId w:val="3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37"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u w:val="single" w:color="auto"/>
          <w:color w:val="auto"/>
        </w:rPr>
        <w:t>7.2 Restriction on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shall not transfer, assign, grant a lien or security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interest in, pledge, hypothecate, encumber or otherwise dispose of any of the Shares which are subject to the restrictions on transfer set forth in the Bylaws and the Company’s Right of First Refusal described below, except as permitted by this Agreement.</w:t>
      </w:r>
    </w:p>
    <w:p>
      <w:pPr>
        <w:spacing w:after="0" w:line="130"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u w:val="single" w:color="auto"/>
          <w:color w:val="auto"/>
        </w:rPr>
        <w:t>7.3 Transferee Obligations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person (other than the Company) to whom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are transferred by means of one of the permitted transfers specified in this Agreement must, as a condition precedent to the validity of such transfer, acknowledge in writing to the Company that such person is bound by the provisions of this Agreement and that the transferred Shares are subject to (i) the restrictions on transfer set forth in the Bylaws, (ii) the Company’s Right of First Refusal granted hereunder and (iii) the market stand-off provisions of Section 8 below, to the same extent such Shares would be so subject if retained by Optionee.</w:t>
      </w:r>
    </w:p>
    <w:p>
      <w:pPr>
        <w:spacing w:after="0" w:line="136" w:lineRule="exact"/>
        <w:rPr>
          <w:sz w:val="20"/>
          <w:szCs w:val="20"/>
          <w:color w:val="auto"/>
        </w:rPr>
      </w:pPr>
    </w:p>
    <w:p>
      <w:pPr>
        <w:jc w:val="both"/>
        <w:ind w:left="1220" w:right="1239" w:firstLine="509"/>
        <w:spacing w:after="0" w:line="256" w:lineRule="auto"/>
        <w:tabs>
          <w:tab w:leader="none" w:pos="1994" w:val="left"/>
        </w:tabs>
        <w:numPr>
          <w:ilvl w:val="0"/>
          <w:numId w:val="34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MARKET STANDOFF AGREEMENT. </w:t>
      </w:r>
      <w:r>
        <w:rPr>
          <w:rFonts w:ascii="Times New Roman" w:cs="Times New Roman" w:eastAsia="Times New Roman" w:hAnsi="Times New Roman"/>
          <w:sz w:val="15"/>
          <w:szCs w:val="15"/>
          <w:color w:val="auto"/>
        </w:rPr>
        <w:t>Optionee agrees that, subject to any early release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provisions that apply pro rata to stockholders of 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w:t>
      </w: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32" w:name="page433"/>
    <w:bookmarkEnd w:id="432"/>
    <w:p>
      <w:pPr>
        <w:jc w:val="both"/>
        <w:ind w:left="1220" w:right="1239"/>
        <w:spacing w:after="0" w:line="251" w:lineRule="auto"/>
        <w:rPr>
          <w:sz w:val="20"/>
          <w:szCs w:val="20"/>
          <w:color w:val="auto"/>
        </w:rPr>
      </w:pPr>
      <w:r>
        <w:rPr>
          <w:rFonts w:ascii="Times New Roman" w:cs="Times New Roman" w:eastAsia="Times New Roman" w:hAnsi="Times New Roman"/>
          <w:sz w:val="15"/>
          <w:szCs w:val="15"/>
          <w:color w:val="auto"/>
        </w:rPr>
        <w:t>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5"/>
          <w:szCs w:val="15"/>
          <w:b w:val="1"/>
          <w:bCs w:val="1"/>
          <w:i w:val="1"/>
          <w:iCs w:val="1"/>
          <w:color w:val="auto"/>
        </w:rPr>
        <w:t>IPO</w:t>
      </w:r>
      <w:r>
        <w:rPr>
          <w:rFonts w:ascii="Times New Roman" w:cs="Times New Roman" w:eastAsia="Times New Roman" w:hAnsi="Times New Roman"/>
          <w:sz w:val="15"/>
          <w:szCs w:val="15"/>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5"/>
          <w:szCs w:val="15"/>
          <w:u w:val="single" w:color="auto"/>
          <w:color w:val="auto"/>
        </w:rPr>
        <w:t>except for:</w:t>
      </w:r>
      <w:r>
        <w:rPr>
          <w:rFonts w:ascii="Times New Roman" w:cs="Times New Roman" w:eastAsia="Times New Roman" w:hAnsi="Times New Roman"/>
          <w:sz w:val="15"/>
          <w:szCs w:val="15"/>
          <w:color w:val="auto"/>
        </w:rPr>
        <w:t xml:space="preserve"> (i) transfers of Shares permitted under Section 9.6 hereof so long as such transferee furnishes to the Company and the managing underwriter their written consent to be bound by this Section 8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318" w:lineRule="exact"/>
        <w:rPr>
          <w:sz w:val="20"/>
          <w:szCs w:val="20"/>
          <w:color w:val="auto"/>
        </w:rPr>
      </w:pPr>
    </w:p>
    <w:p>
      <w:pPr>
        <w:jc w:val="both"/>
        <w:ind w:left="1220" w:right="1239" w:firstLine="509"/>
        <w:spacing w:after="0" w:line="257" w:lineRule="auto"/>
        <w:tabs>
          <w:tab w:leader="none" w:pos="2041" w:val="left"/>
        </w:tabs>
        <w:numPr>
          <w:ilvl w:val="0"/>
          <w:numId w:val="34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COMPANY’S RIGHT OF FIRST REFUSAL. </w:t>
      </w:r>
      <w:r>
        <w:rPr>
          <w:rFonts w:ascii="Times New Roman" w:cs="Times New Roman" w:eastAsia="Times New Roman" w:hAnsi="Times New Roman"/>
          <w:sz w:val="15"/>
          <w:szCs w:val="15"/>
          <w:color w:val="auto"/>
        </w:rPr>
        <w:t>Subject to the restrictions on transfer set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forth in the Bylaws, before any Shares held by Optionee or any transferee of such Shares (either sometimes referred to herein as the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may be sold or otherwise transferred (including, without limitation, a transfer by gift or operation of law), the Company and/or its assignee(s) will have a right of first refusal to purchase the Shares to be sold or transferred (the “</w:t>
      </w:r>
      <w:r>
        <w:rPr>
          <w:rFonts w:ascii="Times New Roman" w:cs="Times New Roman" w:eastAsia="Times New Roman" w:hAnsi="Times New Roman"/>
          <w:sz w:val="15"/>
          <w:szCs w:val="15"/>
          <w:b w:val="1"/>
          <w:bCs w:val="1"/>
          <w:i w:val="1"/>
          <w:iCs w:val="1"/>
          <w:color w:val="auto"/>
        </w:rPr>
        <w:t>Offered Shares”</w:t>
      </w:r>
      <w:r>
        <w:rPr>
          <w:rFonts w:ascii="Times New Roman" w:cs="Times New Roman" w:eastAsia="Times New Roman" w:hAnsi="Times New Roman"/>
          <w:sz w:val="15"/>
          <w:szCs w:val="15"/>
          <w:color w:val="auto"/>
        </w:rPr>
        <w:t>) on the terms and conditions set forth in this Section (the “</w:t>
      </w:r>
      <w:r>
        <w:rPr>
          <w:rFonts w:ascii="Times New Roman" w:cs="Times New Roman" w:eastAsia="Times New Roman" w:hAnsi="Times New Roman"/>
          <w:sz w:val="15"/>
          <w:szCs w:val="15"/>
          <w:b w:val="1"/>
          <w:bCs w:val="1"/>
          <w:i w:val="1"/>
          <w:iCs w:val="1"/>
          <w:color w:val="auto"/>
        </w:rPr>
        <w:t>Right of First Refusal”</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u w:val="single" w:color="auto"/>
          <w:color w:val="auto"/>
        </w:rPr>
        <w:t>9.1 Notice of Proposed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Holder of the Offered Shares will deliver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a written notice (the “</w:t>
      </w:r>
      <w:r>
        <w:rPr>
          <w:rFonts w:ascii="Times New Roman" w:cs="Times New Roman" w:eastAsia="Times New Roman" w:hAnsi="Times New Roman"/>
          <w:sz w:val="15"/>
          <w:szCs w:val="15"/>
          <w:b w:val="1"/>
          <w:bCs w:val="1"/>
          <w:i w:val="1"/>
          <w:iCs w:val="1"/>
          <w:color w:val="auto"/>
        </w:rPr>
        <w:t>Notice”</w:t>
      </w:r>
      <w:r>
        <w:rPr>
          <w:rFonts w:ascii="Times New Roman" w:cs="Times New Roman" w:eastAsia="Times New Roman" w:hAnsi="Times New Roman"/>
          <w:sz w:val="15"/>
          <w:szCs w:val="15"/>
          <w:color w:val="auto"/>
        </w:rPr>
        <w:t>) stating: (i) the Holder’s bona fide intention to sell or otherwise transfer the Offered Shares; (ii) the name and address of each proposed purchaser or other transferee (the “</w:t>
      </w:r>
      <w:r>
        <w:rPr>
          <w:rFonts w:ascii="Times New Roman" w:cs="Times New Roman" w:eastAsia="Times New Roman" w:hAnsi="Times New Roman"/>
          <w:sz w:val="15"/>
          <w:szCs w:val="15"/>
          <w:b w:val="1"/>
          <w:bCs w:val="1"/>
          <w:i w:val="1"/>
          <w:iCs w:val="1"/>
          <w:color w:val="auto"/>
        </w:rPr>
        <w:t>Proposed Transferee”</w:t>
      </w:r>
      <w:r>
        <w:rPr>
          <w:rFonts w:ascii="Times New Roman" w:cs="Times New Roman" w:eastAsia="Times New Roman" w:hAnsi="Times New Roman"/>
          <w:sz w:val="15"/>
          <w:szCs w:val="15"/>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15"/>
          <w:szCs w:val="15"/>
          <w:b w:val="1"/>
          <w:bCs w:val="1"/>
          <w:i w:val="1"/>
          <w:iCs w:val="1"/>
          <w:color w:val="auto"/>
        </w:rPr>
        <w:t>Offered Price”</w:t>
      </w:r>
      <w:r>
        <w:rPr>
          <w:rFonts w:ascii="Times New Roman" w:cs="Times New Roman" w:eastAsia="Times New Roman" w:hAnsi="Times New Roman"/>
          <w:sz w:val="15"/>
          <w:szCs w:val="15"/>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137"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u w:val="single" w:color="auto"/>
          <w:color w:val="auto"/>
        </w:rPr>
        <w:t>9.2 Exercise of Right of First Refusal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At any time within thirty (30) days after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of the Notice,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31"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u w:val="single" w:color="auto"/>
          <w:color w:val="auto"/>
        </w:rPr>
        <w:t>9.3 Purchase Price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purchase price for the Offered Shares purchased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Section will be the Offered Price,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if the 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32" w:lineRule="exact"/>
        <w:rPr>
          <w:sz w:val="20"/>
          <w:szCs w:val="20"/>
          <w:color w:val="auto"/>
        </w:rPr>
      </w:pPr>
    </w:p>
    <w:p>
      <w:pPr>
        <w:jc w:val="both"/>
        <w:ind w:left="1220" w:right="1239" w:firstLine="1009"/>
        <w:spacing w:after="0" w:line="256" w:lineRule="auto"/>
        <w:rPr>
          <w:sz w:val="20"/>
          <w:szCs w:val="20"/>
          <w:color w:val="auto"/>
        </w:rPr>
      </w:pPr>
      <w:r>
        <w:rPr>
          <w:rFonts w:ascii="Times New Roman" w:cs="Times New Roman" w:eastAsia="Times New Roman" w:hAnsi="Times New Roman"/>
          <w:sz w:val="15"/>
          <w:szCs w:val="15"/>
          <w:b w:val="1"/>
          <w:bCs w:val="1"/>
          <w:u w:val="single" w:color="auto"/>
          <w:color w:val="auto"/>
        </w:rPr>
        <w:t>9.4 Payment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of the purchase price for the Offered Shares will be payable, 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option of the 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33" w:name="page434"/>
    <w:bookmarkEnd w:id="433"/>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u w:val="single" w:color="auto"/>
          <w:color w:val="auto"/>
        </w:rPr>
        <w:t>9.5 Holder’s Right to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all of the Offered Shares proposed in the Notice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be transferred to a given Proposed Transferee are 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42"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5"/>
          <w:szCs w:val="15"/>
          <w:b w:val="1"/>
          <w:bCs w:val="1"/>
          <w:u w:val="single" w:color="auto"/>
          <w:color w:val="auto"/>
        </w:rPr>
        <w:t>9.6 Exempt Transfers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Notwithstanding anything to the contrary in this Section,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following transfers of Shares will be exempt from the 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Times New Roman" w:cs="Times New Roman" w:eastAsia="Times New Roman" w:hAnsi="Times New Roman"/>
          <w:sz w:val="15"/>
          <w:szCs w:val="15"/>
          <w:b w:val="1"/>
          <w:bCs w:val="1"/>
          <w:i w:val="1"/>
          <w:iCs w:val="1"/>
          <w:color w:val="auto"/>
        </w:rPr>
        <w:t>Immediate Family”</w:t>
      </w:r>
      <w:r>
        <w:rPr>
          <w:rFonts w:ascii="Times New Roman" w:cs="Times New Roman" w:eastAsia="Times New Roman" w:hAnsi="Times New Roman"/>
          <w:sz w:val="15"/>
          <w:szCs w:val="15"/>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5"/>
          <w:szCs w:val="15"/>
          <w:b w:val="1"/>
          <w:bCs w:val="1"/>
          <w:i w:val="1"/>
          <w:iCs w:val="1"/>
          <w:color w:val="auto"/>
        </w:rPr>
        <w:t>Spousal Equivalent”</w:t>
      </w:r>
      <w:r>
        <w:rPr>
          <w:rFonts w:ascii="Times New Roman" w:cs="Times New Roman" w:eastAsia="Times New Roman" w:hAnsi="Times New Roman"/>
          <w:sz w:val="15"/>
          <w:szCs w:val="15"/>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45" w:lineRule="exact"/>
        <w:rPr>
          <w:sz w:val="20"/>
          <w:szCs w:val="20"/>
          <w:color w:val="auto"/>
        </w:rPr>
      </w:pPr>
    </w:p>
    <w:p>
      <w:pPr>
        <w:ind w:left="2240"/>
        <w:spacing w:after="0"/>
        <w:tabs>
          <w:tab w:leader="none" w:pos="2540" w:val="left"/>
        </w:tabs>
        <w:rPr>
          <w:sz w:val="20"/>
          <w:szCs w:val="20"/>
          <w:color w:val="auto"/>
        </w:rPr>
      </w:pPr>
      <w:r>
        <w:rPr>
          <w:rFonts w:ascii="Times New Roman" w:cs="Times New Roman" w:eastAsia="Times New Roman" w:hAnsi="Times New Roman"/>
          <w:sz w:val="15"/>
          <w:szCs w:val="15"/>
          <w:b w:val="1"/>
          <w:bCs w:val="1"/>
          <w:u w:val="single" w:color="auto"/>
          <w:color w:val="auto"/>
        </w:rPr>
        <w:t>9.7</w:t>
      </w:r>
      <w:r>
        <w:rPr>
          <w:sz w:val="20"/>
          <w:szCs w:val="20"/>
          <w:color w:val="auto"/>
        </w:rPr>
        <w:tab/>
      </w:r>
      <w:r>
        <w:rPr>
          <w:rFonts w:ascii="Times New Roman" w:cs="Times New Roman" w:eastAsia="Times New Roman" w:hAnsi="Times New Roman"/>
          <w:sz w:val="15"/>
          <w:szCs w:val="15"/>
          <w:b w:val="1"/>
          <w:bCs w:val="1"/>
          <w:u w:val="single" w:color="auto"/>
          <w:color w:val="auto"/>
        </w:rPr>
        <w:t>Termination of Right of First Refusal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u w:val="single" w:color="auto"/>
          <w:color w:val="auto"/>
        </w:rPr>
        <w:t xml:space="preserve"> </w:t>
      </w:r>
      <w:r>
        <w:rPr>
          <w:rFonts w:ascii="Times New Roman" w:cs="Times New Roman" w:eastAsia="Times New Roman" w:hAnsi="Times New Roman"/>
          <w:sz w:val="15"/>
          <w:szCs w:val="15"/>
          <w:color w:val="auto"/>
        </w:rPr>
        <w:t>The Right of First Refusal will terminate</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as to all Shares: (i) on the effective date of the first sale of Common Stock of the Company to the general</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public pursuant to a registration statement filed with and declared effective by the SEC under the</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Securities Act (other than a registration statement relating solely to the issuance of Common Stock</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pursuant to a business combination or an employee incentive or benefit plan); (ii) on any transfer or</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conversion of Shares made pursuant to a statutory merger or statutory consolidation of the Company with</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or into another corporation or corporations if the common stock of the surviving corporation or any direct</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or indirect parent corporation thereof is registered under the Exchange Act; or (iii) on any transfer or</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conversion of Shares made pursuant to a statutory conversion of the Company into another form of legal</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entity if  the common equity (or comparable equity security) of entity resulting from such conversion is</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registered under the Exchange Act.</w:t>
      </w:r>
    </w:p>
    <w:p>
      <w:pPr>
        <w:spacing w:after="0" w:line="154"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u w:val="single" w:color="auto"/>
          <w:color w:val="auto"/>
        </w:rPr>
        <w:t>9.8 Encumbrances on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may grant a lien or security interest in,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pledge, hypothecate or encumber 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w:t>
      </w: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34" w:name="page435"/>
    <w:bookmarkEnd w:id="434"/>
    <w:p>
      <w:pPr>
        <w:jc w:val="both"/>
        <w:ind w:left="1220" w:right="1239"/>
        <w:spacing w:after="0" w:line="267" w:lineRule="auto"/>
        <w:rPr>
          <w:sz w:val="20"/>
          <w:szCs w:val="20"/>
          <w:color w:val="auto"/>
        </w:rPr>
      </w:pPr>
      <w:r>
        <w:rPr>
          <w:rFonts w:ascii="Times New Roman" w:cs="Times New Roman" w:eastAsia="Times New Roman" w:hAnsi="Times New Roman"/>
          <w:sz w:val="15"/>
          <w:szCs w:val="15"/>
          <w:color w:val="auto"/>
        </w:rPr>
        <w:t>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25"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u w:val="single" w:color="auto"/>
          <w:color w:val="auto"/>
        </w:rPr>
        <w:t>9.9 Effect of Company Co-Sale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or at any time hereafter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becomes, a party to or otherwise bound by (i) the Company’s Amended and Restated Right of First Refusal and Co-Sale Agreement dated as of April 24, 2020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5"/>
          <w:szCs w:val="15"/>
          <w:b w:val="1"/>
          <w:bCs w:val="1"/>
          <w:i w:val="1"/>
          <w:iCs w:val="1"/>
          <w:color w:val="auto"/>
        </w:rPr>
        <w:t>Company Co-Sale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then, in the event of any conflict or inconsistency between the provisions of Section 8</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hereof and/or this Section 9 and any provisions in the Company Co-Sale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Co-Sale Agreement shall apply, govern, supersede and prevail over (and in lieu of) the provisions of Section 8 hereof and/or of this Section 9 (as applicable) so long as the Company Co-Sale Agreement is in effect and Optionee is a party to or bound thereby. If the Company Co-Sale Agreement is no longer in effect or if Optionee is not a party to or bound thereby, then the provisions of this Section 9 shall apply in full force and effect until termination of the Right of First Refusal and the provisions of Section 8 hereof shall apply in full force and effect in accordance with its terms.</w:t>
      </w:r>
    </w:p>
    <w:p>
      <w:pPr>
        <w:spacing w:after="0" w:line="322" w:lineRule="exact"/>
        <w:rPr>
          <w:sz w:val="20"/>
          <w:szCs w:val="20"/>
          <w:color w:val="auto"/>
        </w:rPr>
      </w:pPr>
    </w:p>
    <w:p>
      <w:pPr>
        <w:jc w:val="both"/>
        <w:ind w:left="1220" w:right="1239" w:firstLine="509"/>
        <w:spacing w:after="0" w:line="253" w:lineRule="auto"/>
        <w:tabs>
          <w:tab w:leader="none" w:pos="2334" w:val="left"/>
        </w:tabs>
        <w:numPr>
          <w:ilvl w:val="0"/>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RIGHTS AS A STOCKHOLDER. </w:t>
      </w:r>
      <w:r>
        <w:rPr>
          <w:rFonts w:ascii="Times New Roman" w:cs="Times New Roman" w:eastAsia="Times New Roman" w:hAnsi="Times New Roman"/>
          <w:sz w:val="15"/>
          <w:szCs w:val="15"/>
          <w:color w:val="auto"/>
        </w:rPr>
        <w:t>Optionee shall not have any of the rights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stockholder with respect to any Shares unless and until such 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36" w:lineRule="exact"/>
        <w:rPr>
          <w:rFonts w:ascii="Times New Roman" w:cs="Times New Roman" w:eastAsia="Times New Roman" w:hAnsi="Times New Roman"/>
          <w:sz w:val="15"/>
          <w:szCs w:val="15"/>
          <w:b w:val="1"/>
          <w:bCs w:val="1"/>
          <w:color w:val="auto"/>
        </w:rPr>
      </w:pPr>
    </w:p>
    <w:p>
      <w:pPr>
        <w:jc w:val="both"/>
        <w:ind w:left="1220" w:right="1239" w:firstLine="509"/>
        <w:spacing w:after="0" w:line="252" w:lineRule="auto"/>
        <w:tabs>
          <w:tab w:leader="none" w:pos="2208" w:val="left"/>
        </w:tabs>
        <w:numPr>
          <w:ilvl w:val="0"/>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ESCROW. </w:t>
      </w:r>
      <w:r>
        <w:rPr>
          <w:rFonts w:ascii="Times New Roman" w:cs="Times New Roman" w:eastAsia="Times New Roman" w:hAnsi="Times New Roman"/>
          <w:sz w:val="15"/>
          <w:szCs w:val="15"/>
          <w:color w:val="auto"/>
        </w:rPr>
        <w:t>As security for Optionee’s faithful performance of this Agreement, Optionee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agrees, immediately upon receipt of the stock certificate(s) evidencing the Shares to deliver such certificate(s) to the Secretary of the Company or other designee of the Company (the “</w:t>
      </w:r>
      <w:r>
        <w:rPr>
          <w:rFonts w:ascii="Times New Roman" w:cs="Times New Roman" w:eastAsia="Times New Roman" w:hAnsi="Times New Roman"/>
          <w:sz w:val="15"/>
          <w:szCs w:val="15"/>
          <w:b w:val="1"/>
          <w:bCs w:val="1"/>
          <w:i w:val="1"/>
          <w:iCs w:val="1"/>
          <w:color w:val="auto"/>
        </w:rPr>
        <w:t>Escrow Holder</w:t>
      </w:r>
      <w:r>
        <w:rPr>
          <w:rFonts w:ascii="Times New Roman" w:cs="Times New Roman" w:eastAsia="Times New Roman" w:hAnsi="Times New Roman"/>
          <w:sz w:val="15"/>
          <w:szCs w:val="15"/>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36" w:lineRule="exact"/>
        <w:rPr>
          <w:rFonts w:ascii="Times New Roman" w:cs="Times New Roman" w:eastAsia="Times New Roman" w:hAnsi="Times New Roman"/>
          <w:sz w:val="15"/>
          <w:szCs w:val="15"/>
          <w:b w:val="1"/>
          <w:bCs w:val="1"/>
          <w:color w:val="auto"/>
        </w:rPr>
      </w:pPr>
    </w:p>
    <w:p>
      <w:pPr>
        <w:jc w:val="both"/>
        <w:ind w:left="1220" w:right="1239" w:firstLine="509"/>
        <w:spacing w:after="0" w:line="254" w:lineRule="auto"/>
        <w:tabs>
          <w:tab w:leader="none" w:pos="2239" w:val="left"/>
        </w:tabs>
        <w:numPr>
          <w:ilvl w:val="0"/>
          <w:numId w:val="3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Company Co-Sale Agreement and Voting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a material inducement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consideration for the Company to enter into this Agreement, Optionee hereby agrees that if, the Company requests Optionee to enter into and become a party to (a) the Company Co-Sale Agreement (and to subject the Shares to the rights of first refusal held by the Company and other Company investors thereunder and the co-sale rights of other investors thereunder) and/or (b) the Company Voting Agreement (pursuant to which Optionee would agree to vote all shares of Company stock held by Optionee for the election of directors and in favor of certain material transactions (such as mergers or sales of the Company), then Optionee will enter into such agreements and execute and deliver signature pages thereto (as requested by</w:t>
      </w:r>
    </w:p>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35" w:name="page436"/>
    <w:bookmarkEnd w:id="435"/>
    <w:p>
      <w:pPr>
        <w:jc w:val="both"/>
        <w:ind w:left="1220" w:right="1239"/>
        <w:spacing w:after="0" w:line="285" w:lineRule="auto"/>
        <w:rPr>
          <w:sz w:val="20"/>
          <w:szCs w:val="20"/>
          <w:color w:val="auto"/>
        </w:rPr>
      </w:pPr>
      <w:r>
        <w:rPr>
          <w:rFonts w:ascii="Times New Roman" w:cs="Times New Roman" w:eastAsia="Times New Roman" w:hAnsi="Times New Roman"/>
          <w:sz w:val="15"/>
          <w:szCs w:val="15"/>
          <w:color w:val="auto"/>
        </w:rPr>
        <w:t>the Company) in such capacities as the Company requests, at the time of exercising this Option and as a condition to such exercise or at any later time.</w:t>
      </w:r>
    </w:p>
    <w:p>
      <w:pPr>
        <w:spacing w:after="0" w:line="112"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5"/>
          <w:szCs w:val="15"/>
          <w:b w:val="1"/>
          <w:bCs w:val="1"/>
          <w:color w:val="auto"/>
        </w:rPr>
        <w:t>13.</w:t>
        <w:tab/>
        <w:t>RESTRICTIVE LEGENDS AND STOP-TRANSFER ORDERS.</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13.1 </w:t>
      </w:r>
      <w:r>
        <w:rPr>
          <w:rFonts w:ascii="Times New Roman" w:cs="Times New Roman" w:eastAsia="Times New Roman" w:hAnsi="Times New Roman"/>
          <w:sz w:val="15"/>
          <w:szCs w:val="15"/>
          <w:b w:val="1"/>
          <w:bCs w:val="1"/>
          <w:u w:val="single" w:color="auto"/>
          <w:color w:val="auto"/>
        </w:rPr>
        <w:t>Legends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understands and agrees that the Company will place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legends set forth below or similar legends on any stock 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51" w:lineRule="exact"/>
        <w:rPr>
          <w:sz w:val="20"/>
          <w:szCs w:val="20"/>
          <w:color w:val="auto"/>
        </w:rPr>
      </w:pPr>
    </w:p>
    <w:p>
      <w:pPr>
        <w:jc w:val="both"/>
        <w:ind w:left="1220" w:right="1239" w:firstLine="1518"/>
        <w:spacing w:after="0" w:line="248" w:lineRule="auto"/>
        <w:tabs>
          <w:tab w:leader="none" w:pos="3123"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338" w:lineRule="exact"/>
        <w:rPr>
          <w:rFonts w:ascii="Times New Roman" w:cs="Times New Roman" w:eastAsia="Times New Roman" w:hAnsi="Times New Roman"/>
          <w:sz w:val="17"/>
          <w:szCs w:val="17"/>
          <w:color w:val="auto"/>
        </w:rPr>
      </w:pPr>
    </w:p>
    <w:p>
      <w:pPr>
        <w:jc w:val="both"/>
        <w:ind w:left="1220" w:right="1239" w:firstLine="1518"/>
        <w:spacing w:after="0" w:line="249" w:lineRule="auto"/>
        <w:tabs>
          <w:tab w:leader="none" w:pos="3007"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153" w:lineRule="exact"/>
        <w:rPr>
          <w:rFonts w:ascii="Times New Roman" w:cs="Times New Roman" w:eastAsia="Times New Roman" w:hAnsi="Times New Roman"/>
          <w:sz w:val="17"/>
          <w:szCs w:val="17"/>
          <w:color w:val="auto"/>
        </w:rPr>
      </w:pPr>
    </w:p>
    <w:p>
      <w:pPr>
        <w:jc w:val="both"/>
        <w:ind w:left="1220" w:right="1239" w:firstLine="1518"/>
        <w:spacing w:after="0" w:line="249" w:lineRule="auto"/>
        <w:tabs>
          <w:tab w:leader="none" w:pos="3008"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SHARES EVIDENCED HEREBY ARE SUBJECT TO A RIGHT OF FIRST REFUSAL OPTION IN FAVOR OF THE CORPORATION AND/OR ITS ASSIGNEE(S), AS PROVIDED IN THE BYLAWS OF THE CORPORATION, A COPY OF WHICH IS ON FILE WITH THE SECRETARY OF THE CORPORATION.</w:t>
      </w:r>
    </w:p>
    <w:p>
      <w:pPr>
        <w:spacing w:after="0" w:line="153" w:lineRule="exact"/>
        <w:rPr>
          <w:rFonts w:ascii="Times New Roman" w:cs="Times New Roman" w:eastAsia="Times New Roman" w:hAnsi="Times New Roman"/>
          <w:sz w:val="17"/>
          <w:szCs w:val="17"/>
          <w:color w:val="auto"/>
        </w:rPr>
      </w:pPr>
    </w:p>
    <w:p>
      <w:pPr>
        <w:jc w:val="both"/>
        <w:ind w:left="1220" w:right="1239" w:firstLine="1518"/>
        <w:spacing w:after="0" w:line="248" w:lineRule="auto"/>
        <w:tabs>
          <w:tab w:leader="none" w:pos="3007"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326"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5"/>
          <w:szCs w:val="15"/>
          <w:color w:val="auto"/>
        </w:rPr>
        <w:t>Optionee agrees that if Optionee becomes a party to (i) the Company Co-Sale Agreement or (ii) (A) the Company’s Amended and Restated Voting Agreement dated as of April 24, 2020 among the Company and certain stockholders of the Company, as such may be amended and/or restated from time to time, and/or (B) any other voting agreement that is a successor to or replacement of such agreement (collectively, the “</w:t>
      </w:r>
      <w:r>
        <w:rPr>
          <w:rFonts w:ascii="Times New Roman" w:cs="Times New Roman" w:eastAsia="Times New Roman" w:hAnsi="Times New Roman"/>
          <w:sz w:val="15"/>
          <w:szCs w:val="15"/>
          <w:b w:val="1"/>
          <w:bCs w:val="1"/>
          <w:i w:val="1"/>
          <w:iCs w:val="1"/>
          <w:color w:val="auto"/>
        </w:rPr>
        <w:t>Company Voting Agreement</w:t>
      </w:r>
      <w:r>
        <w:rPr>
          <w:rFonts w:ascii="Times New Roman" w:cs="Times New Roman" w:eastAsia="Times New Roman" w:hAnsi="Times New Roman"/>
          <w:sz w:val="15"/>
          <w:szCs w:val="15"/>
          <w:color w:val="auto"/>
        </w:rPr>
        <w:t>”), then Optionee agrees that the stock certificate(s) evidencing the Shares shall, in addition, bear any legends required under the Company Co-Sale Agreement and/or the Company Voting Agreement, as applicable.</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36" w:name="page437"/>
    <w:bookmarkEnd w:id="436"/>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13.2 </w:t>
      </w:r>
      <w:r>
        <w:rPr>
          <w:rFonts w:ascii="Times New Roman" w:cs="Times New Roman" w:eastAsia="Times New Roman" w:hAnsi="Times New Roman"/>
          <w:sz w:val="15"/>
          <w:szCs w:val="15"/>
          <w:b w:val="1"/>
          <w:bCs w:val="1"/>
          <w:u w:val="single" w:color="auto"/>
          <w:color w:val="auto"/>
        </w:rPr>
        <w:t>Stop-Transfer Instructions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agrees that, to ensure compliance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restrictions imposed by this Agreement and the Bylaws, the Company may issue appropriate “stop-transfer” instructions to its transfer agent, if any, and if the Company transfers its own securities, it may make appropriate notations to the same effect in its own records.</w:t>
      </w:r>
    </w:p>
    <w:p>
      <w:pPr>
        <w:spacing w:after="0" w:line="130"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13.3 </w:t>
      </w:r>
      <w:r>
        <w:rPr>
          <w:rFonts w:ascii="Times New Roman" w:cs="Times New Roman" w:eastAsia="Times New Roman" w:hAnsi="Times New Roman"/>
          <w:sz w:val="15"/>
          <w:szCs w:val="15"/>
          <w:b w:val="1"/>
          <w:bCs w:val="1"/>
          <w:u w:val="single" w:color="auto"/>
          <w:color w:val="auto"/>
        </w:rPr>
        <w:t>Refusal to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will not be required (i) to transfer on its books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Shares that have been sold or otherwise transferred in violation of any of the provisions of the Bylaws or this Agreement or (ii) to treat as owner of such Shares, or to accord the right to vote or pay dividends to any purchaser or other transferee to whom such Shares have been so transferred.</w:t>
      </w:r>
    </w:p>
    <w:p>
      <w:pPr>
        <w:spacing w:after="0" w:line="130" w:lineRule="exact"/>
        <w:rPr>
          <w:sz w:val="20"/>
          <w:szCs w:val="20"/>
          <w:color w:val="auto"/>
        </w:rPr>
      </w:pPr>
    </w:p>
    <w:p>
      <w:pPr>
        <w:jc w:val="both"/>
        <w:ind w:left="1220" w:right="1239" w:firstLine="509"/>
        <w:spacing w:after="0" w:line="259" w:lineRule="auto"/>
        <w:tabs>
          <w:tab w:leader="none" w:pos="2187" w:val="left"/>
        </w:tabs>
        <w:numPr>
          <w:ilvl w:val="0"/>
          <w:numId w:val="34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CERTAIN TAX CONSEQUENCES. </w:t>
      </w:r>
      <w:r>
        <w:rPr>
          <w:rFonts w:ascii="Times New Roman" w:cs="Times New Roman" w:eastAsia="Times New Roman" w:hAnsi="Times New Roman"/>
          <w:sz w:val="15"/>
          <w:szCs w:val="15"/>
          <w:color w:val="auto"/>
        </w:rPr>
        <w:t>Set forth below is a brief summary as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Date of the Plan of some of the federal tax 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131"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14.1 </w:t>
      </w:r>
      <w:r>
        <w:rPr>
          <w:rFonts w:ascii="Times New Roman" w:cs="Times New Roman" w:eastAsia="Times New Roman" w:hAnsi="Times New Roman"/>
          <w:sz w:val="15"/>
          <w:szCs w:val="15"/>
          <w:b w:val="1"/>
          <w:bCs w:val="1"/>
          <w:u w:val="single" w:color="auto"/>
          <w:color w:val="auto"/>
        </w:rPr>
        <w:t>Exercise of ISO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the Option qualifies as an ISO, there will be no regular federal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income tax liability upon the exercise of the 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131"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14.2 </w:t>
      </w:r>
      <w:r>
        <w:rPr>
          <w:rFonts w:ascii="Times New Roman" w:cs="Times New Roman" w:eastAsia="Times New Roman" w:hAnsi="Times New Roman"/>
          <w:sz w:val="15"/>
          <w:szCs w:val="15"/>
          <w:b w:val="1"/>
          <w:bCs w:val="1"/>
          <w:u w:val="single" w:color="auto"/>
          <w:color w:val="auto"/>
        </w:rPr>
        <w:t>Exercise of Nonqualified Stock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the Option does not qualify as an ISO,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there may be a regular federal income tax liability 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136"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14.3 </w:t>
      </w:r>
      <w:r>
        <w:rPr>
          <w:rFonts w:ascii="Times New Roman" w:cs="Times New Roman" w:eastAsia="Times New Roman" w:hAnsi="Times New Roman"/>
          <w:sz w:val="15"/>
          <w:szCs w:val="15"/>
          <w:b w:val="1"/>
          <w:bCs w:val="1"/>
          <w:u w:val="single" w:color="auto"/>
          <w:color w:val="auto"/>
        </w:rPr>
        <w:t>Disposition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following tax consequences may apply upon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disposition of the Shares.</w:t>
      </w:r>
    </w:p>
    <w:p>
      <w:pPr>
        <w:spacing w:after="0" w:line="103"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u w:val="single" w:color="auto"/>
          <w:color w:val="auto"/>
        </w:rPr>
        <w:t>Incentive Stock Options</w:t>
      </w:r>
      <w:r>
        <w:rPr>
          <w:rFonts w:ascii="Times New Roman" w:cs="Times New Roman" w:eastAsia="Times New Roman" w:hAnsi="Times New Roman"/>
          <w:sz w:val="15"/>
          <w:szCs w:val="15"/>
          <w:color w:val="auto"/>
        </w:rPr>
        <w:t>. If the Shares are held for more than twelve (12)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after the date of purchase of the Shares pursuant to the exercise of an ISO and are disposed of more than two (2) years after the Date of Grant, any gain realized on disposition of the Shares will be treated as long term capital gain for federal income tax purposes. If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316" w:lineRule="exact"/>
        <w:rPr>
          <w:sz w:val="20"/>
          <w:szCs w:val="20"/>
          <w:color w:val="auto"/>
        </w:rPr>
      </w:pPr>
    </w:p>
    <w:p>
      <w:pPr>
        <w:jc w:val="both"/>
        <w:ind w:left="1220" w:right="1239" w:firstLine="1009"/>
        <w:spacing w:after="0" w:line="247" w:lineRule="auto"/>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b</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u w:val="single" w:color="auto"/>
          <w:color w:val="auto"/>
        </w:rPr>
        <w:t>Nonqualified Stock Options</w:t>
      </w:r>
      <w:r>
        <w:rPr>
          <w:rFonts w:ascii="Times New Roman" w:cs="Times New Roman" w:eastAsia="Times New Roman" w:hAnsi="Times New Roman"/>
          <w:sz w:val="15"/>
          <w:szCs w:val="15"/>
          <w:color w:val="auto"/>
        </w:rPr>
        <w:t>. If the Shares are held for more than twelve (12) months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after the date of purchase of the Shares pursuant to the exercise of an NQSO, any gain realized on disposition of the Shares will be treated as long term capital gain.</w:t>
      </w:r>
    </w:p>
    <w:p>
      <w:pPr>
        <w:spacing w:after="0" w:line="139" w:lineRule="exact"/>
        <w:rPr>
          <w:sz w:val="20"/>
          <w:szCs w:val="20"/>
          <w:color w:val="auto"/>
        </w:rPr>
      </w:pPr>
    </w:p>
    <w:p>
      <w:pPr>
        <w:ind w:left="1720"/>
        <w:spacing w:after="0"/>
        <w:tabs>
          <w:tab w:leader="none" w:pos="2060" w:val="left"/>
        </w:tabs>
        <w:rPr>
          <w:sz w:val="20"/>
          <w:szCs w:val="20"/>
          <w:color w:val="auto"/>
        </w:rPr>
      </w:pPr>
      <w:r>
        <w:rPr>
          <w:rFonts w:ascii="Times New Roman" w:cs="Times New Roman" w:eastAsia="Times New Roman" w:hAnsi="Times New Roman"/>
          <w:sz w:val="15"/>
          <w:szCs w:val="15"/>
          <w:b w:val="1"/>
          <w:bCs w:val="1"/>
          <w:color w:val="auto"/>
        </w:rPr>
        <w:t>15.</w:t>
        <w:tab/>
        <w:t>GENERAL PROVISIONS.</w:t>
      </w:r>
    </w:p>
    <w:p>
      <w:pPr>
        <w:spacing w:after="0" w:line="174" w:lineRule="exact"/>
        <w:rPr>
          <w:sz w:val="20"/>
          <w:szCs w:val="20"/>
          <w:color w:val="auto"/>
        </w:rPr>
      </w:pPr>
    </w:p>
    <w:p>
      <w:pPr>
        <w:ind w:left="1220" w:right="129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15.1 </w:t>
      </w:r>
      <w:r>
        <w:rPr>
          <w:rFonts w:ascii="Times New Roman" w:cs="Times New Roman" w:eastAsia="Times New Roman" w:hAnsi="Times New Roman"/>
          <w:sz w:val="15"/>
          <w:szCs w:val="15"/>
          <w:b w:val="1"/>
          <w:bCs w:val="1"/>
          <w:u w:val="single" w:color="auto"/>
          <w:color w:val="auto"/>
        </w:rPr>
        <w:t>Interpretation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dispute regarding the interpretation of this Agreement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submitted by Optionee or the Company to the Committee for review. The resolution of such a dispute by the Committee shall be final and binding on the Company and Optionee.</w:t>
      </w:r>
    </w:p>
    <w:p>
      <w:pPr>
        <w:spacing w:after="0" w:line="2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37" w:name="page438"/>
    <w:bookmarkEnd w:id="437"/>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15.2 </w:t>
      </w:r>
      <w:r>
        <w:rPr>
          <w:rFonts w:ascii="Times New Roman" w:cs="Times New Roman" w:eastAsia="Times New Roman" w:hAnsi="Times New Roman"/>
          <w:sz w:val="15"/>
          <w:szCs w:val="15"/>
          <w:b w:val="1"/>
          <w:bCs w:val="1"/>
          <w:u w:val="single" w:color="auto"/>
          <w:color w:val="auto"/>
        </w:rPr>
        <w:t>Entire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Plan, the Grant Notice and the Exercise Agreement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incorporated herein by reference. This Agreement, the Grant Notice, the Plan and the Exercise Agreement constitute the entire agreement of the parties with respect to the subject matter hereof and supersede all prior undertakings and agreements with respect to such subject matter.</w:t>
      </w:r>
    </w:p>
    <w:p>
      <w:pPr>
        <w:spacing w:after="0" w:line="130" w:lineRule="exact"/>
        <w:rPr>
          <w:sz w:val="20"/>
          <w:szCs w:val="20"/>
          <w:color w:val="auto"/>
        </w:rPr>
      </w:pPr>
    </w:p>
    <w:p>
      <w:pPr>
        <w:jc w:val="both"/>
        <w:ind w:left="1220" w:right="1239" w:firstLine="509"/>
        <w:spacing w:after="0" w:line="251" w:lineRule="auto"/>
        <w:tabs>
          <w:tab w:leader="none" w:pos="2082"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NOTICES. </w:t>
      </w:r>
      <w:r>
        <w:rPr>
          <w:rFonts w:ascii="Times New Roman" w:cs="Times New Roman" w:eastAsia="Times New Roman" w:hAnsi="Times New Roman"/>
          <w:sz w:val="15"/>
          <w:szCs w:val="15"/>
          <w:color w:val="auto"/>
        </w:rPr>
        <w:t>Any and all notices required or permitted to be given to a party pursuant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provisions of this Agreement will be in writing and 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318" w:lineRule="exact"/>
        <w:rPr>
          <w:rFonts w:ascii="Times New Roman" w:cs="Times New Roman" w:eastAsia="Times New Roman" w:hAnsi="Times New Roman"/>
          <w:sz w:val="15"/>
          <w:szCs w:val="15"/>
          <w:b w:val="1"/>
          <w:bCs w:val="1"/>
          <w:color w:val="auto"/>
        </w:rPr>
      </w:pPr>
    </w:p>
    <w:p>
      <w:pPr>
        <w:jc w:val="both"/>
        <w:ind w:left="1220" w:right="1239" w:firstLine="509"/>
        <w:spacing w:after="0" w:line="259" w:lineRule="auto"/>
        <w:tabs>
          <w:tab w:leader="none" w:pos="2124"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SUCCESSORS AND ASSIGNS. </w:t>
      </w:r>
      <w:r>
        <w:rPr>
          <w:rFonts w:ascii="Times New Roman" w:cs="Times New Roman" w:eastAsia="Times New Roman" w:hAnsi="Times New Roman"/>
          <w:sz w:val="15"/>
          <w:szCs w:val="15"/>
          <w:color w:val="auto"/>
        </w:rPr>
        <w:t>The Company may assign any of its rights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including its rights to purchase Shares 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31" w:lineRule="exact"/>
        <w:rPr>
          <w:rFonts w:ascii="Times New Roman" w:cs="Times New Roman" w:eastAsia="Times New Roman" w:hAnsi="Times New Roman"/>
          <w:sz w:val="15"/>
          <w:szCs w:val="15"/>
          <w:b w:val="1"/>
          <w:bCs w:val="1"/>
          <w:color w:val="auto"/>
        </w:rPr>
      </w:pPr>
    </w:p>
    <w:p>
      <w:pPr>
        <w:jc w:val="both"/>
        <w:ind w:left="1220" w:right="1239" w:firstLine="509"/>
        <w:spacing w:after="0" w:line="259" w:lineRule="auto"/>
        <w:tabs>
          <w:tab w:leader="none" w:pos="2096"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GOVERNING LAW</w:t>
      </w:r>
      <w:r>
        <w:rPr>
          <w:rFonts w:ascii="Times New Roman" w:cs="Times New Roman" w:eastAsia="Times New Roman" w:hAnsi="Times New Roman"/>
          <w:sz w:val="15"/>
          <w:szCs w:val="15"/>
          <w:color w:val="auto"/>
        </w:rPr>
        <w:t>. This Agreement shall be governed by and construed in accordance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internal laws of the State of Delaware as 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131" w:lineRule="exact"/>
        <w:rPr>
          <w:rFonts w:ascii="Times New Roman" w:cs="Times New Roman" w:eastAsia="Times New Roman" w:hAnsi="Times New Roman"/>
          <w:sz w:val="15"/>
          <w:szCs w:val="15"/>
          <w:b w:val="1"/>
          <w:bCs w:val="1"/>
          <w:color w:val="auto"/>
        </w:rPr>
      </w:pPr>
    </w:p>
    <w:p>
      <w:pPr>
        <w:jc w:val="both"/>
        <w:ind w:left="1220" w:right="1239" w:firstLine="509"/>
        <w:spacing w:after="0" w:line="270" w:lineRule="auto"/>
        <w:tabs>
          <w:tab w:leader="none" w:pos="2147"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FURTHER ASSURANCES. </w:t>
      </w:r>
      <w:r>
        <w:rPr>
          <w:rFonts w:ascii="Times New Roman" w:cs="Times New Roman" w:eastAsia="Times New Roman" w:hAnsi="Times New Roman"/>
          <w:sz w:val="15"/>
          <w:szCs w:val="15"/>
          <w:color w:val="auto"/>
        </w:rPr>
        <w:t>The parties agree to execute such further documents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instruments and to take such further actions as may be reasonably necessary to carry out the purposes and intent of this Agreement.</w:t>
      </w:r>
    </w:p>
    <w:p>
      <w:pPr>
        <w:spacing w:after="0" w:line="122" w:lineRule="exact"/>
        <w:rPr>
          <w:rFonts w:ascii="Times New Roman" w:cs="Times New Roman" w:eastAsia="Times New Roman" w:hAnsi="Times New Roman"/>
          <w:sz w:val="15"/>
          <w:szCs w:val="15"/>
          <w:b w:val="1"/>
          <w:bCs w:val="1"/>
          <w:color w:val="auto"/>
        </w:rPr>
      </w:pPr>
    </w:p>
    <w:p>
      <w:pPr>
        <w:jc w:val="both"/>
        <w:ind w:left="1220" w:right="1239" w:firstLine="509"/>
        <w:spacing w:after="0" w:line="262" w:lineRule="auto"/>
        <w:tabs>
          <w:tab w:leader="none" w:pos="2169"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TITLES AND HEADINGS. </w:t>
      </w:r>
      <w:r>
        <w:rPr>
          <w:rFonts w:ascii="Times New Roman" w:cs="Times New Roman" w:eastAsia="Times New Roman" w:hAnsi="Times New Roman"/>
          <w:sz w:val="15"/>
          <w:szCs w:val="15"/>
          <w:color w:val="auto"/>
        </w:rPr>
        <w:t>The titles, captions and headings of this Agreement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included for ease of reference only and will be disregarded in interpreting or construing this Agreement. Unless otherwise specifically stated, all references herein to “sections” and “exhibits” will mean “sections” and “exhibits” to this Agreement.</w:t>
      </w:r>
    </w:p>
    <w:p>
      <w:pPr>
        <w:spacing w:after="0" w:line="129" w:lineRule="exact"/>
        <w:rPr>
          <w:rFonts w:ascii="Times New Roman" w:cs="Times New Roman" w:eastAsia="Times New Roman" w:hAnsi="Times New Roman"/>
          <w:sz w:val="15"/>
          <w:szCs w:val="15"/>
          <w:b w:val="1"/>
          <w:bCs w:val="1"/>
          <w:color w:val="auto"/>
        </w:rPr>
      </w:pPr>
    </w:p>
    <w:p>
      <w:pPr>
        <w:jc w:val="both"/>
        <w:ind w:left="1220" w:right="1239" w:firstLine="509"/>
        <w:spacing w:after="0" w:line="270" w:lineRule="auto"/>
        <w:tabs>
          <w:tab w:leader="none" w:pos="2145" w:val="left"/>
        </w:tabs>
        <w:numPr>
          <w:ilvl w:val="0"/>
          <w:numId w:val="35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COUNTERPARTS. </w:t>
      </w:r>
      <w:r>
        <w:rPr>
          <w:rFonts w:ascii="Times New Roman" w:cs="Times New Roman" w:eastAsia="Times New Roman" w:hAnsi="Times New Roman"/>
          <w:sz w:val="15"/>
          <w:szCs w:val="15"/>
          <w:color w:val="auto"/>
        </w:rPr>
        <w:t>This Agreement may be executed in any number of counterparts,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of which when so executed and delivered will be deemed an original, and all of which together shall constitute one and the same agreement.</w:t>
      </w:r>
    </w:p>
    <w:p>
      <w:pPr>
        <w:spacing w:after="0" w:line="28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38" w:name="page439"/>
    <w:bookmarkEnd w:id="438"/>
    <w:p>
      <w:pPr>
        <w:jc w:val="both"/>
        <w:ind w:left="1220" w:right="1239" w:firstLine="509"/>
        <w:spacing w:after="0" w:line="254" w:lineRule="auto"/>
        <w:tabs>
          <w:tab w:leader="none" w:pos="2166" w:val="left"/>
        </w:tabs>
        <w:numPr>
          <w:ilvl w:val="0"/>
          <w:numId w:val="35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SEVERABILITY. </w:t>
      </w:r>
      <w:r>
        <w:rPr>
          <w:rFonts w:ascii="Times New Roman" w:cs="Times New Roman" w:eastAsia="Times New Roman" w:hAnsi="Times New Roman"/>
          <w:sz w:val="15"/>
          <w:szCs w:val="15"/>
          <w:color w:val="auto"/>
        </w:rPr>
        <w:t>If any provision of this Agreement is determined by any court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38"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5"/>
          <w:szCs w:val="15"/>
          <w:color w:val="auto"/>
        </w:rPr>
        <w:t>* * * * *</w:t>
      </w:r>
    </w:p>
    <w:p>
      <w:pPr>
        <w:spacing w:after="0" w:line="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 xml:space="preserve">Attachment: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Form of Stock Option Exercise Notice and Agreement</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39" w:name="page440"/>
    <w:bookmarkEnd w:id="439"/>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ANNEX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STOCK OPTION EXERCISE NOTICE AND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698500</wp:posOffset>
            </wp:positionV>
            <wp:extent cx="5485765" cy="3873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40" w:name="page441"/>
    <w:bookmarkEnd w:id="440"/>
    <w:p>
      <w:pPr>
        <w:jc w:val="right"/>
        <w:ind w:right="1239"/>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160"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5"/>
          <w:szCs w:val="15"/>
          <w:b w:val="1"/>
          <w:bCs w:val="1"/>
          <w:u w:val="single" w:color="auto"/>
          <w:color w:val="auto"/>
        </w:rPr>
        <w:t>STOCK OPTION EXERCISE NOTICE AND AGREEMENT</w:t>
      </w:r>
    </w:p>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EQUITY INCENTIVE PLAN</w:t>
      </w:r>
    </w:p>
    <w:p>
      <w:pPr>
        <w:spacing w:after="0" w:line="174"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u w:val="single" w:color="auto"/>
          <w:color w:val="auto"/>
        </w:rPr>
        <w:t>NOTE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You </w:t>
      </w:r>
      <w:r>
        <w:rPr>
          <w:rFonts w:ascii="Times New Roman" w:cs="Times New Roman" w:eastAsia="Times New Roman" w:hAnsi="Times New Roman"/>
          <w:sz w:val="15"/>
          <w:szCs w:val="15"/>
          <w:b w:val="1"/>
          <w:bCs w:val="1"/>
          <w:i w:val="1"/>
          <w:iCs w:val="1"/>
          <w:u w:val="single" w:color="auto"/>
          <w:color w:val="auto"/>
        </w:rPr>
        <w:t>must</w:t>
      </w:r>
      <w:r>
        <w:rPr>
          <w:rFonts w:ascii="Times New Roman" w:cs="Times New Roman" w:eastAsia="Times New Roman" w:hAnsi="Times New Roman"/>
          <w:sz w:val="15"/>
          <w:szCs w:val="15"/>
          <w:b w:val="1"/>
          <w:bCs w:val="1"/>
          <w:i w:val="1"/>
          <w:iCs w:val="1"/>
          <w:color w:val="auto"/>
        </w:rPr>
        <w:t xml:space="preserve"> sign this Notice before submitting it to Avalyn Pharma Inc. (the “Company”) </w:t>
      </w:r>
      <w:r>
        <w:rPr>
          <w:rFonts w:ascii="Times New Roman" w:cs="Times New Roman" w:eastAsia="Times New Roman" w:hAnsi="Times New Roman"/>
          <w:sz w:val="15"/>
          <w:szCs w:val="15"/>
          <w:b w:val="1"/>
          <w:bCs w:val="1"/>
          <w:i w:val="1"/>
          <w:iCs w:val="1"/>
          <w:u w:val="single" w:color="auto"/>
          <w:color w:val="auto"/>
        </w:rPr>
        <w:t>AND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if requested to do so by the Company, you </w:t>
      </w:r>
      <w:r>
        <w:rPr>
          <w:rFonts w:ascii="Times New Roman" w:cs="Times New Roman" w:eastAsia="Times New Roman" w:hAnsi="Times New Roman"/>
          <w:sz w:val="15"/>
          <w:szCs w:val="15"/>
          <w:b w:val="1"/>
          <w:bCs w:val="1"/>
          <w:i w:val="1"/>
          <w:iCs w:val="1"/>
          <w:u w:val="single" w:color="auto"/>
          <w:color w:val="auto"/>
        </w:rPr>
        <w:t>must</w:t>
      </w:r>
      <w:r>
        <w:rPr>
          <w:rFonts w:ascii="Times New Roman" w:cs="Times New Roman" w:eastAsia="Times New Roman" w:hAnsi="Times New Roman"/>
          <w:sz w:val="15"/>
          <w:szCs w:val="15"/>
          <w:b w:val="1"/>
          <w:bCs w:val="1"/>
          <w:i w:val="1"/>
          <w:iCs w:val="1"/>
          <w:color w:val="auto"/>
        </w:rPr>
        <w:t xml:space="preserve"> also sign the signature pages to the Company’s then-current Company Co-Sale Agreement and Company Voting Agreement (as those terms are defined in the Stock Option Agreement) before submitting this Notice to the Company.</w:t>
      </w:r>
    </w:p>
    <w:p>
      <w:pPr>
        <w:spacing w:after="0" w:line="1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0"/>
          <w:szCs w:val="10"/>
          <w:b w:val="1"/>
          <w:bCs w:val="1"/>
          <w:color w:val="auto"/>
        </w:rPr>
        <w:t>ptionee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Please provide the following information about yourself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p>
      <w:pPr>
        <w:spacing w:after="0" w:line="199" w:lineRule="exact"/>
        <w:rPr>
          <w:sz w:val="20"/>
          <w:szCs w:val="20"/>
          <w:color w:val="auto"/>
        </w:rPr>
      </w:pPr>
    </w:p>
    <w:tbl>
      <w:tblPr>
        <w:tblLayout w:type="fixed"/>
        <w:tblInd w:w="1220" w:type="dxa"/>
        <w:tblCellMar>
          <w:top w:w="0" w:type="dxa"/>
          <w:left w:w="0" w:type="dxa"/>
          <w:bottom w:w="0" w:type="dxa"/>
          <w:right w:w="0" w:type="dxa"/>
        </w:tblCellMar>
      </w:tblPr>
      <w:tr>
        <w:trPr>
          <w:trHeight w:val="199"/>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420" w:type="dxa"/>
            <w:vAlign w:val="bottom"/>
            <w:tcBorders>
              <w:bottom w:val="single" w:sz="8" w:color="auto"/>
            </w:tcBorders>
          </w:tcPr>
          <w:p>
            <w:pPr>
              <w:spacing w:after="0"/>
              <w:rPr>
                <w:sz w:val="17"/>
                <w:szCs w:val="17"/>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Social Security Number:</w:t>
            </w:r>
          </w:p>
        </w:tc>
      </w:tr>
      <w:tr>
        <w:trPr>
          <w:trHeight w:val="264"/>
        </w:trPr>
        <w:tc>
          <w:tcPr>
            <w:tcW w:w="66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2420" w:type="dxa"/>
            <w:vAlign w:val="bottom"/>
            <w:tcBorders>
              <w:bottom w:val="single" w:sz="8" w:color="auto"/>
            </w:tcBorders>
          </w:tcPr>
          <w:p>
            <w:pPr>
              <w:spacing w:after="0"/>
              <w:rPr>
                <w:sz w:val="22"/>
                <w:szCs w:val="22"/>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Employee Number:</w:t>
            </w:r>
          </w:p>
        </w:tc>
      </w:tr>
      <w:tr>
        <w:trPr>
          <w:trHeight w:val="267"/>
        </w:trPr>
        <w:tc>
          <w:tcPr>
            <w:tcW w:w="660" w:type="dxa"/>
            <w:vAlign w:val="bottom"/>
          </w:tcPr>
          <w:p>
            <w:pPr>
              <w:spacing w:after="0"/>
              <w:rPr>
                <w:sz w:val="23"/>
                <w:szCs w:val="23"/>
                <w:color w:val="auto"/>
              </w:rPr>
            </w:pPr>
          </w:p>
        </w:tc>
        <w:tc>
          <w:tcPr>
            <w:tcW w:w="2420" w:type="dxa"/>
            <w:vAlign w:val="bottom"/>
            <w:tcBorders>
              <w:bottom w:val="single" w:sz="8" w:color="auto"/>
            </w:tcBorders>
          </w:tcPr>
          <w:p>
            <w:pPr>
              <w:spacing w:after="0"/>
              <w:rPr>
                <w:sz w:val="23"/>
                <w:szCs w:val="23"/>
                <w:color w:val="auto"/>
              </w:rPr>
            </w:pPr>
          </w:p>
        </w:tc>
        <w:tc>
          <w:tcPr>
            <w:tcW w:w="1660" w:type="dxa"/>
            <w:vAlign w:val="bottom"/>
          </w:tcPr>
          <w:p>
            <w:pPr>
              <w:ind w:left="140"/>
              <w:spacing w:after="0"/>
              <w:rPr>
                <w:sz w:val="20"/>
                <w:szCs w:val="20"/>
                <w:color w:val="auto"/>
              </w:rPr>
            </w:pPr>
            <w:r>
              <w:rPr>
                <w:rFonts w:ascii="Times New Roman" w:cs="Times New Roman" w:eastAsia="Times New Roman" w:hAnsi="Times New Roman"/>
                <w:sz w:val="15"/>
                <w:szCs w:val="15"/>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-366395</wp:posOffset>
            </wp:positionV>
            <wp:extent cx="1014730" cy="698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014730" cy="698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-186055</wp:posOffset>
            </wp:positionV>
            <wp:extent cx="1014730" cy="698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014730" cy="698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-6350</wp:posOffset>
            </wp:positionV>
            <wp:extent cx="1014730" cy="698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014730" cy="6985"/>
                    </a:xfrm>
                    <a:prstGeom prst="rect">
                      <a:avLst/>
                    </a:prstGeom>
                    <a:noFill/>
                  </pic:spPr>
                </pic:pic>
              </a:graphicData>
            </a:graphic>
          </wp:anchor>
        </w:drawing>
      </w:r>
    </w:p>
    <w:p>
      <w:pPr>
        <w:spacing w:after="0" w:line="2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0"/>
          <w:szCs w:val="10"/>
          <w:b w:val="1"/>
          <w:bCs w:val="1"/>
          <w:color w:val="auto"/>
        </w:rPr>
        <w:t>ption</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Please provide this information on the option being exercised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p>
      <w:pPr>
        <w:spacing w:after="0" w:line="18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Grant No.</w:t>
      </w:r>
    </w:p>
    <w:p>
      <w:pPr>
        <w:sectPr>
          <w:pgSz w:w="11900" w:h="16838" w:orient="portrait"/>
          <w:cols w:equalWidth="0" w:num="1">
            <w:col w:w="9019"/>
          </w:cols>
          <w:pgMar w:left="1440" w:top="795" w:right="1440" w:bottom="1440" w:gutter="0" w:footer="0" w:header="0"/>
        </w:sectPr>
      </w:pPr>
    </w:p>
    <w:p>
      <w:pPr>
        <w:spacing w:after="0" w:line="9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Date of Grant: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Type of Stock Option:</w:t>
      </w:r>
    </w:p>
    <w:p>
      <w:pPr>
        <w:spacing w:after="0" w:line="65" w:lineRule="exact"/>
        <w:rPr>
          <w:sz w:val="20"/>
          <w:szCs w:val="20"/>
          <w:color w:val="auto"/>
        </w:rPr>
      </w:pPr>
    </w:p>
    <w:p>
      <w:pPr>
        <w:sectPr>
          <w:pgSz w:w="11900" w:h="16838" w:orient="portrait"/>
          <w:cols w:equalWidth="0" w:num="2">
            <w:col w:w="5100" w:space="720"/>
            <w:col w:w="3199"/>
          </w:cols>
          <w:pgMar w:left="1440" w:top="795" w:right="1440" w:bottom="1440" w:gutter="0" w:footer="0" w:header="0"/>
          <w:type w:val="continuous"/>
        </w:sectPr>
      </w:pP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Option Price per Share: $____</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Nonqualified (NQSO)</w:t>
      </w:r>
    </w:p>
    <w:p>
      <w:pPr>
        <w:spacing w:after="0" w:line="65" w:lineRule="exact"/>
        <w:rPr>
          <w:sz w:val="20"/>
          <w:szCs w:val="20"/>
          <w:color w:val="auto"/>
        </w:rPr>
      </w:pPr>
    </w:p>
    <w:p>
      <w:pPr>
        <w:sectPr>
          <w:pgSz w:w="11900" w:h="16838" w:orient="portrait"/>
          <w:cols w:equalWidth="0" w:num="3">
            <w:col w:w="5100" w:space="720"/>
            <w:col w:w="140" w:space="120"/>
            <w:col w:w="2939"/>
          </w:cols>
          <w:pgMar w:left="1440" w:top="795" w:right="1440" w:bottom="1440" w:gutter="0" w:footer="0" w:header="0"/>
          <w:type w:val="continuous"/>
        </w:sectPr>
      </w:pP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Total number of shares of Common Stock of the Company subject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(ISO</w:t>
      </w:r>
    </w:p>
    <w:p>
      <w:pPr>
        <w:spacing w:after="0" w:line="23" w:lineRule="exact"/>
        <w:rPr>
          <w:sz w:val="20"/>
          <w:szCs w:val="20"/>
          <w:color w:val="auto"/>
        </w:rPr>
      </w:pPr>
    </w:p>
    <w:p>
      <w:pPr>
        <w:sectPr>
          <w:pgSz w:w="11900" w:h="16838" w:orient="portrait"/>
          <w:cols w:equalWidth="0" w:num="3">
            <w:col w:w="5320" w:space="500"/>
            <w:col w:w="140" w:space="120"/>
            <w:col w:w="2939"/>
          </w:cols>
          <w:pgMar w:left="1440" w:top="795" w:right="1440"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5"/>
          <w:szCs w:val="15"/>
          <w:color w:val="auto"/>
        </w:rPr>
        <w:t>to the Option:</w:t>
      </w:r>
    </w:p>
    <w:p>
      <w:pPr>
        <w:sectPr>
          <w:pgSz w:w="11900" w:h="16838" w:orient="portrait"/>
          <w:cols w:equalWidth="0" w:num="1">
            <w:col w:w="9019"/>
          </w:cols>
          <w:pgMar w:left="1440" w:top="795" w:right="1440" w:bottom="1440" w:gutter="0" w:footer="0" w:header="0"/>
          <w:type w:val="continuous"/>
        </w:sectPr>
      </w:pPr>
    </w:p>
    <w:p>
      <w:pPr>
        <w:spacing w:after="0" w:line="200" w:lineRule="exact"/>
        <w:rPr>
          <w:sz w:val="20"/>
          <w:szCs w:val="20"/>
          <w:color w:val="auto"/>
        </w:rPr>
      </w:pPr>
    </w:p>
    <w:p>
      <w:pPr>
        <w:spacing w:after="0" w:line="2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0"/>
          <w:szCs w:val="10"/>
          <w:b w:val="1"/>
          <w:bCs w:val="1"/>
          <w:color w:val="auto"/>
        </w:rPr>
        <w:t>xercise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w:t>
      </w:r>
    </w:p>
    <w:p>
      <w:pPr>
        <w:spacing w:after="0" w:line="178" w:lineRule="exact"/>
        <w:rPr>
          <w:sz w:val="20"/>
          <w:szCs w:val="20"/>
          <w:color w:val="auto"/>
        </w:rPr>
      </w:pPr>
    </w:p>
    <w:p>
      <w:pPr>
        <w:ind w:left="1220" w:right="1719"/>
        <w:spacing w:after="0" w:line="285" w:lineRule="auto"/>
        <w:rPr>
          <w:sz w:val="20"/>
          <w:szCs w:val="20"/>
          <w:color w:val="auto"/>
        </w:rPr>
      </w:pPr>
      <w:r>
        <w:rPr>
          <w:rFonts w:ascii="Times New Roman" w:cs="Times New Roman" w:eastAsia="Times New Roman" w:hAnsi="Times New Roman"/>
          <w:sz w:val="15"/>
          <w:szCs w:val="15"/>
          <w:color w:val="auto"/>
        </w:rPr>
        <w:t>Number of shares of Common Stock of the Company for which the Option is now being exercised [________________]. (These shares are referred to below as the “</w:t>
      </w:r>
      <w:r>
        <w:rPr>
          <w:rFonts w:ascii="Times New Roman" w:cs="Times New Roman" w:eastAsia="Times New Roman" w:hAnsi="Times New Roman"/>
          <w:sz w:val="15"/>
          <w:szCs w:val="15"/>
          <w:b w:val="1"/>
          <w:bCs w:val="1"/>
          <w:i w:val="1"/>
          <w:iCs w:val="1"/>
          <w:color w:val="auto"/>
        </w:rPr>
        <w:t>Purchased Shares</w:t>
      </w:r>
      <w:r>
        <w:rPr>
          <w:rFonts w:ascii="Times New Roman" w:cs="Times New Roman" w:eastAsia="Times New Roman" w:hAnsi="Times New Roman"/>
          <w:sz w:val="15"/>
          <w:szCs w:val="15"/>
          <w:color w:val="auto"/>
        </w:rPr>
        <w:t>.”)</w:t>
      </w:r>
    </w:p>
    <w:p>
      <w:pPr>
        <w:spacing w:after="0" w:line="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Total Exercise Price Being Paid for the Purchased Shares: $____________</w:t>
      </w:r>
    </w:p>
    <w:p>
      <w:pPr>
        <w:spacing w:after="0" w:line="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 xml:space="preserve">Form of payment enclosed </w:t>
      </w:r>
      <w:r>
        <w:rPr>
          <w:rFonts w:ascii="Times New Roman" w:cs="Times New Roman" w:eastAsia="Times New Roman" w:hAnsi="Times New Roman"/>
          <w:sz w:val="15"/>
          <w:szCs w:val="15"/>
          <w:b w:val="1"/>
          <w:bCs w:val="1"/>
          <w:i w:val="1"/>
          <w:iCs w:val="1"/>
          <w:color w:val="auto"/>
        </w:rPr>
        <w:t>[check all that apply]</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ind w:left="1480" w:hanging="256"/>
        <w:spacing w:after="0"/>
        <w:tabs>
          <w:tab w:leader="none" w:pos="1480" w:val="left"/>
        </w:tabs>
        <w:numPr>
          <w:ilvl w:val="0"/>
          <w:numId w:val="35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Check for $____________, payable to “</w:t>
      </w:r>
      <w:r>
        <w:rPr>
          <w:rFonts w:ascii="Times New Roman" w:cs="Times New Roman" w:eastAsia="Times New Roman" w:hAnsi="Times New Roman"/>
          <w:sz w:val="15"/>
          <w:szCs w:val="15"/>
          <w:b w:val="1"/>
          <w:bCs w:val="1"/>
          <w:i w:val="1"/>
          <w:iCs w:val="1"/>
          <w:color w:val="auto"/>
        </w:rPr>
        <w:t>Avalyn Pharma Inc.</w:t>
      </w:r>
      <w:r>
        <w:rPr>
          <w:rFonts w:ascii="Times New Roman" w:cs="Times New Roman" w:eastAsia="Times New Roman" w:hAnsi="Times New Roman"/>
          <w:sz w:val="15"/>
          <w:szCs w:val="15"/>
          <w:color w:val="auto"/>
        </w:rPr>
        <w:t>”</w:t>
      </w:r>
    </w:p>
    <w:p>
      <w:pPr>
        <w:spacing w:after="0" w:line="104" w:lineRule="exact"/>
        <w:rPr>
          <w:rFonts w:ascii="MS PGothic" w:cs="MS PGothic" w:eastAsia="MS PGothic" w:hAnsi="MS PGothic"/>
          <w:sz w:val="15"/>
          <w:szCs w:val="15"/>
          <w:color w:val="auto"/>
        </w:rPr>
      </w:pPr>
    </w:p>
    <w:p>
      <w:pPr>
        <w:ind w:left="1480" w:right="1239" w:hanging="256"/>
        <w:spacing w:after="0" w:line="285" w:lineRule="auto"/>
        <w:tabs>
          <w:tab w:leader="none" w:pos="1480" w:val="left"/>
        </w:tabs>
        <w:numPr>
          <w:ilvl w:val="0"/>
          <w:numId w:val="35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xml:space="preserve">Certificate(s) for ________________ shares of Common Stock of the Company. These shares will be valued as of the date this notice is received by the Company. </w:t>
      </w:r>
      <w:r>
        <w:rPr>
          <w:rFonts w:ascii="Times New Roman" w:cs="Times New Roman" w:eastAsia="Times New Roman" w:hAnsi="Times New Roman"/>
          <w:sz w:val="15"/>
          <w:szCs w:val="15"/>
          <w:b w:val="1"/>
          <w:bCs w:val="1"/>
          <w:i w:val="1"/>
          <w:iCs w:val="1"/>
          <w:color w:val="auto"/>
        </w:rPr>
        <w:t>[Requires Company consent.]</w:t>
      </w:r>
    </w:p>
    <w:p>
      <w:pPr>
        <w:spacing w:after="0" w:line="27" w:lineRule="exact"/>
        <w:rPr>
          <w:rFonts w:ascii="MS PGothic" w:cs="MS PGothic" w:eastAsia="MS PGothic" w:hAnsi="MS PGothic"/>
          <w:sz w:val="15"/>
          <w:szCs w:val="15"/>
          <w:color w:val="auto"/>
        </w:rPr>
      </w:pPr>
    </w:p>
    <w:p>
      <w:pPr>
        <w:ind w:left="1480" w:hanging="256"/>
        <w:spacing w:after="0"/>
        <w:tabs>
          <w:tab w:leader="none" w:pos="1480" w:val="left"/>
        </w:tabs>
        <w:numPr>
          <w:ilvl w:val="0"/>
          <w:numId w:val="35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Automated Clearing House (“</w:t>
      </w:r>
      <w:r>
        <w:rPr>
          <w:rFonts w:ascii="Times New Roman" w:cs="Times New Roman" w:eastAsia="Times New Roman" w:hAnsi="Times New Roman"/>
          <w:sz w:val="15"/>
          <w:szCs w:val="15"/>
          <w:b w:val="1"/>
          <w:bCs w:val="1"/>
          <w:i w:val="1"/>
          <w:iCs w:val="1"/>
          <w:color w:val="auto"/>
        </w:rPr>
        <w:t>ACH</w:t>
      </w:r>
      <w:r>
        <w:rPr>
          <w:rFonts w:ascii="Times New Roman" w:cs="Times New Roman" w:eastAsia="Times New Roman" w:hAnsi="Times New Roman"/>
          <w:sz w:val="15"/>
          <w:szCs w:val="15"/>
          <w:color w:val="auto"/>
        </w:rPr>
        <w:t>”) transfer in the amount of $___________.</w:t>
      </w:r>
    </w:p>
    <w:p>
      <w:pPr>
        <w:spacing w:after="0" w:line="290"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greements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0"/>
          <w:szCs w:val="10"/>
          <w:b w:val="1"/>
          <w:bCs w:val="1"/>
          <w:color w:val="auto"/>
        </w:rPr>
        <w:t>epresentations and</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0"/>
          <w:szCs w:val="10"/>
          <w:b w:val="1"/>
          <w:bCs w:val="1"/>
          <w:color w:val="auto"/>
        </w:rPr>
        <w:t>cknowledgments of</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0"/>
          <w:szCs w:val="10"/>
          <w:b w:val="1"/>
          <w:bCs w:val="1"/>
          <w:color w:val="auto"/>
        </w:rPr>
        <w:t>ptionee</w:t>
      </w:r>
      <w:r>
        <w:rPr>
          <w:rFonts w:ascii="Times New Roman" w:cs="Times New Roman" w:eastAsia="Times New Roman" w:hAnsi="Times New Roman"/>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By signing this Stock Option</w:t>
      </w:r>
    </w:p>
    <w:p>
      <w:pPr>
        <w:spacing w:after="0" w:line="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Exercise Notice and Agreement, Optionee hereby agrees with, and represents to, the Company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685800</wp:posOffset>
            </wp:positionV>
            <wp:extent cx="5485765" cy="3873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5" w:right="1440" w:bottom="1440" w:gutter="0" w:footer="0" w:header="0"/>
          <w:type w:val="continuous"/>
        </w:sectPr>
      </w:pPr>
    </w:p>
    <w:bookmarkStart w:id="441" w:name="page442"/>
    <w:bookmarkEnd w:id="441"/>
    <w:p>
      <w:pPr>
        <w:jc w:val="right"/>
        <w:ind w:right="1239"/>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328"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Terms Governing. </w:t>
      </w:r>
      <w:r>
        <w:rPr>
          <w:rFonts w:ascii="Times New Roman" w:cs="Times New Roman" w:eastAsia="Times New Roman" w:hAnsi="Times New Roman"/>
          <w:sz w:val="15"/>
          <w:szCs w:val="15"/>
          <w:color w:val="auto"/>
        </w:rPr>
        <w:t>I acknowledge and agree with the Company that I am acquiring the Purchased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exercise of this Option subject to all other terms and conditions of the Notice of Stock Option Grant and the Stock Option Agreement that govern the Option, including without limitation the terms of the Company’s 2022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Investment Intent; Securities Law Restrictions. </w:t>
      </w:r>
      <w:r>
        <w:rPr>
          <w:rFonts w:ascii="Times New Roman" w:cs="Times New Roman" w:eastAsia="Times New Roman" w:hAnsi="Times New Roman"/>
          <w:sz w:val="15"/>
          <w:szCs w:val="15"/>
          <w:color w:val="auto"/>
        </w:rPr>
        <w:t>I represent and warrant to the Company that I am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acquiring and will hold the Purchased Shares 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134"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Restrictions on Transfer: Rule 144. </w:t>
      </w:r>
      <w:r>
        <w:rPr>
          <w:rFonts w:ascii="Times New Roman" w:cs="Times New Roman" w:eastAsia="Times New Roman" w:hAnsi="Times New Roman"/>
          <w:sz w:val="15"/>
          <w:szCs w:val="15"/>
          <w:color w:val="auto"/>
        </w:rPr>
        <w:t>I will not sell, transfer or otherwise dispose of the Purchased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in violation of the Securities Act, the Securities Exchange Act of 1934, or the rules promulgated thereunder (including Rule 144 under the Securities Act described below (“</w:t>
      </w:r>
      <w:r>
        <w:rPr>
          <w:rFonts w:ascii="Times New Roman" w:cs="Times New Roman" w:eastAsia="Times New Roman" w:hAnsi="Times New Roman"/>
          <w:sz w:val="15"/>
          <w:szCs w:val="15"/>
          <w:b w:val="1"/>
          <w:bCs w:val="1"/>
          <w:i w:val="1"/>
          <w:iCs w:val="1"/>
          <w:color w:val="auto"/>
        </w:rPr>
        <w:t>Rule 144</w:t>
      </w:r>
      <w:r>
        <w:rPr>
          <w:rFonts w:ascii="Times New Roman" w:cs="Times New Roman" w:eastAsia="Times New Roman" w:hAnsi="Times New Roman"/>
          <w:sz w:val="15"/>
          <w:szCs w:val="15"/>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316" w:lineRule="exact"/>
        <w:rPr>
          <w:sz w:val="20"/>
          <w:szCs w:val="20"/>
          <w:color w:val="auto"/>
        </w:rPr>
      </w:pPr>
    </w:p>
    <w:p>
      <w:pPr>
        <w:jc w:val="both"/>
        <w:ind w:left="1220" w:right="123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Access to Information; Understanding of Risk in Investment. </w:t>
      </w:r>
      <w:r>
        <w:rPr>
          <w:rFonts w:ascii="Times New Roman" w:cs="Times New Roman" w:eastAsia="Times New Roman" w:hAnsi="Times New Roman"/>
          <w:sz w:val="15"/>
          <w:szCs w:val="15"/>
          <w:color w:val="auto"/>
        </w:rPr>
        <w:t>I acknowledge that I have received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136"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Rights of First Refusal; Repurchase Options; Market Stand-off. </w:t>
      </w:r>
      <w:r>
        <w:rPr>
          <w:rFonts w:ascii="Times New Roman" w:cs="Times New Roman" w:eastAsia="Times New Roman" w:hAnsi="Times New Roman"/>
          <w:sz w:val="15"/>
          <w:szCs w:val="15"/>
          <w:color w:val="auto"/>
        </w:rPr>
        <w:t>I acknowledge that the Purchased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remain subject to the Company’s Right of First Refusal, the Company’s Repurchase Option (with respect to unvested Purchased Shares) and the market stand-off covenants (sometimes referred to as the “lock-up”), all in accordance with the applicable Notice of Stock Option Grant and the Stock Option Agreement that govern the Option</w:t>
      </w:r>
    </w:p>
    <w:p>
      <w:pPr>
        <w:spacing w:after="0" w:line="131" w:lineRule="exact"/>
        <w:rPr>
          <w:sz w:val="20"/>
          <w:szCs w:val="20"/>
          <w:color w:val="auto"/>
        </w:rPr>
      </w:pPr>
    </w:p>
    <w:p>
      <w:pPr>
        <w:jc w:val="both"/>
        <w:ind w:left="1220" w:right="123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Restrictions on Transfer: Bylaws. </w:t>
      </w:r>
      <w:r>
        <w:rPr>
          <w:rFonts w:ascii="Times New Roman" w:cs="Times New Roman" w:eastAsia="Times New Roman" w:hAnsi="Times New Roman"/>
          <w:sz w:val="15"/>
          <w:szCs w:val="15"/>
          <w:color w:val="auto"/>
        </w:rPr>
        <w:t>I acknowledge that the Purchased Shares will be subject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restrictions on transferability and resale set forth in the Company’s Bylaws as currently in effect.</w:t>
      </w:r>
    </w:p>
    <w:p>
      <w:pPr>
        <w:spacing w:after="0" w:line="107"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Form of Ownership. </w:t>
      </w:r>
      <w:r>
        <w:rPr>
          <w:rFonts w:ascii="Times New Roman" w:cs="Times New Roman" w:eastAsia="Times New Roman" w:hAnsi="Times New Roman"/>
          <w:sz w:val="15"/>
          <w:szCs w:val="15"/>
          <w:color w:val="auto"/>
        </w:rPr>
        <w:t>I acknowledge that the Company has encouraged me to consult my own adviser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determine the form of ownership of the 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2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442" w:name="page443"/>
    <w:bookmarkEnd w:id="442"/>
    <w:p>
      <w:pPr>
        <w:jc w:val="right"/>
        <w:ind w:right="1239"/>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328" w:lineRule="exact"/>
        <w:rPr>
          <w:sz w:val="20"/>
          <w:szCs w:val="20"/>
          <w:color w:val="auto"/>
        </w:rPr>
      </w:pPr>
    </w:p>
    <w:p>
      <w:pPr>
        <w:jc w:val="both"/>
        <w:ind w:left="1220" w:right="123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Investigation of Tax Consequences. </w:t>
      </w:r>
      <w:r>
        <w:rPr>
          <w:rFonts w:ascii="Times New Roman" w:cs="Times New Roman" w:eastAsia="Times New Roman" w:hAnsi="Times New Roman"/>
          <w:sz w:val="15"/>
          <w:szCs w:val="15"/>
          <w:color w:val="auto"/>
        </w:rPr>
        <w:t>I acknowledge that the Company has encouraged me to consult my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own adviser to determine the tax consequences of acquiring the Purchased Shares at this time.</w:t>
      </w:r>
    </w:p>
    <w:p>
      <w:pPr>
        <w:spacing w:after="0" w:line="107" w:lineRule="exact"/>
        <w:rPr>
          <w:sz w:val="20"/>
          <w:szCs w:val="20"/>
          <w:color w:val="auto"/>
        </w:rPr>
      </w:pPr>
    </w:p>
    <w:p>
      <w:pPr>
        <w:jc w:val="both"/>
        <w:ind w:left="1220" w:right="123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Other Tax Matters. </w:t>
      </w:r>
      <w:r>
        <w:rPr>
          <w:rFonts w:ascii="Times New Roman" w:cs="Times New Roman" w:eastAsia="Times New Roman" w:hAnsi="Times New Roman"/>
          <w:sz w:val="15"/>
          <w:szCs w:val="15"/>
          <w:color w:val="auto"/>
        </w:rPr>
        <w:t>I agree that the Company does not have a duty to design or administer the Plan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its other compensation programs in a 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 Directors, officers or employees in the event that the Internal Revenue Service asserts that the valuation was too low.</w:t>
      </w:r>
    </w:p>
    <w:p>
      <w:pPr>
        <w:spacing w:after="0" w:line="320" w:lineRule="exact"/>
        <w:rPr>
          <w:sz w:val="20"/>
          <w:szCs w:val="20"/>
          <w:color w:val="auto"/>
        </w:rPr>
      </w:pPr>
    </w:p>
    <w:p>
      <w:pPr>
        <w:jc w:val="both"/>
        <w:ind w:left="1220" w:right="123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Spouse Consent. </w:t>
      </w:r>
      <w:r>
        <w:rPr>
          <w:rFonts w:ascii="Times New Roman" w:cs="Times New Roman" w:eastAsia="Times New Roman" w:hAnsi="Times New Roman"/>
          <w:sz w:val="15"/>
          <w:szCs w:val="15"/>
          <w:color w:val="auto"/>
        </w:rPr>
        <w:t>I agree to seek the consent of my spouse to the extent required by the Company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enforce the foregoing.</w:t>
      </w:r>
    </w:p>
    <w:p>
      <w:pPr>
        <w:spacing w:after="0" w:line="107"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Agreement to Enter into Company Co-Sale Agreement and Company Voting Agreement. </w:t>
      </w:r>
      <w:r>
        <w:rPr>
          <w:rFonts w:ascii="Times New Roman" w:cs="Times New Roman" w:eastAsia="Times New Roman" w:hAnsi="Times New Roman"/>
          <w:sz w:val="15"/>
          <w:szCs w:val="15"/>
          <w:color w:val="auto"/>
        </w:rPr>
        <w:t>Pursuant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Stock Option Agreement, if requested to do so by the Company, I agree to enter into and execute the then-current Company Co-Sale Agreement and/or the then-current Company Voting Agreement concurrently with my exercise of the Option or at any other time I am requested to do so by the Company. I acknowledge that by entering into the Company Co-Sale Agreement I will be subjecting the Purchased Shares to the rights of first refusal, co-sale rights and all the other provisions of the Company Co-Sale Agreement and that by entering into the Voting Agreement I will be subjected to voting and other obligations and covenants regarding all Company shares I own and all other provisions of the Company Voting Agreement, in addition to the right of first refusal, repurchase option and market stand-off provisions described above.</w:t>
      </w:r>
    </w:p>
    <w:p>
      <w:pPr>
        <w:spacing w:after="0" w:line="137"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Tax Withholding. </w:t>
      </w:r>
      <w:r>
        <w:rPr>
          <w:rFonts w:ascii="Times New Roman" w:cs="Times New Roman" w:eastAsia="Times New Roman" w:hAnsi="Times New Roman"/>
          <w:sz w:val="15"/>
          <w:szCs w:val="15"/>
          <w:color w:val="auto"/>
        </w:rPr>
        <w:t>As a condition of exercising this Option, I agree to make adequate provision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foreign, federal, state or other tax withholding obligations, if any, which arise upon the grant, vesting or exercise of this Option, or disposition of the Purchased Shares, whether by withholding, direct payment to the Company, or otherwise.</w:t>
      </w:r>
    </w:p>
    <w:p>
      <w:pPr>
        <w:spacing w:after="0" w:line="130"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5"/>
          <w:szCs w:val="15"/>
          <w:b w:val="1"/>
          <w:bCs w:val="1"/>
          <w:u w:val="single" w:color="auto"/>
          <w:color w:val="auto"/>
        </w:rPr>
        <w:t>IMPORTANT NOTE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UNVESTED PURCHASED SHARES ARE SUBJECT TO REPURCHASE BY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PLEASE CONSULT WITH YOUR TAX ADVISER CONCERNING THE ADVISABILITY OF FILING AN 83(b) ELECTION WITH THE INTERNAL REVENUE SERVICE WHICH MUST BE FILED WITHIN THIRTY (30) DAYS AFTER THE PURCHASE OF SHARES TO BE EFFECTIVE.</w:t>
      </w:r>
    </w:p>
    <w:p>
      <w:pPr>
        <w:spacing w:after="0" w:line="131"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A form of Election under Section 83(b) is attached hereto as </w:t>
      </w:r>
      <w:r>
        <w:rPr>
          <w:rFonts w:ascii="Times New Roman" w:cs="Times New Roman" w:eastAsia="Times New Roman" w:hAnsi="Times New Roman"/>
          <w:sz w:val="15"/>
          <w:szCs w:val="15"/>
          <w:b w:val="1"/>
          <w:bCs w:val="1"/>
          <w:u w:val="single" w:color="auto"/>
          <w:color w:val="auto"/>
        </w:rPr>
        <w:t>Exhibit 1</w:t>
      </w:r>
      <w:r>
        <w:rPr>
          <w:rFonts w:ascii="Times New Roman" w:cs="Times New Roman" w:eastAsia="Times New Roman" w:hAnsi="Times New Roman"/>
          <w:sz w:val="15"/>
          <w:szCs w:val="15"/>
          <w:b w:val="1"/>
          <w:bCs w:val="1"/>
          <w:color w:val="auto"/>
        </w:rPr>
        <w:t xml:space="preserve"> for reference. Unless an 83(b) election is timely filed with the Internal Revenue Service (and, if necessary, the proper state taxing authorities), electing pursuant to Section 83(b) of the Internal Revenue Code (and similar state tax provisions, if applicable) to be taxed currently on any difference between the purchase price of the Unvested Purchased Shares and their fair market value on the date of purchase, there may be a recognition of taxable income (including, where applicable, alternative minimum taxable income) to you, measured by the excess, if any, of the Fair Market Value of the Unvested Purchased Shares at the time they cease to be Unvested Purchased Shares, over the purchase price of the Unvested Purchased Shares.</w:t>
      </w: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443" w:name="page444"/>
    <w:bookmarkEnd w:id="443"/>
    <w:p>
      <w:pPr>
        <w:jc w:val="right"/>
        <w:ind w:right="1239"/>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332" w:lineRule="exact"/>
        <w:rPr>
          <w:sz w:val="20"/>
          <w:szCs w:val="20"/>
          <w:color w:val="auto"/>
        </w:rPr>
      </w:pPr>
    </w:p>
    <w:p>
      <w:pPr>
        <w:jc w:val="both"/>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The undersigned hereby executes and delivers this Stock Option Exercise Notice and Agreement and agrees to be bound by its terms.</w:t>
      </w:r>
    </w:p>
    <w:p>
      <w:pPr>
        <w:spacing w:after="0" w:line="133" w:lineRule="exact"/>
        <w:rPr>
          <w:sz w:val="20"/>
          <w:szCs w:val="20"/>
          <w:color w:val="auto"/>
        </w:rPr>
      </w:pPr>
    </w:p>
    <w:p>
      <w:pPr>
        <w:ind w:left="1220"/>
        <w:spacing w:after="0"/>
        <w:tabs>
          <w:tab w:leader="none" w:pos="5280" w:val="left"/>
        </w:tabs>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0"/>
          <w:szCs w:val="10"/>
          <w:b w:val="1"/>
          <w:bCs w:val="1"/>
          <w:color w:val="auto"/>
        </w:rPr>
        <w:t>ignature</w:t>
      </w:r>
      <w:r>
        <w:rPr>
          <w:rFonts w:ascii="Times New Roman" w:cs="Times New Roman" w:eastAsia="Times New Roman" w:hAnsi="Times New Roman"/>
          <w:sz w:val="15"/>
          <w:szCs w:val="15"/>
          <w:b w:val="1"/>
          <w:bCs w:val="1"/>
          <w:color w:val="auto"/>
        </w:rPr>
        <w:t>:</w:t>
      </w:r>
      <w:r>
        <w:rPr>
          <w:sz w:val="20"/>
          <w:szCs w:val="20"/>
          <w:color w:val="auto"/>
        </w:rPr>
        <w:tab/>
      </w: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0"/>
          <w:szCs w:val="10"/>
          <w:b w:val="1"/>
          <w:bCs w:val="1"/>
          <w:color w:val="auto"/>
        </w:rPr>
        <w:t>ate</w:t>
      </w:r>
      <w:r>
        <w:rPr>
          <w:rFonts w:ascii="Times New Roman" w:cs="Times New Roman" w:eastAsia="Times New Roman" w:hAnsi="Times New Roman"/>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243840</wp:posOffset>
            </wp:positionV>
            <wp:extent cx="4165600" cy="698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444" w:name="page445"/>
    <w:bookmarkEnd w:id="444"/>
    <w:p>
      <w:pPr>
        <w:jc w:val="right"/>
        <w:ind w:right="1239"/>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3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Optionee’s Name:</w:t>
      </w:r>
    </w:p>
    <w:p>
      <w:pPr>
        <w:spacing w:after="0" w:line="17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Attachments:</w:t>
      </w:r>
    </w:p>
    <w:p>
      <w:pPr>
        <w:spacing w:after="0" w:line="17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 xml:space="preserve">Exhibit 1 </w:t>
      </w:r>
      <w:r>
        <w:rPr>
          <w:rFonts w:ascii="Times New Roman" w:cs="Times New Roman" w:eastAsia="Times New Roman" w:hAnsi="Times New Roman"/>
          <w:sz w:val="15"/>
          <w:szCs w:val="15"/>
          <w:color w:val="auto"/>
        </w:rPr>
        <w:t>– Section 83(b) Election Form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 Page to Stock Option Exercise Notice and Agreement]</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6" w:right="1440" w:bottom="1440" w:gutter="0" w:footer="0" w:header="0"/>
        </w:sectPr>
      </w:pPr>
    </w:p>
    <w:bookmarkStart w:id="445" w:name="page446"/>
    <w:bookmarkEnd w:id="445"/>
    <w:p>
      <w:pPr>
        <w:jc w:val="right"/>
        <w:ind w:right="1239"/>
        <w:spacing w:after="0"/>
        <w:rPr>
          <w:sz w:val="20"/>
          <w:szCs w:val="20"/>
          <w:color w:val="auto"/>
        </w:rPr>
      </w:pPr>
      <w:r>
        <w:rPr>
          <w:rFonts w:ascii="Times New Roman" w:cs="Times New Roman" w:eastAsia="Times New Roman" w:hAnsi="Times New Roman"/>
          <w:sz w:val="15"/>
          <w:szCs w:val="15"/>
          <w:u w:val="single" w:color="auto"/>
          <w:color w:val="auto"/>
        </w:rPr>
        <w:t>EARLY EXERCISE FORM</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1</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SECTION 83(b) 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698500</wp:posOffset>
            </wp:positionV>
            <wp:extent cx="5485765" cy="3873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5" w:right="1440" w:bottom="1440" w:gutter="0" w:footer="0" w:header="0"/>
        </w:sectPr>
      </w:pPr>
    </w:p>
    <w:bookmarkStart w:id="446" w:name="page447"/>
    <w:bookmarkEnd w:id="446"/>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ELECTION UNDER SECTION 83(b) OF THE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INTERNAL REVENUE CODE</w:t>
      </w:r>
    </w:p>
    <w:p>
      <w:pPr>
        <w:spacing w:after="0" w:line="158" w:lineRule="exact"/>
        <w:rPr>
          <w:sz w:val="20"/>
          <w:szCs w:val="20"/>
          <w:color w:val="auto"/>
        </w:rPr>
      </w:pPr>
    </w:p>
    <w:p>
      <w:pPr>
        <w:jc w:val="both"/>
        <w:ind w:left="1220" w:right="1239"/>
        <w:spacing w:after="0" w:line="256" w:lineRule="auto"/>
        <w:rPr>
          <w:sz w:val="20"/>
          <w:szCs w:val="20"/>
          <w:color w:val="auto"/>
        </w:rPr>
      </w:pPr>
      <w:r>
        <w:rPr>
          <w:rFonts w:ascii="Times New Roman" w:cs="Times New Roman" w:eastAsia="Times New Roman" w:hAnsi="Times New Roman"/>
          <w:sz w:val="15"/>
          <w:szCs w:val="15"/>
          <w:color w:val="auto"/>
        </w:rPr>
        <w:t>The undersigned Taxpayer hereby elects, pursuant to Section 83(b) of the Internal Revenue Code of 1986, as amended, to include the excess, if any, of the fair market value of the property described below at the time of transfer over the amount paid for such property, as compensation for services in the calculation of:</w:t>
      </w:r>
    </w:p>
    <w:p>
      <w:pPr>
        <w:ind w:left="1220" w:right="1239" w:firstLine="4"/>
        <w:spacing w:after="0" w:line="263" w:lineRule="auto"/>
        <w:tabs>
          <w:tab w:leader="none" w:pos="1448" w:val="left"/>
        </w:tabs>
        <w:numPr>
          <w:ilvl w:val="0"/>
          <w:numId w:val="3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regular gross income; (2) alternative minimum taxable income; or (3) disqualifying disposition gross income, as the case may be.</w:t>
      </w:r>
    </w:p>
    <w:p>
      <w:pPr>
        <w:spacing w:after="0" w:line="153" w:lineRule="exact"/>
        <w:rPr>
          <w:sz w:val="20"/>
          <w:szCs w:val="20"/>
          <w:color w:val="auto"/>
        </w:rPr>
      </w:pPr>
    </w:p>
    <w:p>
      <w:pPr>
        <w:ind w:left="1740" w:right="5519" w:hanging="516"/>
        <w:spacing w:after="0" w:line="563" w:lineRule="auto"/>
        <w:tabs>
          <w:tab w:leader="none" w:pos="1740" w:val="left"/>
        </w:tabs>
        <w:numPr>
          <w:ilvl w:val="0"/>
          <w:numId w:val="354"/>
        </w:numPr>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TAXPAYER’S NAME: TAXPAYER’S ADDRESS:</w:t>
      </w:r>
    </w:p>
    <w:p>
      <w:pPr>
        <w:spacing w:after="0" w:line="147" w:lineRule="exact"/>
        <w:rPr>
          <w:rFonts w:ascii="Times New Roman" w:cs="Times New Roman" w:eastAsia="Times New Roman" w:hAnsi="Times New Roman"/>
          <w:sz w:val="14"/>
          <w:szCs w:val="14"/>
          <w:color w:val="auto"/>
        </w:rPr>
      </w:pPr>
    </w:p>
    <w:p>
      <w:pPr>
        <w:ind w:left="17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5"/>
          <w:szCs w:val="15"/>
          <w:color w:val="auto"/>
        </w:rPr>
        <w:t>SOCIAL SECURITY NUMBER:</w:t>
      </w:r>
    </w:p>
    <w:p>
      <w:pPr>
        <w:spacing w:after="0" w:line="226" w:lineRule="exact"/>
        <w:rPr>
          <w:rFonts w:ascii="Times New Roman" w:cs="Times New Roman" w:eastAsia="Times New Roman" w:hAnsi="Times New Roman"/>
          <w:sz w:val="14"/>
          <w:szCs w:val="14"/>
          <w:color w:val="auto"/>
        </w:rPr>
      </w:pPr>
    </w:p>
    <w:p>
      <w:pPr>
        <w:jc w:val="both"/>
        <w:ind w:left="1720" w:right="1239" w:hanging="496"/>
        <w:spacing w:after="0" w:line="249" w:lineRule="auto"/>
        <w:tabs>
          <w:tab w:leader="none" w:pos="17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property with respect to which the election is made is described as follows: _______ shares of Common Stock, par value $0.001 per share, of Avalyn Pharma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which were transferred upon exercise of an option by the Company, which is Taxpayer’s employer or the corporation for whom Taxpayer performs services.</w:t>
      </w:r>
    </w:p>
    <w:p>
      <w:pPr>
        <w:spacing w:after="0" w:line="153" w:lineRule="exact"/>
        <w:rPr>
          <w:rFonts w:ascii="Times New Roman" w:cs="Times New Roman" w:eastAsia="Times New Roman" w:hAnsi="Times New Roman"/>
          <w:sz w:val="17"/>
          <w:szCs w:val="17"/>
          <w:color w:val="auto"/>
        </w:rPr>
      </w:pPr>
    </w:p>
    <w:p>
      <w:pPr>
        <w:ind w:left="1720" w:hanging="496"/>
        <w:spacing w:after="0"/>
        <w:tabs>
          <w:tab w:leader="none" w:pos="17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date on which the shares were transferred was pursuant to the exercise of the option was</w:t>
      </w:r>
    </w:p>
    <w:p>
      <w:pPr>
        <w:ind w:left="1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____________________, _____ and this election is made for calendar year ____.</w:t>
      </w:r>
    </w:p>
    <w:p>
      <w:pPr>
        <w:spacing w:after="0" w:line="168" w:lineRule="exact"/>
        <w:rPr>
          <w:rFonts w:ascii="Times New Roman" w:cs="Times New Roman" w:eastAsia="Times New Roman" w:hAnsi="Times New Roman"/>
          <w:sz w:val="17"/>
          <w:szCs w:val="17"/>
          <w:color w:val="auto"/>
        </w:rPr>
      </w:pPr>
    </w:p>
    <w:p>
      <w:pPr>
        <w:jc w:val="both"/>
        <w:ind w:left="1720" w:right="1239" w:hanging="496"/>
        <w:spacing w:after="0" w:line="250" w:lineRule="auto"/>
        <w:tabs>
          <w:tab w:leader="none" w:pos="17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shares received upon exercise of the option are subject to the following restrictions: The Company may repurchase all or a portion of the shares at Taxpayer’s original purchase price per share, under certain conditions at the time of Taxpayer’s termination of employment or services.</w:t>
      </w:r>
    </w:p>
    <w:p>
      <w:pPr>
        <w:spacing w:after="0" w:line="151" w:lineRule="exact"/>
        <w:rPr>
          <w:rFonts w:ascii="Times New Roman" w:cs="Times New Roman" w:eastAsia="Times New Roman" w:hAnsi="Times New Roman"/>
          <w:sz w:val="17"/>
          <w:szCs w:val="17"/>
          <w:color w:val="auto"/>
        </w:rPr>
      </w:pPr>
    </w:p>
    <w:p>
      <w:pPr>
        <w:jc w:val="both"/>
        <w:ind w:left="1720" w:right="1239" w:hanging="496"/>
        <w:spacing w:after="0" w:line="250" w:lineRule="auto"/>
        <w:tabs>
          <w:tab w:leader="none" w:pos="17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fair market value of the shares (without regard to restrictions other than restrictions which by their terms will never lapse) was $_____ per share x _______ shares = $_______ at the time of exercise of the option.</w:t>
      </w:r>
    </w:p>
    <w:p>
      <w:pPr>
        <w:spacing w:after="0" w:line="151" w:lineRule="exact"/>
        <w:rPr>
          <w:rFonts w:ascii="Times New Roman" w:cs="Times New Roman" w:eastAsia="Times New Roman" w:hAnsi="Times New Roman"/>
          <w:sz w:val="17"/>
          <w:szCs w:val="17"/>
          <w:color w:val="auto"/>
        </w:rPr>
      </w:pPr>
    </w:p>
    <w:p>
      <w:pPr>
        <w:ind w:left="1720" w:hanging="496"/>
        <w:spacing w:after="0"/>
        <w:tabs>
          <w:tab w:leader="none" w:pos="17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amount paid for such shares upon exercise of the option was $____ per share x ________</w:t>
      </w:r>
    </w:p>
    <w:p>
      <w:pPr>
        <w:ind w:left="1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shares = $________.</w:t>
      </w:r>
    </w:p>
    <w:p>
      <w:pPr>
        <w:spacing w:after="0" w:line="168" w:lineRule="exact"/>
        <w:rPr>
          <w:rFonts w:ascii="Times New Roman" w:cs="Times New Roman" w:eastAsia="Times New Roman" w:hAnsi="Times New Roman"/>
          <w:sz w:val="17"/>
          <w:szCs w:val="17"/>
          <w:color w:val="auto"/>
        </w:rPr>
      </w:pPr>
    </w:p>
    <w:p>
      <w:pPr>
        <w:ind w:left="1720" w:hanging="496"/>
        <w:spacing w:after="0"/>
        <w:tabs>
          <w:tab w:leader="none" w:pos="17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Taxpayer has submitted a copy of this statement to the Company.</w:t>
      </w:r>
    </w:p>
    <w:p>
      <w:pPr>
        <w:spacing w:after="0" w:line="161" w:lineRule="exact"/>
        <w:rPr>
          <w:rFonts w:ascii="Times New Roman" w:cs="Times New Roman" w:eastAsia="Times New Roman" w:hAnsi="Times New Roman"/>
          <w:sz w:val="17"/>
          <w:szCs w:val="17"/>
          <w:color w:val="auto"/>
        </w:rPr>
      </w:pPr>
    </w:p>
    <w:p>
      <w:pPr>
        <w:ind w:left="1720" w:right="1239" w:hanging="496"/>
        <w:spacing w:after="0" w:line="253" w:lineRule="auto"/>
        <w:tabs>
          <w:tab w:leader="none" w:pos="1720" w:val="left"/>
        </w:tabs>
        <w:numPr>
          <w:ilvl w:val="0"/>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color w:val="auto"/>
        </w:rPr>
        <w:t>The amount to include in gross income is $______________. [The result of the amount reported in Item 5 minus the amount reported in Item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2616200</wp:posOffset>
            </wp:positionH>
            <wp:positionV relativeFrom="paragraph">
              <wp:posOffset>-3359150</wp:posOffset>
            </wp:positionV>
            <wp:extent cx="2329815" cy="698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2329815" cy="6985"/>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-3119120</wp:posOffset>
            </wp:positionV>
            <wp:extent cx="2329815" cy="698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2329815" cy="6985"/>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-2992120</wp:posOffset>
            </wp:positionV>
            <wp:extent cx="2329815" cy="698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2329815" cy="6985"/>
                    </a:xfrm>
                    <a:prstGeom prst="rect">
                      <a:avLst/>
                    </a:prstGeom>
                    <a:noFill/>
                  </pic:spPr>
                </pic:pic>
              </a:graphicData>
            </a:graphic>
          </wp:anchor>
        </w:drawing>
        <w:drawing>
          <wp:anchor simplePos="0" relativeHeight="251657728" behindDoc="1" locked="0" layoutInCell="0" allowOverlap="1">
            <wp:simplePos x="0" y="0"/>
            <wp:positionH relativeFrom="column">
              <wp:posOffset>2616200</wp:posOffset>
            </wp:positionH>
            <wp:positionV relativeFrom="paragraph">
              <wp:posOffset>-2751455</wp:posOffset>
            </wp:positionV>
            <wp:extent cx="2329815" cy="698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2329815" cy="6985"/>
                    </a:xfrm>
                    <a:prstGeom prst="rect">
                      <a:avLst/>
                    </a:prstGeom>
                    <a:noFill/>
                  </pic:spPr>
                </pic:pic>
              </a:graphicData>
            </a:graphic>
          </wp:anchor>
        </w:drawing>
      </w:r>
    </w:p>
    <w:p>
      <w:pPr>
        <w:spacing w:after="0" w:line="114"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5"/>
          <w:szCs w:val="15"/>
          <w:i w:val="1"/>
          <w:iCs w:val="1"/>
          <w:color w:val="auto"/>
        </w:rPr>
        <w:t>THIS ELECTION MUST BE FILED WITH THE INTERNAL REVENUE SERVICE (“</w:t>
      </w:r>
      <w:r>
        <w:rPr>
          <w:rFonts w:ascii="Times New Roman" w:cs="Times New Roman" w:eastAsia="Times New Roman" w:hAnsi="Times New Roman"/>
          <w:sz w:val="15"/>
          <w:szCs w:val="15"/>
          <w:b w:val="1"/>
          <w:bCs w:val="1"/>
          <w:i w:val="1"/>
          <w:iCs w:val="1"/>
          <w:color w:val="auto"/>
        </w:rPr>
        <w:t>IRS</w:t>
      </w:r>
      <w:r>
        <w:rPr>
          <w:rFonts w:ascii="Times New Roman" w:cs="Times New Roman" w:eastAsia="Times New Roman" w:hAnsi="Times New Roman"/>
          <w:sz w:val="15"/>
          <w:szCs w:val="15"/>
          <w:i w:val="1"/>
          <w:iCs w:val="1"/>
          <w:color w:val="auto"/>
        </w:rPr>
        <w:t xml:space="preserve">”), AT THE OFFICE WHERE TAXPAYER FILES ANNUAL INCOME TAX RETURNS, </w:t>
      </w:r>
      <w:r>
        <w:rPr>
          <w:rFonts w:ascii="Times New Roman" w:cs="Times New Roman" w:eastAsia="Times New Roman" w:hAnsi="Times New Roman"/>
          <w:sz w:val="15"/>
          <w:szCs w:val="15"/>
          <w:i w:val="1"/>
          <w:iCs w:val="1"/>
          <w:u w:val="single" w:color="auto"/>
          <w:color w:val="auto"/>
        </w:rPr>
        <w:t>WITHIN 30 DAYS</w:t>
      </w:r>
      <w:r>
        <w:rPr>
          <w:rFonts w:ascii="Times New Roman" w:cs="Times New Roman" w:eastAsia="Times New Roman" w:hAnsi="Times New Roman"/>
          <w:sz w:val="15"/>
          <w:szCs w:val="15"/>
          <w:i w:val="1"/>
          <w:iCs w:val="1"/>
          <w:color w:val="auto"/>
        </w:rPr>
        <w:t xml:space="preserve"> AFTER THE DATE OF TRANSFER OF THE SHARES, AND MUST ALSO BE FILED WITH TAXPAYER’S INCOME TAX RETURNS FOR THE CALENDAR YEAR. THE ELECTION CANNOT BE REVOKED WITHOUT THE CONSENT OF THE IRS.</w:t>
      </w:r>
    </w:p>
    <w:p>
      <w:pPr>
        <w:spacing w:after="0" w:line="146" w:lineRule="exact"/>
        <w:rPr>
          <w:sz w:val="20"/>
          <w:szCs w:val="20"/>
          <w:color w:val="auto"/>
        </w:rPr>
      </w:pPr>
    </w:p>
    <w:p>
      <w:pPr>
        <w:ind w:left="1220"/>
        <w:spacing w:after="0"/>
        <w:tabs>
          <w:tab w:leader="none" w:pos="4740" w:val="left"/>
        </w:tabs>
        <w:rPr>
          <w:sz w:val="20"/>
          <w:szCs w:val="20"/>
          <w:color w:val="auto"/>
        </w:rPr>
      </w:pPr>
      <w:r>
        <w:rPr>
          <w:rFonts w:ascii="Times New Roman" w:cs="Times New Roman" w:eastAsia="Times New Roman" w:hAnsi="Times New Roman"/>
          <w:sz w:val="15"/>
          <w:szCs w:val="15"/>
          <w:color w:val="auto"/>
        </w:rPr>
        <w:t>Dated:</w:t>
      </w:r>
      <w:r>
        <w:rPr>
          <w:sz w:val="20"/>
          <w:szCs w:val="20"/>
          <w:color w:val="auto"/>
        </w:rPr>
        <w:tab/>
      </w:r>
      <w:r>
        <w:rPr>
          <w:rFonts w:ascii="Times New Roman" w:cs="Times New Roman" w:eastAsia="Times New Roman" w:hAnsi="Times New Roman"/>
          <w:sz w:val="15"/>
          <w:szCs w:val="15"/>
          <w:color w:val="auto"/>
        </w:rPr>
        <w:t>Taxpayer’s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929640</wp:posOffset>
            </wp:positionV>
            <wp:extent cx="5485765"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drawing>
          <wp:anchor simplePos="0" relativeHeight="251657728" behindDoc="1" locked="0" layoutInCell="0" allowOverlap="1">
            <wp:simplePos x="0" y="0"/>
            <wp:positionH relativeFrom="column">
              <wp:posOffset>780415</wp:posOffset>
            </wp:positionH>
            <wp:positionV relativeFrom="paragraph">
              <wp:posOffset>134620</wp:posOffset>
            </wp:positionV>
            <wp:extent cx="4165600" cy="698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47" w:name="page448"/>
    <w:bookmarkEnd w:id="44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STOCK OPTION EXERCISE NOTICE AND AGREEMENT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valyn</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harma</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u w:val="single" w:color="auto"/>
          <w:color w:val="auto"/>
        </w:rPr>
        <w:t>NOTE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You </w:t>
      </w:r>
      <w:r>
        <w:rPr>
          <w:rFonts w:ascii="Times New Roman" w:cs="Times New Roman" w:eastAsia="Times New Roman" w:hAnsi="Times New Roman"/>
          <w:sz w:val="15"/>
          <w:szCs w:val="15"/>
          <w:b w:val="1"/>
          <w:bCs w:val="1"/>
          <w:i w:val="1"/>
          <w:iCs w:val="1"/>
          <w:u w:val="single" w:color="auto"/>
          <w:color w:val="auto"/>
        </w:rPr>
        <w:t>must</w:t>
      </w:r>
      <w:r>
        <w:rPr>
          <w:rFonts w:ascii="Times New Roman" w:cs="Times New Roman" w:eastAsia="Times New Roman" w:hAnsi="Times New Roman"/>
          <w:sz w:val="15"/>
          <w:szCs w:val="15"/>
          <w:b w:val="1"/>
          <w:bCs w:val="1"/>
          <w:i w:val="1"/>
          <w:iCs w:val="1"/>
          <w:color w:val="auto"/>
        </w:rPr>
        <w:t xml:space="preserve"> sign this Notice before submitting it to Avalyn Pharma Inc. (the “Company”) </w:t>
      </w:r>
      <w:r>
        <w:rPr>
          <w:rFonts w:ascii="Times New Roman" w:cs="Times New Roman" w:eastAsia="Times New Roman" w:hAnsi="Times New Roman"/>
          <w:sz w:val="15"/>
          <w:szCs w:val="15"/>
          <w:b w:val="1"/>
          <w:bCs w:val="1"/>
          <w:i w:val="1"/>
          <w:iCs w:val="1"/>
          <w:u w:val="single" w:color="auto"/>
          <w:color w:val="auto"/>
        </w:rPr>
        <w:t>AND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if requested to do so by the Company, you </w:t>
      </w:r>
      <w:r>
        <w:rPr>
          <w:rFonts w:ascii="Times New Roman" w:cs="Times New Roman" w:eastAsia="Times New Roman" w:hAnsi="Times New Roman"/>
          <w:sz w:val="15"/>
          <w:szCs w:val="15"/>
          <w:b w:val="1"/>
          <w:bCs w:val="1"/>
          <w:i w:val="1"/>
          <w:iCs w:val="1"/>
          <w:u w:val="single" w:color="auto"/>
          <w:color w:val="auto"/>
        </w:rPr>
        <w:t>must</w:t>
      </w:r>
      <w:r>
        <w:rPr>
          <w:rFonts w:ascii="Times New Roman" w:cs="Times New Roman" w:eastAsia="Times New Roman" w:hAnsi="Times New Roman"/>
          <w:sz w:val="15"/>
          <w:szCs w:val="15"/>
          <w:b w:val="1"/>
          <w:bCs w:val="1"/>
          <w:i w:val="1"/>
          <w:iCs w:val="1"/>
          <w:color w:val="auto"/>
        </w:rPr>
        <w:t xml:space="preserve"> also sign the signature pages to the Company’s then-current Company Co-Sale Agreement and Company Voting Agreement (as those terms are defined in the Stock Option Agreement) before submitting this Notice to the Company.</w:t>
      </w:r>
    </w:p>
    <w:p>
      <w:pPr>
        <w:spacing w:after="0" w:line="13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0"/>
          <w:szCs w:val="10"/>
          <w:b w:val="1"/>
          <w:bCs w:val="1"/>
          <w:color w:val="auto"/>
        </w:rPr>
        <w:t>ptionee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Please provide the following information about yourself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p>
      <w:pPr>
        <w:spacing w:after="0" w:line="189" w:lineRule="exact"/>
        <w:rPr>
          <w:sz w:val="20"/>
          <w:szCs w:val="20"/>
          <w:color w:val="auto"/>
        </w:rPr>
      </w:pPr>
    </w:p>
    <w:tbl>
      <w:tblPr>
        <w:tblLayout w:type="fixed"/>
        <w:tblInd w:w="1220" w:type="dxa"/>
        <w:tblCellMar>
          <w:top w:w="0" w:type="dxa"/>
          <w:left w:w="0" w:type="dxa"/>
          <w:bottom w:w="0" w:type="dxa"/>
          <w:right w:w="0" w:type="dxa"/>
        </w:tblCellMar>
      </w:tblPr>
      <w:tr>
        <w:trPr>
          <w:trHeight w:val="199"/>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2040" w:type="dxa"/>
            <w:vAlign w:val="bottom"/>
            <w:tcBorders>
              <w:bottom w:val="single" w:sz="8" w:color="auto"/>
            </w:tcBorders>
          </w:tcPr>
          <w:p>
            <w:pPr>
              <w:spacing w:after="0"/>
              <w:rPr>
                <w:sz w:val="17"/>
                <w:szCs w:val="17"/>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Social Security Number:</w:t>
            </w:r>
          </w:p>
        </w:tc>
      </w:tr>
      <w:tr>
        <w:trPr>
          <w:trHeight w:val="180"/>
        </w:trPr>
        <w:tc>
          <w:tcPr>
            <w:tcW w:w="80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2040" w:type="dxa"/>
            <w:vAlign w:val="bottom"/>
            <w:tcBorders>
              <w:bottom w:val="single" w:sz="8" w:color="auto"/>
            </w:tcBorders>
          </w:tcPr>
          <w:p>
            <w:pPr>
              <w:spacing w:after="0"/>
              <w:rPr>
                <w:sz w:val="15"/>
                <w:szCs w:val="15"/>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Employee Number:</w:t>
            </w:r>
          </w:p>
        </w:tc>
      </w:tr>
      <w:tr>
        <w:trPr>
          <w:trHeight w:val="183"/>
        </w:trPr>
        <w:tc>
          <w:tcPr>
            <w:tcW w:w="800" w:type="dxa"/>
            <w:vAlign w:val="bottom"/>
          </w:tcPr>
          <w:p>
            <w:pPr>
              <w:spacing w:after="0"/>
              <w:rPr>
                <w:sz w:val="15"/>
                <w:szCs w:val="15"/>
                <w:color w:val="auto"/>
              </w:rPr>
            </w:pPr>
          </w:p>
        </w:tc>
        <w:tc>
          <w:tcPr>
            <w:tcW w:w="2040" w:type="dxa"/>
            <w:vAlign w:val="bottom"/>
            <w:tcBorders>
              <w:bottom w:val="single" w:sz="8" w:color="auto"/>
            </w:tcBorders>
          </w:tcPr>
          <w:p>
            <w:pPr>
              <w:spacing w:after="0"/>
              <w:rPr>
                <w:sz w:val="15"/>
                <w:szCs w:val="15"/>
                <w:color w:val="auto"/>
              </w:rPr>
            </w:pPr>
          </w:p>
        </w:tc>
        <w:tc>
          <w:tcPr>
            <w:tcW w:w="186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Email Address: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-259715</wp:posOffset>
            </wp:positionV>
            <wp:extent cx="1088390" cy="698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088390"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-132715</wp:posOffset>
            </wp:positionV>
            <wp:extent cx="1088390" cy="698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088390" cy="6985"/>
                    </a:xfrm>
                    <a:prstGeom prst="rect">
                      <a:avLst/>
                    </a:prstGeom>
                    <a:noFill/>
                  </pic:spPr>
                </pic:pic>
              </a:graphicData>
            </a:graphic>
          </wp:anchor>
        </w:drawing>
        <w:drawing>
          <wp:anchor simplePos="0" relativeHeight="251657728" behindDoc="1" locked="0" layoutInCell="0" allowOverlap="1">
            <wp:simplePos x="0" y="0"/>
            <wp:positionH relativeFrom="column">
              <wp:posOffset>3858260</wp:posOffset>
            </wp:positionH>
            <wp:positionV relativeFrom="paragraph">
              <wp:posOffset>-6350</wp:posOffset>
            </wp:positionV>
            <wp:extent cx="1088390" cy="698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088390" cy="6985"/>
                    </a:xfrm>
                    <a:prstGeom prst="rect">
                      <a:avLst/>
                    </a:prstGeom>
                    <a:noFill/>
                  </pic:spPr>
                </pic:pic>
              </a:graphicData>
            </a:graphic>
          </wp:anchor>
        </w:drawing>
      </w:r>
    </w:p>
    <w:p>
      <w:pPr>
        <w:spacing w:after="0" w:line="1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0"/>
          <w:szCs w:val="10"/>
          <w:b w:val="1"/>
          <w:bCs w:val="1"/>
          <w:color w:val="auto"/>
        </w:rPr>
        <w:t>ption</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Please provide this information on the option being exercised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p>
      <w:pPr>
        <w:spacing w:after="0" w:line="18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Grant No.</w:t>
      </w:r>
    </w:p>
    <w:p>
      <w:pPr>
        <w:sectPr>
          <w:pgSz w:w="11900" w:h="16838" w:orient="portrait"/>
          <w:cols w:equalWidth="0" w:num="1">
            <w:col w:w="9019"/>
          </w:cols>
          <w:pgMar w:left="1440" w:top="1128" w:right="1440" w:bottom="1440" w:gutter="0" w:footer="0" w:header="0"/>
        </w:sectPr>
      </w:pPr>
    </w:p>
    <w:p>
      <w:pPr>
        <w:spacing w:after="0" w:line="9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Date of Grant:</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Type of Stock Option:</w:t>
      </w:r>
    </w:p>
    <w:p>
      <w:pPr>
        <w:spacing w:after="0" w:line="65" w:lineRule="exact"/>
        <w:rPr>
          <w:sz w:val="20"/>
          <w:szCs w:val="20"/>
          <w:color w:val="auto"/>
        </w:rPr>
      </w:pPr>
    </w:p>
    <w:p>
      <w:pPr>
        <w:sectPr>
          <w:pgSz w:w="11900" w:h="16838" w:orient="portrait"/>
          <w:cols w:equalWidth="0" w:num="2">
            <w:col w:w="5100" w:space="720"/>
            <w:col w:w="3199"/>
          </w:cols>
          <w:pgMar w:left="1440" w:top="1128" w:right="1440" w:bottom="1440" w:gutter="0" w:footer="0" w:header="0"/>
          <w:type w:val="continuous"/>
        </w:sectPr>
      </w:pP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Option Price per Share: $____</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Nonqualified (NQSO)</w:t>
      </w:r>
    </w:p>
    <w:p>
      <w:pPr>
        <w:spacing w:after="0" w:line="65" w:lineRule="exact"/>
        <w:rPr>
          <w:sz w:val="20"/>
          <w:szCs w:val="20"/>
          <w:color w:val="auto"/>
        </w:rPr>
      </w:pPr>
    </w:p>
    <w:p>
      <w:pPr>
        <w:sectPr>
          <w:pgSz w:w="11900" w:h="16838" w:orient="portrait"/>
          <w:cols w:equalWidth="0" w:num="3">
            <w:col w:w="5100" w:space="720"/>
            <w:col w:w="140" w:space="120"/>
            <w:col w:w="2939"/>
          </w:cols>
          <w:pgMar w:left="1440" w:top="1128" w:right="1440" w:bottom="1440" w:gutter="0" w:footer="0" w:header="0"/>
          <w:type w:val="continuous"/>
        </w:sectPr>
      </w:pPr>
    </w:p>
    <w:p>
      <w:pPr>
        <w:spacing w:after="0" w:line="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Total number of shares of Common Stock of the Company subject</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(ISO)</w:t>
      </w:r>
    </w:p>
    <w:p>
      <w:pPr>
        <w:spacing w:after="0" w:line="23" w:lineRule="exact"/>
        <w:rPr>
          <w:sz w:val="20"/>
          <w:szCs w:val="20"/>
          <w:color w:val="auto"/>
        </w:rPr>
      </w:pPr>
    </w:p>
    <w:p>
      <w:pPr>
        <w:sectPr>
          <w:pgSz w:w="11900" w:h="16838" w:orient="portrait"/>
          <w:cols w:equalWidth="0" w:num="3">
            <w:col w:w="5320" w:space="500"/>
            <w:col w:w="140" w:space="120"/>
            <w:col w:w="2939"/>
          </w:cols>
          <w:pgMar w:left="1440" w:top="1128" w:right="1440" w:bottom="1440" w:gutter="0" w:footer="0" w:header="0"/>
          <w:type w:val="continuous"/>
        </w:sectPr>
      </w:pPr>
    </w:p>
    <w:p>
      <w:pPr>
        <w:ind w:left="1220"/>
        <w:spacing w:after="0"/>
        <w:rPr>
          <w:sz w:val="20"/>
          <w:szCs w:val="20"/>
          <w:color w:val="auto"/>
        </w:rPr>
      </w:pPr>
      <w:r>
        <w:rPr>
          <w:rFonts w:ascii="Times New Roman" w:cs="Times New Roman" w:eastAsia="Times New Roman" w:hAnsi="Times New Roman"/>
          <w:sz w:val="15"/>
          <w:szCs w:val="15"/>
          <w:color w:val="auto"/>
        </w:rPr>
        <w:t>to the Option:</w:t>
      </w:r>
    </w:p>
    <w:p>
      <w:pPr>
        <w:sectPr>
          <w:pgSz w:w="11900" w:h="16838" w:orient="portrait"/>
          <w:cols w:equalWidth="0" w:num="1">
            <w:col w:w="9019"/>
          </w:cols>
          <w:pgMar w:left="1440" w:top="1128" w:right="1440" w:bottom="1440" w:gutter="0" w:footer="0" w:header="0"/>
          <w:type w:val="continuous"/>
        </w:sectPr>
      </w:pPr>
    </w:p>
    <w:p>
      <w:pPr>
        <w:spacing w:after="0" w:line="23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0"/>
          <w:szCs w:val="10"/>
          <w:b w:val="1"/>
          <w:bCs w:val="1"/>
          <w:color w:val="auto"/>
        </w:rPr>
        <w:t>xercise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w:t>
      </w:r>
    </w:p>
    <w:p>
      <w:pPr>
        <w:spacing w:after="0" w:line="94" w:lineRule="exact"/>
        <w:rPr>
          <w:sz w:val="20"/>
          <w:szCs w:val="20"/>
          <w:color w:val="auto"/>
        </w:rPr>
      </w:pPr>
    </w:p>
    <w:p>
      <w:pPr>
        <w:ind w:left="1220" w:right="1719"/>
        <w:spacing w:after="0" w:line="285" w:lineRule="auto"/>
        <w:rPr>
          <w:sz w:val="20"/>
          <w:szCs w:val="20"/>
          <w:color w:val="auto"/>
        </w:rPr>
      </w:pPr>
      <w:r>
        <w:rPr>
          <w:rFonts w:ascii="Times New Roman" w:cs="Times New Roman" w:eastAsia="Times New Roman" w:hAnsi="Times New Roman"/>
          <w:sz w:val="15"/>
          <w:szCs w:val="15"/>
          <w:color w:val="auto"/>
        </w:rPr>
        <w:t>Number of shares of Common Stock of the Company for which the Option is now being exercised [________________]. (These shares are referred to below as the “</w:t>
      </w:r>
      <w:r>
        <w:rPr>
          <w:rFonts w:ascii="Times New Roman" w:cs="Times New Roman" w:eastAsia="Times New Roman" w:hAnsi="Times New Roman"/>
          <w:sz w:val="15"/>
          <w:szCs w:val="15"/>
          <w:b w:val="1"/>
          <w:bCs w:val="1"/>
          <w:i w:val="1"/>
          <w:iCs w:val="1"/>
          <w:color w:val="auto"/>
        </w:rPr>
        <w:t>Purchased Shares</w:t>
      </w:r>
      <w:r>
        <w:rPr>
          <w:rFonts w:ascii="Times New Roman" w:cs="Times New Roman" w:eastAsia="Times New Roman" w:hAnsi="Times New Roman"/>
          <w:sz w:val="15"/>
          <w:szCs w:val="15"/>
          <w:color w:val="auto"/>
        </w:rPr>
        <w:t>.”)</w:t>
      </w:r>
    </w:p>
    <w:p>
      <w:pPr>
        <w:spacing w:after="0" w:line="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Total Exercise Price Being Paid for the Purchased Shares: $____________</w:t>
      </w:r>
    </w:p>
    <w:p>
      <w:pPr>
        <w:spacing w:after="0" w:line="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 xml:space="preserve">Form of payment enclosed </w:t>
      </w:r>
      <w:r>
        <w:rPr>
          <w:rFonts w:ascii="Times New Roman" w:cs="Times New Roman" w:eastAsia="Times New Roman" w:hAnsi="Times New Roman"/>
          <w:sz w:val="15"/>
          <w:szCs w:val="15"/>
          <w:b w:val="1"/>
          <w:bCs w:val="1"/>
          <w:i w:val="1"/>
          <w:iCs w:val="1"/>
          <w:color w:val="auto"/>
        </w:rPr>
        <w:t>[check all that apply]</w:t>
      </w:r>
      <w:r>
        <w:rPr>
          <w:rFonts w:ascii="Times New Roman" w:cs="Times New Roman" w:eastAsia="Times New Roman" w:hAnsi="Times New Roman"/>
          <w:sz w:val="15"/>
          <w:szCs w:val="15"/>
          <w:color w:val="auto"/>
        </w:rPr>
        <w:t>:</w:t>
      </w:r>
    </w:p>
    <w:p>
      <w:pPr>
        <w:spacing w:after="0" w:line="4" w:lineRule="exact"/>
        <w:rPr>
          <w:sz w:val="20"/>
          <w:szCs w:val="20"/>
          <w:color w:val="auto"/>
        </w:rPr>
      </w:pPr>
    </w:p>
    <w:p>
      <w:pPr>
        <w:ind w:left="1420" w:hanging="196"/>
        <w:spacing w:after="0"/>
        <w:tabs>
          <w:tab w:leader="none" w:pos="1420" w:val="left"/>
        </w:tabs>
        <w:numPr>
          <w:ilvl w:val="0"/>
          <w:numId w:val="355"/>
        </w:numPr>
        <w:rPr>
          <w:rFonts w:ascii="MS PGothic" w:cs="MS PGothic" w:eastAsia="MS PGothic" w:hAnsi="MS PGothic"/>
          <w:sz w:val="29"/>
          <w:szCs w:val="29"/>
          <w:color w:val="auto"/>
          <w:vertAlign w:val="superscript"/>
        </w:rPr>
      </w:pPr>
      <w:r>
        <w:rPr>
          <w:rFonts w:ascii="Times New Roman" w:cs="Times New Roman" w:eastAsia="Times New Roman" w:hAnsi="Times New Roman"/>
          <w:sz w:val="15"/>
          <w:szCs w:val="15"/>
          <w:color w:val="auto"/>
        </w:rPr>
        <w:t>Check for $____________, payable to “</w:t>
      </w:r>
      <w:r>
        <w:rPr>
          <w:rFonts w:ascii="Times New Roman" w:cs="Times New Roman" w:eastAsia="Times New Roman" w:hAnsi="Times New Roman"/>
          <w:sz w:val="15"/>
          <w:szCs w:val="15"/>
          <w:b w:val="1"/>
          <w:bCs w:val="1"/>
          <w:i w:val="1"/>
          <w:iCs w:val="1"/>
          <w:color w:val="auto"/>
        </w:rPr>
        <w:t>Avalyn Pharma Inc.</w:t>
      </w:r>
      <w:r>
        <w:rPr>
          <w:rFonts w:ascii="Times New Roman" w:cs="Times New Roman" w:eastAsia="Times New Roman" w:hAnsi="Times New Roman"/>
          <w:sz w:val="15"/>
          <w:szCs w:val="15"/>
          <w:color w:val="auto"/>
        </w:rPr>
        <w:t>”</w:t>
      </w:r>
    </w:p>
    <w:p>
      <w:pPr>
        <w:spacing w:after="0" w:line="90" w:lineRule="exact"/>
        <w:rPr>
          <w:rFonts w:ascii="MS PGothic" w:cs="MS PGothic" w:eastAsia="MS PGothic" w:hAnsi="MS PGothic"/>
          <w:sz w:val="29"/>
          <w:szCs w:val="29"/>
          <w:color w:val="auto"/>
          <w:vertAlign w:val="superscript"/>
        </w:rPr>
      </w:pPr>
    </w:p>
    <w:p>
      <w:pPr>
        <w:ind w:left="1420" w:right="1299" w:hanging="196"/>
        <w:spacing w:after="0" w:line="187" w:lineRule="auto"/>
        <w:tabs>
          <w:tab w:leader="none" w:pos="1420" w:val="left"/>
        </w:tabs>
        <w:numPr>
          <w:ilvl w:val="0"/>
          <w:numId w:val="355"/>
        </w:numPr>
        <w:rPr>
          <w:rFonts w:ascii="MS PGothic" w:cs="MS PGothic" w:eastAsia="MS PGothic" w:hAnsi="MS PGothic"/>
          <w:sz w:val="29"/>
          <w:szCs w:val="29"/>
          <w:color w:val="auto"/>
          <w:vertAlign w:val="superscript"/>
        </w:rPr>
      </w:pPr>
      <w:r>
        <w:rPr>
          <w:rFonts w:ascii="Times New Roman" w:cs="Times New Roman" w:eastAsia="Times New Roman" w:hAnsi="Times New Roman"/>
          <w:sz w:val="15"/>
          <w:szCs w:val="15"/>
          <w:color w:val="auto"/>
        </w:rPr>
        <w:t xml:space="preserve">Certificate(s) for ________________ shares of Common Stock of the Company. These shares will be valued as of the date this notice is received by the Company. </w:t>
      </w:r>
      <w:r>
        <w:rPr>
          <w:rFonts w:ascii="Times New Roman" w:cs="Times New Roman" w:eastAsia="Times New Roman" w:hAnsi="Times New Roman"/>
          <w:sz w:val="15"/>
          <w:szCs w:val="15"/>
          <w:b w:val="1"/>
          <w:bCs w:val="1"/>
          <w:i w:val="1"/>
          <w:iCs w:val="1"/>
          <w:color w:val="auto"/>
        </w:rPr>
        <w:t>[Requires Company consent.]</w:t>
      </w:r>
    </w:p>
    <w:p>
      <w:pPr>
        <w:spacing w:after="0" w:line="1" w:lineRule="exact"/>
        <w:rPr>
          <w:rFonts w:ascii="MS PGothic" w:cs="MS PGothic" w:eastAsia="MS PGothic" w:hAnsi="MS PGothic"/>
          <w:sz w:val="29"/>
          <w:szCs w:val="29"/>
          <w:color w:val="auto"/>
          <w:vertAlign w:val="superscript"/>
        </w:rPr>
      </w:pPr>
    </w:p>
    <w:p>
      <w:pPr>
        <w:ind w:left="1420" w:hanging="196"/>
        <w:spacing w:after="0" w:line="217" w:lineRule="auto"/>
        <w:tabs>
          <w:tab w:leader="none" w:pos="1420" w:val="left"/>
        </w:tabs>
        <w:numPr>
          <w:ilvl w:val="0"/>
          <w:numId w:val="355"/>
        </w:numPr>
        <w:rPr>
          <w:rFonts w:ascii="MS PGothic" w:cs="MS PGothic" w:eastAsia="MS PGothic" w:hAnsi="MS PGothic"/>
          <w:sz w:val="29"/>
          <w:szCs w:val="29"/>
          <w:color w:val="auto"/>
          <w:vertAlign w:val="superscript"/>
        </w:rPr>
      </w:pPr>
      <w:r>
        <w:rPr>
          <w:rFonts w:ascii="Times New Roman" w:cs="Times New Roman" w:eastAsia="Times New Roman" w:hAnsi="Times New Roman"/>
          <w:sz w:val="15"/>
          <w:szCs w:val="15"/>
          <w:color w:val="auto"/>
        </w:rPr>
        <w:t>Automated Clearing House (“</w:t>
      </w:r>
      <w:r>
        <w:rPr>
          <w:rFonts w:ascii="Times New Roman" w:cs="Times New Roman" w:eastAsia="Times New Roman" w:hAnsi="Times New Roman"/>
          <w:sz w:val="15"/>
          <w:szCs w:val="15"/>
          <w:b w:val="1"/>
          <w:bCs w:val="1"/>
          <w:i w:val="1"/>
          <w:iCs w:val="1"/>
          <w:color w:val="auto"/>
        </w:rPr>
        <w:t>ACH</w:t>
      </w:r>
      <w:r>
        <w:rPr>
          <w:rFonts w:ascii="Times New Roman" w:cs="Times New Roman" w:eastAsia="Times New Roman" w:hAnsi="Times New Roman"/>
          <w:sz w:val="15"/>
          <w:szCs w:val="15"/>
          <w:color w:val="auto"/>
        </w:rPr>
        <w:t>”) transfer in the amount of $___________.</w:t>
      </w:r>
    </w:p>
    <w:p>
      <w:pPr>
        <w:spacing w:after="0" w:line="166" w:lineRule="exact"/>
        <w:rPr>
          <w:sz w:val="20"/>
          <w:szCs w:val="20"/>
          <w:color w:val="auto"/>
        </w:rPr>
      </w:pPr>
    </w:p>
    <w:p>
      <w:pPr>
        <w:jc w:val="center"/>
        <w:ind w:right="19"/>
        <w:spacing w:after="0"/>
        <w:tabs>
          <w:tab w:leader="none" w:pos="180" w:val="left"/>
        </w:tabs>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greements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0"/>
          <w:szCs w:val="10"/>
          <w:b w:val="1"/>
          <w:bCs w:val="1"/>
          <w:color w:val="auto"/>
        </w:rPr>
        <w:t>epresentations and</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0"/>
          <w:szCs w:val="10"/>
          <w:b w:val="1"/>
          <w:bCs w:val="1"/>
          <w:color w:val="auto"/>
        </w:rPr>
        <w:t>cknowledgments of</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0"/>
          <w:szCs w:val="10"/>
          <w:b w:val="1"/>
          <w:bCs w:val="1"/>
          <w:color w:val="auto"/>
        </w:rPr>
        <w:t>ptionee</w:t>
      </w:r>
      <w:r>
        <w:rPr>
          <w:rFonts w:ascii="Times New Roman" w:cs="Times New Roman" w:eastAsia="Times New Roman" w:hAnsi="Times New Roman"/>
          <w:sz w:val="15"/>
          <w:szCs w:val="15"/>
          <w:b w:val="1"/>
          <w:bCs w:val="1"/>
          <w:color w:val="auto"/>
        </w:rPr>
        <w:t>:</w:t>
      </w:r>
      <w:r>
        <w:rPr>
          <w:sz w:val="20"/>
          <w:szCs w:val="20"/>
          <w:color w:val="auto"/>
        </w:rPr>
        <w:tab/>
      </w:r>
      <w:r>
        <w:rPr>
          <w:rFonts w:ascii="Times New Roman" w:cs="Times New Roman" w:eastAsia="Times New Roman" w:hAnsi="Times New Roman"/>
          <w:sz w:val="15"/>
          <w:szCs w:val="15"/>
          <w:color w:val="auto"/>
        </w:rPr>
        <w:t>By signing this Stock Option</w:t>
      </w:r>
    </w:p>
    <w:p>
      <w:pPr>
        <w:spacing w:after="0" w:line="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Exercise Notice and Agreement, Optionee hereby agrees with, and represents to, the Company as follows:</w:t>
      </w:r>
    </w:p>
    <w:p>
      <w:pPr>
        <w:spacing w:after="0" w:line="154"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Terms Governing. </w:t>
      </w:r>
      <w:r>
        <w:rPr>
          <w:rFonts w:ascii="Times New Roman" w:cs="Times New Roman" w:eastAsia="Times New Roman" w:hAnsi="Times New Roman"/>
          <w:sz w:val="15"/>
          <w:szCs w:val="15"/>
          <w:color w:val="auto"/>
        </w:rPr>
        <w:t>I acknowledge and agree with the Company that I am acquiring the Purchased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exercise of this Option subject to all other terms and conditions of the Notice of Stock Option Grant and the Stock Option Agreement that govern the Option, including without limitation the terms of the Company’s 2022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670560</wp:posOffset>
            </wp:positionV>
            <wp:extent cx="5485765" cy="3873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type w:val="continuous"/>
        </w:sectPr>
      </w:pPr>
    </w:p>
    <w:bookmarkStart w:id="448" w:name="page449"/>
    <w:bookmarkEnd w:id="448"/>
    <w:p>
      <w:pPr>
        <w:jc w:val="both"/>
        <w:ind w:left="1220" w:right="123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Investment Intent; Securities Law Restrictions. </w:t>
      </w:r>
      <w:r>
        <w:rPr>
          <w:rFonts w:ascii="Times New Roman" w:cs="Times New Roman" w:eastAsia="Times New Roman" w:hAnsi="Times New Roman"/>
          <w:sz w:val="15"/>
          <w:szCs w:val="15"/>
          <w:color w:val="auto"/>
        </w:rPr>
        <w:t>I represent and warrant to the Company that I am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acquiring and will hold the Purchased Shares 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134"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Restrictions on Transfer: Rule 144. </w:t>
      </w:r>
      <w:r>
        <w:rPr>
          <w:rFonts w:ascii="Times New Roman" w:cs="Times New Roman" w:eastAsia="Times New Roman" w:hAnsi="Times New Roman"/>
          <w:sz w:val="15"/>
          <w:szCs w:val="15"/>
          <w:color w:val="auto"/>
        </w:rPr>
        <w:t>I will not sell, transfer or otherwise dispose of the Purchased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in violation of the Securities Act, the Securities Exchange Act of 1934, or the rules promulgated thereunder (including Rule 144 under the Securities Act described below (“</w:t>
      </w:r>
      <w:r>
        <w:rPr>
          <w:rFonts w:ascii="Times New Roman" w:cs="Times New Roman" w:eastAsia="Times New Roman" w:hAnsi="Times New Roman"/>
          <w:sz w:val="15"/>
          <w:szCs w:val="15"/>
          <w:b w:val="1"/>
          <w:bCs w:val="1"/>
          <w:i w:val="1"/>
          <w:iCs w:val="1"/>
          <w:color w:val="auto"/>
        </w:rPr>
        <w:t>Rule 144</w:t>
      </w:r>
      <w:r>
        <w:rPr>
          <w:rFonts w:ascii="Times New Roman" w:cs="Times New Roman" w:eastAsia="Times New Roman" w:hAnsi="Times New Roman"/>
          <w:sz w:val="15"/>
          <w:szCs w:val="15"/>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316" w:lineRule="exact"/>
        <w:rPr>
          <w:sz w:val="20"/>
          <w:szCs w:val="20"/>
          <w:color w:val="auto"/>
        </w:rPr>
      </w:pPr>
    </w:p>
    <w:p>
      <w:pPr>
        <w:jc w:val="both"/>
        <w:ind w:left="1220" w:right="123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Access to Information; Understanding of Risk in Investment. </w:t>
      </w:r>
      <w:r>
        <w:rPr>
          <w:rFonts w:ascii="Times New Roman" w:cs="Times New Roman" w:eastAsia="Times New Roman" w:hAnsi="Times New Roman"/>
          <w:sz w:val="15"/>
          <w:szCs w:val="15"/>
          <w:color w:val="auto"/>
        </w:rPr>
        <w:t>I acknowledge that I have received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136"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Rights of First Refusal; Market Stand-off. </w:t>
      </w:r>
      <w:r>
        <w:rPr>
          <w:rFonts w:ascii="Times New Roman" w:cs="Times New Roman" w:eastAsia="Times New Roman" w:hAnsi="Times New Roman"/>
          <w:sz w:val="15"/>
          <w:szCs w:val="15"/>
          <w:color w:val="auto"/>
        </w:rPr>
        <w:t>I acknowledge that the Purchased Shares remain subject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Company’s Right of First Refusal and the market stand-off covenants (sometimes referred to as the “lock-up”), all in accordance with the applicable Notice of Stock Option Grant and the Stock Option Agreement that govern the Option.</w:t>
      </w:r>
    </w:p>
    <w:p>
      <w:pPr>
        <w:spacing w:after="0" w:line="130" w:lineRule="exact"/>
        <w:rPr>
          <w:sz w:val="20"/>
          <w:szCs w:val="20"/>
          <w:color w:val="auto"/>
        </w:rPr>
      </w:pPr>
    </w:p>
    <w:p>
      <w:pPr>
        <w:jc w:val="both"/>
        <w:ind w:left="1220" w:right="123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Restrictions on Transfer: Bylaws. </w:t>
      </w:r>
      <w:r>
        <w:rPr>
          <w:rFonts w:ascii="Times New Roman" w:cs="Times New Roman" w:eastAsia="Times New Roman" w:hAnsi="Times New Roman"/>
          <w:sz w:val="15"/>
          <w:szCs w:val="15"/>
          <w:color w:val="auto"/>
        </w:rPr>
        <w:t>I acknowledge that the Purchased Shares will be subject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restrictions on transferability and resale set forth in the Company’s Bylaws as currently in effect.</w:t>
      </w:r>
    </w:p>
    <w:p>
      <w:pPr>
        <w:spacing w:after="0" w:line="107" w:lineRule="exact"/>
        <w:rPr>
          <w:sz w:val="20"/>
          <w:szCs w:val="20"/>
          <w:color w:val="auto"/>
        </w:rPr>
      </w:pPr>
    </w:p>
    <w:p>
      <w:pPr>
        <w:jc w:val="both"/>
        <w:ind w:left="1220" w:right="123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Form of Ownership. </w:t>
      </w:r>
      <w:r>
        <w:rPr>
          <w:rFonts w:ascii="Times New Roman" w:cs="Times New Roman" w:eastAsia="Times New Roman" w:hAnsi="Times New Roman"/>
          <w:sz w:val="15"/>
          <w:szCs w:val="15"/>
          <w:color w:val="auto"/>
        </w:rPr>
        <w:t>I acknowledge that the Company has encouraged me to consult my own adviser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determine the form of ownership of the 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132" w:lineRule="exact"/>
        <w:rPr>
          <w:sz w:val="20"/>
          <w:szCs w:val="20"/>
          <w:color w:val="auto"/>
        </w:rPr>
      </w:pPr>
    </w:p>
    <w:p>
      <w:pPr>
        <w:jc w:val="both"/>
        <w:ind w:left="1220" w:right="123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Investigation of Tax Consequences. </w:t>
      </w:r>
      <w:r>
        <w:rPr>
          <w:rFonts w:ascii="Times New Roman" w:cs="Times New Roman" w:eastAsia="Times New Roman" w:hAnsi="Times New Roman"/>
          <w:sz w:val="15"/>
          <w:szCs w:val="15"/>
          <w:color w:val="auto"/>
        </w:rPr>
        <w:t>I acknowledge that the Company has encouraged me to consult my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own adviser to determine the tax consequences of acquiring the Purchased Shares at this time.</w:t>
      </w:r>
    </w:p>
    <w:p>
      <w:pPr>
        <w:spacing w:after="0" w:line="107" w:lineRule="exact"/>
        <w:rPr>
          <w:sz w:val="20"/>
          <w:szCs w:val="20"/>
          <w:color w:val="auto"/>
        </w:rPr>
      </w:pPr>
    </w:p>
    <w:p>
      <w:pPr>
        <w:jc w:val="both"/>
        <w:ind w:left="1220" w:right="1239"/>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Other Tax Matters. </w:t>
      </w:r>
      <w:r>
        <w:rPr>
          <w:rFonts w:ascii="Times New Roman" w:cs="Times New Roman" w:eastAsia="Times New Roman" w:hAnsi="Times New Roman"/>
          <w:sz w:val="15"/>
          <w:szCs w:val="15"/>
          <w:color w:val="auto"/>
        </w:rPr>
        <w:t>I agree that the Company does not have a duty to design or administer the Plan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its other compensation programs in a manner that minimizes my tax liabilities. I will not make any claim against the Company or its Board, officers or employees related to tax liabilities arising from my options or my other compensation. In particular, I acknowledge that my options (including the Option) are exempt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787400</wp:posOffset>
            </wp:positionV>
            <wp:extent cx="54857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49" w:name="page450"/>
    <w:bookmarkEnd w:id="449"/>
    <w:p>
      <w:pPr>
        <w:jc w:val="both"/>
        <w:ind w:left="1220" w:right="1239"/>
        <w:spacing w:after="0" w:line="254" w:lineRule="auto"/>
        <w:rPr>
          <w:sz w:val="20"/>
          <w:szCs w:val="20"/>
          <w:color w:val="auto"/>
        </w:rPr>
      </w:pPr>
      <w:r>
        <w:rPr>
          <w:rFonts w:ascii="Times New Roman" w:cs="Times New Roman" w:eastAsia="Times New Roman" w:hAnsi="Times New Roman"/>
          <w:sz w:val="15"/>
          <w:szCs w:val="15"/>
          <w:color w:val="auto"/>
        </w:rPr>
        <w:t>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137" w:lineRule="exact"/>
        <w:rPr>
          <w:sz w:val="20"/>
          <w:szCs w:val="20"/>
          <w:color w:val="auto"/>
        </w:rPr>
      </w:pPr>
    </w:p>
    <w:p>
      <w:pPr>
        <w:jc w:val="both"/>
        <w:ind w:left="1220" w:right="123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Spouse Consent. </w:t>
      </w:r>
      <w:r>
        <w:rPr>
          <w:rFonts w:ascii="Times New Roman" w:cs="Times New Roman" w:eastAsia="Times New Roman" w:hAnsi="Times New Roman"/>
          <w:sz w:val="15"/>
          <w:szCs w:val="15"/>
          <w:color w:val="auto"/>
        </w:rPr>
        <w:t>I agree to seek the consent of my spouse to the extent required by the Company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enforce the foregoing.</w:t>
      </w:r>
    </w:p>
    <w:p>
      <w:pPr>
        <w:spacing w:after="0" w:line="107"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Agreement to Enter into Company Co-Sale Agreement and Company Voting Agreement. </w:t>
      </w:r>
      <w:r>
        <w:rPr>
          <w:rFonts w:ascii="Times New Roman" w:cs="Times New Roman" w:eastAsia="Times New Roman" w:hAnsi="Times New Roman"/>
          <w:sz w:val="15"/>
          <w:szCs w:val="15"/>
          <w:color w:val="auto"/>
        </w:rPr>
        <w:t>Pursuant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Stock Option Agreement, if requested to do so by the Company, I agree to enter into and execute the then-current Company Co-Sale Agreement and/or the then-current Company Voting Agreement concurrently with my exercise of the Option or at any other time I am requested to do so by the Company. I acknowledge that by entering into the Company Co-Sale Agreement I will be subjecting the Purchased Shares to the rights of first refusal, co-sale rights and all the other provisions of the Company Co-Sale Agreement and that by entering into the Voting Agreement I will be subjected to voting and other obligations and covenants regarding all Company shares I own and all other provisions of the Company Voting Agreement, in addition to the right of first refusal, repurchase option and market stand-off provisions described above.</w:t>
      </w:r>
    </w:p>
    <w:p>
      <w:pPr>
        <w:spacing w:after="0" w:line="137" w:lineRule="exact"/>
        <w:rPr>
          <w:sz w:val="20"/>
          <w:szCs w:val="20"/>
          <w:color w:val="auto"/>
        </w:rPr>
      </w:pPr>
    </w:p>
    <w:p>
      <w:pPr>
        <w:jc w:val="both"/>
        <w:ind w:left="1220" w:right="123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Tax Withholding. </w:t>
      </w:r>
      <w:r>
        <w:rPr>
          <w:rFonts w:ascii="Times New Roman" w:cs="Times New Roman" w:eastAsia="Times New Roman" w:hAnsi="Times New Roman"/>
          <w:sz w:val="15"/>
          <w:szCs w:val="15"/>
          <w:color w:val="auto"/>
        </w:rPr>
        <w:t>As a condition of exercising this Option, I agree to make adequate provision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foreign, federal, state or other tax withholding obligations, if any, which arise upon the grant, vesting or exercise of this Option, or disposition of the Purchased Shares, whether by withholding, direct payment to the Company, or otherwise.</w:t>
      </w:r>
    </w:p>
    <w:p>
      <w:pPr>
        <w:spacing w:after="0" w:line="134" w:lineRule="exact"/>
        <w:rPr>
          <w:sz w:val="20"/>
          <w:szCs w:val="20"/>
          <w:color w:val="auto"/>
        </w:rPr>
      </w:pPr>
    </w:p>
    <w:p>
      <w:pPr>
        <w:jc w:val="both"/>
        <w:ind w:left="1220" w:right="1239"/>
        <w:spacing w:after="0" w:line="285" w:lineRule="auto"/>
        <w:rPr>
          <w:sz w:val="20"/>
          <w:szCs w:val="20"/>
          <w:color w:val="auto"/>
        </w:rPr>
      </w:pPr>
      <w:r>
        <w:rPr>
          <w:rFonts w:ascii="Times New Roman" w:cs="Times New Roman" w:eastAsia="Times New Roman" w:hAnsi="Times New Roman"/>
          <w:sz w:val="15"/>
          <w:szCs w:val="15"/>
          <w:color w:val="auto"/>
        </w:rPr>
        <w:t>The undersigned hereby executes and delivers this Stock Option Exercise Notice and Agreement and agrees to be bound by its terms.</w:t>
      </w:r>
    </w:p>
    <w:p>
      <w:pPr>
        <w:spacing w:after="0" w:line="122" w:lineRule="exact"/>
        <w:rPr>
          <w:sz w:val="20"/>
          <w:szCs w:val="20"/>
          <w:color w:val="auto"/>
        </w:rPr>
      </w:pPr>
    </w:p>
    <w:p>
      <w:pPr>
        <w:ind w:left="1220"/>
        <w:spacing w:after="0"/>
        <w:tabs>
          <w:tab w:leader="none" w:pos="5280" w:val="left"/>
        </w:tabs>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0"/>
          <w:szCs w:val="10"/>
          <w:b w:val="1"/>
          <w:bCs w:val="1"/>
          <w:color w:val="auto"/>
        </w:rPr>
        <w:t>ignature</w:t>
      </w:r>
      <w:r>
        <w:rPr>
          <w:rFonts w:ascii="Times New Roman" w:cs="Times New Roman" w:eastAsia="Times New Roman" w:hAnsi="Times New Roman"/>
          <w:sz w:val="15"/>
          <w:szCs w:val="15"/>
          <w:b w:val="1"/>
          <w:bCs w:val="1"/>
          <w:color w:val="auto"/>
        </w:rPr>
        <w:t>:</w:t>
      </w:r>
      <w:r>
        <w:rPr>
          <w:sz w:val="20"/>
          <w:szCs w:val="20"/>
          <w:color w:val="auto"/>
        </w:rPr>
        <w:tab/>
      </w: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0"/>
          <w:szCs w:val="10"/>
          <w:b w:val="1"/>
          <w:bCs w:val="1"/>
          <w:color w:val="auto"/>
        </w:rPr>
        <w:t>ate</w:t>
      </w:r>
      <w:r>
        <w:rPr>
          <w:rFonts w:ascii="Times New Roman" w:cs="Times New Roman" w:eastAsia="Times New Roman" w:hAnsi="Times New Roman"/>
          <w:sz w:val="15"/>
          <w:szCs w:val="15"/>
          <w:b w:val="1"/>
          <w:bCs w:val="1"/>
          <w:color w:val="auto"/>
        </w:rPr>
        <w:t>:</w:t>
      </w:r>
    </w:p>
    <w:p>
      <w:pPr>
        <w:spacing w:after="0" w:line="29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Optionee’s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-104775</wp:posOffset>
            </wp:positionV>
            <wp:extent cx="4165600" cy="698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 Page to Stock Option Exercise Notice and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698500</wp:posOffset>
            </wp:positionV>
            <wp:extent cx="54857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50" w:name="page451"/>
    <w:bookmarkEnd w:id="450"/>
    <w:p>
      <w:pPr>
        <w:ind w:left="6300"/>
        <w:spacing w:after="0"/>
        <w:rPr>
          <w:sz w:val="20"/>
          <w:szCs w:val="20"/>
          <w:color w:val="auto"/>
        </w:rPr>
      </w:pPr>
      <w:r>
        <w:rPr>
          <w:rFonts w:ascii="Times New Roman" w:cs="Times New Roman" w:eastAsia="Times New Roman" w:hAnsi="Times New Roman"/>
          <w:sz w:val="15"/>
          <w:szCs w:val="15"/>
          <w:b w:val="1"/>
          <w:bCs w:val="1"/>
          <w:i w:val="1"/>
          <w:iCs w:val="1"/>
          <w:color w:val="auto"/>
        </w:rPr>
        <w:t>OPTION GRANT NO</w:t>
      </w:r>
      <w:r>
        <w:rPr>
          <w:rFonts w:ascii="Times New Roman" w:cs="Times New Roman" w:eastAsia="Times New Roman" w:hAnsi="Times New Roman"/>
          <w:sz w:val="15"/>
          <w:szCs w:val="15"/>
          <w:b w:val="1"/>
          <w:bCs w:val="1"/>
          <w:color w:val="auto"/>
        </w:rPr>
        <w: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GLOBAL NOTICE OF STOCK OPTION GRANT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valyn</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harma</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spacing w:after="0" w:line="255" w:lineRule="auto"/>
        <w:rPr>
          <w:sz w:val="20"/>
          <w:szCs w:val="20"/>
          <w:color w:val="auto"/>
        </w:rPr>
      </w:pPr>
      <w:r>
        <w:rPr>
          <w:rFonts w:ascii="Times New Roman" w:cs="Times New Roman" w:eastAsia="Times New Roman" w:hAnsi="Times New Roman"/>
          <w:sz w:val="15"/>
          <w:szCs w:val="15"/>
          <w:color w:val="auto"/>
        </w:rPr>
        <w:t>The Optionee named below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color w:val="auto"/>
        </w:rPr>
        <w:t>”) has been granted an option (this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to purchase shares of Common Stock, USD $0.001 par value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of Avalyn Pharma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pursuant to the Company’s 2022 Equity Incentive Plan, as amended from time to time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xml:space="preserve">”) on the terms, and subject to the conditions, described below and in the Global Stock Option Agreement attached hereto as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including its annexes (in the case of Annex B, to the extent applicable to the Optionee from time to time as determined by the Company in its sole discretion) (the “</w:t>
      </w:r>
      <w:r>
        <w:rPr>
          <w:rFonts w:ascii="Times New Roman" w:cs="Times New Roman" w:eastAsia="Times New Roman" w:hAnsi="Times New Roman"/>
          <w:sz w:val="15"/>
          <w:szCs w:val="15"/>
          <w:b w:val="1"/>
          <w:bCs w:val="1"/>
          <w:i w:val="1"/>
          <w:iCs w:val="1"/>
          <w:color w:val="auto"/>
        </w:rPr>
        <w:t>Stock Option Agreement</w:t>
      </w:r>
      <w:r>
        <w:rPr>
          <w:rFonts w:ascii="Times New Roman" w:cs="Times New Roman" w:eastAsia="Times New Roman" w:hAnsi="Times New Roman"/>
          <w:sz w:val="15"/>
          <w:szCs w:val="15"/>
          <w:color w:val="auto"/>
        </w:rPr>
        <w:t>”).</w:t>
      </w:r>
    </w:p>
    <w:p>
      <w:pPr>
        <w:spacing w:after="0" w:line="1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Optionee:</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Maximum Number of Shares Subject</w:t>
      </w:r>
    </w:p>
    <w:p>
      <w:pPr>
        <w:spacing w:after="0" w:line="1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to this Option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b w:val="1"/>
          <w:bCs w:val="1"/>
          <w:color w:val="auto"/>
        </w:rPr>
        <w:t>”):</w:t>
      </w:r>
    </w:p>
    <w:p>
      <w:pPr>
        <w:spacing w:after="0" w:line="62" w:lineRule="exact"/>
        <w:rPr>
          <w:sz w:val="20"/>
          <w:szCs w:val="20"/>
          <w:color w:val="auto"/>
        </w:rPr>
      </w:pPr>
    </w:p>
    <w:p>
      <w:pPr>
        <w:ind w:left="1220"/>
        <w:spacing w:after="0"/>
        <w:tabs>
          <w:tab w:leader="none" w:pos="3560" w:val="left"/>
        </w:tabs>
        <w:rPr>
          <w:sz w:val="20"/>
          <w:szCs w:val="20"/>
          <w:color w:val="auto"/>
        </w:rPr>
      </w:pPr>
      <w:r>
        <w:rPr>
          <w:rFonts w:ascii="Times New Roman" w:cs="Times New Roman" w:eastAsia="Times New Roman" w:hAnsi="Times New Roman"/>
          <w:sz w:val="15"/>
          <w:szCs w:val="15"/>
          <w:b w:val="1"/>
          <w:bCs w:val="1"/>
          <w:color w:val="auto"/>
        </w:rPr>
        <w:t>Exercise Price Per Share:</w:t>
      </w:r>
      <w:r>
        <w:rPr>
          <w:sz w:val="20"/>
          <w:szCs w:val="20"/>
          <w:color w:val="auto"/>
        </w:rPr>
        <w:tab/>
      </w:r>
      <w:r>
        <w:rPr>
          <w:rFonts w:ascii="Times New Roman" w:cs="Times New Roman" w:eastAsia="Times New Roman" w:hAnsi="Times New Roman"/>
          <w:sz w:val="14"/>
          <w:szCs w:val="14"/>
          <w:color w:val="auto"/>
        </w:rPr>
        <w:t>$_____ per share</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Date of Grant:</w:t>
      </w:r>
    </w:p>
    <w:p>
      <w:pPr>
        <w:spacing w:after="0" w:line="8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Vesting Start Date:</w:t>
      </w:r>
    </w:p>
    <w:p>
      <w:pPr>
        <w:spacing w:after="0" w:line="80" w:lineRule="exact"/>
        <w:rPr>
          <w:sz w:val="20"/>
          <w:szCs w:val="20"/>
          <w:color w:val="auto"/>
        </w:rPr>
      </w:pPr>
    </w:p>
    <w:p>
      <w:pPr>
        <w:ind w:left="1220"/>
        <w:spacing w:after="0"/>
        <w:tabs>
          <w:tab w:leader="none" w:pos="3560" w:val="left"/>
        </w:tabs>
        <w:rPr>
          <w:sz w:val="20"/>
          <w:szCs w:val="20"/>
          <w:color w:val="auto"/>
        </w:rPr>
      </w:pPr>
      <w:r>
        <w:rPr>
          <w:rFonts w:ascii="Times New Roman" w:cs="Times New Roman" w:eastAsia="Times New Roman" w:hAnsi="Times New Roman"/>
          <w:sz w:val="15"/>
          <w:szCs w:val="15"/>
          <w:b w:val="1"/>
          <w:bCs w:val="1"/>
          <w:color w:val="auto"/>
        </w:rPr>
        <w:t>Exercise Schedule:</w:t>
      </w:r>
      <w:r>
        <w:rPr>
          <w:sz w:val="20"/>
          <w:szCs w:val="20"/>
          <w:color w:val="auto"/>
        </w:rPr>
        <w:tab/>
      </w:r>
      <w:r>
        <w:rPr>
          <w:rFonts w:ascii="Times New Roman" w:cs="Times New Roman" w:eastAsia="Times New Roman" w:hAnsi="Times New Roman"/>
          <w:sz w:val="15"/>
          <w:szCs w:val="15"/>
          <w:color w:val="auto"/>
        </w:rPr>
        <w:t>This Option will become exercisable during its term with respect to</w:t>
      </w:r>
    </w:p>
    <w:p>
      <w:pPr>
        <w:spacing w:after="0" w:line="9"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5"/>
          <w:szCs w:val="15"/>
          <w:color w:val="auto"/>
        </w:rPr>
        <w:t>portions of the Shares in accordance with the Vesting Schedule set</w:t>
      </w:r>
    </w:p>
    <w:p>
      <w:pPr>
        <w:ind w:left="3580"/>
        <w:spacing w:after="0"/>
        <w:rPr>
          <w:sz w:val="20"/>
          <w:szCs w:val="20"/>
          <w:color w:val="auto"/>
        </w:rPr>
      </w:pPr>
      <w:r>
        <w:rPr>
          <w:rFonts w:ascii="Times New Roman" w:cs="Times New Roman" w:eastAsia="Times New Roman" w:hAnsi="Times New Roman"/>
          <w:sz w:val="15"/>
          <w:szCs w:val="15"/>
          <w:color w:val="auto"/>
        </w:rPr>
        <w:t>forth below.</w:t>
      </w:r>
    </w:p>
    <w:p>
      <w:pPr>
        <w:spacing w:after="0" w:line="62" w:lineRule="exact"/>
        <w:rPr>
          <w:sz w:val="20"/>
          <w:szCs w:val="20"/>
          <w:color w:val="auto"/>
        </w:rPr>
      </w:pPr>
    </w:p>
    <w:p>
      <w:pPr>
        <w:ind w:left="1220"/>
        <w:spacing w:after="0"/>
        <w:tabs>
          <w:tab w:leader="none" w:pos="3560" w:val="left"/>
        </w:tabs>
        <w:rPr>
          <w:sz w:val="20"/>
          <w:szCs w:val="20"/>
          <w:color w:val="auto"/>
        </w:rPr>
      </w:pPr>
      <w:r>
        <w:rPr>
          <w:rFonts w:ascii="Times New Roman" w:cs="Times New Roman" w:eastAsia="Times New Roman" w:hAnsi="Times New Roman"/>
          <w:sz w:val="15"/>
          <w:szCs w:val="15"/>
          <w:b w:val="1"/>
          <w:bCs w:val="1"/>
          <w:color w:val="auto"/>
        </w:rPr>
        <w:t>Expiration Date:</w:t>
      </w:r>
      <w:r>
        <w:rPr>
          <w:sz w:val="20"/>
          <w:szCs w:val="20"/>
          <w:color w:val="auto"/>
        </w:rPr>
        <w:tab/>
      </w:r>
      <w:r>
        <w:rPr>
          <w:rFonts w:ascii="Times New Roman" w:cs="Times New Roman" w:eastAsia="Times New Roman" w:hAnsi="Times New Roman"/>
          <w:sz w:val="14"/>
          <w:szCs w:val="14"/>
          <w:color w:val="auto"/>
        </w:rPr>
        <w:t>The date ten (10) years after the Date of Grant set forth above, subject</w:t>
      </w:r>
    </w:p>
    <w:p>
      <w:pPr>
        <w:spacing w:after="0" w:line="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4"/>
          <w:szCs w:val="14"/>
          <w:color w:val="auto"/>
        </w:rPr>
        <w:t>to earlier expiration in the event of Termination as provided in Section</w:t>
      </w:r>
    </w:p>
    <w:p>
      <w:pPr>
        <w:spacing w:after="0" w:line="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5"/>
          <w:szCs w:val="15"/>
          <w:color w:val="auto"/>
        </w:rPr>
        <w:t>3 of the Stock Option Agreement.</w:t>
      </w:r>
    </w:p>
    <w:p>
      <w:pPr>
        <w:sectPr>
          <w:pgSz w:w="11900" w:h="16838" w:orient="portrait"/>
          <w:cols w:equalWidth="0" w:num="1">
            <w:col w:w="9019"/>
          </w:cols>
          <w:pgMar w:left="1440" w:top="1128" w:right="1440" w:bottom="1440" w:gutter="0" w:footer="0" w:header="0"/>
        </w:sectPr>
      </w:pPr>
    </w:p>
    <w:p>
      <w:pPr>
        <w:spacing w:after="0" w:line="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U.S. Tax Status of Option:</w:t>
      </w:r>
    </w:p>
    <w:p>
      <w:pPr>
        <w:spacing w:after="0" w:line="8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 xml:space="preserve">(Check </w:t>
      </w:r>
      <w:r>
        <w:rPr>
          <w:rFonts w:ascii="Times New Roman" w:cs="Times New Roman" w:eastAsia="Times New Roman" w:hAnsi="Times New Roman"/>
          <w:sz w:val="15"/>
          <w:szCs w:val="15"/>
          <w:u w:val="single" w:color="auto"/>
          <w:color w:val="auto"/>
        </w:rPr>
        <w:t>Only</w:t>
      </w:r>
      <w:r>
        <w:rPr>
          <w:rFonts w:ascii="Times New Roman" w:cs="Times New Roman" w:eastAsia="Times New Roman" w:hAnsi="Times New Roman"/>
          <w:sz w:val="15"/>
          <w:szCs w:val="15"/>
          <w:color w:val="auto"/>
        </w:rPr>
        <w:t xml:space="preserve"> One Box):</w:t>
      </w:r>
    </w:p>
    <w:p>
      <w:pPr>
        <w:spacing w:after="0" w:line="200" w:lineRule="exact"/>
        <w:rPr>
          <w:sz w:val="20"/>
          <w:szCs w:val="20"/>
          <w:color w:val="auto"/>
        </w:rPr>
      </w:pPr>
    </w:p>
    <w:p>
      <w:pPr>
        <w:spacing w:after="0" w:line="319" w:lineRule="exact"/>
        <w:rPr>
          <w:sz w:val="20"/>
          <w:szCs w:val="20"/>
          <w:color w:val="auto"/>
        </w:rPr>
      </w:pPr>
    </w:p>
    <w:p>
      <w:pPr>
        <w:ind w:left="1220"/>
        <w:spacing w:after="0" w:line="298" w:lineRule="auto"/>
        <w:rPr>
          <w:sz w:val="20"/>
          <w:szCs w:val="20"/>
          <w:color w:val="auto"/>
        </w:rPr>
      </w:pPr>
      <w:r>
        <w:rPr>
          <w:rFonts w:ascii="Times New Roman" w:cs="Times New Roman" w:eastAsia="Times New Roman" w:hAnsi="Times New Roman"/>
          <w:sz w:val="14"/>
          <w:szCs w:val="14"/>
          <w:b w:val="1"/>
          <w:bCs w:val="1"/>
          <w:color w:val="auto"/>
        </w:rPr>
        <w:t>Vesting Schedule[EXAMPLE ONLY]:</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220" w:right="1239" w:hanging="211"/>
        <w:spacing w:after="0" w:line="262" w:lineRule="auto"/>
        <w:tabs>
          <w:tab w:leader="none" w:pos="296" w:val="left"/>
        </w:tabs>
        <w:numPr>
          <w:ilvl w:val="0"/>
          <w:numId w:val="35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Incentive Stock Option (</w:t>
      </w:r>
      <w:r>
        <w:rPr>
          <w:rFonts w:ascii="Times New Roman" w:cs="Times New Roman" w:eastAsia="Times New Roman" w:hAnsi="Times New Roman"/>
          <w:sz w:val="15"/>
          <w:szCs w:val="15"/>
          <w:i w:val="1"/>
          <w:iCs w:val="1"/>
          <w:color w:val="auto"/>
        </w:rPr>
        <w:t>To the fullest extent permitted by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Code</w:t>
      </w:r>
      <w:r>
        <w:rPr>
          <w:rFonts w:ascii="Times New Roman" w:cs="Times New Roman" w:eastAsia="Times New Roman" w:hAnsi="Times New Roman"/>
          <w:sz w:val="15"/>
          <w:szCs w:val="15"/>
          <w:color w:val="auto"/>
        </w:rPr>
        <w:t>)</w:t>
      </w:r>
    </w:p>
    <w:p>
      <w:pPr>
        <w:spacing w:after="0" w:line="56" w:lineRule="exact"/>
        <w:rPr>
          <w:rFonts w:ascii="MS PGothic" w:cs="MS PGothic" w:eastAsia="MS PGothic" w:hAnsi="MS PGothic"/>
          <w:sz w:val="15"/>
          <w:szCs w:val="15"/>
          <w:color w:val="auto"/>
        </w:rPr>
      </w:pPr>
    </w:p>
    <w:p>
      <w:pPr>
        <w:ind w:left="220" w:hanging="211"/>
        <w:spacing w:after="0"/>
        <w:tabs>
          <w:tab w:leader="none" w:pos="220" w:val="left"/>
        </w:tabs>
        <w:numPr>
          <w:ilvl w:val="0"/>
          <w:numId w:val="35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Nonqualified Stock Option.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If</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u w:val="single" w:color="auto"/>
          <w:color w:val="auto"/>
        </w:rPr>
        <w:t>neither</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box is checked, this Option is a Nonqualified Stock Option</w:t>
      </w:r>
      <w:r>
        <w:rPr>
          <w:rFonts w:ascii="Times New Roman" w:cs="Times New Roman" w:eastAsia="Times New Roman" w:hAnsi="Times New Roman"/>
          <w:sz w:val="14"/>
          <w:szCs w:val="14"/>
          <w:color w:val="auto"/>
        </w:rPr>
        <w:t>).</w:t>
      </w:r>
    </w:p>
    <w:p>
      <w:pPr>
        <w:spacing w:after="0" w:line="93" w:lineRule="exact"/>
        <w:rPr>
          <w:sz w:val="20"/>
          <w:szCs w:val="20"/>
          <w:color w:val="auto"/>
        </w:rPr>
      </w:pPr>
    </w:p>
    <w:p>
      <w:pPr>
        <w:jc w:val="both"/>
        <w:ind w:right="1239"/>
        <w:spacing w:after="0" w:line="256" w:lineRule="auto"/>
        <w:rPr>
          <w:sz w:val="20"/>
          <w:szCs w:val="20"/>
          <w:color w:val="auto"/>
        </w:rPr>
      </w:pPr>
      <w:r>
        <w:rPr>
          <w:rFonts w:ascii="Times New Roman" w:cs="Times New Roman" w:eastAsia="Times New Roman" w:hAnsi="Times New Roman"/>
          <w:sz w:val="14"/>
          <w:szCs w:val="14"/>
          <w:color w:val="auto"/>
        </w:rPr>
        <w:t>For so long as Optionee continuously provides services to the Company (or any Subsidiary or Parent of the Company) as an employee, officer, director, contractor or consultant, this Option will vest (that is, become exercisable) with respect to the Shares as follows:</w:t>
      </w:r>
    </w:p>
    <w:p>
      <w:pPr>
        <w:spacing w:after="0" w:line="2" w:lineRule="exact"/>
        <w:rPr>
          <w:sz w:val="20"/>
          <w:szCs w:val="20"/>
          <w:color w:val="auto"/>
        </w:rPr>
      </w:pPr>
    </w:p>
    <w:p>
      <w:pPr>
        <w:jc w:val="both"/>
        <w:ind w:right="1239" w:firstLine="9"/>
        <w:spacing w:after="0" w:line="234" w:lineRule="auto"/>
        <w:tabs>
          <w:tab w:leader="none" w:pos="207" w:val="left"/>
        </w:tabs>
        <w:numPr>
          <w:ilvl w:val="0"/>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first one (1) year anniversary of the Vesting Start Date this Option will not be vested or exercisable as to any of the Shares;</w:t>
      </w:r>
    </w:p>
    <w:p>
      <w:pPr>
        <w:jc w:val="both"/>
        <w:ind w:right="1239" w:firstLine="9"/>
        <w:spacing w:after="0" w:line="216" w:lineRule="auto"/>
        <w:tabs>
          <w:tab w:leader="none" w:pos="238" w:val="left"/>
        </w:tabs>
        <w:numPr>
          <w:ilvl w:val="0"/>
          <w:numId w:val="3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Option will become vested and exercisable with respect to [</w:t>
      </w:r>
      <w:r>
        <w:rPr>
          <w:rFonts w:ascii="Times New Roman" w:cs="Times New Roman" w:eastAsia="Times New Roman" w:hAnsi="Times New Roman"/>
          <w:sz w:val="15"/>
          <w:szCs w:val="15"/>
          <w:b w:val="1"/>
          <w:bCs w:val="1"/>
          <w:color w:val="auto"/>
        </w:rPr>
        <w:t>1/4</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color w:val="auto"/>
        </w:rPr>
        <w:t xml:space="preserve"> of the Shares on the one (1) year anniversary of the Vesting Start Date; and (c) thereafter, this Option will become vested and exercisable with respect to an additional [</w:t>
      </w:r>
      <w:r>
        <w:rPr>
          <w:rFonts w:ascii="Times New Roman" w:cs="Times New Roman" w:eastAsia="Times New Roman" w:hAnsi="Times New Roman"/>
          <w:sz w:val="15"/>
          <w:szCs w:val="15"/>
          <w:b w:val="1"/>
          <w:bCs w:val="1"/>
          <w:color w:val="auto"/>
        </w:rPr>
        <w:t>1/48</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5"/>
          <w:szCs w:val="15"/>
          <w:color w:val="auto"/>
        </w:rPr>
        <w:t>] of the Shares when Optionee completes each month of continuous service following the first one (1) year anniversary of the Vesting Start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-2152015</wp:posOffset>
            </wp:positionH>
            <wp:positionV relativeFrom="paragraph">
              <wp:posOffset>788035</wp:posOffset>
            </wp:positionV>
            <wp:extent cx="548576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2">
            <w:col w:w="3080" w:space="500"/>
            <w:col w:w="5439"/>
          </w:cols>
          <w:pgMar w:left="1440" w:top="1128" w:right="1440" w:bottom="1440" w:gutter="0" w:footer="0" w:header="0"/>
          <w:type w:val="continuous"/>
        </w:sectPr>
      </w:pPr>
    </w:p>
    <w:bookmarkStart w:id="451" w:name="page452"/>
    <w:bookmarkEnd w:id="451"/>
    <w:p>
      <w:pPr>
        <w:jc w:val="both"/>
        <w:ind w:left="1220" w:right="123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General; Agreement: </w:t>
      </w:r>
      <w:r>
        <w:rPr>
          <w:rFonts w:ascii="Times New Roman" w:cs="Times New Roman" w:eastAsia="Times New Roman" w:hAnsi="Times New Roman"/>
          <w:sz w:val="15"/>
          <w:szCs w:val="15"/>
          <w:color w:val="auto"/>
        </w:rPr>
        <w:t>By their signatures below, Optionee and the Company agree that this Option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granted under and governed by this Global Notice of Stock Option Grant (this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and by the provisions of the Plan and the Stock Option Agreement (including its annexes). The Plan and the Stock Option Agreement (including its annexes) are incorporated herein by reference. Capitalized terms used but not defined herein shall have the meanings given to them in the Plan or in the Stock Option Agreement (including its annexes), as applicable. By signing below, Optionee acknowledges receipt of a copy of this Grant Notice, the Plan and the Stock Option Agreement (including its annexes) and represents that Optionee has carefully read and is familiar with their provisions, and hereby accepts the Option subject to all of their respective terms and conditions. Non-U.S. taxpayers should consult with their own tax advisor generally about the taxation of the Option. The Option grant shall be subject to any additional or replacement terms and conditions set forth in Annex B attached to the Stock Option Agreement, which is attached to and made a part of this Notice. Optionee acknowledges that there may be adverse tax consequences upon grant or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320"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Execution and Delivery: </w:t>
      </w:r>
      <w:r>
        <w:rPr>
          <w:rFonts w:ascii="Times New Roman" w:cs="Times New Roman" w:eastAsia="Times New Roman" w:hAnsi="Times New Roman"/>
          <w:sz w:val="15"/>
          <w:szCs w:val="15"/>
          <w:color w:val="auto"/>
        </w:rPr>
        <w:t>This Grant Notice may be executed and delivered electronically whether via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Company’s intranet or the Internet site of a 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5"/>
          <w:szCs w:val="15"/>
          <w:b w:val="1"/>
          <w:bCs w:val="1"/>
          <w:i w:val="1"/>
          <w:iCs w:val="1"/>
          <w:color w:val="auto"/>
        </w:rPr>
        <w:t>701 Disclosures</w:t>
      </w:r>
      <w:r>
        <w:rPr>
          <w:rFonts w:ascii="Times New Roman" w:cs="Times New Roman" w:eastAsia="Times New Roman" w:hAnsi="Times New Roman"/>
          <w:sz w:val="15"/>
          <w:szCs w:val="15"/>
          <w:color w:val="auto"/>
        </w:rPr>
        <w:t>”), account statements, or other communications or information) whether via the Company’s intranet or the Internet site of such third party or via email or such other means of electronic delivery specified by the Company.</w:t>
      </w:r>
    </w:p>
    <w:p>
      <w:pPr>
        <w:spacing w:after="0" w:line="137"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30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Avalyn Pharma Inc.</w:t>
            </w:r>
          </w:p>
        </w:tc>
        <w:tc>
          <w:tcPr>
            <w:tcW w:w="1360" w:type="dxa"/>
            <w:vAlign w:val="bottom"/>
          </w:tcPr>
          <w:p>
            <w:pPr>
              <w:spacing w:after="0"/>
              <w:rPr>
                <w:sz w:val="17"/>
                <w:szCs w:val="17"/>
                <w:color w:val="auto"/>
              </w:rPr>
            </w:pPr>
          </w:p>
        </w:tc>
      </w:tr>
      <w:tr>
        <w:trPr>
          <w:trHeight w:val="361"/>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By /Signature:</w:t>
            </w:r>
          </w:p>
        </w:tc>
        <w:tc>
          <w:tcPr>
            <w:tcW w:w="1920" w:type="dxa"/>
            <w:vAlign w:val="bottom"/>
            <w:tcBorders>
              <w:bottom w:val="single" w:sz="8" w:color="auto"/>
            </w:tcBorders>
          </w:tcPr>
          <w:p>
            <w:pPr>
              <w:spacing w:after="0"/>
              <w:rPr>
                <w:sz w:val="24"/>
                <w:szCs w:val="24"/>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Optionee Signature:</w:t>
            </w: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Typed Name:</w:t>
            </w:r>
          </w:p>
        </w:tc>
        <w:tc>
          <w:tcPr>
            <w:tcW w:w="1920" w:type="dxa"/>
            <w:vAlign w:val="bottom"/>
            <w:tcBorders>
              <w:bottom w:val="single" w:sz="8" w:color="auto"/>
            </w:tcBorders>
          </w:tcPr>
          <w:p>
            <w:pPr>
              <w:spacing w:after="0"/>
              <w:rPr>
                <w:sz w:val="24"/>
                <w:szCs w:val="24"/>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Optionee’s Name:</w:t>
            </w:r>
          </w:p>
        </w:tc>
      </w:tr>
      <w:tr>
        <w:trPr>
          <w:trHeight w:val="358"/>
        </w:trPr>
        <w:tc>
          <w:tcPr>
            <w:tcW w:w="114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92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-486410</wp:posOffset>
            </wp:positionV>
            <wp:extent cx="1195070" cy="698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195070" cy="698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-246380</wp:posOffset>
            </wp:positionV>
            <wp:extent cx="1195070" cy="698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195070" cy="6985"/>
                    </a:xfrm>
                    <a:prstGeom prst="rect">
                      <a:avLst/>
                    </a:prstGeom>
                    <a:noFill/>
                  </pic:spPr>
                </pic:pic>
              </a:graphicData>
            </a:graphic>
          </wp:anchor>
        </w:drawing>
      </w:r>
    </w:p>
    <w:p>
      <w:pPr>
        <w:spacing w:after="0" w:line="138" w:lineRule="exact"/>
        <w:rPr>
          <w:sz w:val="20"/>
          <w:szCs w:val="20"/>
          <w:color w:val="auto"/>
        </w:rPr>
      </w:pPr>
    </w:p>
    <w:p>
      <w:pPr>
        <w:ind w:left="1220"/>
        <w:spacing w:after="0"/>
        <w:tabs>
          <w:tab w:leader="none" w:pos="2240" w:val="left"/>
        </w:tabs>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ttachment</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Exhibit A: Global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698500</wp:posOffset>
            </wp:positionV>
            <wp:extent cx="5485765" cy="3873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52" w:name="page453"/>
    <w:bookmarkEnd w:id="452"/>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Global Stock Option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698500</wp:posOffset>
            </wp:positionV>
            <wp:extent cx="54857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53" w:name="page454"/>
    <w:bookmarkEnd w:id="453"/>
    <w:p>
      <w:pPr>
        <w:jc w:val="right"/>
        <w:ind w:right="1239"/>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GLOBAL STOCK OPTION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A</w:t>
      </w:r>
      <w:r>
        <w:rPr>
          <w:rFonts w:ascii="Times New Roman" w:cs="Times New Roman" w:eastAsia="Times New Roman" w:hAnsi="Times New Roman"/>
          <w:sz w:val="10"/>
          <w:szCs w:val="10"/>
          <w:b w:val="1"/>
          <w:bCs w:val="1"/>
          <w:i w:val="1"/>
          <w:iCs w:val="1"/>
          <w:color w:val="auto"/>
        </w:rPr>
        <w:t>valyn</w:t>
      </w:r>
      <w:r>
        <w:rPr>
          <w:rFonts w:ascii="Times New Roman" w:cs="Times New Roman" w:eastAsia="Times New Roman" w:hAnsi="Times New Roman"/>
          <w:sz w:val="15"/>
          <w:szCs w:val="15"/>
          <w:b w:val="1"/>
          <w:bCs w:val="1"/>
          <w:i w:val="1"/>
          <w:iCs w:val="1"/>
          <w:color w:val="auto"/>
        </w:rPr>
        <w:t xml:space="preserve"> P</w:t>
      </w:r>
      <w:r>
        <w:rPr>
          <w:rFonts w:ascii="Times New Roman" w:cs="Times New Roman" w:eastAsia="Times New Roman" w:hAnsi="Times New Roman"/>
          <w:sz w:val="10"/>
          <w:szCs w:val="10"/>
          <w:b w:val="1"/>
          <w:bCs w:val="1"/>
          <w:i w:val="1"/>
          <w:iCs w:val="1"/>
          <w:color w:val="auto"/>
        </w:rPr>
        <w:t>harma</w:t>
      </w:r>
      <w:r>
        <w:rPr>
          <w:rFonts w:ascii="Times New Roman" w:cs="Times New Roman" w:eastAsia="Times New Roman" w:hAnsi="Times New Roman"/>
          <w:sz w:val="15"/>
          <w:szCs w:val="15"/>
          <w:b w:val="1"/>
          <w:bCs w:val="1"/>
          <w:i w:val="1"/>
          <w:iCs w:val="1"/>
          <w:color w:val="auto"/>
        </w:rPr>
        <w:t xml:space="preserve"> I</w:t>
      </w:r>
      <w:r>
        <w:rPr>
          <w:rFonts w:ascii="Times New Roman" w:cs="Times New Roman" w:eastAsia="Times New Roman" w:hAnsi="Times New Roman"/>
          <w:sz w:val="10"/>
          <w:szCs w:val="10"/>
          <w:b w:val="1"/>
          <w:bCs w:val="1"/>
          <w:i w:val="1"/>
          <w:iCs w:val="1"/>
          <w:color w:val="auto"/>
        </w:rPr>
        <w:t>nc</w:t>
      </w:r>
      <w:r>
        <w:rPr>
          <w:rFonts w:ascii="Times New Roman" w:cs="Times New Roman" w:eastAsia="Times New Roman" w:hAnsi="Times New Roman"/>
          <w:sz w:val="15"/>
          <w:szCs w:val="15"/>
          <w:b w:val="1"/>
          <w:bCs w:val="1"/>
          <w:i w:val="1"/>
          <w:iCs w:val="1"/>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firstLine="505"/>
        <w:spacing w:after="0" w:line="254" w:lineRule="auto"/>
        <w:rPr>
          <w:sz w:val="20"/>
          <w:szCs w:val="20"/>
          <w:color w:val="auto"/>
        </w:rPr>
      </w:pPr>
      <w:r>
        <w:rPr>
          <w:rFonts w:ascii="Times New Roman" w:cs="Times New Roman" w:eastAsia="Times New Roman" w:hAnsi="Times New Roman"/>
          <w:sz w:val="15"/>
          <w:szCs w:val="15"/>
          <w:color w:val="auto"/>
        </w:rPr>
        <w:t>This Global Stock Option Agreement (this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is made and entered into as of the date of grant (the “</w:t>
      </w:r>
      <w:r>
        <w:rPr>
          <w:rFonts w:ascii="Times New Roman" w:cs="Times New Roman" w:eastAsia="Times New Roman" w:hAnsi="Times New Roman"/>
          <w:sz w:val="15"/>
          <w:szCs w:val="15"/>
          <w:b w:val="1"/>
          <w:bCs w:val="1"/>
          <w:i w:val="1"/>
          <w:iCs w:val="1"/>
          <w:color w:val="auto"/>
        </w:rPr>
        <w:t>Date of Grant</w:t>
      </w:r>
      <w:r>
        <w:rPr>
          <w:rFonts w:ascii="Times New Roman" w:cs="Times New Roman" w:eastAsia="Times New Roman" w:hAnsi="Times New Roman"/>
          <w:sz w:val="15"/>
          <w:szCs w:val="15"/>
          <w:color w:val="auto"/>
        </w:rPr>
        <w:t>”) set forth on the Global Notice of Stock Option Grant attached as the facing page to this Agreement (the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by and between Avalyn Pharma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the optionee named on the Grant Notice (the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color w:val="auto"/>
        </w:rPr>
        <w:t>”). Capitalized terms not defined in this Agreement shall have the meaning ascribed to them in the Company’s 2022 Equity Incentive Plan, as amended from time to time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or in the Grant Notice, as applicable. This Agreement shall be subject to any additional or replacement terms and conditions set forth in Annex B, to the extent applicable to Optionee from time to time.</w:t>
      </w:r>
    </w:p>
    <w:p>
      <w:pPr>
        <w:spacing w:after="0" w:line="137" w:lineRule="exact"/>
        <w:rPr>
          <w:sz w:val="20"/>
          <w:szCs w:val="20"/>
          <w:color w:val="auto"/>
        </w:rPr>
      </w:pPr>
    </w:p>
    <w:p>
      <w:pPr>
        <w:jc w:val="both"/>
        <w:ind w:left="1220" w:right="1239" w:firstLine="509"/>
        <w:spacing w:after="0" w:line="254" w:lineRule="auto"/>
        <w:tabs>
          <w:tab w:leader="none" w:pos="2347" w:val="left"/>
        </w:tabs>
        <w:numPr>
          <w:ilvl w:val="0"/>
          <w:numId w:val="3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GRANT OF OPTION. </w:t>
      </w:r>
      <w:r>
        <w:rPr>
          <w:rFonts w:ascii="Times New Roman" w:cs="Times New Roman" w:eastAsia="Times New Roman" w:hAnsi="Times New Roman"/>
          <w:sz w:val="15"/>
          <w:szCs w:val="15"/>
          <w:color w:val="auto"/>
        </w:rPr>
        <w:t>The Company hereby grants to Optionee an option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to purchase up to the total number of shares of Common Stock of the Company, USD $0.001 par value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set forth in the Grant Notice as the Shares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at the Exercise Price Per Share set forth in the Grant Notice (the “</w:t>
      </w:r>
      <w:r>
        <w:rPr>
          <w:rFonts w:ascii="Times New Roman" w:cs="Times New Roman" w:eastAsia="Times New Roman" w:hAnsi="Times New Roman"/>
          <w:sz w:val="15"/>
          <w:szCs w:val="15"/>
          <w:b w:val="1"/>
          <w:bCs w:val="1"/>
          <w:i w:val="1"/>
          <w:iCs w:val="1"/>
          <w:color w:val="auto"/>
        </w:rPr>
        <w:t>Exercise Price</w:t>
      </w:r>
      <w:r>
        <w:rPr>
          <w:rFonts w:ascii="Times New Roman" w:cs="Times New Roman" w:eastAsia="Times New Roman" w:hAnsi="Times New Roman"/>
          <w:sz w:val="15"/>
          <w:szCs w:val="15"/>
          <w:color w:val="auto"/>
        </w:rPr>
        <w:t>”), subject to all of the terms and conditions of the Grant Notice, this Agreement and the Plan. If designated as an Incentive Stock Option for U.S. tax purposes in the Grant Notice, this Option is intended to qualify as an incentive stock option (the “</w:t>
      </w:r>
      <w:r>
        <w:rPr>
          <w:rFonts w:ascii="Times New Roman" w:cs="Times New Roman" w:eastAsia="Times New Roman" w:hAnsi="Times New Roman"/>
          <w:sz w:val="15"/>
          <w:szCs w:val="15"/>
          <w:b w:val="1"/>
          <w:bCs w:val="1"/>
          <w:i w:val="1"/>
          <w:iCs w:val="1"/>
          <w:color w:val="auto"/>
        </w:rPr>
        <w:t>ISO</w:t>
      </w:r>
      <w:r>
        <w:rPr>
          <w:rFonts w:ascii="Times New Roman" w:cs="Times New Roman" w:eastAsia="Times New Roman" w:hAnsi="Times New Roman"/>
          <w:sz w:val="15"/>
          <w:szCs w:val="15"/>
          <w:color w:val="auto"/>
        </w:rPr>
        <w:t>”) within the meaning of Section 422 of the U.S. Internal Revenue Code of 1986, as amended (the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w:t>
      </w:r>
    </w:p>
    <w:p>
      <w:pPr>
        <w:spacing w:after="0" w:line="137" w:lineRule="exact"/>
        <w:rPr>
          <w:rFonts w:ascii="Times New Roman" w:cs="Times New Roman" w:eastAsia="Times New Roman" w:hAnsi="Times New Roman"/>
          <w:sz w:val="15"/>
          <w:szCs w:val="15"/>
          <w:b w:val="1"/>
          <w:bCs w:val="1"/>
          <w:color w:val="auto"/>
        </w:rPr>
      </w:pPr>
    </w:p>
    <w:p>
      <w:pPr>
        <w:ind w:left="2120" w:hanging="391"/>
        <w:spacing w:after="0"/>
        <w:tabs>
          <w:tab w:leader="none" w:pos="2120" w:val="left"/>
        </w:tabs>
        <w:numPr>
          <w:ilvl w:val="0"/>
          <w:numId w:val="35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EXERCISE PERIOD.</w:t>
      </w:r>
    </w:p>
    <w:p>
      <w:pPr>
        <w:spacing w:after="0" w:line="174"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2.1. </w:t>
      </w:r>
      <w:r>
        <w:rPr>
          <w:rFonts w:ascii="Times New Roman" w:cs="Times New Roman" w:eastAsia="Times New Roman" w:hAnsi="Times New Roman"/>
          <w:sz w:val="15"/>
          <w:szCs w:val="15"/>
          <w:b w:val="1"/>
          <w:bCs w:val="1"/>
          <w:u w:val="single" w:color="auto"/>
          <w:color w:val="auto"/>
        </w:rPr>
        <w:t>Exercise Period of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Option is considered to be “vested” with respect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any particular Shares when this Option is 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32"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2.2. </w:t>
      </w:r>
      <w:r>
        <w:rPr>
          <w:rFonts w:ascii="Times New Roman" w:cs="Times New Roman" w:eastAsia="Times New Roman" w:hAnsi="Times New Roman"/>
          <w:sz w:val="15"/>
          <w:szCs w:val="15"/>
          <w:b w:val="1"/>
          <w:bCs w:val="1"/>
          <w:u w:val="single" w:color="auto"/>
          <w:color w:val="auto"/>
        </w:rPr>
        <w:t>Vesting of Option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with respect to which this Option is vested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exercisable at a given time pursuant to the Vesting Schedule set forth in the Grant Notice are “</w:t>
      </w:r>
      <w:r>
        <w:rPr>
          <w:rFonts w:ascii="Times New Roman" w:cs="Times New Roman" w:eastAsia="Times New Roman" w:hAnsi="Times New Roman"/>
          <w:sz w:val="15"/>
          <w:szCs w:val="15"/>
          <w:b w:val="1"/>
          <w:bCs w:val="1"/>
          <w:i w:val="1"/>
          <w:iCs w:val="1"/>
          <w:color w:val="auto"/>
        </w:rPr>
        <w:t>Vested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Shares with respect to which this Option is not vested and exercisable at a given time pursuant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to the Vesting Schedule set forth in the Grant Notice are “</w:t>
      </w:r>
      <w:r>
        <w:rPr>
          <w:rFonts w:ascii="Times New Roman" w:cs="Times New Roman" w:eastAsia="Times New Roman" w:hAnsi="Times New Roman"/>
          <w:sz w:val="15"/>
          <w:szCs w:val="15"/>
          <w:b w:val="1"/>
          <w:bCs w:val="1"/>
          <w:i w:val="1"/>
          <w:iCs w:val="1"/>
          <w:color w:val="auto"/>
        </w:rPr>
        <w:t>Unvested Shares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t>
      </w:r>
    </w:p>
    <w:p>
      <w:pPr>
        <w:spacing w:after="0" w:line="130"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2.3. </w:t>
      </w:r>
      <w:r>
        <w:rPr>
          <w:rFonts w:ascii="Times New Roman" w:cs="Times New Roman" w:eastAsia="Times New Roman" w:hAnsi="Times New Roman"/>
          <w:sz w:val="15"/>
          <w:szCs w:val="15"/>
          <w:b w:val="1"/>
          <w:bCs w:val="1"/>
          <w:u w:val="single" w:color="auto"/>
          <w:color w:val="auto"/>
        </w:rPr>
        <w:t>Expiration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Option shall expire on the Expiration Date set forth in the Grant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Notice or earlier as provided in Section 3 below.</w:t>
      </w:r>
    </w:p>
    <w:p>
      <w:pPr>
        <w:spacing w:after="0" w:line="107" w:lineRule="exact"/>
        <w:rPr>
          <w:sz w:val="20"/>
          <w:szCs w:val="20"/>
          <w:color w:val="auto"/>
        </w:rPr>
      </w:pPr>
    </w:p>
    <w:p>
      <w:pPr>
        <w:ind w:left="2120" w:hanging="391"/>
        <w:spacing w:after="0"/>
        <w:tabs>
          <w:tab w:leader="none" w:pos="2120" w:val="left"/>
        </w:tabs>
        <w:numPr>
          <w:ilvl w:val="0"/>
          <w:numId w:val="35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TERMINATION.</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3.1. </w:t>
      </w:r>
      <w:r>
        <w:rPr>
          <w:rFonts w:ascii="Times New Roman" w:cs="Times New Roman" w:eastAsia="Times New Roman" w:hAnsi="Times New Roman"/>
          <w:sz w:val="15"/>
          <w:szCs w:val="15"/>
          <w:b w:val="1"/>
          <w:bCs w:val="1"/>
          <w:u w:val="single" w:color="auto"/>
          <w:color w:val="auto"/>
        </w:rPr>
        <w:t>Termination for Any Reason Except Death, Disability or 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provided in subsection 3.2 in a case in which Optionee 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w:t>
      </w: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54" w:name="page455"/>
    <w:bookmarkEnd w:id="454"/>
    <w:p>
      <w:pPr>
        <w:jc w:val="both"/>
        <w:ind w:left="1220" w:right="1239"/>
        <w:spacing w:after="0" w:line="285" w:lineRule="auto"/>
        <w:rPr>
          <w:sz w:val="20"/>
          <w:szCs w:val="20"/>
          <w:color w:val="auto"/>
        </w:rPr>
      </w:pPr>
      <w:r>
        <w:rPr>
          <w:rFonts w:ascii="Times New Roman" w:cs="Times New Roman" w:eastAsia="Times New Roman" w:hAnsi="Times New Roman"/>
          <w:sz w:val="15"/>
          <w:szCs w:val="15"/>
          <w:color w:val="auto"/>
        </w:rPr>
        <w:t>be exercised by Optionee no later than three (3) months after Optionee’s Termination Date (but in no event may this Option be exercised after the Expiration Date).</w:t>
      </w:r>
    </w:p>
    <w:p>
      <w:pPr>
        <w:spacing w:after="0" w:line="112"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3.2. </w:t>
      </w:r>
      <w:r>
        <w:rPr>
          <w:rFonts w:ascii="Times New Roman" w:cs="Times New Roman" w:eastAsia="Times New Roman" w:hAnsi="Times New Roman"/>
          <w:sz w:val="15"/>
          <w:szCs w:val="15"/>
          <w:b w:val="1"/>
          <w:bCs w:val="1"/>
          <w:u w:val="single" w:color="auto"/>
          <w:color w:val="auto"/>
        </w:rPr>
        <w:t>Termination Because of Death or Disability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Terminated because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Optionee’s death or Disability (or if Optionee 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37" w:lineRule="exact"/>
        <w:rPr>
          <w:sz w:val="20"/>
          <w:szCs w:val="20"/>
          <w:color w:val="auto"/>
        </w:rPr>
      </w:pPr>
    </w:p>
    <w:p>
      <w:pPr>
        <w:jc w:val="both"/>
        <w:ind w:left="1220" w:right="1239" w:firstLine="1009"/>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3.3. </w:t>
      </w:r>
      <w:r>
        <w:rPr>
          <w:rFonts w:ascii="Times New Roman" w:cs="Times New Roman" w:eastAsia="Times New Roman" w:hAnsi="Times New Roman"/>
          <w:sz w:val="15"/>
          <w:szCs w:val="15"/>
          <w:b w:val="1"/>
          <w:bCs w:val="1"/>
          <w:u w:val="single" w:color="auto"/>
          <w:color w:val="auto"/>
        </w:rPr>
        <w:t>Termination for 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Terminated for Cause, then Optionee may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 this Option, but only with respect to any 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315" w:lineRule="exact"/>
        <w:rPr>
          <w:sz w:val="20"/>
          <w:szCs w:val="20"/>
          <w:color w:val="auto"/>
        </w:rPr>
      </w:pPr>
    </w:p>
    <w:p>
      <w:pPr>
        <w:jc w:val="both"/>
        <w:ind w:left="1220" w:right="1239" w:firstLine="1009"/>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3.4. </w:t>
      </w:r>
      <w:r>
        <w:rPr>
          <w:rFonts w:ascii="Times New Roman" w:cs="Times New Roman" w:eastAsia="Times New Roman" w:hAnsi="Times New Roman"/>
          <w:sz w:val="15"/>
          <w:szCs w:val="15"/>
          <w:b w:val="1"/>
          <w:bCs w:val="1"/>
          <w:u w:val="single" w:color="auto"/>
          <w:color w:val="auto"/>
        </w:rPr>
        <w:t>No Obligation to Employ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Nothing in the Plan or this Agreement shall confer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any right to continue in the employ of, or 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314" w:lineRule="exact"/>
        <w:rPr>
          <w:sz w:val="20"/>
          <w:szCs w:val="20"/>
          <w:color w:val="auto"/>
        </w:rPr>
      </w:pPr>
    </w:p>
    <w:p>
      <w:pPr>
        <w:ind w:left="2120" w:hanging="391"/>
        <w:spacing w:after="0"/>
        <w:tabs>
          <w:tab w:leader="none" w:pos="2120" w:val="left"/>
        </w:tabs>
        <w:numPr>
          <w:ilvl w:val="0"/>
          <w:numId w:val="36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MANNER OF EXERCISE.</w:t>
      </w:r>
    </w:p>
    <w:p>
      <w:pPr>
        <w:spacing w:after="0" w:line="174"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4.1. </w:t>
      </w:r>
      <w:r>
        <w:rPr>
          <w:rFonts w:ascii="Times New Roman" w:cs="Times New Roman" w:eastAsia="Times New Roman" w:hAnsi="Times New Roman"/>
          <w:sz w:val="15"/>
          <w:szCs w:val="15"/>
          <w:b w:val="1"/>
          <w:bCs w:val="1"/>
          <w:u w:val="single" w:color="auto"/>
          <w:color w:val="auto"/>
        </w:rPr>
        <w:t>Stock Option Exercise Notice and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exercise this Option, Optionee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(or in the case of exercise after Optionee’s death or incapacity, Optionee’s executor, administrator, heir or legatee, as the case may be) must deliver to the Company an executed Stock Option Exercise Notice and Agreement in the form attached hereto as </w:t>
      </w:r>
      <w:r>
        <w:rPr>
          <w:rFonts w:ascii="Times New Roman" w:cs="Times New Roman" w:eastAsia="Times New Roman" w:hAnsi="Times New Roman"/>
          <w:sz w:val="15"/>
          <w:szCs w:val="15"/>
          <w:b w:val="1"/>
          <w:bCs w:val="1"/>
          <w:u w:val="single" w:color="auto"/>
          <w:color w:val="auto"/>
        </w:rPr>
        <w:t>Annex A</w:t>
      </w:r>
      <w:r>
        <w:rPr>
          <w:rFonts w:ascii="Times New Roman" w:cs="Times New Roman" w:eastAsia="Times New Roman" w:hAnsi="Times New Roman"/>
          <w:sz w:val="15"/>
          <w:szCs w:val="15"/>
          <w:color w:val="auto"/>
        </w:rPr>
        <w:t>, or in such other form as may be approved by the Committee from time to time (the “</w:t>
      </w:r>
      <w:r>
        <w:rPr>
          <w:rFonts w:ascii="Times New Roman" w:cs="Times New Roman" w:eastAsia="Times New Roman" w:hAnsi="Times New Roman"/>
          <w:sz w:val="15"/>
          <w:szCs w:val="15"/>
          <w:b w:val="1"/>
          <w:bCs w:val="1"/>
          <w:i w:val="1"/>
          <w:iCs w:val="1"/>
          <w:color w:val="auto"/>
        </w:rPr>
        <w:t>Exercise Agreement</w:t>
      </w:r>
      <w:r>
        <w:rPr>
          <w:rFonts w:ascii="Times New Roman" w:cs="Times New Roman" w:eastAsia="Times New Roman" w:hAnsi="Times New Roman"/>
          <w:sz w:val="15"/>
          <w:szCs w:val="15"/>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37" w:lineRule="exact"/>
        <w:rPr>
          <w:sz w:val="20"/>
          <w:szCs w:val="20"/>
          <w:color w:val="auto"/>
        </w:rPr>
      </w:pPr>
    </w:p>
    <w:p>
      <w:pPr>
        <w:jc w:val="both"/>
        <w:ind w:left="1220" w:right="1239" w:firstLine="1009"/>
        <w:spacing w:after="0" w:line="280" w:lineRule="auto"/>
        <w:rPr>
          <w:sz w:val="20"/>
          <w:szCs w:val="20"/>
          <w:color w:val="auto"/>
        </w:rPr>
      </w:pPr>
      <w:r>
        <w:rPr>
          <w:rFonts w:ascii="Times New Roman" w:cs="Times New Roman" w:eastAsia="Times New Roman" w:hAnsi="Times New Roman"/>
          <w:sz w:val="15"/>
          <w:szCs w:val="15"/>
          <w:b w:val="1"/>
          <w:bCs w:val="1"/>
          <w:color w:val="auto"/>
        </w:rPr>
        <w:t xml:space="preserve">4.2. </w:t>
      </w:r>
      <w:r>
        <w:rPr>
          <w:rFonts w:ascii="Times New Roman" w:cs="Times New Roman" w:eastAsia="Times New Roman" w:hAnsi="Times New Roman"/>
          <w:sz w:val="15"/>
          <w:szCs w:val="15"/>
          <w:b w:val="1"/>
          <w:bCs w:val="1"/>
          <w:u w:val="single" w:color="auto"/>
          <w:color w:val="auto"/>
        </w:rPr>
        <w:t>Limitations on Exercise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This Option may not be exercised unless such exercise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compliance with all applicable foreign, federal, and state laws, as they are in effect on the date of exercise.</w:t>
      </w:r>
    </w:p>
    <w:p>
      <w:pPr>
        <w:spacing w:after="0" w:line="200" w:lineRule="exact"/>
        <w:rPr>
          <w:sz w:val="20"/>
          <w:szCs w:val="20"/>
          <w:color w:val="auto"/>
        </w:rPr>
      </w:pPr>
    </w:p>
    <w:p>
      <w:pPr>
        <w:spacing w:after="0" w:line="26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55" w:name="page456"/>
    <w:bookmarkEnd w:id="455"/>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4.3. </w:t>
      </w:r>
      <w:r>
        <w:rPr>
          <w:rFonts w:ascii="Times New Roman" w:cs="Times New Roman" w:eastAsia="Times New Roman" w:hAnsi="Times New Roman"/>
          <w:sz w:val="15"/>
          <w:szCs w:val="15"/>
          <w:b w:val="1"/>
          <w:bCs w:val="1"/>
          <w:u w:val="single" w:color="auto"/>
          <w:color w:val="auto"/>
        </w:rPr>
        <w:t>Payment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Exercise Agreement shall be accompanied by full payment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 Price for the shares being purchased in cash (by check, Automated Clearing House (“</w:t>
      </w:r>
      <w:r>
        <w:rPr>
          <w:rFonts w:ascii="Times New Roman" w:cs="Times New Roman" w:eastAsia="Times New Roman" w:hAnsi="Times New Roman"/>
          <w:sz w:val="15"/>
          <w:szCs w:val="15"/>
          <w:b w:val="1"/>
          <w:bCs w:val="1"/>
          <w:i w:val="1"/>
          <w:iCs w:val="1"/>
          <w:color w:val="auto"/>
        </w:rPr>
        <w:t>ACH</w:t>
      </w:r>
      <w:r>
        <w:rPr>
          <w:rFonts w:ascii="Times New Roman" w:cs="Times New Roman" w:eastAsia="Times New Roman" w:hAnsi="Times New Roman"/>
          <w:sz w:val="15"/>
          <w:szCs w:val="15"/>
          <w:color w:val="auto"/>
        </w:rPr>
        <w:t>”) or wire transfer) (in any case, in U.S. dollars), or where permitted by law:</w:t>
      </w:r>
    </w:p>
    <w:p>
      <w:pPr>
        <w:spacing w:after="0" w:line="126" w:lineRule="exact"/>
        <w:rPr>
          <w:sz w:val="20"/>
          <w:szCs w:val="20"/>
          <w:color w:val="auto"/>
        </w:rPr>
      </w:pPr>
    </w:p>
    <w:p>
      <w:pPr>
        <w:ind w:left="3060" w:hanging="322"/>
        <w:spacing w:after="0"/>
        <w:tabs>
          <w:tab w:leader="none" w:pos="3060"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cancellation of indebtedness of the Company owed to Optionee;</w:t>
      </w:r>
    </w:p>
    <w:p>
      <w:pPr>
        <w:spacing w:after="0" w:line="174"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079"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surrender of shares of the Company that are free and clear of all security interests, pledges, liens, claims or encumbrances and: (i) for which the Company has received “full payment of the purchase price” within the meaning of U.S. Securities and Exchange Commission (“SEC”) Rule 144 (and, if such shares were purchased from the Company by use of a promissory note, such note has been fully paid with respect to such shares) or (ii) that were obtained by Optionee in the public market;</w:t>
      </w:r>
    </w:p>
    <w:p>
      <w:pPr>
        <w:spacing w:after="0" w:line="320"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092"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participating in a formal cashless exercise program implemented by the Committee in connection with the Plan;</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107"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36" w:lineRule="exact"/>
        <w:rPr>
          <w:rFonts w:ascii="Times New Roman" w:cs="Times New Roman" w:eastAsia="Times New Roman" w:hAnsi="Times New Roman"/>
          <w:sz w:val="15"/>
          <w:szCs w:val="15"/>
          <w:color w:val="auto"/>
        </w:rPr>
      </w:pPr>
    </w:p>
    <w:p>
      <w:pPr>
        <w:ind w:left="3180" w:hanging="442"/>
        <w:spacing w:after="0"/>
        <w:tabs>
          <w:tab w:leader="none" w:pos="3180" w:val="left"/>
        </w:tabs>
        <w:numPr>
          <w:ilvl w:val="0"/>
          <w:numId w:val="3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any combination of the foregoing or any other method of payment</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by the Committee that constitutes legal consideration for the issuance of Shares.</w:t>
      </w:r>
    </w:p>
    <w:p>
      <w:pPr>
        <w:spacing w:after="0" w:line="15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For avoidance of uncertainty: ACH transfers that have been successfully received by the Company into its bank account designated for receipt of such transfers shall be deemed to have been received for all purposes of this Option as of the date on which such transfers were initiated from the Optionee’s account and made irrevocable by Optionee.</w:t>
      </w:r>
    </w:p>
    <w:p>
      <w:pPr>
        <w:spacing w:after="0" w:line="129"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4.4. </w:t>
      </w:r>
      <w:r>
        <w:rPr>
          <w:rFonts w:ascii="Times New Roman" w:cs="Times New Roman" w:eastAsia="Times New Roman" w:hAnsi="Times New Roman"/>
          <w:sz w:val="15"/>
          <w:szCs w:val="15"/>
          <w:b w:val="1"/>
          <w:bCs w:val="1"/>
          <w:u w:val="single" w:color="auto"/>
          <w:color w:val="auto"/>
        </w:rPr>
        <w:t>Tax Withholding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a condition to the exercise of this Option, Optionee must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 or make adequate provision for all applicable foreign, federal, state, and local income tax, social insurance, payroll tax, fringe benefits tax, payment on account, withholding and other tax-related items related to the Option and Optionee’s participation in the Plan and legally applicable to Optionee, including, as applicable, obligations of the Company or, if different, Optionee’s employer (the “</w:t>
      </w:r>
      <w:r>
        <w:rPr>
          <w:rFonts w:ascii="Times New Roman" w:cs="Times New Roman" w:eastAsia="Times New Roman" w:hAnsi="Times New Roman"/>
          <w:sz w:val="15"/>
          <w:szCs w:val="15"/>
          <w:b w:val="1"/>
          <w:bCs w:val="1"/>
          <w:i w:val="1"/>
          <w:iCs w:val="1"/>
          <w:color w:val="auto"/>
        </w:rPr>
        <w:t>Employer</w:t>
      </w:r>
      <w:r>
        <w:rPr>
          <w:rFonts w:ascii="Times New Roman" w:cs="Times New Roman" w:eastAsia="Times New Roman" w:hAnsi="Times New Roman"/>
          <w:sz w:val="15"/>
          <w:szCs w:val="15"/>
          <w:color w:val="auto"/>
        </w:rPr>
        <w:t>”) (all the foregoing tax-related items, “</w:t>
      </w:r>
      <w:r>
        <w:rPr>
          <w:rFonts w:ascii="Times New Roman" w:cs="Times New Roman" w:eastAsia="Times New Roman" w:hAnsi="Times New Roman"/>
          <w:sz w:val="15"/>
          <w:szCs w:val="15"/>
          <w:b w:val="1"/>
          <w:bCs w:val="1"/>
          <w:i w:val="1"/>
          <w:iCs w:val="1"/>
          <w:color w:val="auto"/>
        </w:rPr>
        <w:t>Tax-Related Items</w:t>
      </w:r>
      <w:r>
        <w:rPr>
          <w:rFonts w:ascii="Times New Roman" w:cs="Times New Roman" w:eastAsia="Times New Roman" w:hAnsi="Times New Roman"/>
          <w:sz w:val="15"/>
          <w:szCs w:val="15"/>
          <w:color w:val="auto"/>
        </w:rPr>
        <w:t>”). If the Committee permits, and if permitted under applicable law, Optionee may provide for payment of withholding taxes upon exercise of the Option by requesting that the Company retain the number of Shares with a Fair Market Value equal to the amount of 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 The Company may withhold or account for Tax-Related Items by considering applicable minimum statutory withholding rates or other applicable statutory rates in Optionee’s country, including maximum applicable rates.</w:t>
      </w:r>
    </w:p>
    <w:p>
      <w:pPr>
        <w:spacing w:after="0" w:line="3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56" w:name="page457"/>
    <w:bookmarkEnd w:id="456"/>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4.5. </w:t>
      </w:r>
      <w:r>
        <w:rPr>
          <w:rFonts w:ascii="Times New Roman" w:cs="Times New Roman" w:eastAsia="Times New Roman" w:hAnsi="Times New Roman"/>
          <w:sz w:val="15"/>
          <w:szCs w:val="15"/>
          <w:b w:val="1"/>
          <w:bCs w:val="1"/>
          <w:u w:val="single" w:color="auto"/>
          <w:color w:val="auto"/>
        </w:rPr>
        <w:t>Issuance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Provided that the Exercise Agreement and payment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provision for Tax-Related Items are in form and substance satisfactory to counsel for the 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131" w:lineRule="exact"/>
        <w:rPr>
          <w:sz w:val="20"/>
          <w:szCs w:val="20"/>
          <w:color w:val="auto"/>
        </w:rPr>
      </w:pPr>
    </w:p>
    <w:p>
      <w:pPr>
        <w:ind w:left="2120" w:hanging="391"/>
        <w:spacing w:after="0"/>
        <w:tabs>
          <w:tab w:leader="none" w:pos="2120" w:val="left"/>
        </w:tabs>
        <w:numPr>
          <w:ilvl w:val="0"/>
          <w:numId w:val="3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COMPLIANCE WITH LAWS AND REGULATIONS.</w:t>
      </w:r>
    </w:p>
    <w:p>
      <w:pPr>
        <w:spacing w:after="0" w:line="174"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5.1. </w:t>
      </w:r>
      <w:r>
        <w:rPr>
          <w:rFonts w:ascii="Times New Roman" w:cs="Times New Roman" w:eastAsia="Times New Roman" w:hAnsi="Times New Roman"/>
          <w:sz w:val="15"/>
          <w:szCs w:val="15"/>
          <w:b w:val="1"/>
          <w:bCs w:val="1"/>
          <w:u w:val="single" w:color="auto"/>
          <w:color w:val="auto"/>
        </w:rPr>
        <w:t>General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Plan and this Agreement are intended to comply with Section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25102(o) and Rule 701. 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foreign, federal, and state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34"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5.2. </w:t>
      </w:r>
      <w:r>
        <w:rPr>
          <w:rFonts w:ascii="Times New Roman" w:cs="Times New Roman" w:eastAsia="Times New Roman" w:hAnsi="Times New Roman"/>
          <w:sz w:val="15"/>
          <w:szCs w:val="15"/>
          <w:b w:val="1"/>
          <w:bCs w:val="1"/>
          <w:u w:val="single" w:color="auto"/>
          <w:color w:val="auto"/>
        </w:rPr>
        <w:t>Non-U.S. Optionees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Optionee’s country of residence is other than the United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States, Optionee makes the following additional representations, warranties and agreements:</w:t>
      </w:r>
    </w:p>
    <w:p>
      <w:pPr>
        <w:spacing w:after="0" w:line="111" w:lineRule="exact"/>
        <w:rPr>
          <w:sz w:val="20"/>
          <w:szCs w:val="20"/>
          <w:color w:val="auto"/>
        </w:rPr>
      </w:pPr>
    </w:p>
    <w:p>
      <w:pPr>
        <w:jc w:val="both"/>
        <w:ind w:left="1220" w:right="1239" w:firstLine="1518"/>
        <w:spacing w:after="0" w:line="257" w:lineRule="auto"/>
        <w:tabs>
          <w:tab w:leader="none" w:pos="3126"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is not a U.S. Person as defined in Rule 902(k) of Regulation S under the Securities Act. The offer and sale of the Shares to such Optionee was made in an offshore transaction (as defined in Rule 902(h) of Regulation S), no directed selling efforts (as defined in Rule 902(c) of Regulation S) were made in the United States, and the Optionee is not acquiring the Shares for the account or benefit of any U.S. Person;</w:t>
      </w:r>
    </w:p>
    <w:p>
      <w:pPr>
        <w:spacing w:after="0" w:line="138" w:lineRule="exact"/>
        <w:rPr>
          <w:rFonts w:ascii="Times New Roman" w:cs="Times New Roman" w:eastAsia="Times New Roman" w:hAnsi="Times New Roman"/>
          <w:sz w:val="15"/>
          <w:szCs w:val="15"/>
          <w:color w:val="auto"/>
        </w:rPr>
      </w:pPr>
    </w:p>
    <w:p>
      <w:pPr>
        <w:jc w:val="both"/>
        <w:ind w:left="1220" w:right="1239" w:firstLine="1518"/>
        <w:spacing w:after="0" w:line="257" w:lineRule="auto"/>
        <w:tabs>
          <w:tab w:leader="none" w:pos="3122"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will not, during the one-year restriction period applicable to the Shares included in the legend set forth in Section 13.3(b) below (the “</w:t>
      </w:r>
      <w:r>
        <w:rPr>
          <w:rFonts w:ascii="Times New Roman" w:cs="Times New Roman" w:eastAsia="Times New Roman" w:hAnsi="Times New Roman"/>
          <w:sz w:val="15"/>
          <w:szCs w:val="15"/>
          <w:b w:val="1"/>
          <w:bCs w:val="1"/>
          <w:i w:val="1"/>
          <w:iCs w:val="1"/>
          <w:color w:val="auto"/>
        </w:rPr>
        <w:t>Restricted Period</w:t>
      </w:r>
      <w:r>
        <w:rPr>
          <w:rFonts w:ascii="Times New Roman" w:cs="Times New Roman" w:eastAsia="Times New Roman" w:hAnsi="Times New Roman"/>
          <w:sz w:val="15"/>
          <w:szCs w:val="15"/>
          <w:color w:val="auto"/>
        </w:rPr>
        <w:t>”) and on any certificate representing the Shares, offer or sell any of the foregoing securities (or create or maintain any derivative position equivalent thereto) in the United States, to or for the account or benefit of a U.S. Person or other than in accordance with Regulation S; and</w:t>
      </w:r>
    </w:p>
    <w:p>
      <w:pPr>
        <w:spacing w:after="0" w:line="138" w:lineRule="exact"/>
        <w:rPr>
          <w:rFonts w:ascii="Times New Roman" w:cs="Times New Roman" w:eastAsia="Times New Roman" w:hAnsi="Times New Roman"/>
          <w:sz w:val="15"/>
          <w:szCs w:val="15"/>
          <w:color w:val="auto"/>
        </w:rPr>
      </w:pPr>
    </w:p>
    <w:p>
      <w:pPr>
        <w:jc w:val="both"/>
        <w:ind w:left="1220" w:right="1239" w:firstLine="1518"/>
        <w:spacing w:after="0" w:line="261" w:lineRule="auto"/>
        <w:tabs>
          <w:tab w:leader="none" w:pos="3071"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will, after the expiration of the applicable Restricted Period, offer, sell, pledge or otherwise transfer the Shares (or create or maintain any derivative position equivalent thereto) only pursuant to registration under the Securities Act or any available exemption therefrom and, in any case, in accordance with applicable state securities laws.</w:t>
      </w:r>
    </w:p>
    <w:p>
      <w:pPr>
        <w:spacing w:after="0" w:line="132" w:lineRule="exact"/>
        <w:rPr>
          <w:rFonts w:ascii="Times New Roman" w:cs="Times New Roman" w:eastAsia="Times New Roman" w:hAnsi="Times New Roman"/>
          <w:sz w:val="15"/>
          <w:szCs w:val="15"/>
          <w:color w:val="auto"/>
        </w:rPr>
      </w:pPr>
    </w:p>
    <w:p>
      <w:pPr>
        <w:jc w:val="both"/>
        <w:ind w:left="1220" w:right="1239" w:firstLine="1518"/>
        <w:spacing w:after="0" w:line="267" w:lineRule="auto"/>
        <w:tabs>
          <w:tab w:leader="none" w:pos="3100" w:val="left"/>
        </w:tabs>
        <w:numPr>
          <w:ilvl w:val="1"/>
          <w:numId w:val="3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acknowledges and agrees that the Company shall not register the transfer of the Shares in violation of this Agreement, the Plan or any of the restrictions set forth herein or therein.</w:t>
      </w:r>
    </w:p>
    <w:p>
      <w:pPr>
        <w:spacing w:after="0" w:line="124" w:lineRule="exact"/>
        <w:rPr>
          <w:rFonts w:ascii="Times New Roman" w:cs="Times New Roman" w:eastAsia="Times New Roman" w:hAnsi="Times New Roman"/>
          <w:sz w:val="15"/>
          <w:szCs w:val="15"/>
          <w:color w:val="auto"/>
        </w:rPr>
      </w:pPr>
    </w:p>
    <w:p>
      <w:pPr>
        <w:jc w:val="both"/>
        <w:ind w:left="1220" w:right="1239" w:firstLine="509"/>
        <w:spacing w:after="0" w:line="255" w:lineRule="auto"/>
        <w:tabs>
          <w:tab w:leader="none" w:pos="2200" w:val="left"/>
        </w:tabs>
        <w:numPr>
          <w:ilvl w:val="0"/>
          <w:numId w:val="3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NONTRANSFERABILITY OF OPTION. </w:t>
      </w:r>
      <w:r>
        <w:rPr>
          <w:rFonts w:ascii="Times New Roman" w:cs="Times New Roman" w:eastAsia="Times New Roman" w:hAnsi="Times New Roman"/>
          <w:sz w:val="15"/>
          <w:szCs w:val="15"/>
          <w:color w:val="auto"/>
        </w:rPr>
        <w:t>This Option may not be transferred in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manner other than by will or by the laws of descent and 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2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57" w:name="page458"/>
    <w:bookmarkEnd w:id="457"/>
    <w:p>
      <w:pPr>
        <w:ind w:left="2120" w:hanging="391"/>
        <w:spacing w:after="0"/>
        <w:tabs>
          <w:tab w:leader="none" w:pos="2120" w:val="left"/>
        </w:tabs>
        <w:numPr>
          <w:ilvl w:val="0"/>
          <w:numId w:val="3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RESTRICTIONS ON TRANSFER.</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7.1. </w:t>
      </w:r>
      <w:r>
        <w:rPr>
          <w:rFonts w:ascii="Times New Roman" w:cs="Times New Roman" w:eastAsia="Times New Roman" w:hAnsi="Times New Roman"/>
          <w:sz w:val="15"/>
          <w:szCs w:val="15"/>
          <w:b w:val="1"/>
          <w:bCs w:val="1"/>
          <w:u w:val="single" w:color="auto"/>
          <w:color w:val="auto"/>
        </w:rPr>
        <w:t>Disposition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hereby agrees that Optionee shall make no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disposition of any of the Shares (other than as permitted by this Agreement and the Company’s Bylaws (the “</w:t>
      </w:r>
      <w:r>
        <w:rPr>
          <w:rFonts w:ascii="Times New Roman" w:cs="Times New Roman" w:eastAsia="Times New Roman" w:hAnsi="Times New Roman"/>
          <w:sz w:val="15"/>
          <w:szCs w:val="15"/>
          <w:b w:val="1"/>
          <w:bCs w:val="1"/>
          <w:i w:val="1"/>
          <w:iCs w:val="1"/>
          <w:color w:val="auto"/>
        </w:rPr>
        <w:t>Bylaws</w:t>
      </w:r>
      <w:r>
        <w:rPr>
          <w:rFonts w:ascii="Times New Roman" w:cs="Times New Roman" w:eastAsia="Times New Roman" w:hAnsi="Times New Roman"/>
          <w:sz w:val="15"/>
          <w:szCs w:val="15"/>
          <w:color w:val="auto"/>
        </w:rPr>
        <w:t>”)) unless and until:</w:t>
      </w:r>
    </w:p>
    <w:p>
      <w:pPr>
        <w:spacing w:after="0" w:line="126" w:lineRule="exact"/>
        <w:rPr>
          <w:sz w:val="20"/>
          <w:szCs w:val="20"/>
          <w:color w:val="auto"/>
        </w:rPr>
      </w:pPr>
    </w:p>
    <w:p>
      <w:pPr>
        <w:ind w:left="3100" w:hanging="362"/>
        <w:spacing w:after="0"/>
        <w:tabs>
          <w:tab w:leader="none" w:pos="310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notified the Company of the proposed disposition and</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a written summary of the terms and conditions of the proposed disposition;</w:t>
      </w:r>
    </w:p>
    <w:p>
      <w:pPr>
        <w:spacing w:after="0" w:line="158"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10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complied with all requirements of this Agreement and the Bylaws applicable to the disposition of the Shares;</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065"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provided the Company with written assurances, in form and substance satisfactory to counsel for the Company, that (i) the proposed disposition does not require registration of the Shares under the Securities Act or under any applicable laws or (ii) all appropriate actions necessary for compliance with the registration requirements of the Securities Act or of any exemption from registration available under the Securities Act (including Rule 144) or applicable laws have been taken; and</w:t>
      </w:r>
    </w:p>
    <w:p>
      <w:pPr>
        <w:spacing w:after="0" w:line="320" w:lineRule="exact"/>
        <w:rPr>
          <w:rFonts w:ascii="Times New Roman" w:cs="Times New Roman" w:eastAsia="Times New Roman" w:hAnsi="Times New Roman"/>
          <w:sz w:val="15"/>
          <w:szCs w:val="15"/>
          <w:color w:val="auto"/>
        </w:rPr>
      </w:pPr>
    </w:p>
    <w:p>
      <w:pPr>
        <w:jc w:val="both"/>
        <w:ind w:left="1220" w:right="1239" w:firstLine="1518"/>
        <w:spacing w:after="0" w:line="254" w:lineRule="auto"/>
        <w:tabs>
          <w:tab w:leader="none" w:pos="3070" w:val="left"/>
        </w:tabs>
        <w:numPr>
          <w:ilvl w:val="0"/>
          <w:numId w:val="3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laws for the grant of the Option, the issuance of Shares thereunder or any other issuance of securities under the Plan.</w:t>
      </w:r>
    </w:p>
    <w:p>
      <w:pPr>
        <w:spacing w:after="0" w:line="137"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7.2. </w:t>
      </w:r>
      <w:r>
        <w:rPr>
          <w:rFonts w:ascii="Times New Roman" w:cs="Times New Roman" w:eastAsia="Times New Roman" w:hAnsi="Times New Roman"/>
          <w:sz w:val="15"/>
          <w:szCs w:val="15"/>
          <w:b w:val="1"/>
          <w:bCs w:val="1"/>
          <w:u w:val="single" w:color="auto"/>
          <w:color w:val="auto"/>
        </w:rPr>
        <w:t>Restriction on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shall not transfer, assign, grant a lien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security interest in, pledge, hypothecate, encumber or otherwise dispose of any of the Shares which are subject to restrictions on transfer set forth in the Bylaws and the Company’s Right of First Refusal described below, except as permitted by this Agreement.</w:t>
      </w:r>
    </w:p>
    <w:p>
      <w:pPr>
        <w:spacing w:after="0" w:line="130"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7.3. </w:t>
      </w:r>
      <w:r>
        <w:rPr>
          <w:rFonts w:ascii="Times New Roman" w:cs="Times New Roman" w:eastAsia="Times New Roman" w:hAnsi="Times New Roman"/>
          <w:sz w:val="15"/>
          <w:szCs w:val="15"/>
          <w:b w:val="1"/>
          <w:bCs w:val="1"/>
          <w:u w:val="single" w:color="auto"/>
          <w:color w:val="auto"/>
        </w:rPr>
        <w:t>Transferee Obligations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person (other than the Company) to whom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are transferred by means of one of the permitted transfers specified in this Agreement must, as a condition precedent to the validity of such transfer, acknowledge in writing to the Company that such person is bound by the provisions of this Agreement and that the transferred Shares are subject to (i) any restrictions on transfer set forth in the Bylaws, (ii) the Company’s Right of First Refusal granted hereunder and (iii) the market stand-off provisions of Section 8 below, to the same extent such Shares would be so subject if retained by Optionee.</w:t>
      </w:r>
    </w:p>
    <w:p>
      <w:pPr>
        <w:spacing w:after="0" w:line="136" w:lineRule="exact"/>
        <w:rPr>
          <w:sz w:val="20"/>
          <w:szCs w:val="20"/>
          <w:color w:val="auto"/>
        </w:rPr>
      </w:pPr>
    </w:p>
    <w:p>
      <w:pPr>
        <w:jc w:val="both"/>
        <w:ind w:left="1220" w:right="1239" w:firstLine="509"/>
        <w:spacing w:after="0" w:line="252" w:lineRule="auto"/>
        <w:tabs>
          <w:tab w:leader="none" w:pos="2246" w:val="left"/>
        </w:tabs>
        <w:numPr>
          <w:ilvl w:val="0"/>
          <w:numId w:val="3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MARKET STANDOFF AGREEMENT. </w:t>
      </w:r>
      <w:r>
        <w:rPr>
          <w:rFonts w:ascii="Times New Roman" w:cs="Times New Roman" w:eastAsia="Times New Roman" w:hAnsi="Times New Roman"/>
          <w:sz w:val="15"/>
          <w:szCs w:val="15"/>
          <w:color w:val="auto"/>
        </w:rPr>
        <w:t>Optionee agrees that, subject to any early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release provisions that apply pro rata to stockholders of 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5"/>
          <w:szCs w:val="15"/>
          <w:b w:val="1"/>
          <w:bCs w:val="1"/>
          <w:i w:val="1"/>
          <w:iCs w:val="1"/>
          <w:color w:val="auto"/>
        </w:rPr>
        <w:t>IPO</w:t>
      </w:r>
      <w:r>
        <w:rPr>
          <w:rFonts w:ascii="Times New Roman" w:cs="Times New Roman" w:eastAsia="Times New Roman" w:hAnsi="Times New Roman"/>
          <w:sz w:val="15"/>
          <w:szCs w:val="15"/>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5"/>
          <w:szCs w:val="15"/>
          <w:u w:val="single" w:color="auto"/>
          <w:color w:val="auto"/>
        </w:rPr>
        <w:t>except for:</w:t>
      </w:r>
      <w:r>
        <w:rPr>
          <w:rFonts w:ascii="Times New Roman" w:cs="Times New Roman" w:eastAsia="Times New Roman" w:hAnsi="Times New Roman"/>
          <w:sz w:val="15"/>
          <w:szCs w:val="15"/>
          <w:color w:val="auto"/>
        </w:rPr>
        <w:t xml:space="preserve"> (i) transfers of Shares permitted under Section 9.6 hereof so long as such transferee furnishes to the Company and the managing underwriter their written consent to be bound by this Section 8 as a condition precedent to such transfer; and (ii) sales of any</w:t>
      </w:r>
    </w:p>
    <w:p>
      <w:pPr>
        <w:spacing w:after="0" w:line="200" w:lineRule="exact"/>
        <w:rPr>
          <w:sz w:val="20"/>
          <w:szCs w:val="20"/>
          <w:color w:val="auto"/>
        </w:rPr>
      </w:pPr>
    </w:p>
    <w:p>
      <w:pPr>
        <w:spacing w:after="0" w:line="2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58" w:name="page459"/>
    <w:bookmarkEnd w:id="458"/>
    <w:p>
      <w:pPr>
        <w:jc w:val="both"/>
        <w:ind w:left="1220" w:right="1239"/>
        <w:spacing w:after="0" w:line="253" w:lineRule="auto"/>
        <w:rPr>
          <w:sz w:val="20"/>
          <w:szCs w:val="20"/>
          <w:color w:val="auto"/>
        </w:rPr>
      </w:pPr>
      <w:r>
        <w:rPr>
          <w:rFonts w:ascii="Times New Roman" w:cs="Times New Roman" w:eastAsia="Times New Roman" w:hAnsi="Times New Roman"/>
          <w:sz w:val="15"/>
          <w:szCs w:val="15"/>
          <w:color w:val="auto"/>
        </w:rPr>
        <w:t>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136" w:lineRule="exact"/>
        <w:rPr>
          <w:sz w:val="20"/>
          <w:szCs w:val="20"/>
          <w:color w:val="auto"/>
        </w:rPr>
      </w:pPr>
    </w:p>
    <w:p>
      <w:pPr>
        <w:jc w:val="both"/>
        <w:ind w:left="1220" w:right="1239" w:firstLine="509"/>
        <w:spacing w:after="0" w:line="257" w:lineRule="auto"/>
        <w:tabs>
          <w:tab w:leader="none" w:pos="2131" w:val="left"/>
        </w:tabs>
        <w:numPr>
          <w:ilvl w:val="0"/>
          <w:numId w:val="3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COMPANY’S RIGHT OF FIRST REFUSAL. </w:t>
      </w:r>
      <w:r>
        <w:rPr>
          <w:rFonts w:ascii="Times New Roman" w:cs="Times New Roman" w:eastAsia="Times New Roman" w:hAnsi="Times New Roman"/>
          <w:sz w:val="15"/>
          <w:szCs w:val="15"/>
          <w:color w:val="auto"/>
        </w:rPr>
        <w:t>Subject to the restrictions on transfer set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forth in the Bylaws, before any Shares held by Optionee or any transferee of such Shares (either sometimes referred to herein as the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may be sold or otherwise transferred (including, without limitation, a transfer by gift or operation of law), the Company and/or its assignee(s) will have a right of first refusal to purchase the Shares to be sold or transferred (the “</w:t>
      </w:r>
      <w:r>
        <w:rPr>
          <w:rFonts w:ascii="Times New Roman" w:cs="Times New Roman" w:eastAsia="Times New Roman" w:hAnsi="Times New Roman"/>
          <w:sz w:val="15"/>
          <w:szCs w:val="15"/>
          <w:b w:val="1"/>
          <w:bCs w:val="1"/>
          <w:i w:val="1"/>
          <w:iCs w:val="1"/>
          <w:color w:val="auto"/>
        </w:rPr>
        <w:t>Offered Shares</w:t>
      </w:r>
      <w:r>
        <w:rPr>
          <w:rFonts w:ascii="Times New Roman" w:cs="Times New Roman" w:eastAsia="Times New Roman" w:hAnsi="Times New Roman"/>
          <w:sz w:val="15"/>
          <w:szCs w:val="15"/>
          <w:color w:val="auto"/>
        </w:rPr>
        <w:t>”) on the terms and conditions set forth in this Section (the “</w:t>
      </w:r>
      <w:r>
        <w:rPr>
          <w:rFonts w:ascii="Times New Roman" w:cs="Times New Roman" w:eastAsia="Times New Roman" w:hAnsi="Times New Roman"/>
          <w:sz w:val="15"/>
          <w:szCs w:val="15"/>
          <w:b w:val="1"/>
          <w:bCs w:val="1"/>
          <w:i w:val="1"/>
          <w:iCs w:val="1"/>
          <w:color w:val="auto"/>
        </w:rPr>
        <w:t>Right of First Refusal</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9.1. </w:t>
      </w:r>
      <w:r>
        <w:rPr>
          <w:rFonts w:ascii="Times New Roman" w:cs="Times New Roman" w:eastAsia="Times New Roman" w:hAnsi="Times New Roman"/>
          <w:sz w:val="15"/>
          <w:szCs w:val="15"/>
          <w:b w:val="1"/>
          <w:bCs w:val="1"/>
          <w:u w:val="single" w:color="auto"/>
          <w:color w:val="auto"/>
        </w:rPr>
        <w:t>Notice of Proposed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Holder of the Offered Shares will deliver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a written notice (the “</w:t>
      </w:r>
      <w:r>
        <w:rPr>
          <w:rFonts w:ascii="Times New Roman" w:cs="Times New Roman" w:eastAsia="Times New Roman" w:hAnsi="Times New Roman"/>
          <w:sz w:val="15"/>
          <w:szCs w:val="15"/>
          <w:b w:val="1"/>
          <w:bCs w:val="1"/>
          <w:i w:val="1"/>
          <w:iCs w:val="1"/>
          <w:color w:val="auto"/>
        </w:rPr>
        <w:t>Notice</w:t>
      </w:r>
      <w:r>
        <w:rPr>
          <w:rFonts w:ascii="Times New Roman" w:cs="Times New Roman" w:eastAsia="Times New Roman" w:hAnsi="Times New Roman"/>
          <w:sz w:val="15"/>
          <w:szCs w:val="15"/>
          <w:color w:val="auto"/>
        </w:rPr>
        <w:t>”) stating: (i) the Holder’s bona fide intention to sell or otherwise transfer the Offered Shares; (ii) the name and address of each proposed purchaser or other transferee (the “</w:t>
      </w:r>
      <w:r>
        <w:rPr>
          <w:rFonts w:ascii="Times New Roman" w:cs="Times New Roman" w:eastAsia="Times New Roman" w:hAnsi="Times New Roman"/>
          <w:sz w:val="15"/>
          <w:szCs w:val="15"/>
          <w:b w:val="1"/>
          <w:bCs w:val="1"/>
          <w:i w:val="1"/>
          <w:iCs w:val="1"/>
          <w:color w:val="auto"/>
        </w:rPr>
        <w:t>Proposed Transferee</w:t>
      </w:r>
      <w:r>
        <w:rPr>
          <w:rFonts w:ascii="Times New Roman" w:cs="Times New Roman" w:eastAsia="Times New Roman" w:hAnsi="Times New Roman"/>
          <w:sz w:val="15"/>
          <w:szCs w:val="15"/>
          <w:color w:val="auto"/>
        </w:rPr>
        <w:t>”); (iii) the number of Offered Shares to be transferred to each Proposed Transferee; (iv) the bona fide cash price or other consideration (in any case, denominated in U.S. dollars) for which the Holder proposes to transfer the Offered Shares (the “</w:t>
      </w:r>
      <w:r>
        <w:rPr>
          <w:rFonts w:ascii="Times New Roman" w:cs="Times New Roman" w:eastAsia="Times New Roman" w:hAnsi="Times New Roman"/>
          <w:sz w:val="15"/>
          <w:szCs w:val="15"/>
          <w:b w:val="1"/>
          <w:bCs w:val="1"/>
          <w:i w:val="1"/>
          <w:iCs w:val="1"/>
          <w:color w:val="auto"/>
        </w:rPr>
        <w:t>Offered Price</w:t>
      </w:r>
      <w:r>
        <w:rPr>
          <w:rFonts w:ascii="Times New Roman" w:cs="Times New Roman" w:eastAsia="Times New Roman" w:hAnsi="Times New Roman"/>
          <w:sz w:val="15"/>
          <w:szCs w:val="15"/>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316"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9.2. </w:t>
      </w:r>
      <w:r>
        <w:rPr>
          <w:rFonts w:ascii="Times New Roman" w:cs="Times New Roman" w:eastAsia="Times New Roman" w:hAnsi="Times New Roman"/>
          <w:sz w:val="15"/>
          <w:szCs w:val="15"/>
          <w:b w:val="1"/>
          <w:bCs w:val="1"/>
          <w:u w:val="single" w:color="auto"/>
          <w:color w:val="auto"/>
        </w:rPr>
        <w:t>Exercise of Right of First Refusal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At any time within thirty (30) days after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of the Notice,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31"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9.3. </w:t>
      </w:r>
      <w:r>
        <w:rPr>
          <w:rFonts w:ascii="Times New Roman" w:cs="Times New Roman" w:eastAsia="Times New Roman" w:hAnsi="Times New Roman"/>
          <w:sz w:val="15"/>
          <w:szCs w:val="15"/>
          <w:b w:val="1"/>
          <w:bCs w:val="1"/>
          <w:u w:val="single" w:color="auto"/>
          <w:color w:val="auto"/>
        </w:rPr>
        <w:t>Purchase Price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purchase price for the Offered Shares purchased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Section will be the Offered Price,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if the 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(and denominated in U.S. dollars), will conclusively be deemed to be the cash equivalent value of such non-cash consideration.</w:t>
      </w:r>
    </w:p>
    <w:p>
      <w:pPr>
        <w:spacing w:after="0" w:line="136" w:lineRule="exact"/>
        <w:rPr>
          <w:sz w:val="20"/>
          <w:szCs w:val="20"/>
          <w:color w:val="auto"/>
        </w:rPr>
      </w:pPr>
    </w:p>
    <w:p>
      <w:pPr>
        <w:jc w:val="both"/>
        <w:ind w:left="1220" w:right="1239" w:firstLine="1009"/>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9.4. </w:t>
      </w:r>
      <w:r>
        <w:rPr>
          <w:rFonts w:ascii="Times New Roman" w:cs="Times New Roman" w:eastAsia="Times New Roman" w:hAnsi="Times New Roman"/>
          <w:sz w:val="15"/>
          <w:szCs w:val="15"/>
          <w:b w:val="1"/>
          <w:bCs w:val="1"/>
          <w:u w:val="single" w:color="auto"/>
          <w:color w:val="auto"/>
        </w:rPr>
        <w:t>Payment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of the purchase price for the Offered Shares will be payable, 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option of the 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59" w:name="page460"/>
    <w:bookmarkEnd w:id="459"/>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9.5. </w:t>
      </w:r>
      <w:r>
        <w:rPr>
          <w:rFonts w:ascii="Times New Roman" w:cs="Times New Roman" w:eastAsia="Times New Roman" w:hAnsi="Times New Roman"/>
          <w:sz w:val="15"/>
          <w:szCs w:val="15"/>
          <w:b w:val="1"/>
          <w:bCs w:val="1"/>
          <w:u w:val="single" w:color="auto"/>
          <w:color w:val="auto"/>
        </w:rPr>
        <w:t>Holder’s Right to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all of the Offered Shares proposed in the Notice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be transferred to a given Proposed Transferee are 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(i) such sale or other transfer is consummated within ninety (90) days after the date of the Notice, (ii) any such sale or other transfer is effected in compliance with all applicable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142"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9.6. </w:t>
      </w:r>
      <w:r>
        <w:rPr>
          <w:rFonts w:ascii="Times New Roman" w:cs="Times New Roman" w:eastAsia="Times New Roman" w:hAnsi="Times New Roman"/>
          <w:sz w:val="15"/>
          <w:szCs w:val="15"/>
          <w:b w:val="1"/>
          <w:bCs w:val="1"/>
          <w:u w:val="single" w:color="auto"/>
          <w:color w:val="auto"/>
        </w:rPr>
        <w:t>Exempt Transfers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Notwithstanding anything to the contrary in this Section,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following transfers of Shares will be exempt from the 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Times New Roman" w:cs="Times New Roman" w:eastAsia="Times New Roman" w:hAnsi="Times New Roman"/>
          <w:sz w:val="15"/>
          <w:szCs w:val="15"/>
          <w:b w:val="1"/>
          <w:bCs w:val="1"/>
          <w:i w:val="1"/>
          <w:iCs w:val="1"/>
          <w:color w:val="auto"/>
        </w:rPr>
        <w:t>Immediate Family</w:t>
      </w:r>
      <w:r>
        <w:rPr>
          <w:rFonts w:ascii="Times New Roman" w:cs="Times New Roman" w:eastAsia="Times New Roman" w:hAnsi="Times New Roman"/>
          <w:sz w:val="15"/>
          <w:szCs w:val="15"/>
          <w:color w:val="auto"/>
        </w:rPr>
        <w:t>”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5"/>
          <w:szCs w:val="15"/>
          <w:b w:val="1"/>
          <w:bCs w:val="1"/>
          <w:i w:val="1"/>
          <w:iCs w:val="1"/>
          <w:color w:val="auto"/>
        </w:rPr>
        <w:t>Spousal Equivalent</w:t>
      </w:r>
      <w:r>
        <w:rPr>
          <w:rFonts w:ascii="Times New Roman" w:cs="Times New Roman" w:eastAsia="Times New Roman" w:hAnsi="Times New Roman"/>
          <w:sz w:val="15"/>
          <w:szCs w:val="15"/>
          <w:color w:val="auto"/>
        </w:rPr>
        <w:t>”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45" w:lineRule="exact"/>
        <w:rPr>
          <w:sz w:val="20"/>
          <w:szCs w:val="20"/>
          <w:color w:val="auto"/>
        </w:rPr>
      </w:pPr>
    </w:p>
    <w:p>
      <w:pPr>
        <w:ind w:left="2240"/>
        <w:spacing w:after="0"/>
        <w:tabs>
          <w:tab w:leader="none" w:pos="2580" w:val="left"/>
        </w:tabs>
        <w:rPr>
          <w:sz w:val="20"/>
          <w:szCs w:val="20"/>
          <w:color w:val="auto"/>
        </w:rPr>
      </w:pPr>
      <w:r>
        <w:rPr>
          <w:rFonts w:ascii="Times New Roman" w:cs="Times New Roman" w:eastAsia="Times New Roman" w:hAnsi="Times New Roman"/>
          <w:sz w:val="15"/>
          <w:szCs w:val="15"/>
          <w:b w:val="1"/>
          <w:bCs w:val="1"/>
          <w:color w:val="auto"/>
        </w:rPr>
        <w:t>9.7.</w:t>
      </w:r>
      <w:r>
        <w:rPr>
          <w:sz w:val="20"/>
          <w:szCs w:val="20"/>
          <w:color w:val="auto"/>
        </w:rPr>
        <w:tab/>
      </w:r>
      <w:r>
        <w:rPr>
          <w:rFonts w:ascii="Times New Roman" w:cs="Times New Roman" w:eastAsia="Times New Roman" w:hAnsi="Times New Roman"/>
          <w:sz w:val="15"/>
          <w:szCs w:val="15"/>
          <w:b w:val="1"/>
          <w:bCs w:val="1"/>
          <w:u w:val="single" w:color="auto"/>
          <w:color w:val="auto"/>
        </w:rPr>
        <w:t>Termination of Right of First Refusal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u w:val="single" w:color="auto"/>
          <w:color w:val="auto"/>
        </w:rPr>
        <w:t xml:space="preserve"> </w:t>
      </w:r>
      <w:r>
        <w:rPr>
          <w:rFonts w:ascii="Times New Roman" w:cs="Times New Roman" w:eastAsia="Times New Roman" w:hAnsi="Times New Roman"/>
          <w:sz w:val="15"/>
          <w:szCs w:val="15"/>
          <w:color w:val="auto"/>
        </w:rPr>
        <w:t>The Right of First Refusal will terminate</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as to all Shares: (i) on the effective date of the first sale of Common Stock of the Company to the general</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public pursuant to a registration statement filed with and declared effective by the SEC under the</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Securities Act (other than a registration statement relating solely to the issuance of Common Stock</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pursuant to a business combination or an employee incentive or benefit plan); (ii) on any transfer or</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conversion of Shares made pursuant to a statutory merger or statutory consolidation of the Company with</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or into another corporation or corporations if the common stock of the surviving corporation or any direct</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or indirect parent corporation thereof is registered under the Exchange Act; or (iii) on any transfer or</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conversion of Shares made pursuant to a statutory conversion of the Company into another form of legal</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entity if  the common equity (or comparable equity security) of entity resulting from such conversion is</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registered under the Exchange Act.</w:t>
      </w:r>
    </w:p>
    <w:p>
      <w:pPr>
        <w:spacing w:after="0" w:line="31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60" w:name="page461"/>
    <w:bookmarkEnd w:id="460"/>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9.8. </w:t>
      </w:r>
      <w:r>
        <w:rPr>
          <w:rFonts w:ascii="Times New Roman" w:cs="Times New Roman" w:eastAsia="Times New Roman" w:hAnsi="Times New Roman"/>
          <w:sz w:val="15"/>
          <w:szCs w:val="15"/>
          <w:b w:val="1"/>
          <w:bCs w:val="1"/>
          <w:u w:val="single" w:color="auto"/>
          <w:color w:val="auto"/>
        </w:rPr>
        <w:t>Encumbrances on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may grant a lien or security interest in,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pledge, hypothecate or encumber 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137"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9.9. </w:t>
      </w:r>
      <w:r>
        <w:rPr>
          <w:rFonts w:ascii="Times New Roman" w:cs="Times New Roman" w:eastAsia="Times New Roman" w:hAnsi="Times New Roman"/>
          <w:sz w:val="15"/>
          <w:szCs w:val="15"/>
          <w:b w:val="1"/>
          <w:bCs w:val="1"/>
          <w:u w:val="single" w:color="auto"/>
          <w:color w:val="auto"/>
        </w:rPr>
        <w:t>Effect of Company Co-Sale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or at any time hereafter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becomes, a party to or otherwise bound by (i) the Company’s Amended and Restated Right of First Refusal and Co-Sale Agreement dated as of April 24, 2020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5"/>
          <w:szCs w:val="15"/>
          <w:b w:val="1"/>
          <w:bCs w:val="1"/>
          <w:i w:val="1"/>
          <w:iCs w:val="1"/>
          <w:color w:val="auto"/>
        </w:rPr>
        <w:t>Company Co-Sale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then, in the event of any conflict or inconsistency between the provisions of Section 8</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hereof and/or this Section 9 and any provisions in the Company Co-Sale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Co-Sale Agreement shall apply, govern, supersede and prevail over (and in lieu of) the provisions of Section 8 hereof and/or of this Section 9 (as applicable) so long as the Company Co-Sale Agreement is in effect and Optionee is a party to or bound thereby. If the Company Co-Sale Agreement is no longer in effect or if Optionee is not a party to or bound thereby, then the provisions of this Section 9 shall apply in full force and effect until termination of the Right of First Refusal and the provisions of Section 8 hereof shall apply in full force and effect in accordance with its terms.</w:t>
      </w:r>
    </w:p>
    <w:p>
      <w:pPr>
        <w:spacing w:after="0" w:line="322" w:lineRule="exact"/>
        <w:rPr>
          <w:sz w:val="20"/>
          <w:szCs w:val="20"/>
          <w:color w:val="auto"/>
        </w:rPr>
      </w:pPr>
    </w:p>
    <w:p>
      <w:pPr>
        <w:jc w:val="both"/>
        <w:ind w:left="1220" w:right="1239" w:firstLine="509"/>
        <w:spacing w:after="0" w:line="253" w:lineRule="auto"/>
        <w:tabs>
          <w:tab w:leader="none" w:pos="2334" w:val="left"/>
        </w:tabs>
        <w:numPr>
          <w:ilvl w:val="0"/>
          <w:numId w:val="3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RIGHTS AS A STOCKHOLDER. </w:t>
      </w:r>
      <w:r>
        <w:rPr>
          <w:rFonts w:ascii="Times New Roman" w:cs="Times New Roman" w:eastAsia="Times New Roman" w:hAnsi="Times New Roman"/>
          <w:sz w:val="15"/>
          <w:szCs w:val="15"/>
          <w:color w:val="auto"/>
        </w:rPr>
        <w:t>Optionee shall not have any of the rights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stockholder with respect to any Shares unless and until such 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36" w:lineRule="exact"/>
        <w:rPr>
          <w:rFonts w:ascii="Times New Roman" w:cs="Times New Roman" w:eastAsia="Times New Roman" w:hAnsi="Times New Roman"/>
          <w:sz w:val="15"/>
          <w:szCs w:val="15"/>
          <w:b w:val="1"/>
          <w:bCs w:val="1"/>
          <w:color w:val="auto"/>
        </w:rPr>
      </w:pPr>
    </w:p>
    <w:p>
      <w:pPr>
        <w:jc w:val="both"/>
        <w:ind w:left="1220" w:right="1239" w:firstLine="509"/>
        <w:spacing w:after="0" w:line="252" w:lineRule="auto"/>
        <w:tabs>
          <w:tab w:leader="none" w:pos="2208" w:val="left"/>
        </w:tabs>
        <w:numPr>
          <w:ilvl w:val="0"/>
          <w:numId w:val="36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ESCROW. </w:t>
      </w:r>
      <w:r>
        <w:rPr>
          <w:rFonts w:ascii="Times New Roman" w:cs="Times New Roman" w:eastAsia="Times New Roman" w:hAnsi="Times New Roman"/>
          <w:sz w:val="15"/>
          <w:szCs w:val="15"/>
          <w:color w:val="auto"/>
        </w:rPr>
        <w:t>As security for Optionee’s faithful performance of this Agreement, Optionee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agrees, immediately upon receipt of the stock certificate(s) evidencing the Shares to deliver such certificate(s) to the Secretary of the Company or other designee of the Company (the “</w:t>
      </w:r>
      <w:r>
        <w:rPr>
          <w:rFonts w:ascii="Times New Roman" w:cs="Times New Roman" w:eastAsia="Times New Roman" w:hAnsi="Times New Roman"/>
          <w:sz w:val="15"/>
          <w:szCs w:val="15"/>
          <w:b w:val="1"/>
          <w:bCs w:val="1"/>
          <w:i w:val="1"/>
          <w:iCs w:val="1"/>
          <w:color w:val="auto"/>
        </w:rPr>
        <w:t>Escrow Holder</w:t>
      </w:r>
      <w:r>
        <w:rPr>
          <w:rFonts w:ascii="Times New Roman" w:cs="Times New Roman" w:eastAsia="Times New Roman" w:hAnsi="Times New Roman"/>
          <w:sz w:val="15"/>
          <w:szCs w:val="15"/>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61" w:name="page462"/>
    <w:bookmarkEnd w:id="461"/>
    <w:p>
      <w:pPr>
        <w:jc w:val="both"/>
        <w:ind w:left="1220" w:right="1239" w:firstLine="509"/>
        <w:spacing w:after="0" w:line="253" w:lineRule="auto"/>
        <w:tabs>
          <w:tab w:leader="none" w:pos="2239" w:val="left"/>
        </w:tabs>
        <w:numPr>
          <w:ilvl w:val="0"/>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Company Co-Sale Agreement and Voting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a material inducement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consideration for the Company to enter into this Agreement, Optionee hereby agrees that if, the Company requests Optionee to enter into and become a party to (a) the Company Co-Sale Agreement (and to subject the Shares to the rights of first refusal held by the Company and other Company investors thereunder and the co-sale rights of other investors thereunder) and/or (b) the Company Voting Agreement (pursuant to which Optionee would agree to vote all shares of Company stock held by Optionee for the election of directors and in favor of certain material transactions (such as mergers or sales of the Company), then Optionee will enter into such agreements and execute and deliver signature pages thereto (as requested by the Company) in such capacities as the Company requests, at the time of exercising this Option and as a condition to such exercise or at any later time.</w:t>
      </w:r>
    </w:p>
    <w:p>
      <w:pPr>
        <w:spacing w:after="0" w:line="136" w:lineRule="exact"/>
        <w:rPr>
          <w:rFonts w:ascii="Times New Roman" w:cs="Times New Roman" w:eastAsia="Times New Roman" w:hAnsi="Times New Roman"/>
          <w:sz w:val="15"/>
          <w:szCs w:val="15"/>
          <w:b w:val="1"/>
          <w:bCs w:val="1"/>
          <w:color w:val="auto"/>
        </w:rPr>
      </w:pPr>
    </w:p>
    <w:p>
      <w:pPr>
        <w:ind w:left="2200" w:hanging="471"/>
        <w:spacing w:after="0"/>
        <w:tabs>
          <w:tab w:leader="none" w:pos="2200" w:val="left"/>
        </w:tabs>
        <w:numPr>
          <w:ilvl w:val="0"/>
          <w:numId w:val="3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RESTRICTIVE LEGENDS AND STOP-TRANSFER ORDERS.</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13.1. </w:t>
      </w:r>
      <w:r>
        <w:rPr>
          <w:rFonts w:ascii="Times New Roman" w:cs="Times New Roman" w:eastAsia="Times New Roman" w:hAnsi="Times New Roman"/>
          <w:sz w:val="15"/>
          <w:szCs w:val="15"/>
          <w:b w:val="1"/>
          <w:bCs w:val="1"/>
          <w:u w:val="single" w:color="auto"/>
          <w:color w:val="auto"/>
        </w:rPr>
        <w:t>Legends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understands and agrees that the Company will place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legends set forth below or similar legends on any stock certificate(s) evidencing the Shares, together with any other legends that may be required by foreign, federal, or state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40" w:lineRule="exact"/>
        <w:rPr>
          <w:sz w:val="20"/>
          <w:szCs w:val="20"/>
          <w:color w:val="auto"/>
        </w:rPr>
      </w:pPr>
    </w:p>
    <w:p>
      <w:pPr>
        <w:jc w:val="both"/>
        <w:ind w:left="1220" w:right="1239" w:firstLine="1514"/>
        <w:spacing w:after="0" w:line="254" w:lineRule="auto"/>
        <w:rPr>
          <w:sz w:val="20"/>
          <w:szCs w:val="20"/>
          <w:color w:val="auto"/>
        </w:rPr>
      </w:pPr>
      <w:r>
        <w:rPr>
          <w:rFonts w:ascii="Times New Roman" w:cs="Times New Roman" w:eastAsia="Times New Roman" w:hAnsi="Times New Roman"/>
          <w:sz w:val="15"/>
          <w:szCs w:val="15"/>
          <w:color w:val="auto"/>
        </w:rPr>
        <w:t>13.1.1 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141" w:lineRule="exact"/>
        <w:rPr>
          <w:sz w:val="20"/>
          <w:szCs w:val="20"/>
          <w:color w:val="auto"/>
        </w:rPr>
      </w:pPr>
    </w:p>
    <w:p>
      <w:pPr>
        <w:jc w:val="both"/>
        <w:ind w:left="1220" w:right="1239" w:firstLine="1514"/>
        <w:spacing w:after="0" w:line="261" w:lineRule="auto"/>
        <w:rPr>
          <w:sz w:val="20"/>
          <w:szCs w:val="20"/>
          <w:color w:val="auto"/>
        </w:rPr>
      </w:pPr>
      <w:r>
        <w:rPr>
          <w:rFonts w:ascii="Times New Roman" w:cs="Times New Roman" w:eastAsia="Times New Roman" w:hAnsi="Times New Roman"/>
          <w:sz w:val="15"/>
          <w:szCs w:val="15"/>
          <w:color w:val="auto"/>
        </w:rPr>
        <w:t>13.1.2 THE SHARES EVIDENCED HEREBY ARE SUBJECT TO A RIGHT OF FIRST REFUSAL OPTION IN FAVOR OF THE CORPORATION AND/OR ITS ASSIGNEE(S), AS PROVIDED IN THE BYLAWS OF THE CORPORATION, A COPY OF WHICH IS ON FILE WITH THE SECRETARY OF THE CORPORATION.</w:t>
      </w:r>
    </w:p>
    <w:p>
      <w:pPr>
        <w:spacing w:after="0" w:line="133" w:lineRule="exact"/>
        <w:rPr>
          <w:sz w:val="20"/>
          <w:szCs w:val="20"/>
          <w:color w:val="auto"/>
        </w:rPr>
      </w:pPr>
    </w:p>
    <w:p>
      <w:pPr>
        <w:jc w:val="both"/>
        <w:ind w:left="1220" w:right="1239" w:firstLine="1514"/>
        <w:spacing w:after="0" w:line="254" w:lineRule="auto"/>
        <w:rPr>
          <w:sz w:val="20"/>
          <w:szCs w:val="20"/>
          <w:color w:val="auto"/>
        </w:rPr>
      </w:pPr>
      <w:r>
        <w:rPr>
          <w:rFonts w:ascii="Times New Roman" w:cs="Times New Roman" w:eastAsia="Times New Roman" w:hAnsi="Times New Roman"/>
          <w:sz w:val="15"/>
          <w:szCs w:val="15"/>
          <w:color w:val="auto"/>
        </w:rPr>
        <w:t>13.1.3 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32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Optionee agrees that if Optionee becomes a party to (i) the Company Co-Sale Agreement or (ii)</w:t>
      </w:r>
    </w:p>
    <w:p>
      <w:pPr>
        <w:spacing w:after="0" w:line="22" w:lineRule="exact"/>
        <w:rPr>
          <w:sz w:val="20"/>
          <w:szCs w:val="20"/>
          <w:color w:val="auto"/>
        </w:rPr>
      </w:pPr>
    </w:p>
    <w:p>
      <w:pPr>
        <w:jc w:val="both"/>
        <w:ind w:left="1220" w:right="1239" w:firstLine="4"/>
        <w:spacing w:after="0" w:line="251" w:lineRule="auto"/>
        <w:tabs>
          <w:tab w:leader="none" w:pos="1498" w:val="left"/>
        </w:tabs>
        <w:numPr>
          <w:ilvl w:val="0"/>
          <w:numId w:val="3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Amended and Restated Voting Agreement dated as of April 24, 2020 among the Company and certain stockholders of the Company, as such may be amended and/or restated from time to time, and/or (B) any other voting agreement that is a successor to or replacement of such agreement (collectively, the “</w:t>
      </w:r>
      <w:r>
        <w:rPr>
          <w:rFonts w:ascii="Times New Roman" w:cs="Times New Roman" w:eastAsia="Times New Roman" w:hAnsi="Times New Roman"/>
          <w:sz w:val="15"/>
          <w:szCs w:val="15"/>
          <w:b w:val="1"/>
          <w:bCs w:val="1"/>
          <w:i w:val="1"/>
          <w:iCs w:val="1"/>
          <w:color w:val="auto"/>
        </w:rPr>
        <w:t>Company Voting Agreement</w:t>
      </w:r>
      <w:r>
        <w:rPr>
          <w:rFonts w:ascii="Times New Roman" w:cs="Times New Roman" w:eastAsia="Times New Roman" w:hAnsi="Times New Roman"/>
          <w:sz w:val="15"/>
          <w:szCs w:val="15"/>
          <w:color w:val="auto"/>
        </w:rPr>
        <w:t>”), then Optionee agrees that the stock certificate(s) evidencing the Shares shall, in addition, bear any legends required under the Company Co-Sale Agreement and/or the Company Voting Agreement, as applicable.</w:t>
      </w:r>
    </w:p>
    <w:p>
      <w:pPr>
        <w:spacing w:after="0" w:line="3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62" w:name="page463"/>
    <w:bookmarkEnd w:id="462"/>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13.2. </w:t>
      </w:r>
      <w:r>
        <w:rPr>
          <w:rFonts w:ascii="Times New Roman" w:cs="Times New Roman" w:eastAsia="Times New Roman" w:hAnsi="Times New Roman"/>
          <w:sz w:val="15"/>
          <w:szCs w:val="15"/>
          <w:b w:val="1"/>
          <w:bCs w:val="1"/>
          <w:u w:val="single" w:color="auto"/>
          <w:color w:val="auto"/>
        </w:rPr>
        <w:t>U.S. Optionees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understands and agrees that, if Optionee’s country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residence is the United States, then the Company will place the legends set forth below or similar legends on any stock certificate(s) evidencing the Shares: 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145"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13.3. </w:t>
      </w:r>
      <w:r>
        <w:rPr>
          <w:rFonts w:ascii="Times New Roman" w:cs="Times New Roman" w:eastAsia="Times New Roman" w:hAnsi="Times New Roman"/>
          <w:sz w:val="15"/>
          <w:szCs w:val="15"/>
          <w:b w:val="1"/>
          <w:bCs w:val="1"/>
          <w:u w:val="single" w:color="auto"/>
          <w:color w:val="auto"/>
        </w:rPr>
        <w:t>Non-U.S. Optionees; Regulation 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understands and agrees that, if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Optionee’s country of residence is other than the United States, the certificates evidencing the Shares will bear the legend set forth in below or similar legends:</w:t>
      </w:r>
    </w:p>
    <w:p>
      <w:pPr>
        <w:spacing w:after="0" w:line="126" w:lineRule="exact"/>
        <w:rPr>
          <w:sz w:val="20"/>
          <w:szCs w:val="20"/>
          <w:color w:val="auto"/>
        </w:rPr>
      </w:pPr>
    </w:p>
    <w:p>
      <w:pPr>
        <w:jc w:val="both"/>
        <w:ind w:left="1220" w:right="1239" w:firstLine="1518"/>
        <w:spacing w:after="0" w:line="261" w:lineRule="auto"/>
        <w:tabs>
          <w:tab w:leader="none" w:pos="3156" w:val="left"/>
        </w:tabs>
        <w:numPr>
          <w:ilvl w:val="0"/>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REPRESENTED BY THISCERTIFICATE HAVE NOT BEEN REGISTERED UNDER THE SECURITIES ACT OF 1933, AS AMENDED (THE “ACT”) WITH THE UNITED STATES SECURITIES AND EXCHANGE COMMISSION, AND THE COMPANY DOES NOT INTEND TO REGISTER THEM.</w:t>
      </w:r>
    </w:p>
    <w:p>
      <w:pPr>
        <w:spacing w:after="0" w:line="132" w:lineRule="exact"/>
        <w:rPr>
          <w:rFonts w:ascii="Times New Roman" w:cs="Times New Roman" w:eastAsia="Times New Roman" w:hAnsi="Times New Roman"/>
          <w:sz w:val="15"/>
          <w:szCs w:val="15"/>
          <w:color w:val="auto"/>
        </w:rPr>
      </w:pPr>
    </w:p>
    <w:p>
      <w:pPr>
        <w:jc w:val="both"/>
        <w:ind w:left="1220" w:right="1239" w:firstLine="1518"/>
        <w:spacing w:after="0" w:line="251" w:lineRule="auto"/>
        <w:tabs>
          <w:tab w:leader="none" w:pos="3170" w:val="left"/>
        </w:tabs>
        <w:numPr>
          <w:ilvl w:val="0"/>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A DATE THAT IS ONE YEAR STARTING FROM THE DATE OF SALE OF THE STOCK, THE SHARES MAY NOT BE OFFERED OR SOLD (INCLUDING OPENING A SHORT POSITION IN SUCH SECURITIES) IN THE UNITED STATES OR TO U.S. PERSONS AS DEFINED BY RULE 902(K) ADOPTED UNDER THE ACT, OTHER THAN TO DISTRIBUTORS, UNLESS THE SHARES ARE REGISTERED UNDER THE ACT OR AN EXEMPTION FROM THE REGISTRATION REQUIREMENTS OF THE ACT IS AVAILABLE. HOLDERS OF SHARES PRIOR TO ONE YEAR STARTING FROM THE DATE OF SALE OF THE STOCK MAY RESELL SUCH SECURITIES ONLY PURSUANT TO AN EXEMPTION FROM REGISTRATION UNDER THE ACT OR OTHERWISE IN ACCORDANCE WITH THE PROVISIONS OF REGULATION S OF THE ACT, OR IN TRANSACTIONS EFFECTED OUTSIDE OF THE UNITED STATES, PROVIDED THEY DO NOT SOLICIT (AND NO ONE ACTING ON THEIR BEHALF SOLICITS) PARTICIPANTS IN THE UNITED STATES OR OTHERWISE ENGAGE(S) IN SELLING EFFORTS IN THE UNITED STATES AND PROVIDED THAT HEDGING TRANSACTIONS INVOLVING THESE SECURITIES MAY NOT BE CONDUCTED UNLESS IN COMPLIANCE WITH THE ACT.</w:t>
      </w:r>
    </w:p>
    <w:p>
      <w:pPr>
        <w:spacing w:after="0" w:line="142"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269" w:val="left"/>
        </w:tabs>
        <w:numPr>
          <w:ilvl w:val="0"/>
          <w:numId w:val="3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HOLDER OF THE SECURITIES WHO IS A DISTRIBUTOR, DEALER, SUB-UNDERWRITER OR OTHER SECURITIES PROFESSIONAL, IN ADDITION, CANNOT, PRIOR TO ONE YEAR STARTING FROM THE DATE OF SALE OF THE STOCK, RESELL THE SECURITIES TO A U.S. PERSON AS DEFINED BY RULE 902(K) OF REGULATION S UNLESS THE SECURITIES ARE REGISTERED UNDER THE ACT OR AN EXEMPTION FROM REGISTRATION UNDER THE ACT IS AVAILABLE.</w:t>
      </w:r>
    </w:p>
    <w:p>
      <w:pPr>
        <w:spacing w:after="0" w:line="133"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13.4. </w:t>
      </w:r>
      <w:r>
        <w:rPr>
          <w:rFonts w:ascii="Times New Roman" w:cs="Times New Roman" w:eastAsia="Times New Roman" w:hAnsi="Times New Roman"/>
          <w:sz w:val="15"/>
          <w:szCs w:val="15"/>
          <w:b w:val="1"/>
          <w:bCs w:val="1"/>
          <w:u w:val="single" w:color="auto"/>
          <w:color w:val="auto"/>
        </w:rPr>
        <w:t>Stop-Transfer Instructions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agrees that, to ensure compliance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restrictions imposed by this Agreement and the Bylaws, the Company may issue appropriate “stop-transfer” instructions to its transfer agent, if any, and if the Company transfers its own securities, it may make appropriate notations to the same effect in its own records.</w:t>
      </w:r>
    </w:p>
    <w:p>
      <w:pPr>
        <w:spacing w:after="0" w:line="2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63" w:name="page464"/>
    <w:bookmarkEnd w:id="463"/>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13.5. </w:t>
      </w:r>
      <w:r>
        <w:rPr>
          <w:rFonts w:ascii="Times New Roman" w:cs="Times New Roman" w:eastAsia="Times New Roman" w:hAnsi="Times New Roman"/>
          <w:sz w:val="15"/>
          <w:szCs w:val="15"/>
          <w:b w:val="1"/>
          <w:bCs w:val="1"/>
          <w:u w:val="single" w:color="auto"/>
          <w:color w:val="auto"/>
        </w:rPr>
        <w:t>Refusal to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will not be required (i) to transfer on its books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Shares that have been sold or otherwise transferred in violation of any of the provisions of the Bylaws or this Agreement or (ii) to treat as owner of such Shares, or to accord the right to vote or pay dividends to any purchaser or other transferee to whom such Shares have been so transferred.</w:t>
      </w:r>
    </w:p>
    <w:p>
      <w:pPr>
        <w:spacing w:after="0" w:line="130" w:lineRule="exact"/>
        <w:rPr>
          <w:sz w:val="20"/>
          <w:szCs w:val="20"/>
          <w:color w:val="auto"/>
        </w:rPr>
      </w:pPr>
    </w:p>
    <w:p>
      <w:pPr>
        <w:jc w:val="both"/>
        <w:ind w:left="1220" w:right="1239" w:firstLine="509"/>
        <w:spacing w:after="0" w:line="262" w:lineRule="auto"/>
        <w:tabs>
          <w:tab w:leader="none" w:pos="2397" w:val="left"/>
        </w:tabs>
        <w:numPr>
          <w:ilvl w:val="0"/>
          <w:numId w:val="37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TAX CONSEQUENCES. </w:t>
      </w:r>
      <w:r>
        <w:rPr>
          <w:rFonts w:ascii="Times New Roman" w:cs="Times New Roman" w:eastAsia="Times New Roman" w:hAnsi="Times New Roman"/>
          <w:sz w:val="15"/>
          <w:szCs w:val="15"/>
          <w:color w:val="auto"/>
        </w:rPr>
        <w:t>OPTIONEE SHOULD CONSULT A TAX ADVISER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APPROPRIATELY QUALIFIED IN THE COUNTRY OR COUNTRIES IN WHICH THE OPTIONEE RESIDES OR IS SUBJECT TO TAXATION BEFORE EXERCISING THE OPTION OR DISPOSING OF THE SHARES.</w:t>
      </w:r>
    </w:p>
    <w:p>
      <w:pPr>
        <w:spacing w:after="0" w:line="130"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14.1. </w:t>
      </w:r>
      <w:r>
        <w:rPr>
          <w:rFonts w:ascii="Times New Roman" w:cs="Times New Roman" w:eastAsia="Times New Roman" w:hAnsi="Times New Roman"/>
          <w:sz w:val="15"/>
          <w:szCs w:val="15"/>
          <w:b w:val="1"/>
          <w:bCs w:val="1"/>
          <w:u w:val="single" w:color="auto"/>
          <w:color w:val="auto"/>
        </w:rPr>
        <w:t>Tax Advice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has obtained any necessary advice from an appropriate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independent professional adviser in relation to the Tax-Related Items in connection with the grant, exercise, assignment, release, cancellation or any other disposal of this Option pursuant to the Plan and on any subsequent sale of the Shares. In signing and returning this Agreement, the Optionee is confirming that appropriate advice has been sought from an independent adviser. The Company has not made any representation regarding applicable taxation implications.</w:t>
      </w:r>
    </w:p>
    <w:p>
      <w:pPr>
        <w:spacing w:after="0" w:line="132"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14.2. </w:t>
      </w:r>
      <w:r>
        <w:rPr>
          <w:rFonts w:ascii="Times New Roman" w:cs="Times New Roman" w:eastAsia="Times New Roman" w:hAnsi="Times New Roman"/>
          <w:sz w:val="15"/>
          <w:szCs w:val="15"/>
          <w:b w:val="1"/>
          <w:bCs w:val="1"/>
          <w:u w:val="single" w:color="auto"/>
          <w:color w:val="auto"/>
        </w:rPr>
        <w:t>Notice of Disqualifying Disposition of ISO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sells or otherwise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disposes of any of the Shares acquired pursuant to an ISO on or before the later of (i) two years after the Grant Date and (ii) one year after the exercise date, Optionee will immediately notify the Company in writing of such disposition.</w:t>
      </w:r>
    </w:p>
    <w:p>
      <w:pPr>
        <w:spacing w:after="0" w:line="130"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14.3. </w:t>
      </w:r>
      <w:r>
        <w:rPr>
          <w:rFonts w:ascii="Times New Roman" w:cs="Times New Roman" w:eastAsia="Times New Roman" w:hAnsi="Times New Roman"/>
          <w:sz w:val="15"/>
          <w:szCs w:val="15"/>
          <w:b w:val="1"/>
          <w:bCs w:val="1"/>
          <w:u w:val="single" w:color="auto"/>
          <w:color w:val="auto"/>
        </w:rPr>
        <w:t>Responsibility for Taxes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Regardless of any action the Company or Employer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takes with respect to any or all Tax-Related Items, Optionee acknowledges that the ultimate liability for all Tax-Related Items legally due from Optionee is and remains Optionee’s responsibility and that the Company and/or the Employer (1) make no representations or undertakings regarding the treatment of any Tax-Related Items in connection with any aspect of this Option, including the grant, vesting or exercise of this Option, the subsequent sale of Shares acquired pursuant to such exercise and the receipt of any dividends, and (2) do not commit to structure the terms of the grant or any aspect of this Option to reduce or eliminate Optionee’s liability for Tax-Related Items or achieve any particular tax result. Optionee acknowledges that if Optionee is subject to Tax-Related Items in more than one jurisdiction, the Company and/or the Employer may be required to withhold or account for Tax-Related Items in more than one jurisdiction.</w:t>
      </w:r>
    </w:p>
    <w:p>
      <w:pPr>
        <w:spacing w:after="0" w:line="316"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14.4. </w:t>
      </w:r>
      <w:r>
        <w:rPr>
          <w:rFonts w:ascii="Times New Roman" w:cs="Times New Roman" w:eastAsia="Times New Roman" w:hAnsi="Times New Roman"/>
          <w:sz w:val="15"/>
          <w:szCs w:val="15"/>
          <w:b w:val="1"/>
          <w:bCs w:val="1"/>
          <w:u w:val="single" w:color="auto"/>
          <w:color w:val="auto"/>
        </w:rPr>
        <w:t>Arrangements to Satisfy Tax-Related Items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Prior to any relevant taxable or tax</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withholding event (“</w:t>
      </w:r>
      <w:r>
        <w:rPr>
          <w:rFonts w:ascii="Times New Roman" w:cs="Times New Roman" w:eastAsia="Times New Roman" w:hAnsi="Times New Roman"/>
          <w:sz w:val="15"/>
          <w:szCs w:val="15"/>
          <w:b w:val="1"/>
          <w:bCs w:val="1"/>
          <w:i w:val="1"/>
          <w:iCs w:val="1"/>
          <w:color w:val="auto"/>
        </w:rPr>
        <w:t>Tax Date</w:t>
      </w:r>
      <w:r>
        <w:rPr>
          <w:rFonts w:ascii="Times New Roman" w:cs="Times New Roman" w:eastAsia="Times New Roman" w:hAnsi="Times New Roman"/>
          <w:sz w:val="15"/>
          <w:szCs w:val="15"/>
          <w:color w:val="auto"/>
        </w:rPr>
        <w:t xml:space="preserve">”), as applicable, Optionee will pay or make adequate arrangements satisfactory to the Company and/or the Employer to satisfy all Tax-Related Items. In this regard, Optionee authorizes the Company and/or the Employer or their respective agents, at their discretion, to satisfy the obligations with regard to all Tax-Related Items by one or a combination of the following: (A) accept a cash payment in U.S. dollars in the amount of Tax-Related Items, (B) withhold whole Shares which would otherwise be delivered to Optionee having an aggregate Fair Market Value, determined as of the Tax Date, or withhold an amount of cash from Optionee’s wages or other cash compensation which would otherwise be payable to Optionee by the Company and/or the Employer, equal to the amount necessary to satisfy any such obligations, (C) withhold from proceeds of the sale of </w:t>
      </w:r>
      <w:r>
        <w:rPr>
          <w:rFonts w:ascii="Times New Roman" w:cs="Times New Roman" w:eastAsia="Times New Roman" w:hAnsi="Times New Roman"/>
          <w:sz w:val="15"/>
          <w:szCs w:val="15"/>
          <w:b w:val="1"/>
          <w:bCs w:val="1"/>
          <w:u w:val="single" w:color="auto"/>
          <w:color w:val="auto"/>
        </w:rPr>
        <w:t>Shares</w:t>
      </w:r>
      <w:r>
        <w:rPr>
          <w:rFonts w:ascii="Times New Roman" w:cs="Times New Roman" w:eastAsia="Times New Roman" w:hAnsi="Times New Roman"/>
          <w:sz w:val="15"/>
          <w:szCs w:val="15"/>
          <w:color w:val="auto"/>
        </w:rPr>
        <w:t xml:space="preserve"> acquired upon exercise of the Option either through a voluntary sale or through a mandatory sale arranged by the Company (on Optionee’s behalf pursuant to this authorization), or (D) accept a cash payment to the Company by a broker-dealer acceptable to the Company to whom Optionee has submitted an irrevocable notice of exercise.</w:t>
      </w: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64" w:name="page465"/>
    <w:bookmarkEnd w:id="464"/>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14.5. </w:t>
      </w:r>
      <w:r>
        <w:rPr>
          <w:rFonts w:ascii="Times New Roman" w:cs="Times New Roman" w:eastAsia="Times New Roman" w:hAnsi="Times New Roman"/>
          <w:sz w:val="15"/>
          <w:szCs w:val="15"/>
          <w:b w:val="1"/>
          <w:bCs w:val="1"/>
          <w:u w:val="single" w:color="auto"/>
          <w:color w:val="auto"/>
        </w:rPr>
        <w:t>Maximum Withholding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may withhold or account for Tax-Related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Items by considering up to applicable maximum statutory withholding rates. If the obligation for Tax-Related Items is satisfied by withholding in Shares, for tax purposes, Optionee is deemed to have been issued the full number of Shares subject to the Option, notwithstanding that a number of shares of Common Stock are held back solely for the purpose of paying the Tax-Related Items. Finally, Optionee shall pay to the Company or the Employer any amount of Tax-Related Items that the Company or the Employer may be required to withhold as a result of Optionee’s participation in the Plan that cannot be satisfied by the means previously described. The Company shall have sole discretion to deliver the Shares if Optionee fails to comply with Optionee’s obligations in connection with the Tax-Related Items as described in this Section and Optionee unconditionally consents to and approves any such action taken by the Company. Optionee (or any beneficiary or person entitled to act on Optionee’s behalf) shall provide the Company with any forms, documents or other information reasonably required by the Company.</w:t>
      </w:r>
    </w:p>
    <w:p>
      <w:pPr>
        <w:spacing w:after="0" w:line="318" w:lineRule="exact"/>
        <w:rPr>
          <w:sz w:val="20"/>
          <w:szCs w:val="20"/>
          <w:color w:val="auto"/>
        </w:rPr>
      </w:pPr>
    </w:p>
    <w:p>
      <w:pPr>
        <w:ind w:left="2200" w:hanging="471"/>
        <w:spacing w:after="0"/>
        <w:tabs>
          <w:tab w:leader="none" w:pos="2200" w:val="left"/>
        </w:tabs>
        <w:numPr>
          <w:ilvl w:val="0"/>
          <w:numId w:val="37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GENERAL PROVISIONS.</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15.1. </w:t>
      </w:r>
      <w:r>
        <w:rPr>
          <w:rFonts w:ascii="Times New Roman" w:cs="Times New Roman" w:eastAsia="Times New Roman" w:hAnsi="Times New Roman"/>
          <w:sz w:val="15"/>
          <w:szCs w:val="15"/>
          <w:b w:val="1"/>
          <w:bCs w:val="1"/>
          <w:u w:val="single" w:color="auto"/>
          <w:color w:val="auto"/>
        </w:rPr>
        <w:t>Interpretation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dispute regarding the interpretation of this Agreement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submitted by Optionee or the Company to the Committee for review. The resolution of such a dispute by the Committee shall be final and binding on the Company and Optionee.</w:t>
      </w:r>
    </w:p>
    <w:p>
      <w:pPr>
        <w:spacing w:after="0" w:line="122" w:lineRule="exact"/>
        <w:rPr>
          <w:sz w:val="20"/>
          <w:szCs w:val="20"/>
          <w:color w:val="auto"/>
        </w:rPr>
      </w:pPr>
    </w:p>
    <w:p>
      <w:pPr>
        <w:jc w:val="both"/>
        <w:ind w:left="1220" w:right="1239" w:firstLine="1009"/>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15.2. </w:t>
      </w:r>
      <w:r>
        <w:rPr>
          <w:rFonts w:ascii="Times New Roman" w:cs="Times New Roman" w:eastAsia="Times New Roman" w:hAnsi="Times New Roman"/>
          <w:sz w:val="15"/>
          <w:szCs w:val="15"/>
          <w:b w:val="1"/>
          <w:bCs w:val="1"/>
          <w:u w:val="single" w:color="auto"/>
          <w:color w:val="auto"/>
        </w:rPr>
        <w:t>Entire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Plan, the Grant Notice and the Exercise Agreement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incorporated herein by reference. This Agreement (including the annexes attached hereto), the Grant Notice, the Plan and the Exercise Agreement constitute the entire agreement of the parties with respect to the subject matter hereof and supersede all prior undertakings and agreements with respect to such subject matter.</w:t>
      </w:r>
    </w:p>
    <w:p>
      <w:pPr>
        <w:spacing w:after="0" w:line="314" w:lineRule="exact"/>
        <w:rPr>
          <w:sz w:val="20"/>
          <w:szCs w:val="20"/>
          <w:color w:val="auto"/>
        </w:rPr>
      </w:pPr>
    </w:p>
    <w:p>
      <w:pPr>
        <w:jc w:val="both"/>
        <w:ind w:left="1220" w:right="1239" w:firstLine="100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15.3. </w:t>
      </w:r>
      <w:r>
        <w:rPr>
          <w:rFonts w:ascii="Times New Roman" w:cs="Times New Roman" w:eastAsia="Times New Roman" w:hAnsi="Times New Roman"/>
          <w:sz w:val="15"/>
          <w:szCs w:val="15"/>
          <w:b w:val="1"/>
          <w:bCs w:val="1"/>
          <w:u w:val="single" w:color="auto"/>
          <w:color w:val="auto"/>
        </w:rPr>
        <w:t>Country-Specific Terms and Conditions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Notwithstanding any provisions in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the Option grant shall be subject to any special terms and conditions set forth in the Terms and Conditions for Non-U.S. Optionees attached hereto as Annex B if Optionee’s country of residence is other than the United States, including the special terms and conditions (if any) set forth beneath the name of such country on Annex B. Moreover, if Optionee relocates to a country other than the United States, the special terms and conditions set forth in Annex B, including the special terms and conditions (if any) set forth beneath the name of such country on Annex B, will apply to Optionee to the extent the Company determines that the application of such terms and conditions is necessary or advisable for legal or administrative reasons. Annex B constitutes an integral part of this Agreement to the extent applicable to Optionee from time to time.</w:t>
      </w:r>
    </w:p>
    <w:p>
      <w:pPr>
        <w:spacing w:after="0" w:line="141" w:lineRule="exact"/>
        <w:rPr>
          <w:sz w:val="20"/>
          <w:szCs w:val="20"/>
          <w:color w:val="auto"/>
        </w:rPr>
      </w:pPr>
    </w:p>
    <w:p>
      <w:pPr>
        <w:jc w:val="both"/>
        <w:ind w:left="1220" w:right="1239" w:firstLine="509"/>
        <w:spacing w:after="0" w:line="251" w:lineRule="auto"/>
        <w:tabs>
          <w:tab w:leader="none" w:pos="2250" w:val="left"/>
        </w:tabs>
        <w:numPr>
          <w:ilvl w:val="0"/>
          <w:numId w:val="3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NOTICES. Any and all notices required or permitted to be given to a party pursuant to the provisions of this Agreement will be in writing and 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w:t>
      </w: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65" w:name="page466"/>
    <w:bookmarkEnd w:id="465"/>
    <w:p>
      <w:pPr>
        <w:jc w:val="both"/>
        <w:ind w:left="1220" w:right="1239"/>
        <w:spacing w:after="0" w:line="267" w:lineRule="auto"/>
        <w:rPr>
          <w:sz w:val="20"/>
          <w:szCs w:val="20"/>
          <w:color w:val="auto"/>
        </w:rPr>
      </w:pPr>
      <w:r>
        <w:rPr>
          <w:rFonts w:ascii="Times New Roman" w:cs="Times New Roman" w:eastAsia="Times New Roman" w:hAnsi="Times New Roman"/>
          <w:sz w:val="15"/>
          <w:szCs w:val="15"/>
          <w:color w:val="auto"/>
        </w:rPr>
        <w:t>other parties hereto or, in the case of the Company, to it at its principal place of business. Notices to the Company will be marked “Attention: Chief Financial Officer.” Notices by facsimile shall be machine verified as received.</w:t>
      </w:r>
    </w:p>
    <w:p>
      <w:pPr>
        <w:spacing w:after="0" w:line="129" w:lineRule="exact"/>
        <w:rPr>
          <w:sz w:val="20"/>
          <w:szCs w:val="20"/>
          <w:color w:val="auto"/>
        </w:rPr>
      </w:pPr>
    </w:p>
    <w:p>
      <w:pPr>
        <w:jc w:val="both"/>
        <w:ind w:left="1220" w:right="1239" w:firstLine="509"/>
        <w:spacing w:after="0" w:line="257" w:lineRule="auto"/>
        <w:tabs>
          <w:tab w:leader="none" w:pos="2250"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SUCCESSORS AND ASSIGNS. The Company may assign any of its rights under this Agreement including its rights to purchase Shares 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38" w:lineRule="exact"/>
        <w:rPr>
          <w:rFonts w:ascii="Times New Roman" w:cs="Times New Roman" w:eastAsia="Times New Roman" w:hAnsi="Times New Roman"/>
          <w:sz w:val="15"/>
          <w:szCs w:val="15"/>
          <w:color w:val="auto"/>
        </w:rPr>
      </w:pPr>
    </w:p>
    <w:p>
      <w:pPr>
        <w:jc w:val="both"/>
        <w:ind w:left="1220" w:right="1239" w:firstLine="509"/>
        <w:spacing w:after="0" w:line="257" w:lineRule="auto"/>
        <w:tabs>
          <w:tab w:leader="none" w:pos="2208"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GOVERNING LAW. This Agreement shall be governed by and construed in accordance with the internal laws of the State of Delaware as 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138" w:lineRule="exact"/>
        <w:rPr>
          <w:rFonts w:ascii="Times New Roman" w:cs="Times New Roman" w:eastAsia="Times New Roman" w:hAnsi="Times New Roman"/>
          <w:sz w:val="15"/>
          <w:szCs w:val="15"/>
          <w:color w:val="auto"/>
        </w:rPr>
      </w:pPr>
    </w:p>
    <w:p>
      <w:pPr>
        <w:jc w:val="both"/>
        <w:ind w:left="1220" w:right="1239" w:firstLine="509"/>
        <w:spacing w:after="0" w:line="267" w:lineRule="auto"/>
        <w:tabs>
          <w:tab w:leader="none" w:pos="2281"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FURTHER ASSURANCES. The parties agree to execute such further documents and instruments and to take such further actions as may be reasonably necessary to carry out the purposes and intent of this Agreement.</w:t>
      </w:r>
    </w:p>
    <w:p>
      <w:pPr>
        <w:spacing w:after="0" w:line="128" w:lineRule="exact"/>
        <w:rPr>
          <w:rFonts w:ascii="Times New Roman" w:cs="Times New Roman" w:eastAsia="Times New Roman" w:hAnsi="Times New Roman"/>
          <w:sz w:val="15"/>
          <w:szCs w:val="15"/>
          <w:color w:val="auto"/>
        </w:rPr>
      </w:pPr>
    </w:p>
    <w:p>
      <w:pPr>
        <w:jc w:val="both"/>
        <w:ind w:left="1220" w:right="1239" w:firstLine="509"/>
        <w:spacing w:after="0" w:line="261" w:lineRule="auto"/>
        <w:tabs>
          <w:tab w:leader="none" w:pos="2323"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TITLES AND HEADINGS. The titles, captions and headings of this Agreement are included for ease of reference only and will be disregarded in interpreting or construing this Agreement. Unless otherwise specifically stated, all references herein to “sections” and “exhibits” will mean “sections” and “exhibits” to this Agreement.</w:t>
      </w:r>
    </w:p>
    <w:p>
      <w:pPr>
        <w:spacing w:after="0" w:line="132" w:lineRule="exact"/>
        <w:rPr>
          <w:rFonts w:ascii="Times New Roman" w:cs="Times New Roman" w:eastAsia="Times New Roman" w:hAnsi="Times New Roman"/>
          <w:sz w:val="15"/>
          <w:szCs w:val="15"/>
          <w:color w:val="auto"/>
        </w:rPr>
      </w:pPr>
    </w:p>
    <w:p>
      <w:pPr>
        <w:jc w:val="both"/>
        <w:ind w:left="1220" w:right="1239" w:firstLine="509"/>
        <w:spacing w:after="0" w:line="267" w:lineRule="auto"/>
        <w:tabs>
          <w:tab w:leader="none" w:pos="2229"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COUNTERPARTS. This Agreement may be executed electronically and in any number of counterparts, each of which when so executed and delivered will be deemed an original, and all of which together shall constitute one and the same agreement.</w:t>
      </w:r>
    </w:p>
    <w:p>
      <w:pPr>
        <w:spacing w:after="0" w:line="128" w:lineRule="exact"/>
        <w:rPr>
          <w:rFonts w:ascii="Times New Roman" w:cs="Times New Roman" w:eastAsia="Times New Roman" w:hAnsi="Times New Roman"/>
          <w:sz w:val="15"/>
          <w:szCs w:val="15"/>
          <w:color w:val="auto"/>
        </w:rPr>
      </w:pPr>
    </w:p>
    <w:p>
      <w:pPr>
        <w:jc w:val="both"/>
        <w:ind w:left="1220" w:right="1239" w:firstLine="509"/>
        <w:spacing w:after="0" w:line="253" w:lineRule="auto"/>
        <w:tabs>
          <w:tab w:leader="none" w:pos="2313" w:val="left"/>
        </w:tabs>
        <w:numPr>
          <w:ilvl w:val="0"/>
          <w:numId w:val="3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SEVERABILITY. If any provision of this Agreement is determined by any court or 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40" w:lineRule="exact"/>
        <w:rPr>
          <w:rFonts w:ascii="Times New Roman" w:cs="Times New Roman" w:eastAsia="Times New Roman" w:hAnsi="Times New Roman"/>
          <w:sz w:val="15"/>
          <w:szCs w:val="15"/>
          <w:color w:val="auto"/>
        </w:rPr>
      </w:pPr>
    </w:p>
    <w:p>
      <w:pPr>
        <w:ind w:left="416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 * * *</w:t>
      </w:r>
    </w:p>
    <w:p>
      <w:pPr>
        <w:spacing w:after="0" w:line="1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color w:val="auto"/>
        </w:rPr>
        <w:t>Attachments:</w:t>
      </w:r>
    </w:p>
    <w:p>
      <w:pPr>
        <w:spacing w:after="0" w:line="17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Form of Global Stock Option Exercise Notice and Agreement</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u w:val="single" w:color="auto"/>
          <w:color w:val="auto"/>
        </w:rPr>
        <w:t>Annex B</w:t>
      </w:r>
      <w:r>
        <w:rPr>
          <w:rFonts w:ascii="Times New Roman" w:cs="Times New Roman" w:eastAsia="Times New Roman" w:hAnsi="Times New Roman"/>
          <w:sz w:val="15"/>
          <w:szCs w:val="15"/>
          <w:color w:val="auto"/>
        </w:rPr>
        <w:t>: Terms and Conditions for Non-U.S. Optionees</w:t>
      </w:r>
    </w:p>
    <w:p>
      <w:pPr>
        <w:spacing w:after="0" w:line="33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66" w:name="page467"/>
    <w:bookmarkEnd w:id="466"/>
    <w:p>
      <w:pPr>
        <w:jc w:val="center"/>
        <w:spacing w:after="0"/>
        <w:rPr>
          <w:sz w:val="20"/>
          <w:szCs w:val="20"/>
          <w:color w:val="auto"/>
        </w:rPr>
      </w:pPr>
      <w:r>
        <w:rPr>
          <w:rFonts w:ascii="Times New Roman" w:cs="Times New Roman" w:eastAsia="Times New Roman" w:hAnsi="Times New Roman"/>
          <w:sz w:val="15"/>
          <w:szCs w:val="15"/>
          <w:b w:val="1"/>
          <w:bCs w:val="1"/>
          <w:u w:val="single" w:color="auto"/>
          <w:color w:val="auto"/>
        </w:rPr>
        <w:t>ANNEX A</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FORM OF GLOBAL STOCK OPTION EXERCISE NOTICE AND AGREEMENT</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67" w:name="page468"/>
    <w:bookmarkEnd w:id="46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ANNEX B</w:t>
      </w:r>
    </w:p>
    <w:p>
      <w:pPr>
        <w:spacing w:after="0" w:line="17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5"/>
          <w:szCs w:val="15"/>
          <w:b w:val="1"/>
          <w:bCs w:val="1"/>
          <w:color w:val="auto"/>
        </w:rPr>
        <w:t>TERMS AND CONDITIONS</w:t>
      </w:r>
    </w:p>
    <w:p>
      <w:pPr>
        <w:spacing w:after="0" w:line="26"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5"/>
          <w:szCs w:val="15"/>
          <w:b w:val="1"/>
          <w:bCs w:val="1"/>
          <w:color w:val="auto"/>
        </w:rPr>
        <w:t>FOR NON-U.S. OPTIONEES</w:t>
      </w:r>
    </w:p>
    <w:p>
      <w:pPr>
        <w:spacing w:after="0" w:line="15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i w:val="1"/>
          <w:iCs w:val="1"/>
          <w:color w:val="auto"/>
        </w:rPr>
        <w:t>Terms and Conditions</w:t>
      </w:r>
    </w:p>
    <w:p>
      <w:pPr>
        <w:spacing w:after="0" w:line="17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This Annex B includes additional terms and conditions that govern the Option granted to Optionee under the Plan if Optionee resides and/or works outside of the United States. Capitalized terms used but not defined herein shall have the meanings ascribed to them in the Plan and/or the Stock Option Agreement to which this Annex B is attached.</w:t>
      </w:r>
    </w:p>
    <w:p>
      <w:pPr>
        <w:spacing w:after="0" w:line="133" w:lineRule="exact"/>
        <w:rPr>
          <w:sz w:val="20"/>
          <w:szCs w:val="20"/>
          <w:color w:val="auto"/>
        </w:rPr>
      </w:pPr>
    </w:p>
    <w:p>
      <w:pPr>
        <w:jc w:val="both"/>
        <w:ind w:left="1220" w:right="1239" w:firstLine="505"/>
        <w:spacing w:after="0" w:line="256" w:lineRule="auto"/>
        <w:rPr>
          <w:sz w:val="20"/>
          <w:szCs w:val="20"/>
          <w:color w:val="auto"/>
        </w:rPr>
      </w:pPr>
      <w:r>
        <w:rPr>
          <w:rFonts w:ascii="Times New Roman" w:cs="Times New Roman" w:eastAsia="Times New Roman" w:hAnsi="Times New Roman"/>
          <w:sz w:val="15"/>
          <w:szCs w:val="15"/>
          <w:color w:val="auto"/>
        </w:rPr>
        <w:t>If Optionee is a citizen or resident of a country other than the one in which he or she is currently working and/or residing, transfers to another country after the Date of Grant, is a consultant, changes employment status to a consultant position or is considered a resident of another country for local law purposes, the Company shall, in its discretion, determine the extent to which the special terms and conditions contained herein shall be applicable to Optionee. References to Optionee’s Employer shall include any entity that engages Optionee’s services.</w:t>
      </w:r>
    </w:p>
    <w:p>
      <w:pPr>
        <w:spacing w:after="0" w:line="1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5"/>
          <w:szCs w:val="15"/>
          <w:color w:val="auto"/>
        </w:rPr>
        <w:t>In accepting this Option, Optionee acknowledges, understands and agrees to the following:</w:t>
      </w:r>
    </w:p>
    <w:p>
      <w:pPr>
        <w:spacing w:after="0" w:line="170" w:lineRule="exact"/>
        <w:rPr>
          <w:sz w:val="20"/>
          <w:szCs w:val="20"/>
          <w:color w:val="auto"/>
        </w:rPr>
      </w:pPr>
    </w:p>
    <w:p>
      <w:pPr>
        <w:jc w:val="both"/>
        <w:ind w:left="1220" w:right="1239" w:firstLine="509"/>
        <w:spacing w:after="0" w:line="262" w:lineRule="auto"/>
        <w:tabs>
          <w:tab w:leader="none" w:pos="2141" w:val="left"/>
        </w:tabs>
        <w:numPr>
          <w:ilvl w:val="0"/>
          <w:numId w:val="37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Data Privacy Information and Consent</w:t>
      </w:r>
      <w:r>
        <w:rPr>
          <w:rFonts w:ascii="Times New Roman" w:cs="Times New Roman" w:eastAsia="Times New Roman" w:hAnsi="Times New Roman"/>
          <w:sz w:val="15"/>
          <w:szCs w:val="15"/>
          <w:color w:val="auto"/>
        </w:rPr>
        <w:t>. The Company is located at 701 Pike St #1500,</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Seattle, WA, 98101, United States, and grants awards to employees of the Company and its Parent and Subsidiaries, at the Company’s sole discretion. If Optionee would like to participate in the Plan, please review the following information about the Company’s data processing practices.</w:t>
      </w:r>
    </w:p>
    <w:p>
      <w:pPr>
        <w:spacing w:after="0" w:line="126"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7"/>
          <w:szCs w:val="17"/>
          <w:b w:val="1"/>
          <w:bCs w:val="1"/>
          <w:color w:val="auto"/>
        </w:rPr>
        <w:t xml:space="preserve">1.1 </w:t>
      </w:r>
      <w:r>
        <w:rPr>
          <w:rFonts w:ascii="Times New Roman" w:cs="Times New Roman" w:eastAsia="Times New Roman" w:hAnsi="Times New Roman"/>
          <w:sz w:val="15"/>
          <w:szCs w:val="15"/>
          <w:u w:val="single" w:color="auto"/>
          <w:color w:val="auto"/>
        </w:rPr>
        <w:t>Data Collection and Usage</w:t>
      </w:r>
      <w:r>
        <w:rPr>
          <w:rFonts w:ascii="Times New Roman" w:cs="Times New Roman" w:eastAsia="Times New Roman" w:hAnsi="Times New Roman"/>
          <w:sz w:val="15"/>
          <w:szCs w:val="15"/>
          <w:color w:val="auto"/>
        </w:rPr>
        <w:t>. The Company or, if different, Optionee’s employer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(the “</w:t>
      </w:r>
      <w:r>
        <w:rPr>
          <w:rFonts w:ascii="Times New Roman" w:cs="Times New Roman" w:eastAsia="Times New Roman" w:hAnsi="Times New Roman"/>
          <w:sz w:val="15"/>
          <w:szCs w:val="15"/>
          <w:b w:val="1"/>
          <w:bCs w:val="1"/>
          <w:i w:val="1"/>
          <w:iCs w:val="1"/>
          <w:color w:val="auto"/>
        </w:rPr>
        <w:t>Employer</w:t>
      </w:r>
      <w:r>
        <w:rPr>
          <w:rFonts w:ascii="Times New Roman" w:cs="Times New Roman" w:eastAsia="Times New Roman" w:hAnsi="Times New Roman"/>
          <w:sz w:val="15"/>
          <w:szCs w:val="15"/>
          <w:color w:val="auto"/>
        </w:rPr>
        <w:t>”), and its Subsidiaries, Parent or affiliates collect, process, transfer and use personal data about Plan participants that is necessary for the purpose of implementing, administering and managing the Plan. This personal data may include Optionee’s name, home address and telephone number, date of birth, social insurance number or other identification number, salary, nationality and citizenship, job title, any shares or directorships held in the Company, details of all awards or other entitlements to Shares, granted, canceled, exercised, vested, unvested or outstanding in Optionee’s favor and any other personal information that could identify you (collectively, without limitation, “</w:t>
      </w:r>
      <w:r>
        <w:rPr>
          <w:rFonts w:ascii="Times New Roman" w:cs="Times New Roman" w:eastAsia="Times New Roman" w:hAnsi="Times New Roman"/>
          <w:sz w:val="15"/>
          <w:szCs w:val="15"/>
          <w:b w:val="1"/>
          <w:bCs w:val="1"/>
          <w:i w:val="1"/>
          <w:iCs w:val="1"/>
          <w:color w:val="auto"/>
        </w:rPr>
        <w:t>Data</w:t>
      </w:r>
      <w:r>
        <w:rPr>
          <w:rFonts w:ascii="Times New Roman" w:cs="Times New Roman" w:eastAsia="Times New Roman" w:hAnsi="Times New Roman"/>
          <w:sz w:val="15"/>
          <w:szCs w:val="15"/>
          <w:color w:val="auto"/>
        </w:rPr>
        <w:t>”), which the Company receives from Optionee or the Employer. If the Company offers Optionee an award under the Plan, then the Company will collect Optionee’s Data for purposes of allocating stock and implementing, administering and managing the Plan and will process such Data in accordance with the Company’s then-current data privacy policies, which are made available to Optionee upon commencing employment and also available upon request.</w:t>
      </w:r>
    </w:p>
    <w:p>
      <w:pPr>
        <w:spacing w:after="0" w:line="322" w:lineRule="exact"/>
        <w:rPr>
          <w:sz w:val="20"/>
          <w:szCs w:val="20"/>
          <w:color w:val="auto"/>
        </w:rPr>
      </w:pPr>
    </w:p>
    <w:p>
      <w:pPr>
        <w:jc w:val="both"/>
        <w:ind w:left="1220" w:right="1239" w:firstLine="100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1.2 </w:t>
      </w:r>
      <w:r>
        <w:rPr>
          <w:rFonts w:ascii="Times New Roman" w:cs="Times New Roman" w:eastAsia="Times New Roman" w:hAnsi="Times New Roman"/>
          <w:sz w:val="15"/>
          <w:szCs w:val="15"/>
          <w:u w:val="single" w:color="auto"/>
          <w:color w:val="auto"/>
        </w:rPr>
        <w:t>Stock Plan Administration Service Providers</w:t>
      </w:r>
      <w:r>
        <w:rPr>
          <w:rFonts w:ascii="Times New Roman" w:cs="Times New Roman" w:eastAsia="Times New Roman" w:hAnsi="Times New Roman"/>
          <w:sz w:val="15"/>
          <w:szCs w:val="15"/>
          <w:color w:val="auto"/>
        </w:rPr>
        <w:t>. The Company transfers Data to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independent stock-plan administrator and other third parties based in the United States, which assists the Company with the implementation, administration and management of the Plan. In the future, the Company may select a different service provider and share Optionee’s Data with another company that serves in a similar manner. Optionee understands that the recipients of the Data may be located in the United States or elsewhere, and that the recipients’ country (e.g., the United States) may have different data privacy laws and protections than Optionee’s country. The Company’s service provider may open an account for Optionee to receive Shares. Optionee will be asked to agree on separate terms and data processing practices with the service provider, which is a condition to Optionee’s ability to participate in the Plan. Optionee understands that Optionee may request a list with the names and addresses of any potential recipients of the Data by contacting Optionee’s local human resources representative, only if applicable laws and regulations</w:t>
      </w:r>
    </w:p>
    <w:p>
      <w:pPr>
        <w:spacing w:after="0" w:line="200" w:lineRule="exact"/>
        <w:rPr>
          <w:sz w:val="20"/>
          <w:szCs w:val="20"/>
          <w:color w:val="auto"/>
        </w:rPr>
      </w:pPr>
    </w:p>
    <w:p>
      <w:pPr>
        <w:spacing w:after="0" w:line="2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68" w:name="page469"/>
    <w:bookmarkEnd w:id="468"/>
    <w:p>
      <w:pPr>
        <w:jc w:val="both"/>
        <w:ind w:left="1220" w:right="1239"/>
        <w:spacing w:after="0" w:line="261" w:lineRule="auto"/>
        <w:rPr>
          <w:sz w:val="20"/>
          <w:szCs w:val="20"/>
          <w:color w:val="auto"/>
        </w:rPr>
      </w:pPr>
      <w:r>
        <w:rPr>
          <w:rFonts w:ascii="Times New Roman" w:cs="Times New Roman" w:eastAsia="Times New Roman" w:hAnsi="Times New Roman"/>
          <w:sz w:val="15"/>
          <w:szCs w:val="15"/>
          <w:color w:val="auto"/>
        </w:rPr>
        <w:t>entitle you to do so. Optionee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Optionee’s participation in the Plan.</w:t>
      </w:r>
    </w:p>
    <w:p>
      <w:pPr>
        <w:spacing w:after="0" w:line="125"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1.3 </w:t>
      </w:r>
      <w:r>
        <w:rPr>
          <w:rFonts w:ascii="Times New Roman" w:cs="Times New Roman" w:eastAsia="Times New Roman" w:hAnsi="Times New Roman"/>
          <w:sz w:val="15"/>
          <w:szCs w:val="15"/>
          <w:u w:val="single" w:color="auto"/>
          <w:color w:val="auto"/>
        </w:rPr>
        <w:t>Data Retention</w:t>
      </w:r>
      <w:r>
        <w:rPr>
          <w:rFonts w:ascii="Times New Roman" w:cs="Times New Roman" w:eastAsia="Times New Roman" w:hAnsi="Times New Roman"/>
          <w:sz w:val="15"/>
          <w:szCs w:val="15"/>
          <w:color w:val="auto"/>
        </w:rPr>
        <w:t>. The Company will use Optionee’s Data only as long as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necessary to implement, administer and manage Optionee’s participation in the Plan or as required to comply with legal or regulatory obligations, including under tax and security laws. When the Company no longer needs Optionee’s Data, the Company will remove it from its systems. If the Company keeps Optionee’s Data longer, it would be to satisfy legal or regulatory obligations and the Company’s legal basis would be relevant laws or regulations. Optionee understands that Optionee may, at any time, view Data, request additional information about the storage and processing of Data, require any necessary amendments to Data or refuse or withdraw the consents herein, in any case without cost, by contacting in writing Optionee’s local human resources representative.</w:t>
      </w:r>
    </w:p>
    <w:p>
      <w:pPr>
        <w:spacing w:after="0" w:line="133"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1.4 </w:t>
      </w:r>
      <w:r>
        <w:rPr>
          <w:rFonts w:ascii="Times New Roman" w:cs="Times New Roman" w:eastAsia="Times New Roman" w:hAnsi="Times New Roman"/>
          <w:sz w:val="15"/>
          <w:szCs w:val="15"/>
          <w:u w:val="single" w:color="auto"/>
          <w:color w:val="auto"/>
        </w:rPr>
        <w:t>Consent; Voluntariness and Consequences of Denial or Withdrawal</w:t>
      </w:r>
      <w:r>
        <w:rPr>
          <w:rFonts w:ascii="Times New Roman" w:cs="Times New Roman" w:eastAsia="Times New Roman" w:hAnsi="Times New Roman"/>
          <w:sz w:val="15"/>
          <w:szCs w:val="15"/>
          <w:color w:val="auto"/>
        </w:rPr>
        <w:t>. Where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permitted by applicable local law in the country where Optionee resides, consent is a requirement for participation in the Plan. In such cases, by accepting this grant, Optionee hereby agrees with the data processing practices as described in this notice and grants such consent to the processing and transfer of his or her Data as described in this Agreement and as necessary for the purpose of administering the Plan. Optionee’s participation in the Plan and Optionee’s grant of consent is purely voluntary. Optionee may deny or withdraw his or her consent at any time; provided that if Optionee does not consent, or if Optionee withdraws his or her consent, Optionee cannot participate in the Plan unless required by applicable law. This would not affect Optionee’s salary as an employee or his or her career; Optionee would merely forfeit the opportunities associated with the Plan.</w:t>
      </w:r>
    </w:p>
    <w:p>
      <w:pPr>
        <w:spacing w:after="0" w:line="138"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7"/>
          <w:szCs w:val="17"/>
          <w:b w:val="1"/>
          <w:bCs w:val="1"/>
          <w:color w:val="auto"/>
        </w:rPr>
        <w:t xml:space="preserve">1.5 </w:t>
      </w:r>
      <w:r>
        <w:rPr>
          <w:rFonts w:ascii="Times New Roman" w:cs="Times New Roman" w:eastAsia="Times New Roman" w:hAnsi="Times New Roman"/>
          <w:sz w:val="15"/>
          <w:szCs w:val="15"/>
          <w:u w:val="single" w:color="auto"/>
          <w:color w:val="auto"/>
        </w:rPr>
        <w:t>Data Subject Rights</w:t>
      </w:r>
      <w:r>
        <w:rPr>
          <w:rFonts w:ascii="Times New Roman" w:cs="Times New Roman" w:eastAsia="Times New Roman" w:hAnsi="Times New Roman"/>
          <w:sz w:val="15"/>
          <w:szCs w:val="15"/>
          <w:color w:val="auto"/>
        </w:rPr>
        <w:t>. Optionee has a number of rights under data privacy laws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his or her country. Depending on where Optionee is based, Optionee’s rights may include the right to (i) request access or copies of Optionee’s Data the Company processes, (ii) have the Company rectify Optionee’s incorrect Data and/or delete Optionee’s Data, (iv) restrict processing of Optionee’s Data, (v) have portability of Optionee’s Data, (vi) lodge complaints with the competent tax authorities in Optionee’s country and/or (vii) obtain a list with the names and addresses of any potential recipients of Optionee’s Data. To receive clarification regarding Optionee’s rights or to exercise Optionee’s rights please contact the Company at 28 Liberty Street, New York, NY, 10005, United States, Attn: Stock Administration.</w:t>
      </w:r>
    </w:p>
    <w:p>
      <w:pPr>
        <w:spacing w:after="0" w:line="314" w:lineRule="exact"/>
        <w:rPr>
          <w:sz w:val="20"/>
          <w:szCs w:val="20"/>
          <w:color w:val="auto"/>
        </w:rPr>
      </w:pPr>
    </w:p>
    <w:p>
      <w:pPr>
        <w:ind w:left="2240"/>
        <w:spacing w:after="0"/>
        <w:tabs>
          <w:tab w:leader="none" w:pos="2580" w:val="left"/>
        </w:tabs>
        <w:rPr>
          <w:sz w:val="20"/>
          <w:szCs w:val="20"/>
          <w:color w:val="auto"/>
        </w:rPr>
      </w:pPr>
      <w:r>
        <w:rPr>
          <w:rFonts w:ascii="Times New Roman" w:cs="Times New Roman" w:eastAsia="Times New Roman" w:hAnsi="Times New Roman"/>
          <w:sz w:val="17"/>
          <w:szCs w:val="17"/>
          <w:b w:val="1"/>
          <w:bCs w:val="1"/>
          <w:color w:val="auto"/>
        </w:rPr>
        <w:t>1.6</w:t>
      </w:r>
      <w:r>
        <w:rPr>
          <w:sz w:val="20"/>
          <w:szCs w:val="20"/>
          <w:color w:val="auto"/>
        </w:rPr>
        <w:tab/>
      </w:r>
      <w:r>
        <w:rPr>
          <w:rFonts w:ascii="Times New Roman" w:cs="Times New Roman" w:eastAsia="Times New Roman" w:hAnsi="Times New Roman"/>
          <w:sz w:val="15"/>
          <w:szCs w:val="15"/>
          <w:u w:val="single" w:color="auto"/>
          <w:color w:val="auto"/>
        </w:rPr>
        <w:t>GDPR Compliance</w:t>
      </w:r>
      <w:r>
        <w:rPr>
          <w:rFonts w:ascii="Times New Roman" w:cs="Times New Roman" w:eastAsia="Times New Roman" w:hAnsi="Times New Roman"/>
          <w:sz w:val="15"/>
          <w:szCs w:val="15"/>
          <w:color w:val="auto"/>
        </w:rPr>
        <w:t>.  If Optionee resides and/or works in a member country of the</w:t>
      </w:r>
    </w:p>
    <w:p>
      <w:pPr>
        <w:spacing w:after="0" w:line="1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European Union and/or the European Economic Area, the following provisions supplement this Section 1:</w:t>
      </w:r>
    </w:p>
    <w:p>
      <w:pPr>
        <w:spacing w:after="0" w:line="158" w:lineRule="exact"/>
        <w:rPr>
          <w:sz w:val="20"/>
          <w:szCs w:val="20"/>
          <w:color w:val="auto"/>
        </w:rPr>
      </w:pPr>
    </w:p>
    <w:p>
      <w:pPr>
        <w:jc w:val="both"/>
        <w:ind w:left="1220" w:right="1239" w:firstLine="1518"/>
        <w:spacing w:after="0" w:line="254" w:lineRule="auto"/>
        <w:tabs>
          <w:tab w:leader="none" w:pos="3088" w:val="left"/>
        </w:tabs>
        <w:numPr>
          <w:ilvl w:val="0"/>
          <w:numId w:val="3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satisfaction and on the direction of the Committee, all operations of the Plan and this Option (at the time of its grant and as necessary thereafter) shall include or be supported by appropriate agreements, notifications and arrangements in respect of Data and its use and processing under the Plan, in order to secure (a) the reasonable freedom of the Employer, the Company and any Parent or Subsidiary, as appropriate, to operate the Plan and for connected purposes, and (b) compliance with the data-protection requirements applicable from time to time, including, if applicable, and without limitation, Regulation EU 2016/679 of the European Parliament and of the Council of 27 April 2016.</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69" w:name="page470"/>
    <w:bookmarkEnd w:id="469"/>
    <w:p>
      <w:pPr>
        <w:ind w:left="2740"/>
        <w:spacing w:after="0"/>
        <w:tabs>
          <w:tab w:leader="none" w:pos="3060" w:val="left"/>
        </w:tabs>
        <w:rPr>
          <w:sz w:val="20"/>
          <w:szCs w:val="20"/>
          <w:color w:val="auto"/>
        </w:rPr>
      </w:pPr>
      <w:r>
        <w:rPr>
          <w:rFonts w:ascii="Times New Roman" w:cs="Times New Roman" w:eastAsia="Times New Roman" w:hAnsi="Times New Roman"/>
          <w:sz w:val="15"/>
          <w:szCs w:val="15"/>
          <w:color w:val="auto"/>
        </w:rPr>
        <w:t>(b)</w:t>
        <w:tab/>
        <w:t>Optionee has certain rights under data protection legislation as summarized</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below:</w:t>
      </w:r>
    </w:p>
    <w:p>
      <w:pPr>
        <w:spacing w:after="0" w:line="165" w:lineRule="exact"/>
        <w:rPr>
          <w:sz w:val="20"/>
          <w:szCs w:val="20"/>
          <w:color w:val="auto"/>
        </w:rPr>
      </w:pPr>
    </w:p>
    <w:p>
      <w:pPr>
        <w:jc w:val="both"/>
        <w:ind w:left="1220" w:right="1239" w:firstLine="2023"/>
        <w:spacing w:after="0" w:line="251" w:lineRule="auto"/>
        <w:tabs>
          <w:tab w:leader="none" w:pos="3622"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i w:val="1"/>
          <w:iCs w:val="1"/>
          <w:color w:val="auto"/>
        </w:rPr>
        <w:t>Right of Access</w:t>
      </w:r>
      <w:r>
        <w:rPr>
          <w:rFonts w:ascii="Times New Roman" w:cs="Times New Roman" w:eastAsia="Times New Roman" w:hAnsi="Times New Roman"/>
          <w:sz w:val="15"/>
          <w:szCs w:val="15"/>
          <w:color w:val="auto"/>
        </w:rPr>
        <w:t>. Optionee has the right to obtain from us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confirmation as to whether or not personal data concerning Optionee is being processed, and, where that is the case, to request access to the personal data, as well as certain information on how we are processing such data.</w:t>
      </w:r>
    </w:p>
    <w:p>
      <w:pPr>
        <w:spacing w:after="0" w:line="147" w:lineRule="exact"/>
        <w:rPr>
          <w:rFonts w:ascii="Times New Roman" w:cs="Times New Roman" w:eastAsia="Times New Roman" w:hAnsi="Times New Roman"/>
          <w:sz w:val="17"/>
          <w:szCs w:val="17"/>
          <w:color w:val="auto"/>
        </w:rPr>
      </w:pPr>
    </w:p>
    <w:p>
      <w:pPr>
        <w:jc w:val="both"/>
        <w:ind w:left="1220" w:right="1239" w:firstLine="2023"/>
        <w:spacing w:after="0" w:line="251" w:lineRule="auto"/>
        <w:tabs>
          <w:tab w:leader="none" w:pos="3622"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i w:val="1"/>
          <w:iCs w:val="1"/>
          <w:color w:val="auto"/>
        </w:rPr>
        <w:t>Right to Rectification</w:t>
      </w:r>
      <w:r>
        <w:rPr>
          <w:rFonts w:ascii="Times New Roman" w:cs="Times New Roman" w:eastAsia="Times New Roman" w:hAnsi="Times New Roman"/>
          <w:sz w:val="15"/>
          <w:szCs w:val="15"/>
          <w:color w:val="auto"/>
        </w:rPr>
        <w:t>. Optionee has the right to obtain from us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rectification of inaccurate personal data concerning Optionee. Considering the purpose of the processing, Optionee may also, in some cases, be entitled to supplemental information regarding incomplete personal data.</w:t>
      </w:r>
    </w:p>
    <w:p>
      <w:pPr>
        <w:spacing w:after="0" w:line="147" w:lineRule="exact"/>
        <w:rPr>
          <w:rFonts w:ascii="Times New Roman" w:cs="Times New Roman" w:eastAsia="Times New Roman" w:hAnsi="Times New Roman"/>
          <w:sz w:val="17"/>
          <w:szCs w:val="17"/>
          <w:color w:val="auto"/>
        </w:rPr>
      </w:pPr>
    </w:p>
    <w:p>
      <w:pPr>
        <w:jc w:val="both"/>
        <w:ind w:left="1220" w:right="1239" w:firstLine="2023"/>
        <w:spacing w:after="0" w:line="250" w:lineRule="auto"/>
        <w:tabs>
          <w:tab w:leader="none" w:pos="3622"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i w:val="1"/>
          <w:iCs w:val="1"/>
          <w:color w:val="auto"/>
        </w:rPr>
        <w:t>Right to Erasure (Right to be Forgotten)</w:t>
      </w:r>
      <w:r>
        <w:rPr>
          <w:rFonts w:ascii="Times New Roman" w:cs="Times New Roman" w:eastAsia="Times New Roman" w:hAnsi="Times New Roman"/>
          <w:sz w:val="15"/>
          <w:szCs w:val="15"/>
          <w:color w:val="auto"/>
        </w:rPr>
        <w:t>. Optionee may, in certain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circumstances, have his or her personal data deleted, for example if Optionee’s personal information is no longer necessary in relation to the purpose for which it was collected, if Optionee has objected to the processing of personal data and we do not have a legitimate interest which outweighs Optionee’s interest, if the personal data has been processed unlawfully, or if the personal data must be deleted to comply with a legal obligation.</w:t>
      </w:r>
    </w:p>
    <w:p>
      <w:pPr>
        <w:spacing w:after="0" w:line="148" w:lineRule="exact"/>
        <w:rPr>
          <w:rFonts w:ascii="Times New Roman" w:cs="Times New Roman" w:eastAsia="Times New Roman" w:hAnsi="Times New Roman"/>
          <w:sz w:val="17"/>
          <w:szCs w:val="17"/>
          <w:color w:val="auto"/>
        </w:rPr>
      </w:pPr>
    </w:p>
    <w:p>
      <w:pPr>
        <w:jc w:val="both"/>
        <w:ind w:left="1220" w:right="1239" w:firstLine="2023"/>
        <w:spacing w:after="0" w:line="251" w:lineRule="auto"/>
        <w:tabs>
          <w:tab w:leader="none" w:pos="3622"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i w:val="1"/>
          <w:iCs w:val="1"/>
          <w:color w:val="auto"/>
        </w:rPr>
        <w:t>Right to Restriction of Processing</w:t>
      </w:r>
      <w:r>
        <w:rPr>
          <w:rFonts w:ascii="Times New Roman" w:cs="Times New Roman" w:eastAsia="Times New Roman" w:hAnsi="Times New Roman"/>
          <w:sz w:val="15"/>
          <w:szCs w:val="15"/>
          <w:color w:val="auto"/>
        </w:rPr>
        <w:t>. Optionee may require that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restrict the processing of Optionee’s personal data in certain cases, for example where the Company no longer needs Optionee’s personal data but Optionee needs it to determine, enforce or defend legal claims or Optionee has objected to processing based on the Company’s legitimate interest in order to enable the Company to check if its interest overrides Optionee’s interest.</w:t>
      </w:r>
    </w:p>
    <w:p>
      <w:pPr>
        <w:spacing w:after="0" w:line="146" w:lineRule="exact"/>
        <w:rPr>
          <w:rFonts w:ascii="Times New Roman" w:cs="Times New Roman" w:eastAsia="Times New Roman" w:hAnsi="Times New Roman"/>
          <w:sz w:val="17"/>
          <w:szCs w:val="17"/>
          <w:color w:val="auto"/>
        </w:rPr>
      </w:pPr>
    </w:p>
    <w:p>
      <w:pPr>
        <w:jc w:val="both"/>
        <w:ind w:left="1220" w:right="1239" w:firstLine="2023"/>
        <w:spacing w:after="0" w:line="251" w:lineRule="auto"/>
        <w:tabs>
          <w:tab w:leader="none" w:pos="3622"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i w:val="1"/>
          <w:iCs w:val="1"/>
          <w:color w:val="auto"/>
        </w:rPr>
        <w:t>Right to Data Portability</w:t>
      </w:r>
      <w:r>
        <w:rPr>
          <w:rFonts w:ascii="Times New Roman" w:cs="Times New Roman" w:eastAsia="Times New Roman" w:hAnsi="Times New Roman"/>
          <w:sz w:val="15"/>
          <w:szCs w:val="15"/>
          <w:color w:val="auto"/>
        </w:rPr>
        <w:t>. In some circumstances, Optionee may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 entitled to receive the personal data concerning Optionee which Optionee provided to the Company in a structured, commonly used and machine-readable format and Optionee has the right to transmit those personal data to another controller.</w:t>
      </w:r>
    </w:p>
    <w:p>
      <w:pPr>
        <w:spacing w:after="0" w:line="147" w:lineRule="exact"/>
        <w:rPr>
          <w:rFonts w:ascii="Times New Roman" w:cs="Times New Roman" w:eastAsia="Times New Roman" w:hAnsi="Times New Roman"/>
          <w:sz w:val="17"/>
          <w:szCs w:val="17"/>
          <w:color w:val="auto"/>
        </w:rPr>
      </w:pPr>
    </w:p>
    <w:p>
      <w:pPr>
        <w:jc w:val="both"/>
        <w:ind w:left="1220" w:right="1239" w:firstLine="2023"/>
        <w:spacing w:after="0" w:line="251" w:lineRule="auto"/>
        <w:tabs>
          <w:tab w:leader="none" w:pos="3622"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5"/>
          <w:szCs w:val="15"/>
          <w:i w:val="1"/>
          <w:iCs w:val="1"/>
          <w:color w:val="auto"/>
        </w:rPr>
        <w:t>Right to Object</w:t>
      </w:r>
      <w:r>
        <w:rPr>
          <w:rFonts w:ascii="Times New Roman" w:cs="Times New Roman" w:eastAsia="Times New Roman" w:hAnsi="Times New Roman"/>
          <w:sz w:val="15"/>
          <w:szCs w:val="15"/>
          <w:color w:val="auto"/>
        </w:rPr>
        <w:t>. Optionee has the right to object to the processing</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Optionee’s personal data in certain circumstances, for example where the processing is based on the Company’s legitimate interest. If so, in order to continue processing, the Company must be able to show compelling legitimate grounds that override Optionee’s interests, rights and freedoms.</w:t>
      </w:r>
    </w:p>
    <w:p>
      <w:pPr>
        <w:spacing w:after="0" w:line="141" w:lineRule="exact"/>
        <w:rPr>
          <w:rFonts w:ascii="Times New Roman" w:cs="Times New Roman" w:eastAsia="Times New Roman" w:hAnsi="Times New Roman"/>
          <w:sz w:val="17"/>
          <w:szCs w:val="17"/>
          <w:color w:val="auto"/>
        </w:rPr>
      </w:pPr>
    </w:p>
    <w:p>
      <w:pPr>
        <w:jc w:val="both"/>
        <w:ind w:left="1220" w:right="1239" w:firstLine="1518"/>
        <w:spacing w:after="0" w:line="254" w:lineRule="auto"/>
        <w:tabs>
          <w:tab w:leader="none" w:pos="3111" w:val="left"/>
        </w:tabs>
        <w:numPr>
          <w:ilvl w:val="0"/>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Optionee’s rights will in each case be subject to the restrictions set out in applicable data protection laws. Further information on these rights, and the circumstances in which they may arise in connection with the Company’s processing of Optionee’s personal data, can be obtained by contacting Optionee’s local human resources representative. If Optionee wants to review, verify, correct or request erasure of Optionee’s personal information, object to the processing of Optionee’s personal data, or request that the Company transfer a copy of Optionee’s personal information to another party, please contact Optionee’s local human resources representative.</w:t>
      </w:r>
    </w:p>
    <w:p>
      <w:pPr>
        <w:spacing w:after="0" w:line="141" w:lineRule="exact"/>
        <w:rPr>
          <w:rFonts w:ascii="Times New Roman" w:cs="Times New Roman" w:eastAsia="Times New Roman" w:hAnsi="Times New Roman"/>
          <w:sz w:val="15"/>
          <w:szCs w:val="15"/>
          <w:color w:val="auto"/>
        </w:rPr>
      </w:pPr>
    </w:p>
    <w:p>
      <w:pPr>
        <w:jc w:val="both"/>
        <w:ind w:left="1220" w:right="1239" w:firstLine="1518"/>
        <w:spacing w:after="0" w:line="267" w:lineRule="auto"/>
        <w:tabs>
          <w:tab w:leader="none" w:pos="3112" w:val="left"/>
        </w:tabs>
        <w:numPr>
          <w:ilvl w:val="0"/>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agrees to ensure that Data transferred outside the European Economic Area will be done pursuant to a lawful transfer mechanism (for example, European Commission approved model contract clauses).</w:t>
      </w:r>
    </w:p>
    <w:p>
      <w:pPr>
        <w:spacing w:after="0" w:line="128" w:lineRule="exact"/>
        <w:rPr>
          <w:rFonts w:ascii="Times New Roman" w:cs="Times New Roman" w:eastAsia="Times New Roman" w:hAnsi="Times New Roman"/>
          <w:sz w:val="15"/>
          <w:szCs w:val="15"/>
          <w:color w:val="auto"/>
        </w:rPr>
      </w:pPr>
    </w:p>
    <w:p>
      <w:pPr>
        <w:jc w:val="both"/>
        <w:ind w:left="1220" w:right="1239" w:firstLine="1518"/>
        <w:spacing w:after="0" w:line="267" w:lineRule="auto"/>
        <w:tabs>
          <w:tab w:leader="none" w:pos="3119" w:val="left"/>
        </w:tabs>
        <w:numPr>
          <w:ilvl w:val="0"/>
          <w:numId w:val="3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will separately provide the Optionee with information in a data privacy notice on the collection, processing and transfer of their personal data, including the grounds for processing.</w:t>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470" w:name="page471"/>
    <w:bookmarkEnd w:id="470"/>
    <w:p>
      <w:pPr>
        <w:jc w:val="both"/>
        <w:ind w:left="1220" w:right="1239" w:firstLine="1518"/>
        <w:spacing w:after="0" w:line="257" w:lineRule="auto"/>
        <w:tabs>
          <w:tab w:leader="none" w:pos="3044" w:val="left"/>
        </w:tabs>
        <w:numPr>
          <w:ilvl w:val="1"/>
          <w:numId w:val="3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Optionee has any grievance, issue or problem in respect of the handling or processing of Optionee’s personal data in any way, Optionee has the right to lodge a complaint to the competent data protection authority. The list of national data protection authorities for each country in the European Union and their contact details are available at: https://ec.europa.eu/justice/article-29/structure/data-protection-authorities/index_en.htm.</w:t>
      </w:r>
    </w:p>
    <w:p>
      <w:pPr>
        <w:spacing w:after="0" w:line="134" w:lineRule="exact"/>
        <w:rPr>
          <w:rFonts w:ascii="Times New Roman" w:cs="Times New Roman" w:eastAsia="Times New Roman" w:hAnsi="Times New Roman"/>
          <w:sz w:val="15"/>
          <w:szCs w:val="15"/>
          <w:color w:val="auto"/>
        </w:rPr>
      </w:pPr>
    </w:p>
    <w:p>
      <w:pPr>
        <w:jc w:val="both"/>
        <w:ind w:left="1220" w:right="1239" w:firstLine="509"/>
        <w:spacing w:after="0" w:line="251" w:lineRule="auto"/>
        <w:tabs>
          <w:tab w:leader="none" w:pos="2152" w:val="left"/>
        </w:tabs>
        <w:numPr>
          <w:ilvl w:val="0"/>
          <w:numId w:val="3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Insider Trading Restrictions/Market Abuse Laws</w:t>
      </w:r>
      <w:r>
        <w:rPr>
          <w:rFonts w:ascii="Times New Roman" w:cs="Times New Roman" w:eastAsia="Times New Roman" w:hAnsi="Times New Roman"/>
          <w:sz w:val="15"/>
          <w:szCs w:val="15"/>
          <w:color w:val="auto"/>
        </w:rPr>
        <w:t>. Optionee acknowledges that, if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when the Shares are publicly listed on any stock exchange, depending on his or her country, Optionee may be subject to insider trading restrictions and/or market abuse laws in applicable jurisdictions, which may affect his or her ability to directly or indirectly, accept, acquire, sell or attempt to sell or otherwise dispose of Shares or rights to the Shares, or rights linked to the value of Shares during such times as Optionee is considered to have “inside information” regarding the Company (as defined by the laws and/or regulations in applicable jurisdictions or Optionee’s country). Local insider trading laws and regulations may prohibit the cancellation or amendment of orders placed by Optionee before possessing the inside information. Furthermore, Optionee may be prohibited from (i) disclosing inside information to any third party, including fellow employees (other than on a “need to know” basis) and (ii) “tipping” third parties or causing them to otherwise buy or sell securities. Any restrictions under these laws or regulations are separate from and in addition to any restrictions that may be imposed under any applicable Company insider trading policy. Optionee acknowledges that it is Optionee’s responsibility to comply with any applicable restrictions, and Optionee is advised to speak to his or her personal advisor on this matter.</w:t>
      </w:r>
    </w:p>
    <w:p>
      <w:pPr>
        <w:spacing w:after="0" w:line="323" w:lineRule="exact"/>
        <w:rPr>
          <w:rFonts w:ascii="Times New Roman" w:cs="Times New Roman" w:eastAsia="Times New Roman" w:hAnsi="Times New Roman"/>
          <w:sz w:val="15"/>
          <w:szCs w:val="15"/>
          <w:b w:val="1"/>
          <w:bCs w:val="1"/>
          <w:color w:val="auto"/>
        </w:rPr>
      </w:pPr>
    </w:p>
    <w:p>
      <w:pPr>
        <w:jc w:val="both"/>
        <w:ind w:left="1220" w:right="1239" w:firstLine="509"/>
        <w:spacing w:after="0" w:line="254" w:lineRule="auto"/>
        <w:tabs>
          <w:tab w:leader="none" w:pos="2183" w:val="left"/>
        </w:tabs>
        <w:numPr>
          <w:ilvl w:val="0"/>
          <w:numId w:val="3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Language</w:t>
      </w:r>
      <w:r>
        <w:rPr>
          <w:rFonts w:ascii="Times New Roman" w:cs="Times New Roman" w:eastAsia="Times New Roman" w:hAnsi="Times New Roman"/>
          <w:sz w:val="15"/>
          <w:szCs w:val="15"/>
          <w:color w:val="auto"/>
        </w:rPr>
        <w:t>. Optionee acknowledges that he or she is sufficiently proficient in English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understand the terms and conditions of this Agreement and confirms having read and understood the documents relating to the Plan, including this Agreement and all its terms and conditions, all of which have been provided to Optionee exclusively in the English language (unless otherwise specified in the country-specific provisions set forth below that are applicable to Optionee). Optionee accepts the Plan, this Agreement and their applicable terms and conditions and does not require their translation into any language other than English. Furthermore, if Optionee has received this Agreement, or any other document related to the Option and/or the Plan translated into a language other than English and the meaning of the translated version differs from that of the English version, the English version will control.</w:t>
      </w:r>
    </w:p>
    <w:p>
      <w:pPr>
        <w:spacing w:after="0" w:line="133" w:lineRule="exact"/>
        <w:rPr>
          <w:rFonts w:ascii="Times New Roman" w:cs="Times New Roman" w:eastAsia="Times New Roman" w:hAnsi="Times New Roman"/>
          <w:sz w:val="15"/>
          <w:szCs w:val="15"/>
          <w:b w:val="1"/>
          <w:bCs w:val="1"/>
          <w:color w:val="auto"/>
        </w:rPr>
      </w:pPr>
    </w:p>
    <w:p>
      <w:pPr>
        <w:jc w:val="both"/>
        <w:ind w:left="1220" w:right="1239" w:firstLine="509"/>
        <w:spacing w:after="0" w:line="255" w:lineRule="auto"/>
        <w:tabs>
          <w:tab w:leader="none" w:pos="2246" w:val="left"/>
        </w:tabs>
        <w:numPr>
          <w:ilvl w:val="0"/>
          <w:numId w:val="3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Foreign Asset/Account Reporting Requirements</w:t>
      </w:r>
      <w:r>
        <w:rPr>
          <w:rFonts w:ascii="Times New Roman" w:cs="Times New Roman" w:eastAsia="Times New Roman" w:hAnsi="Times New Roman"/>
          <w:sz w:val="15"/>
          <w:szCs w:val="15"/>
          <w:color w:val="auto"/>
        </w:rPr>
        <w:t>. Optionee acknowledges that there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may be certain foreign asset and/or account reporting requirements which may affect Optionee’s ability to acquire or hold Shares acquired under the Plan or cash received from participating in the Plan in a brokerage account outside his or her country. Optionee may also be required to repatriate sale proceeds or other funds received as a result of participating in the Plan to his or her country through a designated bank or broker within a certain time after receipt. It is Optionee’s responsibility to be compliant with such regulations and Optionee should speak with his or her personal advisor on this matter.</w:t>
      </w:r>
    </w:p>
    <w:p>
      <w:pPr>
        <w:spacing w:after="0" w:line="136" w:lineRule="exact"/>
        <w:rPr>
          <w:rFonts w:ascii="Times New Roman" w:cs="Times New Roman" w:eastAsia="Times New Roman" w:hAnsi="Times New Roman"/>
          <w:sz w:val="15"/>
          <w:szCs w:val="15"/>
          <w:b w:val="1"/>
          <w:bCs w:val="1"/>
          <w:color w:val="auto"/>
        </w:rPr>
      </w:pPr>
    </w:p>
    <w:p>
      <w:pPr>
        <w:jc w:val="both"/>
        <w:ind w:left="1220" w:right="1239" w:firstLine="509"/>
        <w:spacing w:after="0" w:line="255" w:lineRule="auto"/>
        <w:tabs>
          <w:tab w:leader="none" w:pos="2288" w:val="left"/>
        </w:tabs>
        <w:numPr>
          <w:ilvl w:val="0"/>
          <w:numId w:val="38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Extraordinary Compensation</w:t>
      </w:r>
      <w:r>
        <w:rPr>
          <w:rFonts w:ascii="Times New Roman" w:cs="Times New Roman" w:eastAsia="Times New Roman" w:hAnsi="Times New Roman"/>
          <w:sz w:val="15"/>
          <w:szCs w:val="15"/>
          <w:color w:val="auto"/>
        </w:rPr>
        <w:t>. The value of the option is an extraordinary item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compensation outside the scope of Optionee’s employment contract, if any, and is not to be considered part of his or her normal or expected compensation for purposes of calculating severance, resignation, redundancy, end of service payments, bonuses, long-service awards, pension or retirement benefits or similar payments. Optionee acknowledges that the right to be granted options and the right to exercise the option and to continue vesting or to receive further grants of options will terminate effective as of the date upon which Optionee receives notice of termination, regardless of when the termination is effective.</w:t>
      </w:r>
    </w:p>
    <w:p>
      <w:pPr>
        <w:spacing w:after="0" w:line="29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71" w:name="page472"/>
    <w:bookmarkEnd w:id="471"/>
    <w:p>
      <w:pPr>
        <w:jc w:val="both"/>
        <w:ind w:left="1220" w:right="1239" w:firstLine="509"/>
        <w:spacing w:after="0" w:line="255" w:lineRule="auto"/>
        <w:tabs>
          <w:tab w:leader="none" w:pos="2225" w:val="left"/>
        </w:tabs>
        <w:numPr>
          <w:ilvl w:val="0"/>
          <w:numId w:val="3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Participation Ceases When Employment Ceases</w:t>
      </w:r>
      <w:r>
        <w:rPr>
          <w:rFonts w:ascii="Times New Roman" w:cs="Times New Roman" w:eastAsia="Times New Roman" w:hAnsi="Times New Roman"/>
          <w:sz w:val="15"/>
          <w:szCs w:val="15"/>
          <w:color w:val="auto"/>
        </w:rPr>
        <w:t>. Except in the case of an approved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leave of absence (as set forth more fully in the Plan), Optionee understands that he/she shall have terminated employment as of the date he or she ceases to provide services (regardless of whether the termination is in breach of local employment laws or is later found to be invalid) and employment shall not be extended by any notice period or garden leave mandated by local law, provided however, that a change in status from an employee to a consultant or advisor shall not terminate the Optionee’s continuous service, unless determined by the Committee, in its discretion.</w:t>
      </w:r>
    </w:p>
    <w:p>
      <w:pPr>
        <w:spacing w:after="0" w:line="136" w:lineRule="exact"/>
        <w:rPr>
          <w:rFonts w:ascii="Times New Roman" w:cs="Times New Roman" w:eastAsia="Times New Roman" w:hAnsi="Times New Roman"/>
          <w:sz w:val="15"/>
          <w:szCs w:val="15"/>
          <w:b w:val="1"/>
          <w:bCs w:val="1"/>
          <w:color w:val="auto"/>
        </w:rPr>
      </w:pPr>
    </w:p>
    <w:p>
      <w:pPr>
        <w:ind w:left="1220" w:right="1239" w:firstLine="509"/>
        <w:spacing w:after="0" w:line="291" w:lineRule="auto"/>
        <w:tabs>
          <w:tab w:leader="none" w:pos="2141" w:val="left"/>
        </w:tabs>
        <w:numPr>
          <w:ilvl w:val="0"/>
          <w:numId w:val="38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Additional Acknowledgments and Agreements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 accepting this Option, Optionee also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acknowledges, understands and agrees that:</w:t>
      </w:r>
    </w:p>
    <w:p>
      <w:pPr>
        <w:spacing w:after="0" w:line="111" w:lineRule="exact"/>
        <w:rPr>
          <w:sz w:val="20"/>
          <w:szCs w:val="20"/>
          <w:color w:val="auto"/>
        </w:rPr>
      </w:pPr>
    </w:p>
    <w:p>
      <w:pPr>
        <w:jc w:val="both"/>
        <w:ind w:left="1980" w:right="1239" w:hanging="251"/>
        <w:spacing w:after="0" w:line="267"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established voluntarily by the Company, it is discretionary in nature, and may be amended, suspended or terminated by the Company at any time, to the extent permitted by the Plan;</w:t>
      </w:r>
    </w:p>
    <w:p>
      <w:pPr>
        <w:spacing w:after="0" w:line="128" w:lineRule="exact"/>
        <w:rPr>
          <w:rFonts w:ascii="Times New Roman" w:cs="Times New Roman" w:eastAsia="Times New Roman" w:hAnsi="Times New Roman"/>
          <w:sz w:val="15"/>
          <w:szCs w:val="15"/>
          <w:color w:val="auto"/>
        </w:rPr>
      </w:pPr>
    </w:p>
    <w:p>
      <w:pPr>
        <w:jc w:val="both"/>
        <w:ind w:left="1980" w:right="1239" w:hanging="251"/>
        <w:spacing w:after="0" w:line="267"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the Option is voluntary and occasional and does not create any contractual or other right to receive future grants of options, or benefits in lieu of options, even if options have been granted in the past;</w:t>
      </w:r>
    </w:p>
    <w:p>
      <w:pPr>
        <w:spacing w:after="0" w:line="128" w:lineRule="exact"/>
        <w:rPr>
          <w:rFonts w:ascii="Times New Roman" w:cs="Times New Roman" w:eastAsia="Times New Roman" w:hAnsi="Times New Roman"/>
          <w:sz w:val="15"/>
          <w:szCs w:val="15"/>
          <w:color w:val="auto"/>
        </w:rPr>
      </w:pPr>
    </w:p>
    <w:p>
      <w:pPr>
        <w:ind w:left="1980" w:right="1239" w:hanging="251"/>
        <w:spacing w:after="0" w:line="285"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decisions with respect to future Option or other grants, if any, will be at the sole discretion of the Company;</w:t>
      </w:r>
    </w:p>
    <w:p>
      <w:pPr>
        <w:spacing w:after="0" w:line="115" w:lineRule="exact"/>
        <w:rPr>
          <w:rFonts w:ascii="Times New Roman" w:cs="Times New Roman" w:eastAsia="Times New Roman" w:hAnsi="Times New Roman"/>
          <w:sz w:val="15"/>
          <w:szCs w:val="15"/>
          <w:color w:val="auto"/>
        </w:rPr>
      </w:pPr>
    </w:p>
    <w:p>
      <w:pPr>
        <w:jc w:val="both"/>
        <w:ind w:left="1980" w:right="1239" w:hanging="251"/>
        <w:spacing w:after="0" w:line="261"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grant and Optionee’s participation in the Plan shall not create a right to employment or be interpreted as forming an employment or service contract with the Company, Employer, or any Subsidiary or Parent and shall not interfere with the ability of the Company, the Employer or any Subsidiary or Parent, as applicable, to Terminate Optionee;</w:t>
      </w:r>
    </w:p>
    <w:p>
      <w:pPr>
        <w:spacing w:after="0" w:line="132" w:lineRule="exact"/>
        <w:rPr>
          <w:rFonts w:ascii="Times New Roman" w:cs="Times New Roman" w:eastAsia="Times New Roman" w:hAnsi="Times New Roman"/>
          <w:sz w:val="15"/>
          <w:szCs w:val="15"/>
          <w:color w:val="auto"/>
        </w:rPr>
      </w:pPr>
    </w:p>
    <w:p>
      <w:pPr>
        <w:ind w:left="1980" w:hanging="251"/>
        <w:spacing w:after="0"/>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is voluntarily participating in the Plan;</w:t>
      </w:r>
    </w:p>
    <w:p>
      <w:pPr>
        <w:spacing w:after="0" w:line="174" w:lineRule="exact"/>
        <w:rPr>
          <w:rFonts w:ascii="Times New Roman" w:cs="Times New Roman" w:eastAsia="Times New Roman" w:hAnsi="Times New Roman"/>
          <w:sz w:val="15"/>
          <w:szCs w:val="15"/>
          <w:color w:val="auto"/>
        </w:rPr>
      </w:pPr>
    </w:p>
    <w:p>
      <w:pPr>
        <w:ind w:left="1980" w:right="1239" w:hanging="251"/>
        <w:spacing w:after="0" w:line="285"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and any Shares acquired under the Plan are not intended to replace any pension rights or compensation;</w:t>
      </w:r>
    </w:p>
    <w:p>
      <w:pPr>
        <w:spacing w:after="0" w:line="115" w:lineRule="exact"/>
        <w:rPr>
          <w:rFonts w:ascii="Times New Roman" w:cs="Times New Roman" w:eastAsia="Times New Roman" w:hAnsi="Times New Roman"/>
          <w:sz w:val="15"/>
          <w:szCs w:val="15"/>
          <w:color w:val="auto"/>
        </w:rPr>
      </w:pPr>
    </w:p>
    <w:p>
      <w:pPr>
        <w:jc w:val="both"/>
        <w:ind w:left="1980" w:right="1239" w:hanging="251"/>
        <w:spacing w:after="0" w:line="257"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and any Shares acquired under the Plan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38" w:lineRule="exact"/>
        <w:rPr>
          <w:rFonts w:ascii="Times New Roman" w:cs="Times New Roman" w:eastAsia="Times New Roman" w:hAnsi="Times New Roman"/>
          <w:sz w:val="15"/>
          <w:szCs w:val="15"/>
          <w:color w:val="auto"/>
        </w:rPr>
      </w:pPr>
    </w:p>
    <w:p>
      <w:pPr>
        <w:ind w:left="1980" w:right="1239" w:hanging="251"/>
        <w:spacing w:after="0" w:line="285"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future value of the Shares underlying the Option is unknown, indeterminable, and cannot be predicted with certainty;</w:t>
      </w:r>
    </w:p>
    <w:p>
      <w:pPr>
        <w:spacing w:after="0" w:line="115" w:lineRule="exact"/>
        <w:rPr>
          <w:rFonts w:ascii="Times New Roman" w:cs="Times New Roman" w:eastAsia="Times New Roman" w:hAnsi="Times New Roman"/>
          <w:sz w:val="15"/>
          <w:szCs w:val="15"/>
          <w:color w:val="auto"/>
        </w:rPr>
      </w:pPr>
    </w:p>
    <w:p>
      <w:pPr>
        <w:ind w:left="1980" w:hanging="251"/>
        <w:spacing w:after="0"/>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underlying Shares do not increase in value, the Option will have no value;</w:t>
      </w:r>
    </w:p>
    <w:p>
      <w:pPr>
        <w:spacing w:after="0" w:line="174" w:lineRule="exact"/>
        <w:rPr>
          <w:rFonts w:ascii="Times New Roman" w:cs="Times New Roman" w:eastAsia="Times New Roman" w:hAnsi="Times New Roman"/>
          <w:sz w:val="15"/>
          <w:szCs w:val="15"/>
          <w:color w:val="auto"/>
        </w:rPr>
      </w:pPr>
    </w:p>
    <w:p>
      <w:pPr>
        <w:ind w:left="1980" w:right="1239" w:hanging="251"/>
        <w:spacing w:after="0" w:line="285"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Optionee exercises the Option and acquires Shares, the value of such Shares may increase or decrease in value, even below the Exercise Price;</w:t>
      </w:r>
    </w:p>
    <w:p>
      <w:pPr>
        <w:spacing w:after="0" w:line="115" w:lineRule="exact"/>
        <w:rPr>
          <w:rFonts w:ascii="Times New Roman" w:cs="Times New Roman" w:eastAsia="Times New Roman" w:hAnsi="Times New Roman"/>
          <w:sz w:val="15"/>
          <w:szCs w:val="15"/>
          <w:color w:val="auto"/>
        </w:rPr>
      </w:pPr>
    </w:p>
    <w:p>
      <w:pPr>
        <w:jc w:val="both"/>
        <w:ind w:left="1980" w:right="1239" w:hanging="251"/>
        <w:spacing w:after="0" w:line="256" w:lineRule="auto"/>
        <w:tabs>
          <w:tab w:leader="none" w:pos="1980"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or entitlement to compensation or damages shall arise from forfeiture of the Option resulting from the Termination of Optionee’s service (for any reason whatsoever, whether or not later found to be invalid or in breach of employment laws in the jurisdiction where Optionee is employed or the terms of Optionee’s employment agreement, if any), and in consideration of the grant of the Option to which Optionee is otherwise not entitled, Optionee irrevocably</w:t>
      </w:r>
    </w:p>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72" w:name="page473"/>
    <w:bookmarkEnd w:id="472"/>
    <w:p>
      <w:pPr>
        <w:jc w:val="both"/>
        <w:ind w:left="1980" w:right="1239"/>
        <w:spacing w:after="0" w:line="254" w:lineRule="auto"/>
        <w:rPr>
          <w:sz w:val="20"/>
          <w:szCs w:val="20"/>
          <w:color w:val="auto"/>
        </w:rPr>
      </w:pPr>
      <w:r>
        <w:rPr>
          <w:rFonts w:ascii="Times New Roman" w:cs="Times New Roman" w:eastAsia="Times New Roman" w:hAnsi="Times New Roman"/>
          <w:sz w:val="15"/>
          <w:szCs w:val="15"/>
          <w:color w:val="auto"/>
        </w:rPr>
        <w:t>agrees never to institute any claim against the Company, any of its Parent, Subsidiaries, Affiliates or the Employer, waives his or her ability, if any, to bring any such claim, and releases the Company, any of its Parent, Subsidiaries, Affiliates and the Employer from any such claim; if, notwithstanding the foregoing, any such claim is allowed by a court of competent jurisdiction, then, by participating in the Plan, Optionee shall be deemed irrevocably to have agreed not to pursue such claim and agree to execute any and all documents necessary to request dismissal or withdrawal of such claim;</w:t>
      </w:r>
    </w:p>
    <w:p>
      <w:pPr>
        <w:spacing w:after="0" w:line="141" w:lineRule="exact"/>
        <w:rPr>
          <w:sz w:val="20"/>
          <w:szCs w:val="20"/>
          <w:color w:val="auto"/>
        </w:rPr>
      </w:pPr>
    </w:p>
    <w:p>
      <w:pPr>
        <w:jc w:val="both"/>
        <w:ind w:left="1980" w:right="1239" w:hanging="251"/>
        <w:spacing w:after="0" w:line="250" w:lineRule="auto"/>
        <w:tabs>
          <w:tab w:leader="none" w:pos="1980"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the Option, Optionee’s service will be considered Terminated as of the date Optionee is no longer actively providing services to the Company or any of its Parent, Subsidiaries, the Employer or Affiliates (regardless of the reason for such Termination and whether or not later found to be invalid or in breach of employment laws in the jurisdiction where Optionee is employed or the terms of Optionee’s employment agreement, if any), and unless otherwise expressly provided in this Agreement or determined by the Company, (i) Optionee’s right to vest in the Option under the Plan, if any, will terminate as of such date and will not be extended by any notice period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Optionee’s period of service would not include any contractual notice period or any period of “garden leave” or similar period mandated under employment laws in the jurisdiction where Optionee is employed or the terms of Optionee’s employment agreement, if any, unless the Optionee actually actively performs services during all or part of any such period); and (ii) the period (if any) during which Optionee may exercise the Option after such termination of Optionee’s service will commence on the date Optionee ceases to actively provide services and will not be extended by any notice period mandated under employment laws in the jurisdiction where Optionee is employed or terms of Optionee’s employment agreement, if any; the Committee shall have the exclusive discretion to determine when Optionee is no longer actively providing services for purposes of his or her Option grant (including whether Optionee may still be considered to be providing services while on a leave of absence);</w:t>
      </w:r>
    </w:p>
    <w:p>
      <w:pPr>
        <w:spacing w:after="0" w:line="149" w:lineRule="exact"/>
        <w:rPr>
          <w:rFonts w:ascii="Times New Roman" w:cs="Times New Roman" w:eastAsia="Times New Roman" w:hAnsi="Times New Roman"/>
          <w:sz w:val="15"/>
          <w:szCs w:val="15"/>
          <w:color w:val="auto"/>
        </w:rPr>
      </w:pPr>
    </w:p>
    <w:p>
      <w:pPr>
        <w:jc w:val="both"/>
        <w:ind w:left="1980" w:right="1239" w:hanging="251"/>
        <w:spacing w:after="0" w:line="257" w:lineRule="auto"/>
        <w:tabs>
          <w:tab w:leader="none" w:pos="1980"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of the Company;</w:t>
      </w:r>
    </w:p>
    <w:p>
      <w:pPr>
        <w:spacing w:after="0" w:line="138" w:lineRule="exact"/>
        <w:rPr>
          <w:rFonts w:ascii="Times New Roman" w:cs="Times New Roman" w:eastAsia="Times New Roman" w:hAnsi="Times New Roman"/>
          <w:sz w:val="15"/>
          <w:szCs w:val="15"/>
          <w:color w:val="auto"/>
        </w:rPr>
      </w:pPr>
    </w:p>
    <w:p>
      <w:pPr>
        <w:ind w:left="1980" w:right="1239" w:hanging="251"/>
        <w:spacing w:after="0" w:line="285" w:lineRule="auto"/>
        <w:tabs>
          <w:tab w:leader="none" w:pos="1980"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and the Shares subject to the Option are not part of normal or expected compensation or salary for any purpose; and</w:t>
      </w:r>
    </w:p>
    <w:p>
      <w:pPr>
        <w:spacing w:after="0" w:line="115" w:lineRule="exact"/>
        <w:rPr>
          <w:rFonts w:ascii="Times New Roman" w:cs="Times New Roman" w:eastAsia="Times New Roman" w:hAnsi="Times New Roman"/>
          <w:sz w:val="15"/>
          <w:szCs w:val="15"/>
          <w:color w:val="auto"/>
        </w:rPr>
      </w:pPr>
    </w:p>
    <w:p>
      <w:pPr>
        <w:jc w:val="both"/>
        <w:ind w:left="1980" w:right="1239" w:hanging="251"/>
        <w:spacing w:after="0" w:line="259" w:lineRule="auto"/>
        <w:tabs>
          <w:tab w:leader="none" w:pos="1980"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the Employer nor any Subsidiary, Parent or Affiliate shall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spacing w:after="0" w:line="31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i w:val="1"/>
          <w:iCs w:val="1"/>
          <w:color w:val="auto"/>
        </w:rPr>
        <w:t>Notifications</w:t>
      </w:r>
    </w:p>
    <w:p>
      <w:pPr>
        <w:spacing w:after="0" w:line="178" w:lineRule="exact"/>
        <w:rPr>
          <w:sz w:val="20"/>
          <w:szCs w:val="20"/>
          <w:color w:val="auto"/>
        </w:rPr>
      </w:pPr>
    </w:p>
    <w:p>
      <w:pPr>
        <w:jc w:val="both"/>
        <w:ind w:left="1220" w:right="1239" w:firstLine="505"/>
        <w:spacing w:after="0" w:line="254" w:lineRule="auto"/>
        <w:rPr>
          <w:sz w:val="20"/>
          <w:szCs w:val="20"/>
          <w:color w:val="auto"/>
        </w:rPr>
      </w:pPr>
      <w:r>
        <w:rPr>
          <w:rFonts w:ascii="Times New Roman" w:cs="Times New Roman" w:eastAsia="Times New Roman" w:hAnsi="Times New Roman"/>
          <w:sz w:val="15"/>
          <w:szCs w:val="15"/>
          <w:color w:val="auto"/>
        </w:rPr>
        <w:t>This Annex B also includes information regarding exchange controls and certain other issues of which Optionee should be aware with respect to Optionee’s participation in the Plan. The information is provided solely for the convenience of Optionee and is based on the laws in effect in the respective countries as of the dates set forth below. Such laws are often complex and change frequently. As a result, the Company strongly recommends that Optionee not rely on the information noted herein as the only source of information relating to the consequences of Optionee’s participation in the Plan because the information may be out of date by the time Optionee vests in or exercises this Option or sells any exercised Shares.</w:t>
      </w:r>
    </w:p>
    <w:p>
      <w:pPr>
        <w:spacing w:after="0" w:line="200" w:lineRule="exact"/>
        <w:rPr>
          <w:sz w:val="20"/>
          <w:szCs w:val="20"/>
          <w:color w:val="auto"/>
        </w:rPr>
      </w:pPr>
    </w:p>
    <w:p>
      <w:pPr>
        <w:spacing w:after="0" w:line="27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73" w:name="page474"/>
    <w:bookmarkEnd w:id="473"/>
    <w:p>
      <w:pPr>
        <w:jc w:val="both"/>
        <w:ind w:left="1220" w:right="1239" w:firstLine="505"/>
        <w:spacing w:after="0" w:line="256" w:lineRule="auto"/>
        <w:rPr>
          <w:sz w:val="20"/>
          <w:szCs w:val="20"/>
          <w:color w:val="auto"/>
        </w:rPr>
      </w:pPr>
      <w:r>
        <w:rPr>
          <w:rFonts w:ascii="Times New Roman" w:cs="Times New Roman" w:eastAsia="Times New Roman" w:hAnsi="Times New Roman"/>
          <w:sz w:val="15"/>
          <w:szCs w:val="15"/>
          <w:color w:val="auto"/>
        </w:rPr>
        <w:t>Optionee is responsible for complying with all applicable tax, foreign asset reporting and/or exchange control rules that may apply in connection with participation in the Plan and/or the transfer of proceeds acquired thereunder. Prior to exercise of the Options or transfer of funds from or into Optionee’s country, Optionee should consult the local bank and/or Optionee’s exchange control advisor, as interpretations of the applicable regulations may vary; additionally, exchange control rules and regulations are subject to change without notice.</w:t>
      </w:r>
    </w:p>
    <w:p>
      <w:pPr>
        <w:spacing w:after="0" w:line="137"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In addition, the information contained in this Annex B is general in nature and may not apply to Optionee’s particular situation, and the Company is not in a position to assure Optionee of any particular result. Accordingly, Optionee is advised to seek appropriate professional advice as to how the applicable laws in his or her country may apply to his or her situation.</w:t>
      </w:r>
    </w:p>
    <w:p>
      <w:pPr>
        <w:spacing w:after="0" w:line="133"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Finally, Optionee understands that if he or she is a citizen or resident of a country other than the one in which he or she is currently residing and/or working, transfers to another country after the Date of Grant, or is considered a resident of another country for local law purposes, the notifications contained herein may not be applicable to Optionee in the same manner.</w:t>
      </w:r>
    </w:p>
    <w:p>
      <w:pPr>
        <w:spacing w:after="0" w:line="2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74" w:name="page475"/>
    <w:bookmarkEnd w:id="474"/>
    <w:p>
      <w:pPr>
        <w:ind w:left="2940"/>
        <w:spacing w:after="0"/>
        <w:rPr>
          <w:sz w:val="20"/>
          <w:szCs w:val="20"/>
          <w:color w:val="auto"/>
        </w:rPr>
      </w:pPr>
      <w:r>
        <w:rPr>
          <w:rFonts w:ascii="Times New Roman" w:cs="Times New Roman" w:eastAsia="Times New Roman" w:hAnsi="Times New Roman"/>
          <w:sz w:val="15"/>
          <w:szCs w:val="15"/>
          <w:b w:val="1"/>
          <w:bCs w:val="1"/>
          <w:u w:val="single" w:color="auto"/>
          <w:color w:val="auto"/>
        </w:rPr>
        <w:t>UNITED KINGDOM (AS OF JANUARY 2022)</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i w:val="1"/>
          <w:iCs w:val="1"/>
          <w:color w:val="auto"/>
        </w:rPr>
        <w:t>Terms and Conditions</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u w:val="single" w:color="auto"/>
          <w:color w:val="auto"/>
        </w:rPr>
        <w:t>Tax Obligations</w:t>
      </w:r>
      <w:r>
        <w:rPr>
          <w:rFonts w:ascii="Times New Roman" w:cs="Times New Roman" w:eastAsia="Times New Roman" w:hAnsi="Times New Roman"/>
          <w:sz w:val="15"/>
          <w:szCs w:val="15"/>
          <w:color w:val="auto"/>
        </w:rPr>
        <w:t>. The following provision supplements Sections 4.4 and 14 of this Agreement:</w:t>
      </w:r>
    </w:p>
    <w:p>
      <w:pPr>
        <w:spacing w:after="0" w:line="178" w:lineRule="exact"/>
        <w:rPr>
          <w:sz w:val="20"/>
          <w:szCs w:val="20"/>
          <w:color w:val="auto"/>
        </w:rPr>
      </w:pPr>
    </w:p>
    <w:p>
      <w:pPr>
        <w:jc w:val="both"/>
        <w:ind w:left="1220" w:right="1239" w:firstLine="505"/>
        <w:spacing w:after="0" w:line="251" w:lineRule="auto"/>
        <w:rPr>
          <w:sz w:val="20"/>
          <w:szCs w:val="20"/>
          <w:color w:val="auto"/>
        </w:rPr>
      </w:pPr>
      <w:r>
        <w:rPr>
          <w:rFonts w:ascii="Times New Roman" w:cs="Times New Roman" w:eastAsia="Times New Roman" w:hAnsi="Times New Roman"/>
          <w:sz w:val="15"/>
          <w:szCs w:val="15"/>
          <w:color w:val="auto"/>
        </w:rPr>
        <w:t>Tax-Related Items shall include Primary and to the extent legally possible secondary class 1 National Insurance Contributions. Optionee agrees that the Company or Optionee’s Employer may calculate the Tax-Related Items to be withheld and accounted for by reference to the maximum applicable rates, without prejudice to any right Optionee may have to recover any overpayment from relevant U.K. tax authorities. Optionee understands and agrees that if payment or withholding of any income tax liability arising in connection with Optionee’s participation in the Plan is not made by Optionee to Optionee’s Employer within 90 days of the event giving rise to such income tax liability or such other period specified in Section 222(1)I of the U.K. Income Tax (Earnings and Pensions) Act 2003 (the “</w:t>
      </w:r>
      <w:r>
        <w:rPr>
          <w:rFonts w:ascii="Times New Roman" w:cs="Times New Roman" w:eastAsia="Times New Roman" w:hAnsi="Times New Roman"/>
          <w:sz w:val="15"/>
          <w:szCs w:val="15"/>
          <w:b w:val="1"/>
          <w:bCs w:val="1"/>
          <w:i w:val="1"/>
          <w:iCs w:val="1"/>
          <w:color w:val="auto"/>
        </w:rPr>
        <w:t>Due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Date</w:t>
      </w:r>
      <w:r>
        <w:rPr>
          <w:rFonts w:ascii="Times New Roman" w:cs="Times New Roman" w:eastAsia="Times New Roman" w:hAnsi="Times New Roman"/>
          <w:sz w:val="15"/>
          <w:szCs w:val="15"/>
          <w:color w:val="auto"/>
        </w:rPr>
        <w:t>”), that the amount of any uncollected income tax will constitute a loan owed by Optionee to</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Optionee’s Employer, effective on the Due Date. Optionee understands and agrees that the loan will bear interest at the then-current official rate of Her Majesty’s Revenue and Customs, it will be immediately due and repayable by Optionee, and the Company and/or Optionee’s Employer may recover it at any time thereafter by any of the means referred to in the Plan and/or this Agreement.</w:t>
      </w:r>
    </w:p>
    <w:p>
      <w:pPr>
        <w:spacing w:after="0" w:line="146" w:lineRule="exact"/>
        <w:rPr>
          <w:sz w:val="20"/>
          <w:szCs w:val="20"/>
          <w:color w:val="auto"/>
        </w:rPr>
      </w:pPr>
    </w:p>
    <w:p>
      <w:pPr>
        <w:jc w:val="both"/>
        <w:ind w:left="1220" w:right="1239" w:firstLine="505"/>
        <w:spacing w:after="0" w:line="251" w:lineRule="auto"/>
        <w:rPr>
          <w:sz w:val="20"/>
          <w:szCs w:val="20"/>
          <w:color w:val="auto"/>
        </w:rPr>
      </w:pPr>
      <w:r>
        <w:rPr>
          <w:rFonts w:ascii="Times New Roman" w:cs="Times New Roman" w:eastAsia="Times New Roman" w:hAnsi="Times New Roman"/>
          <w:sz w:val="15"/>
          <w:szCs w:val="15"/>
          <w:color w:val="auto"/>
        </w:rPr>
        <w:t>Notwithstanding the foregoing, Optionee understands and agrees that if Optionee is a director or an executive officer of the Company (within the meaning of such terms for purposes of Section 13(k) of the U.S. Securities and Exchange Act of 1934, as amended), Optionee will not be eligible for such a loan to cover the income tax liability. Optionee further understands that, in the event that he or she is such a director or executive officer and the income tax is not collected from or paid by Optionee by the Due Date, the amount of any uncollected income tax will constitute an additional benefit to Optionee on which additional income tax and National Insurance Contributions will be payable. Optionee understands and agree that he or she is responsible for reporting and paying any income tax due on this additional benefit directly to Her Majesty’s Revenue and Customs under the self-assessment regime and for reimbursing the Company or Optionee’s Employer (as appropriate) for the value of any primary and (to the extent legally possible) secondary class 1 National Insurance Contributions due on this additional benefit which the Company or Optionee’s Employer may recover from Optionee by any of the means referred to in the Plan and/or this Agreement.</w:t>
      </w:r>
    </w:p>
    <w:p>
      <w:pPr>
        <w:spacing w:after="0" w:line="146"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At the discretion of the Company, the Option cannot be settled until Optionee has entered into an election with the Company (or Optionee’s Employer) (as appropriate) in a form approved by the Company and Her Majesty’s Revenue &amp; Customs:</w:t>
      </w:r>
    </w:p>
    <w:p>
      <w:pPr>
        <w:spacing w:after="0" w:line="129" w:lineRule="exact"/>
        <w:rPr>
          <w:sz w:val="20"/>
          <w:szCs w:val="20"/>
          <w:color w:val="auto"/>
        </w:rPr>
      </w:pPr>
    </w:p>
    <w:p>
      <w:pPr>
        <w:jc w:val="both"/>
        <w:ind w:left="1220" w:right="1239" w:firstLine="1518"/>
        <w:spacing w:after="0" w:line="256" w:lineRule="auto"/>
        <w:tabs>
          <w:tab w:leader="none" w:pos="3118" w:val="left"/>
        </w:tabs>
        <w:numPr>
          <w:ilvl w:val="0"/>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treat any liability of the Company and/or the Employer for employer’s National Insurance Contributions arising in respect of the granting, exercise, settlement of or other dealing in the Option, or the acquisition of Shares on the settlement of the Option, as transferred to and met by Optionee pursuant to Paragraph 3B(1) of Schedule 1 of the Social Security Contributions and Benefits Act 1992 (“</w:t>
      </w:r>
      <w:r>
        <w:rPr>
          <w:rFonts w:ascii="Times New Roman" w:cs="Times New Roman" w:eastAsia="Times New Roman" w:hAnsi="Times New Roman"/>
          <w:sz w:val="15"/>
          <w:szCs w:val="15"/>
          <w:b w:val="1"/>
          <w:bCs w:val="1"/>
          <w:i w:val="1"/>
          <w:iCs w:val="1"/>
          <w:color w:val="auto"/>
        </w:rPr>
        <w:t>Joint Election to Transfer UK Employer’s National Insurance Contributions</w:t>
      </w:r>
      <w:r>
        <w:rPr>
          <w:rFonts w:ascii="Times New Roman" w:cs="Times New Roman" w:eastAsia="Times New Roman" w:hAnsi="Times New Roman"/>
          <w:sz w:val="15"/>
          <w:szCs w:val="15"/>
          <w:color w:val="auto"/>
        </w:rPr>
        <w:t>”); and/or</w:t>
      </w:r>
    </w:p>
    <w:p>
      <w:pPr>
        <w:spacing w:after="0" w:line="320" w:lineRule="exact"/>
        <w:rPr>
          <w:rFonts w:ascii="Times New Roman" w:cs="Times New Roman" w:eastAsia="Times New Roman" w:hAnsi="Times New Roman"/>
          <w:sz w:val="15"/>
          <w:szCs w:val="15"/>
          <w:color w:val="auto"/>
        </w:rPr>
      </w:pPr>
    </w:p>
    <w:p>
      <w:pPr>
        <w:jc w:val="both"/>
        <w:ind w:left="1220" w:right="1239" w:firstLine="1518"/>
        <w:spacing w:after="0" w:line="261" w:lineRule="auto"/>
        <w:tabs>
          <w:tab w:leader="none" w:pos="3102" w:val="left"/>
        </w:tabs>
        <w:numPr>
          <w:ilvl w:val="0"/>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treat the Shares acquired at Option exercise and their market value as if they were not restricted securities for the relevant income tax and National Insurance Contribution purposes pursuant section 431(1) of the Income Tax (Earnings and Pensions Act) 2003 (a “</w:t>
      </w:r>
      <w:r>
        <w:rPr>
          <w:rFonts w:ascii="Times New Roman" w:cs="Times New Roman" w:eastAsia="Times New Roman" w:hAnsi="Times New Roman"/>
          <w:sz w:val="15"/>
          <w:szCs w:val="15"/>
          <w:b w:val="1"/>
          <w:bCs w:val="1"/>
          <w:i w:val="1"/>
          <w:iCs w:val="1"/>
          <w:color w:val="auto"/>
        </w:rPr>
        <w:t>Joint Election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under s431</w:t>
      </w:r>
      <w:r>
        <w:rPr>
          <w:rFonts w:ascii="Times New Roman" w:cs="Times New Roman" w:eastAsia="Times New Roman" w:hAnsi="Times New Roman"/>
          <w:sz w:val="15"/>
          <w:szCs w:val="15"/>
          <w:color w:val="auto"/>
        </w:rPr>
        <w:t>”).</w:t>
      </w:r>
    </w:p>
    <w:p>
      <w:pPr>
        <w:spacing w:after="0" w:line="2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75" w:name="page476"/>
    <w:bookmarkEnd w:id="475"/>
    <w:p>
      <w:pPr>
        <w:ind w:left="6080"/>
        <w:spacing w:after="0"/>
        <w:rPr>
          <w:sz w:val="20"/>
          <w:szCs w:val="20"/>
          <w:color w:val="auto"/>
        </w:rPr>
      </w:pPr>
      <w:r>
        <w:rPr>
          <w:rFonts w:ascii="Times New Roman" w:cs="Times New Roman" w:eastAsia="Times New Roman" w:hAnsi="Times New Roman"/>
          <w:sz w:val="15"/>
          <w:szCs w:val="15"/>
          <w:b w:val="1"/>
          <w:bCs w:val="1"/>
          <w:i w:val="1"/>
          <w:iCs w:val="1"/>
          <w:color w:val="auto"/>
        </w:rPr>
        <w:t>OPTION GRANT NO</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b w:val="1"/>
          <w:bCs w:val="1"/>
          <w:u w:val="single" w:color="auto"/>
          <w:color w:val="auto"/>
        </w:rPr>
        <w:t>___</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NOTICE OF STOCK OPTION GRANT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valyn</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harma</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firstLine="505"/>
        <w:spacing w:after="0" w:line="259" w:lineRule="auto"/>
        <w:rPr>
          <w:sz w:val="20"/>
          <w:szCs w:val="20"/>
          <w:color w:val="auto"/>
        </w:rPr>
      </w:pPr>
      <w:r>
        <w:rPr>
          <w:rFonts w:ascii="Times New Roman" w:cs="Times New Roman" w:eastAsia="Times New Roman" w:hAnsi="Times New Roman"/>
          <w:sz w:val="15"/>
          <w:szCs w:val="15"/>
          <w:color w:val="auto"/>
        </w:rPr>
        <w:t>The Optionee named below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color w:val="auto"/>
        </w:rPr>
        <w:t>”) has been granted an option (this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to purchase shares of Common Stock, $0.001 par value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of Avalyn Pharma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pursuant to the Company’s 2022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xml:space="preserve">”) on the terms, and subject to the conditions, described below and in the Stock Option Agreement attached hereto as </w:t>
      </w:r>
      <w:r>
        <w:rPr>
          <w:rFonts w:ascii="Times New Roman" w:cs="Times New Roman" w:eastAsia="Times New Roman" w:hAnsi="Times New Roman"/>
          <w:sz w:val="15"/>
          <w:szCs w:val="15"/>
          <w:b w:val="1"/>
          <w:bCs w:val="1"/>
          <w:u w:val="single" w:color="auto"/>
          <w:color w:val="auto"/>
        </w:rPr>
        <w:t>Exhibit A</w:t>
      </w:r>
      <w:r>
        <w:rPr>
          <w:rFonts w:ascii="Times New Roman" w:cs="Times New Roman" w:eastAsia="Times New Roman" w:hAnsi="Times New Roman"/>
          <w:sz w:val="15"/>
          <w:szCs w:val="15"/>
          <w:color w:val="auto"/>
        </w:rPr>
        <w:t>, including its annexes (the “</w:t>
      </w:r>
      <w:r>
        <w:rPr>
          <w:rFonts w:ascii="Times New Roman" w:cs="Times New Roman" w:eastAsia="Times New Roman" w:hAnsi="Times New Roman"/>
          <w:sz w:val="15"/>
          <w:szCs w:val="15"/>
          <w:b w:val="1"/>
          <w:bCs w:val="1"/>
          <w:i w:val="1"/>
          <w:iCs w:val="1"/>
          <w:color w:val="auto"/>
        </w:rPr>
        <w:t>Stock Option Agreement</w:t>
      </w:r>
      <w:r>
        <w:rPr>
          <w:rFonts w:ascii="Times New Roman" w:cs="Times New Roman" w:eastAsia="Times New Roman" w:hAnsi="Times New Roman"/>
          <w:sz w:val="15"/>
          <w:szCs w:val="15"/>
          <w:color w:val="auto"/>
        </w:rPr>
        <w:t>”).</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Optionee:</w:t>
      </w:r>
    </w:p>
    <w:p>
      <w:pPr>
        <w:spacing w:after="0" w:line="9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Maximum Number of Shares Subject</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to this Option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b w:val="1"/>
          <w:bCs w:val="1"/>
          <w:color w:val="auto"/>
        </w:rPr>
        <w:t>”):</w:t>
      </w:r>
    </w:p>
    <w:p>
      <w:pPr>
        <w:spacing w:after="0" w:line="70" w:lineRule="exact"/>
        <w:rPr>
          <w:sz w:val="20"/>
          <w:szCs w:val="20"/>
          <w:color w:val="auto"/>
        </w:rPr>
      </w:pPr>
    </w:p>
    <w:tbl>
      <w:tblPr>
        <w:tblLayout w:type="fixed"/>
        <w:tblInd w:w="200" w:type="dxa"/>
        <w:tblCellMar>
          <w:top w:w="0" w:type="dxa"/>
          <w:left w:w="0" w:type="dxa"/>
          <w:bottom w:w="0" w:type="dxa"/>
          <w:right w:w="0" w:type="dxa"/>
        </w:tblCellMar>
      </w:tblPr>
      <w:tr>
        <w:trPr>
          <w:trHeight w:val="203"/>
        </w:trPr>
        <w:tc>
          <w:tcPr>
            <w:tcW w:w="31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Exercise Price Per Share:</w:t>
            </w: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$____ per share</w:t>
            </w:r>
          </w:p>
        </w:tc>
      </w:tr>
      <w:tr>
        <w:trPr>
          <w:trHeight w:val="263"/>
        </w:trPr>
        <w:tc>
          <w:tcPr>
            <w:tcW w:w="31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Date of Grant:</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63"/>
        </w:trPr>
        <w:tc>
          <w:tcPr>
            <w:tcW w:w="31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Vesting Start Date:</w:t>
            </w:r>
          </w:p>
        </w:tc>
        <w:tc>
          <w:tcPr>
            <w:tcW w:w="6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40" w:type="dxa"/>
            <w:vAlign w:val="bottom"/>
          </w:tcPr>
          <w:p>
            <w:pPr>
              <w:spacing w:after="0"/>
              <w:rPr>
                <w:sz w:val="22"/>
                <w:szCs w:val="22"/>
                <w:color w:val="auto"/>
              </w:rPr>
            </w:pPr>
          </w:p>
        </w:tc>
      </w:tr>
      <w:tr>
        <w:trPr>
          <w:trHeight w:val="242"/>
        </w:trPr>
        <w:tc>
          <w:tcPr>
            <w:tcW w:w="31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Exercise Schedule:</w:t>
            </w: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This Option will become exercisable during its term with respect</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to portions of the Shares in accordance with the Vesting Schedule</w:t>
            </w:r>
          </w:p>
        </w:tc>
      </w:tr>
      <w:tr>
        <w:trPr>
          <w:trHeight w:val="199"/>
        </w:trPr>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set forth below.</w:t>
            </w:r>
          </w:p>
        </w:tc>
      </w:tr>
      <w:tr>
        <w:trPr>
          <w:trHeight w:val="242"/>
        </w:trPr>
        <w:tc>
          <w:tcPr>
            <w:tcW w:w="31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Expiration Date:</w:t>
            </w: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The date ten (10) years after the Date of Grant set forth above,</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subject to earlier expiration in the event of Termination as</w:t>
            </w:r>
          </w:p>
        </w:tc>
      </w:tr>
      <w:tr>
        <w:trPr>
          <w:trHeight w:val="199"/>
        </w:trPr>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provided in Section 3 of the Stock Option Agreement.</w:t>
            </w:r>
          </w:p>
        </w:tc>
      </w:tr>
      <w:tr>
        <w:trPr>
          <w:trHeight w:val="238"/>
        </w:trPr>
        <w:tc>
          <w:tcPr>
            <w:tcW w:w="31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Tax Status of Option:</w:t>
            </w:r>
          </w:p>
        </w:tc>
        <w:tc>
          <w:tcPr>
            <w:tcW w:w="5480" w:type="dxa"/>
            <w:vAlign w:val="bottom"/>
            <w:gridSpan w:val="3"/>
          </w:tcPr>
          <w:p>
            <w:pPr>
              <w:ind w:left="460"/>
              <w:spacing w:after="0"/>
              <w:rPr>
                <w:sz w:val="20"/>
                <w:szCs w:val="20"/>
                <w:color w:val="auto"/>
              </w:rPr>
            </w:pPr>
            <w:r>
              <w:rPr>
                <w:rFonts w:ascii="Times New Roman" w:cs="Times New Roman" w:eastAsia="Times New Roman" w:hAnsi="Times New Roman"/>
                <w:sz w:val="15"/>
                <w:szCs w:val="15"/>
                <w:color w:val="auto"/>
              </w:rPr>
              <w:t>Incentive Stock Option (</w:t>
            </w:r>
            <w:r>
              <w:rPr>
                <w:rFonts w:ascii="Times New Roman" w:cs="Times New Roman" w:eastAsia="Times New Roman" w:hAnsi="Times New Roman"/>
                <w:sz w:val="15"/>
                <w:szCs w:val="15"/>
                <w:i w:val="1"/>
                <w:iCs w:val="1"/>
                <w:color w:val="auto"/>
              </w:rPr>
              <w:t>To the fullest extent permitted by the</w:t>
            </w:r>
          </w:p>
        </w:tc>
      </w:tr>
      <w:tr>
        <w:trPr>
          <w:trHeight w:val="168"/>
        </w:trPr>
        <w:tc>
          <w:tcPr>
            <w:tcW w:w="3120" w:type="dxa"/>
            <w:vAlign w:val="bottom"/>
            <w:gridSpan w:val="3"/>
          </w:tcPr>
          <w:p>
            <w:pPr>
              <w:ind w:left="1020"/>
              <w:spacing w:after="0" w:line="168" w:lineRule="exact"/>
              <w:rPr>
                <w:sz w:val="20"/>
                <w:szCs w:val="20"/>
                <w:color w:val="auto"/>
              </w:rPr>
            </w:pPr>
            <w:r>
              <w:rPr>
                <w:rFonts w:ascii="Times New Roman" w:cs="Times New Roman" w:eastAsia="Times New Roman" w:hAnsi="Times New Roman"/>
                <w:sz w:val="15"/>
                <w:szCs w:val="15"/>
                <w:color w:val="auto"/>
              </w:rPr>
              <w:t xml:space="preserve">(Check </w:t>
            </w:r>
            <w:r>
              <w:rPr>
                <w:rFonts w:ascii="Times New Roman" w:cs="Times New Roman" w:eastAsia="Times New Roman" w:hAnsi="Times New Roman"/>
                <w:sz w:val="15"/>
                <w:szCs w:val="15"/>
                <w:i w:val="1"/>
                <w:iCs w:val="1"/>
                <w:color w:val="auto"/>
              </w:rPr>
              <w:t>Only</w:t>
            </w:r>
            <w:r>
              <w:rPr>
                <w:rFonts w:ascii="Times New Roman" w:cs="Times New Roman" w:eastAsia="Times New Roman" w:hAnsi="Times New Roman"/>
                <w:sz w:val="15"/>
                <w:szCs w:val="15"/>
                <w:color w:val="auto"/>
              </w:rPr>
              <w:t xml:space="preserve"> One Box):</w:t>
            </w:r>
          </w:p>
        </w:tc>
        <w:tc>
          <w:tcPr>
            <w:tcW w:w="5480" w:type="dxa"/>
            <w:vAlign w:val="bottom"/>
            <w:gridSpan w:val="3"/>
          </w:tcPr>
          <w:p>
            <w:pPr>
              <w:ind w:left="400"/>
              <w:spacing w:after="0" w:line="168" w:lineRule="exact"/>
              <w:rPr>
                <w:sz w:val="20"/>
                <w:szCs w:val="20"/>
                <w:color w:val="auto"/>
              </w:rPr>
            </w:pPr>
            <w:r>
              <w:rPr>
                <w:rFonts w:ascii="Times New Roman" w:cs="Times New Roman" w:eastAsia="Times New Roman" w:hAnsi="Times New Roman"/>
                <w:sz w:val="15"/>
                <w:szCs w:val="15"/>
                <w:i w:val="1"/>
                <w:iCs w:val="1"/>
                <w:color w:val="auto"/>
              </w:rPr>
              <w:t>Code</w:t>
            </w:r>
            <w:r>
              <w:rPr>
                <w:rFonts w:ascii="Times New Roman" w:cs="Times New Roman" w:eastAsia="Times New Roman" w:hAnsi="Times New Roman"/>
                <w:sz w:val="15"/>
                <w:szCs w:val="15"/>
                <w:color w:val="auto"/>
              </w:rPr>
              <w:t>)</w:t>
            </w:r>
          </w:p>
        </w:tc>
      </w:tr>
      <w:tr>
        <w:trPr>
          <w:trHeight w:val="170"/>
        </w:trPr>
        <w:tc>
          <w:tcPr>
            <w:tcW w:w="15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320" w:type="dxa"/>
            <w:vAlign w:val="bottom"/>
          </w:tcPr>
          <w:p>
            <w:pPr>
              <w:spacing w:after="0"/>
              <w:rPr>
                <w:sz w:val="14"/>
                <w:szCs w:val="14"/>
                <w:color w:val="auto"/>
              </w:rPr>
            </w:pPr>
          </w:p>
        </w:tc>
        <w:tc>
          <w:tcPr>
            <w:tcW w:w="5480" w:type="dxa"/>
            <w:vAlign w:val="bottom"/>
            <w:gridSpan w:val="3"/>
          </w:tcPr>
          <w:p>
            <w:pPr>
              <w:ind w:left="440"/>
              <w:spacing w:after="0" w:line="169" w:lineRule="exact"/>
              <w:rPr>
                <w:sz w:val="20"/>
                <w:szCs w:val="20"/>
                <w:color w:val="auto"/>
              </w:rPr>
            </w:pPr>
            <w:r>
              <w:rPr>
                <w:rFonts w:ascii="Times New Roman" w:cs="Times New Roman" w:eastAsia="Times New Roman" w:hAnsi="Times New Roman"/>
                <w:sz w:val="15"/>
                <w:szCs w:val="15"/>
                <w:color w:val="auto"/>
              </w:rPr>
              <w:t>Nonqualified Stock Option.</w:t>
            </w:r>
          </w:p>
        </w:tc>
      </w:tr>
      <w:tr>
        <w:trPr>
          <w:trHeight w:val="168"/>
        </w:trPr>
        <w:tc>
          <w:tcPr>
            <w:tcW w:w="1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480" w:type="dxa"/>
            <w:vAlign w:val="bottom"/>
            <w:gridSpan w:val="3"/>
          </w:tcPr>
          <w:p>
            <w:pPr>
              <w:ind w:left="400"/>
              <w:spacing w:after="0" w:line="168" w:lineRule="exact"/>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If neither box is checked, this Option is a Nonqualified Stock</w:t>
            </w:r>
          </w:p>
        </w:tc>
      </w:tr>
      <w:tr>
        <w:trPr>
          <w:trHeight w:val="20"/>
        </w:trPr>
        <w:tc>
          <w:tcPr>
            <w:tcW w:w="1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r>
      <w:tr>
        <w:trPr>
          <w:trHeight w:val="194"/>
        </w:trPr>
        <w:tc>
          <w:tcPr>
            <w:tcW w:w="1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i w:val="1"/>
                <w:iCs w:val="1"/>
                <w:color w:val="auto"/>
              </w:rPr>
              <w:t>Option</w:t>
            </w:r>
            <w:r>
              <w:rPr>
                <w:rFonts w:ascii="Times New Roman" w:cs="Times New Roman" w:eastAsia="Times New Roman" w:hAnsi="Times New Roman"/>
                <w:sz w:val="15"/>
                <w:szCs w:val="15"/>
                <w:color w:val="auto"/>
              </w:rPr>
              <w:t>).</w:t>
            </w:r>
          </w:p>
        </w:tc>
      </w:tr>
      <w:tr>
        <w:trPr>
          <w:trHeight w:val="242"/>
        </w:trPr>
        <w:tc>
          <w:tcPr>
            <w:tcW w:w="3120" w:type="dxa"/>
            <w:vAlign w:val="bottom"/>
            <w:gridSpan w:val="3"/>
          </w:tcPr>
          <w:p>
            <w:pPr>
              <w:ind w:left="1020"/>
              <w:spacing w:after="0"/>
              <w:rPr>
                <w:sz w:val="20"/>
                <w:szCs w:val="20"/>
                <w:color w:val="auto"/>
              </w:rPr>
            </w:pPr>
            <w:r>
              <w:rPr>
                <w:rFonts w:ascii="Times New Roman" w:cs="Times New Roman" w:eastAsia="Times New Roman" w:hAnsi="Times New Roman"/>
                <w:sz w:val="15"/>
                <w:szCs w:val="15"/>
                <w:b w:val="1"/>
                <w:bCs w:val="1"/>
                <w:color w:val="auto"/>
              </w:rPr>
              <w:t>Vesting Schedule:</w:t>
            </w: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For so long as Optionee continuously provides services to the</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Company (or any Subsidiary or Parent of the Company) as an</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employee, officer, director, contractor or consultant, this Option</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will vest (that is, become exercisable) with respect to the Shares</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as follows:  (a) prior to the first one (1) year anniversary of the</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Vesting Start Date this Option will not be vested or exercisable</w:t>
            </w:r>
          </w:p>
        </w:tc>
      </w:tr>
      <w:tr>
        <w:trPr>
          <w:trHeight w:val="156"/>
        </w:trPr>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8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5"/>
                <w:szCs w:val="15"/>
                <w:color w:val="auto"/>
              </w:rPr>
              <w:t>as to any of the Shares; (b) this Option will become vested and</w:t>
            </w:r>
          </w:p>
        </w:tc>
      </w:tr>
      <w:tr>
        <w:trPr>
          <w:trHeight w:val="201"/>
        </w:trPr>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gridSpan w:val="3"/>
          </w:tcPr>
          <w:p>
            <w:pPr>
              <w:ind w:left="400"/>
              <w:spacing w:after="0" w:line="201" w:lineRule="exact"/>
              <w:rPr>
                <w:sz w:val="20"/>
                <w:szCs w:val="20"/>
                <w:color w:val="auto"/>
              </w:rPr>
            </w:pPr>
            <w:r>
              <w:rPr>
                <w:rFonts w:ascii="Times New Roman" w:cs="Times New Roman" w:eastAsia="Times New Roman" w:hAnsi="Times New Roman"/>
                <w:sz w:val="15"/>
                <w:szCs w:val="15"/>
                <w:color w:val="auto"/>
              </w:rPr>
              <w:t>exercisable with respect to 1/4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xml:space="preserve"> of the Shares on the one (1) year</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anniversary of the Vesting Start Date; and (c) thereafter, this</w:t>
            </w:r>
          </w:p>
        </w:tc>
      </w:tr>
      <w:tr>
        <w:trPr>
          <w:trHeight w:val="156"/>
        </w:trPr>
        <w:tc>
          <w:tcPr>
            <w:tcW w:w="1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5480" w:type="dxa"/>
            <w:vAlign w:val="bottom"/>
            <w:gridSpan w:val="3"/>
          </w:tcPr>
          <w:p>
            <w:pPr>
              <w:ind w:left="400"/>
              <w:spacing w:after="0" w:line="156" w:lineRule="exact"/>
              <w:rPr>
                <w:sz w:val="20"/>
                <w:szCs w:val="20"/>
                <w:color w:val="auto"/>
              </w:rPr>
            </w:pPr>
            <w:r>
              <w:rPr>
                <w:rFonts w:ascii="Times New Roman" w:cs="Times New Roman" w:eastAsia="Times New Roman" w:hAnsi="Times New Roman"/>
                <w:sz w:val="15"/>
                <w:szCs w:val="15"/>
                <w:color w:val="auto"/>
              </w:rPr>
              <w:t>Option will become vested and exercisable with respect to an</w:t>
            </w:r>
          </w:p>
        </w:tc>
      </w:tr>
      <w:tr>
        <w:trPr>
          <w:trHeight w:val="201"/>
        </w:trPr>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gridSpan w:val="3"/>
          </w:tcPr>
          <w:p>
            <w:pPr>
              <w:ind w:left="400"/>
              <w:spacing w:after="0" w:line="201" w:lineRule="exact"/>
              <w:rPr>
                <w:sz w:val="20"/>
                <w:szCs w:val="20"/>
                <w:color w:val="auto"/>
              </w:rPr>
            </w:pPr>
            <w:r>
              <w:rPr>
                <w:rFonts w:ascii="Times New Roman" w:cs="Times New Roman" w:eastAsia="Times New Roman" w:hAnsi="Times New Roman"/>
                <w:sz w:val="15"/>
                <w:szCs w:val="15"/>
                <w:color w:val="auto"/>
              </w:rPr>
              <w:t>additional 1/48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xml:space="preserve">  of the Shares when Optionee completes each</w:t>
            </w:r>
          </w:p>
        </w:tc>
      </w:tr>
      <w:tr>
        <w:trPr>
          <w:trHeight w:val="179"/>
        </w:trPr>
        <w:tc>
          <w:tcPr>
            <w:tcW w:w="1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month of continuous service  following the first one (1) year</w:t>
            </w:r>
          </w:p>
        </w:tc>
      </w:tr>
      <w:tr>
        <w:trPr>
          <w:trHeight w:val="199"/>
        </w:trPr>
        <w:tc>
          <w:tcPr>
            <w:tcW w:w="1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80" w:type="dxa"/>
            <w:vAlign w:val="bottom"/>
            <w:gridSpan w:val="3"/>
          </w:tcPr>
          <w:p>
            <w:pPr>
              <w:ind w:left="400"/>
              <w:spacing w:after="0"/>
              <w:rPr>
                <w:sz w:val="20"/>
                <w:szCs w:val="20"/>
                <w:color w:val="auto"/>
              </w:rPr>
            </w:pPr>
            <w:r>
              <w:rPr>
                <w:rFonts w:ascii="Times New Roman" w:cs="Times New Roman" w:eastAsia="Times New Roman" w:hAnsi="Times New Roman"/>
                <w:sz w:val="15"/>
                <w:szCs w:val="15"/>
                <w:color w:val="auto"/>
              </w:rPr>
              <w:t>anniversary of the Vesting Start Date.</w:t>
            </w:r>
          </w:p>
        </w:tc>
      </w:tr>
      <w:tr>
        <w:trPr>
          <w:trHeight w:val="757"/>
        </w:trPr>
        <w:tc>
          <w:tcPr>
            <w:tcW w:w="1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80" w:type="dxa"/>
            <w:vAlign w:val="bottom"/>
            <w:gridSpan w:val="3"/>
          </w:tcPr>
          <w:p>
            <w:pPr>
              <w:ind w:left="1280"/>
              <w:spacing w:after="0"/>
              <w:rPr>
                <w:sz w:val="20"/>
                <w:szCs w:val="20"/>
                <w:color w:val="auto"/>
              </w:rPr>
            </w:pPr>
            <w:r>
              <w:rPr>
                <w:rFonts w:ascii="Times New Roman" w:cs="Times New Roman" w:eastAsia="Times New Roman" w:hAnsi="Times New Roman"/>
                <w:sz w:val="15"/>
                <w:szCs w:val="15"/>
                <w:color w:val="auto"/>
              </w:rPr>
              <w:t>24</w:t>
            </w:r>
          </w:p>
        </w:tc>
      </w:tr>
      <w:tr>
        <w:trPr>
          <w:trHeight w:val="586"/>
        </w:trPr>
        <w:tc>
          <w:tcPr>
            <w:tcW w:w="15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76" w:name="page477"/>
    <w:bookmarkEnd w:id="476"/>
    <w:p>
      <w:pPr>
        <w:jc w:val="both"/>
        <w:ind w:left="1220" w:right="123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General; Agreement: </w:t>
      </w:r>
      <w:r>
        <w:rPr>
          <w:rFonts w:ascii="Times New Roman" w:cs="Times New Roman" w:eastAsia="Times New Roman" w:hAnsi="Times New Roman"/>
          <w:sz w:val="15"/>
          <w:szCs w:val="15"/>
          <w:color w:val="auto"/>
        </w:rPr>
        <w:t>By their signatures below, Optionee and the Company agree that this Option 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granted under and governed by this Notice of Stock Option Grant (this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and by the provisions of the Plan and the Stock Option Agreement. The Plan and the Stock Option Agreement are incorporated herein by reference. Capitalized terms used but not defined herein shall have the meanings given to them in the Plan or in the Stock Option Agreement, as applicable. By signing below, Optionee acknowledges receipt of a copy of this Grant Notice, the Plan and the Stock Option Agreement, represents that Optionee has carefully read and is familiar with their provisions, and hereby accepts the Option subject to all of their respective terms and conditions. Optionee acknowledges that there may be adverse tax consequences upon exercise of the Option or disposition of the Shares and that Optionee should consult a tax adviser prior to such exercise or disposition. Optionee agrees and acknowledges that the Vesting Schedule may change prospectively in the event that Optionee’s service status changes between full and part time status in accordance with Company policies relating to work schedules and vesting of equity awards.</w:t>
      </w:r>
    </w:p>
    <w:p>
      <w:pPr>
        <w:spacing w:after="0" w:line="318" w:lineRule="exact"/>
        <w:rPr>
          <w:sz w:val="20"/>
          <w:szCs w:val="20"/>
          <w:color w:val="auto"/>
        </w:rPr>
      </w:pPr>
    </w:p>
    <w:p>
      <w:pPr>
        <w:jc w:val="both"/>
        <w:ind w:left="1220" w:right="1239"/>
        <w:spacing w:after="0" w:line="253" w:lineRule="auto"/>
        <w:rPr>
          <w:sz w:val="20"/>
          <w:szCs w:val="20"/>
          <w:color w:val="auto"/>
        </w:rPr>
      </w:pPr>
      <w:r>
        <w:rPr>
          <w:rFonts w:ascii="Times New Roman" w:cs="Times New Roman" w:eastAsia="Times New Roman" w:hAnsi="Times New Roman"/>
          <w:sz w:val="15"/>
          <w:szCs w:val="15"/>
          <w:b w:val="1"/>
          <w:bCs w:val="1"/>
          <w:color w:val="auto"/>
        </w:rPr>
        <w:t xml:space="preserve">Execution and Delivery: </w:t>
      </w:r>
      <w:r>
        <w:rPr>
          <w:rFonts w:ascii="Times New Roman" w:cs="Times New Roman" w:eastAsia="Times New Roman" w:hAnsi="Times New Roman"/>
          <w:sz w:val="15"/>
          <w:szCs w:val="15"/>
          <w:color w:val="auto"/>
        </w:rPr>
        <w:t>This Grant Notice may be executed and delivered electronically whether via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Company’s intranet or the Internet site of a third party or via email or any other means of electronic delivery specified by the Company. By Optionee’s acceptance hereof (whether written, electronic or otherwise), Optionee agrees, to the fullest extent permitted by law, that in lieu of receiving documents in paper format, Optionee accepts the electronic delivery of any documents that the Company (or any third party the Company may designate), may deliver in connection with this grant (including the Plan, this Grant Notice, the Stock Option Agreement, the information described in Rules 701(e)(2), (3), (4) and (5) under the Securities Act (the “</w:t>
      </w:r>
      <w:r>
        <w:rPr>
          <w:rFonts w:ascii="Times New Roman" w:cs="Times New Roman" w:eastAsia="Times New Roman" w:hAnsi="Times New Roman"/>
          <w:sz w:val="15"/>
          <w:szCs w:val="15"/>
          <w:b w:val="1"/>
          <w:bCs w:val="1"/>
          <w:i w:val="1"/>
          <w:iCs w:val="1"/>
          <w:color w:val="auto"/>
        </w:rPr>
        <w:t>701 Disclosures</w:t>
      </w:r>
      <w:r>
        <w:rPr>
          <w:rFonts w:ascii="Times New Roman" w:cs="Times New Roman" w:eastAsia="Times New Roman" w:hAnsi="Times New Roman"/>
          <w:sz w:val="15"/>
          <w:szCs w:val="15"/>
          <w:color w:val="auto"/>
        </w:rPr>
        <w:t>”), account statements, or other communications or information) whether via the Company’s intranet or the Internet site of such third party or via email or such other means of electronic delivery specified by the Company.</w:t>
      </w:r>
    </w:p>
    <w:p>
      <w:pPr>
        <w:spacing w:after="0" w:line="137"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296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AVALYN PHARMA INC.</w:t>
            </w:r>
          </w:p>
        </w:tc>
        <w:tc>
          <w:tcPr>
            <w:tcW w:w="1360" w:type="dxa"/>
            <w:vAlign w:val="bottom"/>
          </w:tcPr>
          <w:p>
            <w:pPr>
              <w:spacing w:after="0"/>
              <w:rPr>
                <w:sz w:val="17"/>
                <w:szCs w:val="17"/>
                <w:color w:val="auto"/>
              </w:rPr>
            </w:pP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Signature:</w:t>
            </w:r>
          </w:p>
        </w:tc>
        <w:tc>
          <w:tcPr>
            <w:tcW w:w="1840" w:type="dxa"/>
            <w:vAlign w:val="bottom"/>
            <w:tcBorders>
              <w:bottom w:val="single" w:sz="8" w:color="auto"/>
            </w:tcBorders>
          </w:tcPr>
          <w:p>
            <w:pPr>
              <w:spacing w:after="0"/>
              <w:rPr>
                <w:sz w:val="24"/>
                <w:szCs w:val="24"/>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Optionee Signature:</w:t>
            </w: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Typed Name:</w:t>
            </w:r>
          </w:p>
        </w:tc>
        <w:tc>
          <w:tcPr>
            <w:tcW w:w="1840" w:type="dxa"/>
            <w:vAlign w:val="bottom"/>
            <w:tcBorders>
              <w:bottom w:val="single" w:sz="8" w:color="auto"/>
            </w:tcBorders>
          </w:tcPr>
          <w:p>
            <w:pPr>
              <w:spacing w:after="0"/>
              <w:rPr>
                <w:sz w:val="24"/>
                <w:szCs w:val="24"/>
                <w:color w:val="auto"/>
              </w:rPr>
            </w:pPr>
          </w:p>
        </w:tc>
        <w:tc>
          <w:tcPr>
            <w:tcW w:w="1360" w:type="dxa"/>
            <w:vAlign w:val="bottom"/>
          </w:tcPr>
          <w:p>
            <w:pPr>
              <w:ind w:left="120"/>
              <w:spacing w:after="0"/>
              <w:rPr>
                <w:sz w:val="20"/>
                <w:szCs w:val="20"/>
                <w:color w:val="auto"/>
              </w:rPr>
            </w:pPr>
            <w:r>
              <w:rPr>
                <w:rFonts w:ascii="Times New Roman" w:cs="Times New Roman" w:eastAsia="Times New Roman" w:hAnsi="Times New Roman"/>
                <w:sz w:val="15"/>
                <w:szCs w:val="15"/>
                <w:color w:val="auto"/>
              </w:rPr>
              <w:t>Optionee’s Name:</w:t>
            </w:r>
          </w:p>
        </w:tc>
      </w:tr>
      <w:tr>
        <w:trPr>
          <w:trHeight w:val="358"/>
        </w:trPr>
        <w:tc>
          <w:tcPr>
            <w:tcW w:w="1120" w:type="dxa"/>
            <w:vAlign w:val="bottom"/>
          </w:tcPr>
          <w:p>
            <w:pPr>
              <w:spacing w:after="0"/>
              <w:rPr>
                <w:sz w:val="20"/>
                <w:szCs w:val="20"/>
                <w:color w:val="auto"/>
              </w:rPr>
            </w:pPr>
            <w:r>
              <w:rPr>
                <w:rFonts w:ascii="Times New Roman" w:cs="Times New Roman" w:eastAsia="Times New Roman" w:hAnsi="Times New Roman"/>
                <w:sz w:val="15"/>
                <w:szCs w:val="15"/>
                <w:color w:val="auto"/>
              </w:rPr>
              <w:t>Title:</w:t>
            </w:r>
          </w:p>
        </w:tc>
        <w:tc>
          <w:tcPr>
            <w:tcW w:w="18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3644265</wp:posOffset>
            </wp:positionH>
            <wp:positionV relativeFrom="paragraph">
              <wp:posOffset>-486410</wp:posOffset>
            </wp:positionV>
            <wp:extent cx="1301750" cy="698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301750" cy="698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-246380</wp:posOffset>
            </wp:positionV>
            <wp:extent cx="1301750" cy="698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301750" cy="6985"/>
                    </a:xfrm>
                    <a:prstGeom prst="rect">
                      <a:avLst/>
                    </a:prstGeom>
                    <a:noFill/>
                  </pic:spPr>
                </pic:pic>
              </a:graphicData>
            </a:graphic>
          </wp:anchor>
        </w:drawing>
      </w:r>
    </w:p>
    <w:p>
      <w:pPr>
        <w:spacing w:after="0" w:line="149" w:lineRule="exact"/>
        <w:rPr>
          <w:sz w:val="20"/>
          <w:szCs w:val="20"/>
          <w:color w:val="auto"/>
        </w:rPr>
      </w:pPr>
    </w:p>
    <w:p>
      <w:pPr>
        <w:ind w:left="1220"/>
        <w:spacing w:after="0"/>
        <w:tabs>
          <w:tab w:leader="none" w:pos="2200" w:val="left"/>
        </w:tabs>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ttachment</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Exhibit A – Stock Option Agreement</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77" w:name="page478"/>
    <w:bookmarkEnd w:id="477"/>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Exhibit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Stock Option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STOCK OPTION AGREEMENT</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i w:val="1"/>
          <w:iCs w:val="1"/>
          <w:color w:val="auto"/>
        </w:rPr>
        <w:t>A</w:t>
      </w:r>
      <w:r>
        <w:rPr>
          <w:rFonts w:ascii="Times New Roman" w:cs="Times New Roman" w:eastAsia="Times New Roman" w:hAnsi="Times New Roman"/>
          <w:sz w:val="10"/>
          <w:szCs w:val="10"/>
          <w:b w:val="1"/>
          <w:bCs w:val="1"/>
          <w:i w:val="1"/>
          <w:iCs w:val="1"/>
          <w:color w:val="auto"/>
        </w:rPr>
        <w:t>valyn</w:t>
      </w:r>
      <w:r>
        <w:rPr>
          <w:rFonts w:ascii="Times New Roman" w:cs="Times New Roman" w:eastAsia="Times New Roman" w:hAnsi="Times New Roman"/>
          <w:sz w:val="15"/>
          <w:szCs w:val="15"/>
          <w:b w:val="1"/>
          <w:bCs w:val="1"/>
          <w:i w:val="1"/>
          <w:iCs w:val="1"/>
          <w:color w:val="auto"/>
        </w:rPr>
        <w:t xml:space="preserve"> P</w:t>
      </w:r>
      <w:r>
        <w:rPr>
          <w:rFonts w:ascii="Times New Roman" w:cs="Times New Roman" w:eastAsia="Times New Roman" w:hAnsi="Times New Roman"/>
          <w:sz w:val="10"/>
          <w:szCs w:val="10"/>
          <w:b w:val="1"/>
          <w:bCs w:val="1"/>
          <w:i w:val="1"/>
          <w:iCs w:val="1"/>
          <w:color w:val="auto"/>
        </w:rPr>
        <w:t>harma</w:t>
      </w:r>
      <w:r>
        <w:rPr>
          <w:rFonts w:ascii="Times New Roman" w:cs="Times New Roman" w:eastAsia="Times New Roman" w:hAnsi="Times New Roman"/>
          <w:sz w:val="15"/>
          <w:szCs w:val="15"/>
          <w:b w:val="1"/>
          <w:bCs w:val="1"/>
          <w:i w:val="1"/>
          <w:iCs w:val="1"/>
          <w:color w:val="auto"/>
        </w:rPr>
        <w:t xml:space="preserve"> I</w:t>
      </w:r>
      <w:r>
        <w:rPr>
          <w:rFonts w:ascii="Times New Roman" w:cs="Times New Roman" w:eastAsia="Times New Roman" w:hAnsi="Times New Roman"/>
          <w:sz w:val="10"/>
          <w:szCs w:val="10"/>
          <w:b w:val="1"/>
          <w:bCs w:val="1"/>
          <w:i w:val="1"/>
          <w:iCs w:val="1"/>
          <w:color w:val="auto"/>
        </w:rPr>
        <w:t>nc</w:t>
      </w:r>
      <w:r>
        <w:rPr>
          <w:rFonts w:ascii="Times New Roman" w:cs="Times New Roman" w:eastAsia="Times New Roman" w:hAnsi="Times New Roman"/>
          <w:sz w:val="15"/>
          <w:szCs w:val="15"/>
          <w:b w:val="1"/>
          <w:bCs w:val="1"/>
          <w:i w:val="1"/>
          <w:iCs w:val="1"/>
          <w:color w:val="auto"/>
        </w:rPr>
        <w:t>.</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5"/>
          <w:szCs w:val="15"/>
          <w:color w:val="auto"/>
        </w:rPr>
        <w:t>This Stock Option Agreement (this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is made and entered into as of the date of grant (the “</w:t>
      </w:r>
      <w:r>
        <w:rPr>
          <w:rFonts w:ascii="Times New Roman" w:cs="Times New Roman" w:eastAsia="Times New Roman" w:hAnsi="Times New Roman"/>
          <w:sz w:val="15"/>
          <w:szCs w:val="15"/>
          <w:b w:val="1"/>
          <w:bCs w:val="1"/>
          <w:i w:val="1"/>
          <w:iCs w:val="1"/>
          <w:color w:val="auto"/>
        </w:rPr>
        <w:t>Date of Grant</w:t>
      </w:r>
      <w:r>
        <w:rPr>
          <w:rFonts w:ascii="Times New Roman" w:cs="Times New Roman" w:eastAsia="Times New Roman" w:hAnsi="Times New Roman"/>
          <w:sz w:val="15"/>
          <w:szCs w:val="15"/>
          <w:color w:val="auto"/>
        </w:rPr>
        <w:t>”) set forth on the Notice of Stock Option Grant attached as the facing page to this Agreement (the “</w:t>
      </w:r>
      <w:r>
        <w:rPr>
          <w:rFonts w:ascii="Times New Roman" w:cs="Times New Roman" w:eastAsia="Times New Roman" w:hAnsi="Times New Roman"/>
          <w:sz w:val="15"/>
          <w:szCs w:val="15"/>
          <w:b w:val="1"/>
          <w:bCs w:val="1"/>
          <w:i w:val="1"/>
          <w:iCs w:val="1"/>
          <w:color w:val="auto"/>
        </w:rPr>
        <w:t>Grant Notice</w:t>
      </w:r>
      <w:r>
        <w:rPr>
          <w:rFonts w:ascii="Times New Roman" w:cs="Times New Roman" w:eastAsia="Times New Roman" w:hAnsi="Times New Roman"/>
          <w:sz w:val="15"/>
          <w:szCs w:val="15"/>
          <w:color w:val="auto"/>
        </w:rPr>
        <w:t>”) by and between Avalyn Pharma Inc., a Delaware corporation (the “</w:t>
      </w:r>
      <w:r>
        <w:rPr>
          <w:rFonts w:ascii="Times New Roman" w:cs="Times New Roman" w:eastAsia="Times New Roman" w:hAnsi="Times New Roman"/>
          <w:sz w:val="15"/>
          <w:szCs w:val="15"/>
          <w:b w:val="1"/>
          <w:bCs w:val="1"/>
          <w:i w:val="1"/>
          <w:iCs w:val="1"/>
          <w:color w:val="auto"/>
        </w:rPr>
        <w:t>Company</w:t>
      </w:r>
      <w:r>
        <w:rPr>
          <w:rFonts w:ascii="Times New Roman" w:cs="Times New Roman" w:eastAsia="Times New Roman" w:hAnsi="Times New Roman"/>
          <w:sz w:val="15"/>
          <w:szCs w:val="15"/>
          <w:color w:val="auto"/>
        </w:rPr>
        <w:t>”), and the optionee named on the Grant Notice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color w:val="auto"/>
        </w:rPr>
        <w:t>”). Capitalized terms not defined in this Agreement shall have the meaning ascribed to them in the Company’s 2022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 or in the Grant Notice, as applicable.</w:t>
      </w:r>
    </w:p>
    <w:p>
      <w:pPr>
        <w:spacing w:after="0" w:line="132" w:lineRule="exact"/>
        <w:rPr>
          <w:sz w:val="20"/>
          <w:szCs w:val="20"/>
          <w:color w:val="auto"/>
        </w:rPr>
      </w:pPr>
    </w:p>
    <w:p>
      <w:pPr>
        <w:jc w:val="both"/>
        <w:ind w:left="1220" w:right="1239" w:firstLine="509"/>
        <w:spacing w:after="0" w:line="255" w:lineRule="auto"/>
        <w:tabs>
          <w:tab w:leader="none" w:pos="2347" w:val="left"/>
        </w:tabs>
        <w:numPr>
          <w:ilvl w:val="0"/>
          <w:numId w:val="3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GRANT OF OPTION. </w:t>
      </w:r>
      <w:r>
        <w:rPr>
          <w:rFonts w:ascii="Times New Roman" w:cs="Times New Roman" w:eastAsia="Times New Roman" w:hAnsi="Times New Roman"/>
          <w:sz w:val="15"/>
          <w:szCs w:val="15"/>
          <w:color w:val="auto"/>
        </w:rPr>
        <w:t>The Company hereby grants to Optionee an option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color w:val="auto"/>
        </w:rPr>
        <w:t>”) to purchase up to the total number of shares of Common Stock of the Company, $0.001 par value per share (the “</w:t>
      </w:r>
      <w:r>
        <w:rPr>
          <w:rFonts w:ascii="Times New Roman" w:cs="Times New Roman" w:eastAsia="Times New Roman" w:hAnsi="Times New Roman"/>
          <w:sz w:val="15"/>
          <w:szCs w:val="15"/>
          <w:b w:val="1"/>
          <w:bCs w:val="1"/>
          <w:i w:val="1"/>
          <w:iCs w:val="1"/>
          <w:color w:val="auto"/>
        </w:rPr>
        <w:t>Common Stock</w:t>
      </w:r>
      <w:r>
        <w:rPr>
          <w:rFonts w:ascii="Times New Roman" w:cs="Times New Roman" w:eastAsia="Times New Roman" w:hAnsi="Times New Roman"/>
          <w:sz w:val="15"/>
          <w:szCs w:val="15"/>
          <w:color w:val="auto"/>
        </w:rPr>
        <w:t>”), set forth in the Grant Notice as the Shares (the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 at the Exercise Price Per Share set forth in the Grant Notice (the “</w:t>
      </w:r>
      <w:r>
        <w:rPr>
          <w:rFonts w:ascii="Times New Roman" w:cs="Times New Roman" w:eastAsia="Times New Roman" w:hAnsi="Times New Roman"/>
          <w:sz w:val="15"/>
          <w:szCs w:val="15"/>
          <w:b w:val="1"/>
          <w:bCs w:val="1"/>
          <w:i w:val="1"/>
          <w:iCs w:val="1"/>
          <w:color w:val="auto"/>
        </w:rPr>
        <w:t>Exercise Price</w:t>
      </w:r>
      <w:r>
        <w:rPr>
          <w:rFonts w:ascii="Times New Roman" w:cs="Times New Roman" w:eastAsia="Times New Roman" w:hAnsi="Times New Roman"/>
          <w:sz w:val="15"/>
          <w:szCs w:val="15"/>
          <w:color w:val="auto"/>
        </w:rPr>
        <w:t>”), subject to all of the terms and conditions of the Grant Notice, this Agreement and the Plan. If designated as an Incentive Stock Option in the Grant Notice, this Option is intended to qualify as an incentive stock option (the “</w:t>
      </w:r>
      <w:r>
        <w:rPr>
          <w:rFonts w:ascii="Times New Roman" w:cs="Times New Roman" w:eastAsia="Times New Roman" w:hAnsi="Times New Roman"/>
          <w:sz w:val="15"/>
          <w:szCs w:val="15"/>
          <w:b w:val="1"/>
          <w:bCs w:val="1"/>
          <w:i w:val="1"/>
          <w:iCs w:val="1"/>
          <w:color w:val="auto"/>
        </w:rPr>
        <w:t>ISO</w:t>
      </w:r>
      <w:r>
        <w:rPr>
          <w:rFonts w:ascii="Times New Roman" w:cs="Times New Roman" w:eastAsia="Times New Roman" w:hAnsi="Times New Roman"/>
          <w:sz w:val="15"/>
          <w:szCs w:val="15"/>
          <w:color w:val="auto"/>
        </w:rPr>
        <w:t>”) within the meaning of Section 422 of the Internal Revenue Code of 1986, as amended (the “</w:t>
      </w:r>
      <w:r>
        <w:rPr>
          <w:rFonts w:ascii="Times New Roman" w:cs="Times New Roman" w:eastAsia="Times New Roman" w:hAnsi="Times New Roman"/>
          <w:sz w:val="15"/>
          <w:szCs w:val="15"/>
          <w:b w:val="1"/>
          <w:bCs w:val="1"/>
          <w:i w:val="1"/>
          <w:iCs w:val="1"/>
          <w:color w:val="auto"/>
        </w:rPr>
        <w:t>Code</w:t>
      </w:r>
      <w:r>
        <w:rPr>
          <w:rFonts w:ascii="Times New Roman" w:cs="Times New Roman" w:eastAsia="Times New Roman" w:hAnsi="Times New Roman"/>
          <w:sz w:val="15"/>
          <w:szCs w:val="15"/>
          <w:color w:val="auto"/>
        </w:rPr>
        <w:t>”).</w:t>
      </w:r>
    </w:p>
    <w:p>
      <w:pPr>
        <w:spacing w:after="0" w:line="136" w:lineRule="exact"/>
        <w:rPr>
          <w:rFonts w:ascii="Times New Roman" w:cs="Times New Roman" w:eastAsia="Times New Roman" w:hAnsi="Times New Roman"/>
          <w:sz w:val="15"/>
          <w:szCs w:val="15"/>
          <w:b w:val="1"/>
          <w:bCs w:val="1"/>
          <w:color w:val="auto"/>
        </w:rPr>
      </w:pPr>
    </w:p>
    <w:p>
      <w:pPr>
        <w:ind w:left="2120" w:hanging="391"/>
        <w:spacing w:after="0"/>
        <w:tabs>
          <w:tab w:leader="none" w:pos="2120" w:val="left"/>
        </w:tabs>
        <w:numPr>
          <w:ilvl w:val="0"/>
          <w:numId w:val="38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EXERCISE PERIOD.</w:t>
      </w:r>
    </w:p>
    <w:p>
      <w:pPr>
        <w:spacing w:after="0" w:line="170"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7"/>
          <w:szCs w:val="17"/>
          <w:b w:val="1"/>
          <w:bCs w:val="1"/>
          <w:color w:val="auto"/>
        </w:rPr>
        <w:t xml:space="preserve">2.1 </w:t>
      </w:r>
      <w:r>
        <w:rPr>
          <w:rFonts w:ascii="Times New Roman" w:cs="Times New Roman" w:eastAsia="Times New Roman" w:hAnsi="Times New Roman"/>
          <w:sz w:val="15"/>
          <w:szCs w:val="15"/>
          <w:b w:val="1"/>
          <w:bCs w:val="1"/>
          <w:u w:val="single" w:color="auto"/>
          <w:color w:val="auto"/>
        </w:rPr>
        <w:t>Exercise Period of Option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This Option is considered to be “vested” with respect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to any particular Shares when this Option is exercisable with respect to such Shares. This Option will become vested during its term as to portions of the Shares in accordance with the Vesting Schedule set forth in the Grant Notice. Notwithstanding any provision in the Plan or this Agreement to the contrary, on or after Optionee’s Termination Date, this Option may not be exercised with respect to any Shares that are Unvested Shares on Optionee’s Termination Date.</w:t>
      </w:r>
    </w:p>
    <w:p>
      <w:pPr>
        <w:spacing w:after="0" w:line="131" w:lineRule="exact"/>
        <w:rPr>
          <w:sz w:val="20"/>
          <w:szCs w:val="20"/>
          <w:color w:val="auto"/>
        </w:rPr>
      </w:pPr>
    </w:p>
    <w:p>
      <w:pPr>
        <w:jc w:val="both"/>
        <w:ind w:left="1220" w:right="1239" w:firstLine="100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2.2 </w:t>
      </w:r>
      <w:r>
        <w:rPr>
          <w:rFonts w:ascii="Times New Roman" w:cs="Times New Roman" w:eastAsia="Times New Roman" w:hAnsi="Times New Roman"/>
          <w:sz w:val="15"/>
          <w:szCs w:val="15"/>
          <w:b w:val="1"/>
          <w:bCs w:val="1"/>
          <w:u w:val="single" w:color="auto"/>
          <w:color w:val="auto"/>
        </w:rPr>
        <w:t>Vesting of Option Shares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Shares with respect to which this Option is vested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exercisable at a given time pursuant to the Vesting Schedule set forth in the Grant Notice are “</w:t>
      </w:r>
      <w:r>
        <w:rPr>
          <w:rFonts w:ascii="Times New Roman" w:cs="Times New Roman" w:eastAsia="Times New Roman" w:hAnsi="Times New Roman"/>
          <w:sz w:val="15"/>
          <w:szCs w:val="15"/>
          <w:b w:val="1"/>
          <w:bCs w:val="1"/>
          <w:i w:val="1"/>
          <w:iCs w:val="1"/>
          <w:color w:val="auto"/>
        </w:rPr>
        <w:t>Vested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Shares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Shares with respect to which this Option is not vested and exercisable at a given time pursuant</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 xml:space="preserve">to the Vesting Schedule set forth in the Grant Notice are </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b w:val="1"/>
          <w:bCs w:val="1"/>
          <w:i w:val="1"/>
          <w:iCs w:val="1"/>
          <w:color w:val="auto"/>
        </w:rPr>
        <w:t>Unvested Shares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w:t>
      </w:r>
    </w:p>
    <w:p>
      <w:pPr>
        <w:spacing w:after="0" w:line="136" w:lineRule="exact"/>
        <w:rPr>
          <w:sz w:val="20"/>
          <w:szCs w:val="20"/>
          <w:color w:val="auto"/>
        </w:rPr>
      </w:pPr>
    </w:p>
    <w:p>
      <w:pPr>
        <w:jc w:val="both"/>
        <w:ind w:left="1220" w:right="1239" w:firstLine="1009"/>
        <w:spacing w:after="0" w:line="246" w:lineRule="auto"/>
        <w:rPr>
          <w:sz w:val="20"/>
          <w:szCs w:val="20"/>
          <w:color w:val="auto"/>
        </w:rPr>
      </w:pPr>
      <w:r>
        <w:rPr>
          <w:rFonts w:ascii="Times New Roman" w:cs="Times New Roman" w:eastAsia="Times New Roman" w:hAnsi="Times New Roman"/>
          <w:sz w:val="17"/>
          <w:szCs w:val="17"/>
          <w:b w:val="1"/>
          <w:bCs w:val="1"/>
          <w:color w:val="auto"/>
        </w:rPr>
        <w:t xml:space="preserve">2.3 </w:t>
      </w:r>
      <w:r>
        <w:rPr>
          <w:rFonts w:ascii="Times New Roman" w:cs="Times New Roman" w:eastAsia="Times New Roman" w:hAnsi="Times New Roman"/>
          <w:sz w:val="15"/>
          <w:szCs w:val="15"/>
          <w:b w:val="1"/>
          <w:bCs w:val="1"/>
          <w:u w:val="single" w:color="auto"/>
          <w:color w:val="auto"/>
        </w:rPr>
        <w:t>Expiration</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The Option shall expire on the Expiration Date set forth in the Grant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Notice or earlier as provided in Section 3 below.</w:t>
      </w:r>
    </w:p>
    <w:p>
      <w:pPr>
        <w:spacing w:after="0" w:line="139" w:lineRule="exact"/>
        <w:rPr>
          <w:sz w:val="20"/>
          <w:szCs w:val="20"/>
          <w:color w:val="auto"/>
        </w:rPr>
      </w:pPr>
    </w:p>
    <w:p>
      <w:pPr>
        <w:ind w:left="2120" w:hanging="391"/>
        <w:spacing w:after="0"/>
        <w:tabs>
          <w:tab w:leader="none" w:pos="2120" w:val="left"/>
        </w:tabs>
        <w:numPr>
          <w:ilvl w:val="0"/>
          <w:numId w:val="38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TERMINATION.</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3.1. </w:t>
      </w:r>
      <w:r>
        <w:rPr>
          <w:rFonts w:ascii="Times New Roman" w:cs="Times New Roman" w:eastAsia="Times New Roman" w:hAnsi="Times New Roman"/>
          <w:sz w:val="15"/>
          <w:szCs w:val="15"/>
          <w:b w:val="1"/>
          <w:bCs w:val="1"/>
          <w:u w:val="single" w:color="auto"/>
          <w:color w:val="auto"/>
        </w:rPr>
        <w:t>Termination for Any Reason Except Death, Disability or 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Except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provided in subsection 3.2 in a case in which Optionee dies within three (3) months after Optionee is Terminated other than for Cause, if Optionee is Terminated for any reason (other than Optionee’s death or Disability or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w:t>
      </w:r>
    </w:p>
    <w:p>
      <w:pPr>
        <w:spacing w:after="0" w:line="200" w:lineRule="exact"/>
        <w:rPr>
          <w:sz w:val="20"/>
          <w:szCs w:val="20"/>
          <w:color w:val="auto"/>
        </w:rPr>
      </w:pPr>
    </w:p>
    <w:p>
      <w:pPr>
        <w:spacing w:after="0" w:line="2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78" w:name="page479"/>
    <w:bookmarkEnd w:id="478"/>
    <w:p>
      <w:pPr>
        <w:jc w:val="both"/>
        <w:ind w:left="1220" w:right="1239"/>
        <w:spacing w:after="0" w:line="285" w:lineRule="auto"/>
        <w:rPr>
          <w:sz w:val="20"/>
          <w:szCs w:val="20"/>
          <w:color w:val="auto"/>
        </w:rPr>
      </w:pPr>
      <w:r>
        <w:rPr>
          <w:rFonts w:ascii="Times New Roman" w:cs="Times New Roman" w:eastAsia="Times New Roman" w:hAnsi="Times New Roman"/>
          <w:sz w:val="15"/>
          <w:szCs w:val="15"/>
          <w:color w:val="auto"/>
        </w:rPr>
        <w:t>be exercised by Optionee no later than three (3) months after Optionee’s Termination Date (but in no event may this Option be exercised after the Expiration Date).</w:t>
      </w:r>
    </w:p>
    <w:p>
      <w:pPr>
        <w:spacing w:after="0" w:line="112"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3.2. </w:t>
      </w:r>
      <w:r>
        <w:rPr>
          <w:rFonts w:ascii="Times New Roman" w:cs="Times New Roman" w:eastAsia="Times New Roman" w:hAnsi="Times New Roman"/>
          <w:sz w:val="15"/>
          <w:szCs w:val="15"/>
          <w:b w:val="1"/>
          <w:bCs w:val="1"/>
          <w:u w:val="single" w:color="auto"/>
          <w:color w:val="auto"/>
        </w:rPr>
        <w:t>Termination Because of Death or Disability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Terminated because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of Optionee’s death or Disability (or if Optionee dies within three (3) months of the date of Optionee’s Termination for any reason other than for Cause), then (a) on and after Optionee’s Termination Date, this Option shall expire immediately with respect to any Shares that are Unvested Shares and may not be exercised with respect to any Shares that are Unvested Shares on Optionee’s Termination Date and (b) this Option, to the extent (and only to the extent) that it is exercisable with respect to Vested Shares on Optionee’s Termination Date, may be exercised by Optionee (or Optionee’s legal representative) no later than twelve (12) months after Optionee’s Termination Date, but in no event later than the Expiration Date. Any exercise of this Option beyond (i) three (3) months after the date Optionee ceases to be an employee when Optionee’s Termination is for any reason other than Optionee’s death or disability, within the meaning of Section 22(e)(3) of the Code; or (ii) twelve (12) months after the date Optionee ceases to be an employee when the termination is for Optionee’s disability, within the meaning of Section 22(e)(3) of the Code, is deemed to be an NQSO.</w:t>
      </w:r>
    </w:p>
    <w:p>
      <w:pPr>
        <w:spacing w:after="0" w:line="137" w:lineRule="exact"/>
        <w:rPr>
          <w:sz w:val="20"/>
          <w:szCs w:val="20"/>
          <w:color w:val="auto"/>
        </w:rPr>
      </w:pPr>
    </w:p>
    <w:p>
      <w:pPr>
        <w:jc w:val="both"/>
        <w:ind w:left="1220" w:right="1239" w:firstLine="1009"/>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3.3. </w:t>
      </w:r>
      <w:r>
        <w:rPr>
          <w:rFonts w:ascii="Times New Roman" w:cs="Times New Roman" w:eastAsia="Times New Roman" w:hAnsi="Times New Roman"/>
          <w:sz w:val="15"/>
          <w:szCs w:val="15"/>
          <w:b w:val="1"/>
          <w:bCs w:val="1"/>
          <w:u w:val="single" w:color="auto"/>
          <w:color w:val="auto"/>
        </w:rPr>
        <w:t>Termination for Cause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Terminated for Cause, then Optionee may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exercise this Option, but only with respect to any Shares that are Vested Shares on Optionee’s Termination Date, and this Option shall expire on Optionee’s Termination Date, or at such later time and on such conditions as may be affirmatively determined by the Committee. On and after Optionee’s Termination Date, this Option shall expire immediately with respect to any Shares that are Unvested Shares and may not be exercised with respect to any Shares that are Unvested Shares on Optionee’s Termination Date.</w:t>
      </w:r>
    </w:p>
    <w:p>
      <w:pPr>
        <w:spacing w:after="0" w:line="315" w:lineRule="exact"/>
        <w:rPr>
          <w:sz w:val="20"/>
          <w:szCs w:val="20"/>
          <w:color w:val="auto"/>
        </w:rPr>
      </w:pPr>
    </w:p>
    <w:p>
      <w:pPr>
        <w:jc w:val="both"/>
        <w:ind w:left="1220" w:right="1239" w:firstLine="1009"/>
        <w:spacing w:after="0" w:line="260" w:lineRule="auto"/>
        <w:rPr>
          <w:sz w:val="20"/>
          <w:szCs w:val="20"/>
          <w:color w:val="auto"/>
        </w:rPr>
      </w:pPr>
      <w:r>
        <w:rPr>
          <w:rFonts w:ascii="Times New Roman" w:cs="Times New Roman" w:eastAsia="Times New Roman" w:hAnsi="Times New Roman"/>
          <w:sz w:val="15"/>
          <w:szCs w:val="15"/>
          <w:b w:val="1"/>
          <w:bCs w:val="1"/>
          <w:color w:val="auto"/>
        </w:rPr>
        <w:t xml:space="preserve">3.4. </w:t>
      </w:r>
      <w:r>
        <w:rPr>
          <w:rFonts w:ascii="Times New Roman" w:cs="Times New Roman" w:eastAsia="Times New Roman" w:hAnsi="Times New Roman"/>
          <w:sz w:val="15"/>
          <w:szCs w:val="15"/>
          <w:b w:val="1"/>
          <w:bCs w:val="1"/>
          <w:u w:val="single" w:color="auto"/>
          <w:color w:val="auto"/>
        </w:rPr>
        <w:t>No Obligation to Employ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Nothing in the Plan or this Agreement shall confer 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any right to continue in the employ of, or other relationship with, the Company or any Parent or Subsidiary of the Company, or limit in any way the right of the Company or any Parent or Subsidiary of the Company to terminate Optionee’s employment or other relationship at any time, with or without Cause.</w:t>
      </w:r>
    </w:p>
    <w:p>
      <w:pPr>
        <w:spacing w:after="0" w:line="314" w:lineRule="exact"/>
        <w:rPr>
          <w:sz w:val="20"/>
          <w:szCs w:val="20"/>
          <w:color w:val="auto"/>
        </w:rPr>
      </w:pPr>
    </w:p>
    <w:p>
      <w:pPr>
        <w:ind w:left="2120" w:hanging="391"/>
        <w:spacing w:after="0"/>
        <w:tabs>
          <w:tab w:leader="none" w:pos="2120" w:val="left"/>
        </w:tabs>
        <w:numPr>
          <w:ilvl w:val="0"/>
          <w:numId w:val="3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MANNER OF EXERCISE.</w:t>
      </w:r>
    </w:p>
    <w:p>
      <w:pPr>
        <w:spacing w:after="0" w:line="170"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7"/>
          <w:szCs w:val="17"/>
          <w:b w:val="1"/>
          <w:bCs w:val="1"/>
          <w:color w:val="auto"/>
        </w:rPr>
        <w:t xml:space="preserve">4.1 </w:t>
      </w:r>
      <w:r>
        <w:rPr>
          <w:rFonts w:ascii="Times New Roman" w:cs="Times New Roman" w:eastAsia="Times New Roman" w:hAnsi="Times New Roman"/>
          <w:sz w:val="15"/>
          <w:szCs w:val="15"/>
          <w:b w:val="1"/>
          <w:bCs w:val="1"/>
          <w:u w:val="single" w:color="auto"/>
          <w:color w:val="auto"/>
        </w:rPr>
        <w:t>Stock Option Exercise Notice and Agreement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To exercise this Option, Optionee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 xml:space="preserve">(or in the case of exercise after Optionee’s death or incapacity, Optionee’s executor, administrator, heir or legatee, as the case may be) must deliver to the Company an executed Stock Option Exercise Notice and Agreement in the form attached hereto as </w:t>
      </w:r>
      <w:r>
        <w:rPr>
          <w:rFonts w:ascii="Times New Roman" w:cs="Times New Roman" w:eastAsia="Times New Roman" w:hAnsi="Times New Roman"/>
          <w:sz w:val="15"/>
          <w:szCs w:val="15"/>
          <w:b w:val="1"/>
          <w:bCs w:val="1"/>
          <w:u w:val="single" w:color="auto"/>
          <w:color w:val="auto"/>
        </w:rPr>
        <w:t>Annex A</w:t>
      </w:r>
      <w:r>
        <w:rPr>
          <w:rFonts w:ascii="Times New Roman" w:cs="Times New Roman" w:eastAsia="Times New Roman" w:hAnsi="Times New Roman"/>
          <w:sz w:val="15"/>
          <w:szCs w:val="15"/>
          <w:color w:val="auto"/>
        </w:rPr>
        <w:t>, or in such other form as may be approved by the Committee from time to time (the “</w:t>
      </w:r>
      <w:r>
        <w:rPr>
          <w:rFonts w:ascii="Times New Roman" w:cs="Times New Roman" w:eastAsia="Times New Roman" w:hAnsi="Times New Roman"/>
          <w:sz w:val="15"/>
          <w:szCs w:val="15"/>
          <w:b w:val="1"/>
          <w:bCs w:val="1"/>
          <w:i w:val="1"/>
          <w:iCs w:val="1"/>
          <w:color w:val="auto"/>
        </w:rPr>
        <w:t>Exercise Agreement</w:t>
      </w:r>
      <w:r>
        <w:rPr>
          <w:rFonts w:ascii="Times New Roman" w:cs="Times New Roman" w:eastAsia="Times New Roman" w:hAnsi="Times New Roman"/>
          <w:sz w:val="15"/>
          <w:szCs w:val="15"/>
          <w:color w:val="auto"/>
        </w:rPr>
        <w:t>”) and payment for the shares being purchased in accordance with this Agreement. The Exercise Agreement shall set forth, among other things, (i) Optionee’s election to exercise this Option, (ii) the number of Shares being purchased, (iii) any representations, warranties and agreements regarding Optionee’s investment intent and access to information as may be required by the Company to comply with applicable securities laws in connection with any exercise of this Option and (iv) any other agreements required by the Company. If someone other than Optionee exercises this Option, then such person must submit documentation reasonably acceptable to the Company verifying that such person has the legal right to exercise this Option and such person shall be subject to all of the restrictions contained herein as if such person were Optionee.</w:t>
      </w:r>
    </w:p>
    <w:p>
      <w:pPr>
        <w:spacing w:after="0" w:line="133" w:lineRule="exact"/>
        <w:rPr>
          <w:sz w:val="20"/>
          <w:szCs w:val="20"/>
          <w:color w:val="auto"/>
        </w:rPr>
      </w:pPr>
    </w:p>
    <w:p>
      <w:pPr>
        <w:jc w:val="both"/>
        <w:ind w:left="1220" w:right="1239" w:firstLine="1009"/>
        <w:spacing w:after="0" w:line="261" w:lineRule="auto"/>
        <w:rPr>
          <w:sz w:val="20"/>
          <w:szCs w:val="20"/>
          <w:color w:val="auto"/>
        </w:rPr>
      </w:pPr>
      <w:r>
        <w:rPr>
          <w:rFonts w:ascii="Times New Roman" w:cs="Times New Roman" w:eastAsia="Times New Roman" w:hAnsi="Times New Roman"/>
          <w:sz w:val="17"/>
          <w:szCs w:val="17"/>
          <w:b w:val="1"/>
          <w:bCs w:val="1"/>
          <w:color w:val="auto"/>
        </w:rPr>
        <w:t xml:space="preserve">4.2 </w:t>
      </w:r>
      <w:r>
        <w:rPr>
          <w:rFonts w:ascii="Times New Roman" w:cs="Times New Roman" w:eastAsia="Times New Roman" w:hAnsi="Times New Roman"/>
          <w:sz w:val="15"/>
          <w:szCs w:val="15"/>
          <w:b w:val="1"/>
          <w:bCs w:val="1"/>
          <w:u w:val="single" w:color="auto"/>
          <w:color w:val="auto"/>
        </w:rPr>
        <w:t>Limitations on Exercise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This Option may not be exercised unless such exercise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in compliance with all applicable federal and state securities laws, as they are in effect on the date of exercise.</w:t>
      </w:r>
    </w:p>
    <w:p>
      <w:pPr>
        <w:spacing w:after="0" w:line="200" w:lineRule="exact"/>
        <w:rPr>
          <w:sz w:val="20"/>
          <w:szCs w:val="20"/>
          <w:color w:val="auto"/>
        </w:rPr>
      </w:pPr>
    </w:p>
    <w:p>
      <w:pPr>
        <w:spacing w:after="0" w:line="28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79" w:name="page480"/>
    <w:bookmarkEnd w:id="479"/>
    <w:p>
      <w:pPr>
        <w:jc w:val="both"/>
        <w:ind w:left="1220" w:right="1239" w:firstLine="1009"/>
        <w:spacing w:after="0" w:line="247" w:lineRule="auto"/>
        <w:rPr>
          <w:sz w:val="20"/>
          <w:szCs w:val="20"/>
          <w:color w:val="auto"/>
        </w:rPr>
      </w:pPr>
      <w:r>
        <w:rPr>
          <w:rFonts w:ascii="Times New Roman" w:cs="Times New Roman" w:eastAsia="Times New Roman" w:hAnsi="Times New Roman"/>
          <w:sz w:val="17"/>
          <w:szCs w:val="17"/>
          <w:b w:val="1"/>
          <w:bCs w:val="1"/>
          <w:color w:val="auto"/>
        </w:rPr>
        <w:t xml:space="preserve">4.3 </w:t>
      </w:r>
      <w:r>
        <w:rPr>
          <w:rFonts w:ascii="Times New Roman" w:cs="Times New Roman" w:eastAsia="Times New Roman" w:hAnsi="Times New Roman"/>
          <w:sz w:val="15"/>
          <w:szCs w:val="15"/>
          <w:b w:val="1"/>
          <w:bCs w:val="1"/>
          <w:u w:val="single" w:color="auto"/>
          <w:color w:val="auto"/>
        </w:rPr>
        <w:t>Payment</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The Exercise Agreement shall be accompanied by full payment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Exercise Price for the shares being purchased in cash (by check, Automated Clearing House (“</w:t>
      </w:r>
      <w:r>
        <w:rPr>
          <w:rFonts w:ascii="Times New Roman" w:cs="Times New Roman" w:eastAsia="Times New Roman" w:hAnsi="Times New Roman"/>
          <w:sz w:val="15"/>
          <w:szCs w:val="15"/>
          <w:b w:val="1"/>
          <w:bCs w:val="1"/>
          <w:i w:val="1"/>
          <w:iCs w:val="1"/>
          <w:color w:val="auto"/>
        </w:rPr>
        <w:t>ACH</w:t>
      </w:r>
      <w:r>
        <w:rPr>
          <w:rFonts w:ascii="Times New Roman" w:cs="Times New Roman" w:eastAsia="Times New Roman" w:hAnsi="Times New Roman"/>
          <w:sz w:val="15"/>
          <w:szCs w:val="15"/>
          <w:color w:val="auto"/>
        </w:rPr>
        <w:t>”) or wire transfer), or where permitted by law:</w:t>
      </w:r>
    </w:p>
    <w:p>
      <w:pPr>
        <w:spacing w:after="0" w:line="143" w:lineRule="exact"/>
        <w:rPr>
          <w:sz w:val="20"/>
          <w:szCs w:val="20"/>
          <w:color w:val="auto"/>
        </w:rPr>
      </w:pPr>
    </w:p>
    <w:p>
      <w:pPr>
        <w:ind w:left="3060" w:hanging="322"/>
        <w:spacing w:after="0"/>
        <w:tabs>
          <w:tab w:leader="none" w:pos="3060" w:val="left"/>
        </w:tabs>
        <w:numPr>
          <w:ilvl w:val="0"/>
          <w:numId w:val="3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cancellation of indebtedness of the Company owed to Optionee;</w:t>
      </w:r>
    </w:p>
    <w:p>
      <w:pPr>
        <w:spacing w:after="0" w:line="174" w:lineRule="exact"/>
        <w:rPr>
          <w:rFonts w:ascii="Times New Roman" w:cs="Times New Roman" w:eastAsia="Times New Roman" w:hAnsi="Times New Roman"/>
          <w:sz w:val="15"/>
          <w:szCs w:val="15"/>
          <w:color w:val="auto"/>
        </w:rPr>
      </w:pPr>
    </w:p>
    <w:p>
      <w:pPr>
        <w:jc w:val="both"/>
        <w:ind w:left="1220" w:right="1239" w:firstLine="1518"/>
        <w:spacing w:after="0" w:line="257" w:lineRule="auto"/>
        <w:tabs>
          <w:tab w:leader="none" w:pos="3079" w:val="left"/>
        </w:tabs>
        <w:numPr>
          <w:ilvl w:val="0"/>
          <w:numId w:val="3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surrender of shares of the Company that are free and clear of all security interests, pledges, liens, claims or encumbrances and: (i) for which the Company has received “full payment of the purchase price” within the meaning of SEC Rule 144 (and, if such shares were purchased from the Company by use of a promissory note, such note has been fully paid with respect to such shares) or (ii) that were obtained by Optionee in the public market;</w:t>
      </w:r>
    </w:p>
    <w:p>
      <w:pPr>
        <w:spacing w:after="0" w:line="138"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092" w:val="left"/>
        </w:tabs>
        <w:numPr>
          <w:ilvl w:val="0"/>
          <w:numId w:val="3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participating in a formal cashless exercise program implemented by the Committee in connection with the Plan;</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107" w:val="left"/>
        </w:tabs>
        <w:numPr>
          <w:ilvl w:val="0"/>
          <w:numId w:val="3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that a public market for the Common Stock exists and subject to compliance with applicable law, by exercising as set forth below, through a “same day sale” commitment from Optionee and a broker-dealer whereby Optionee irrevocably elects to exercise this Option and to sell a portion of the Shares so purchased sufficient to pay the total Exercise Price, and whereby the broker-dealer irrevocably commits upon receipt of such Shares to forward the total Exercise Price directly to the Company; or</w:t>
      </w:r>
    </w:p>
    <w:p>
      <w:pPr>
        <w:spacing w:after="0" w:line="136" w:lineRule="exact"/>
        <w:rPr>
          <w:rFonts w:ascii="Times New Roman" w:cs="Times New Roman" w:eastAsia="Times New Roman" w:hAnsi="Times New Roman"/>
          <w:sz w:val="15"/>
          <w:szCs w:val="15"/>
          <w:color w:val="auto"/>
        </w:rPr>
      </w:pPr>
    </w:p>
    <w:p>
      <w:pPr>
        <w:ind w:left="3180" w:hanging="442"/>
        <w:spacing w:after="0"/>
        <w:tabs>
          <w:tab w:leader="none" w:pos="3180" w:val="left"/>
        </w:tabs>
        <w:numPr>
          <w:ilvl w:val="0"/>
          <w:numId w:val="3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any combination of the foregoing or any other method of payment</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approved by the Committee that constitutes legal consideration for the issuance of Shares.</w:t>
      </w:r>
    </w:p>
    <w:p>
      <w:pPr>
        <w:spacing w:after="0" w:line="15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For avoidance of uncertainty: ACH transfers that have been received by the Company into its bank account designated for receipt of such transfers shall be deemed to have been received for all purposes of this Option as of the date on which such transfers were initiated from the Optionee’s account and made irrevocable by Optionee.</w:t>
      </w:r>
    </w:p>
    <w:p>
      <w:pPr>
        <w:spacing w:after="0" w:line="125"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4.4 </w:t>
      </w:r>
      <w:r>
        <w:rPr>
          <w:rFonts w:ascii="Times New Roman" w:cs="Times New Roman" w:eastAsia="Times New Roman" w:hAnsi="Times New Roman"/>
          <w:sz w:val="15"/>
          <w:szCs w:val="15"/>
          <w:b w:val="1"/>
          <w:bCs w:val="1"/>
          <w:u w:val="single" w:color="auto"/>
          <w:color w:val="auto"/>
        </w:rPr>
        <w:t>Tax Withholding</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Prior to the issuance of the Shares upon exercise of the Option,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Optionee must pay or provide for foreign, federal, state and local income tax, social insurance, payroll tax, fringe benefits tax, payment on account withholding and other tax-related items related to Optionee’s participation in the Plan and legally applicable to Optionee, including, as applicable, obligations of the Company (all the foregoing tax-related items, “</w:t>
      </w:r>
      <w:r>
        <w:rPr>
          <w:rFonts w:ascii="Times New Roman" w:cs="Times New Roman" w:eastAsia="Times New Roman" w:hAnsi="Times New Roman"/>
          <w:sz w:val="15"/>
          <w:szCs w:val="15"/>
          <w:b w:val="1"/>
          <w:bCs w:val="1"/>
          <w:i w:val="1"/>
          <w:iCs w:val="1"/>
          <w:color w:val="auto"/>
        </w:rPr>
        <w:t>Tax-Related Items</w:t>
      </w:r>
      <w:r>
        <w:rPr>
          <w:rFonts w:ascii="Times New Roman" w:cs="Times New Roman" w:eastAsia="Times New Roman" w:hAnsi="Times New Roman"/>
          <w:sz w:val="15"/>
          <w:szCs w:val="15"/>
          <w:color w:val="auto"/>
        </w:rPr>
        <w:t>”). If the Committee permits, Optionee may provide for payment of withholding taxes upon exercise of the Option by requesting that the Company retain the number of Shares with a Fair Market Value equal to the amount of taxes required to be withheld; or to arrange a mandatory “sell to cover” on Optionee’s behalf (without further authorization); but in no event will the Company withhold Shares or “sell to cover” if such withholding would result in adverse accounting consequences to the Company. In case of stock withholding or a sell to cover, the Company shall issue the net number of Shares to Optionee by deducting the Shares retained from the Shares issuable upon exercise. The Company may withhold or account for Tax-Related Items by considering applicable minimum statutory withholding rates or other applicable statutory rates in Optionee’s country, including maximum applicable rates.</w:t>
      </w:r>
    </w:p>
    <w:p>
      <w:pPr>
        <w:spacing w:after="0" w:line="138"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7"/>
          <w:szCs w:val="17"/>
          <w:b w:val="1"/>
          <w:bCs w:val="1"/>
          <w:color w:val="auto"/>
        </w:rPr>
        <w:t xml:space="preserve">4.5 </w:t>
      </w:r>
      <w:r>
        <w:rPr>
          <w:rFonts w:ascii="Times New Roman" w:cs="Times New Roman" w:eastAsia="Times New Roman" w:hAnsi="Times New Roman"/>
          <w:sz w:val="15"/>
          <w:szCs w:val="15"/>
          <w:b w:val="1"/>
          <w:bCs w:val="1"/>
          <w:u w:val="single" w:color="auto"/>
          <w:color w:val="auto"/>
        </w:rPr>
        <w:t>Issuance of Shares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Provided that the Exercise Agreement and payment are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form and substance satisfactory to counsel for the Company, the Company shall issue the Shares issuable upon a valid exercise of this Option registered in the name of Optionee, Optionee’s authorized assignee, or Optionee’s legal representative, and shall deliver certificates representing the Shares with the appropriate legends affixed thereto.</w:t>
      </w:r>
    </w:p>
    <w:p>
      <w:pPr>
        <w:spacing w:after="0" w:line="29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480" w:name="page481"/>
    <w:bookmarkEnd w:id="480"/>
    <w:p>
      <w:pPr>
        <w:ind w:left="1220" w:right="1239" w:firstLine="509"/>
        <w:spacing w:after="0" w:line="253" w:lineRule="auto"/>
        <w:tabs>
          <w:tab w:leader="none" w:pos="2177" w:val="left"/>
        </w:tabs>
        <w:numPr>
          <w:ilvl w:val="0"/>
          <w:numId w:val="3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COMPLIANCE WITH LAWS AND REGULATIONS. </w:t>
      </w:r>
      <w:r>
        <w:rPr>
          <w:rFonts w:ascii="Times New Roman" w:cs="Times New Roman" w:eastAsia="Times New Roman" w:hAnsi="Times New Roman"/>
          <w:sz w:val="15"/>
          <w:szCs w:val="15"/>
          <w:color w:val="auto"/>
        </w:rPr>
        <w:t>The Plan and this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are intended to comply with Section 25102(o) and Rule 701. Any provision of this Agreement that is inconsistent with Section 25102(o) or Rule 701 shall, without further act or amendment by the Company or the Committee, be reformed to comply with the requirements of Section 25102(o) and/or Rule 701. The exercise of this Option and the issuance and transfer of Shares shall be subject to compliance by the Company and Optionee with all applicable requirements of federal and state securities laws and with all applicable requirements of any stock exchange on which the Common Stock may be listed at the time of such issuance or transfer. Optionee understands that the Company is under no obligation to register or qualify the Shares with the SEC, any state securities commission or any stock exchange to effect such compliance.</w:t>
      </w:r>
    </w:p>
    <w:p>
      <w:pPr>
        <w:spacing w:after="0" w:line="136" w:lineRule="exact"/>
        <w:rPr>
          <w:rFonts w:ascii="Times New Roman" w:cs="Times New Roman" w:eastAsia="Times New Roman" w:hAnsi="Times New Roman"/>
          <w:sz w:val="15"/>
          <w:szCs w:val="15"/>
          <w:b w:val="1"/>
          <w:bCs w:val="1"/>
          <w:color w:val="auto"/>
        </w:rPr>
      </w:pPr>
    </w:p>
    <w:p>
      <w:pPr>
        <w:jc w:val="both"/>
        <w:ind w:left="1220" w:right="1239" w:firstLine="509"/>
        <w:spacing w:after="0" w:line="255" w:lineRule="auto"/>
        <w:tabs>
          <w:tab w:leader="none" w:pos="2200" w:val="left"/>
        </w:tabs>
        <w:numPr>
          <w:ilvl w:val="0"/>
          <w:numId w:val="3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NONTRANSFERABILITY OF OPTION. </w:t>
      </w:r>
      <w:r>
        <w:rPr>
          <w:rFonts w:ascii="Times New Roman" w:cs="Times New Roman" w:eastAsia="Times New Roman" w:hAnsi="Times New Roman"/>
          <w:sz w:val="15"/>
          <w:szCs w:val="15"/>
          <w:color w:val="auto"/>
        </w:rPr>
        <w:t>This Option may not be transferred in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manner other than by will or by the laws of descent and distribution, and, with respect to NQSOs, by instrument to a testamentary trust in which the options are to be passed to beneficiaries upon the death of the trustor (settlor) or a revocable trust, or by gift to “immediate family” as that term is defined in 17 C.F.R. 240.16a-1(e), and may be exercised during the lifetime of Optionee only by Optionee or in the event of Optionee’s incapacity, by Optionee’s legal representative. The terms of this Option shall be binding upon the executors, administrators, successors and assigns of Optionee.</w:t>
      </w:r>
    </w:p>
    <w:p>
      <w:pPr>
        <w:spacing w:after="0" w:line="136" w:lineRule="exact"/>
        <w:rPr>
          <w:rFonts w:ascii="Times New Roman" w:cs="Times New Roman" w:eastAsia="Times New Roman" w:hAnsi="Times New Roman"/>
          <w:sz w:val="15"/>
          <w:szCs w:val="15"/>
          <w:b w:val="1"/>
          <w:bCs w:val="1"/>
          <w:color w:val="auto"/>
        </w:rPr>
      </w:pPr>
    </w:p>
    <w:p>
      <w:pPr>
        <w:ind w:left="2120" w:hanging="391"/>
        <w:spacing w:after="0"/>
        <w:tabs>
          <w:tab w:leader="none" w:pos="2120" w:val="left"/>
        </w:tabs>
        <w:numPr>
          <w:ilvl w:val="0"/>
          <w:numId w:val="39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RESTRICTIONS ON TRANSFER.</w:t>
      </w:r>
    </w:p>
    <w:p>
      <w:pPr>
        <w:spacing w:after="0" w:line="170"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7"/>
          <w:szCs w:val="17"/>
          <w:b w:val="1"/>
          <w:bCs w:val="1"/>
          <w:color w:val="auto"/>
        </w:rPr>
        <w:t xml:space="preserve">7.1 </w:t>
      </w:r>
      <w:r>
        <w:rPr>
          <w:rFonts w:ascii="Times New Roman" w:cs="Times New Roman" w:eastAsia="Times New Roman" w:hAnsi="Times New Roman"/>
          <w:sz w:val="15"/>
          <w:szCs w:val="15"/>
          <w:b w:val="1"/>
          <w:bCs w:val="1"/>
          <w:u w:val="single" w:color="auto"/>
          <w:color w:val="auto"/>
        </w:rPr>
        <w:t>Disposition of Shares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Optionee hereby agrees that Optionee shall make no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disposition of any of the Shares (other than as permitted by this Agreement and the Company’s Bylaws (the “</w:t>
      </w:r>
      <w:r>
        <w:rPr>
          <w:rFonts w:ascii="Times New Roman" w:cs="Times New Roman" w:eastAsia="Times New Roman" w:hAnsi="Times New Roman"/>
          <w:sz w:val="15"/>
          <w:szCs w:val="15"/>
          <w:b w:val="1"/>
          <w:bCs w:val="1"/>
          <w:i w:val="1"/>
          <w:iCs w:val="1"/>
          <w:color w:val="auto"/>
        </w:rPr>
        <w:t>Bylaws</w:t>
      </w:r>
      <w:r>
        <w:rPr>
          <w:rFonts w:ascii="Times New Roman" w:cs="Times New Roman" w:eastAsia="Times New Roman" w:hAnsi="Times New Roman"/>
          <w:sz w:val="15"/>
          <w:szCs w:val="15"/>
          <w:color w:val="auto"/>
        </w:rPr>
        <w:t>”)) unless and until:</w:t>
      </w:r>
    </w:p>
    <w:p>
      <w:pPr>
        <w:spacing w:after="0" w:line="133" w:lineRule="exact"/>
        <w:rPr>
          <w:sz w:val="20"/>
          <w:szCs w:val="20"/>
          <w:color w:val="auto"/>
        </w:rPr>
      </w:pPr>
    </w:p>
    <w:p>
      <w:pPr>
        <w:ind w:left="3100" w:hanging="362"/>
        <w:spacing w:after="0"/>
        <w:tabs>
          <w:tab w:leader="none" w:pos="3100" w:val="left"/>
        </w:tabs>
        <w:numPr>
          <w:ilvl w:val="0"/>
          <w:numId w:val="3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notified the Company of the proposed disposition and</w:t>
      </w:r>
    </w:p>
    <w:p>
      <w:pPr>
        <w:spacing w:after="0" w:line="22" w:lineRule="exact"/>
        <w:rPr>
          <w:rFonts w:ascii="Times New Roman" w:cs="Times New Roman" w:eastAsia="Times New Roman" w:hAnsi="Times New Roman"/>
          <w:sz w:val="15"/>
          <w:szCs w:val="15"/>
          <w:color w:val="auto"/>
        </w:rPr>
      </w:pPr>
    </w:p>
    <w:p>
      <w:pPr>
        <w:ind w:left="122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provided a written summary of the terms and conditions of the proposed disposition;</w:t>
      </w:r>
    </w:p>
    <w:p>
      <w:pPr>
        <w:spacing w:after="0" w:line="158" w:lineRule="exact"/>
        <w:rPr>
          <w:rFonts w:ascii="Times New Roman" w:cs="Times New Roman" w:eastAsia="Times New Roman" w:hAnsi="Times New Roman"/>
          <w:sz w:val="15"/>
          <w:szCs w:val="15"/>
          <w:color w:val="auto"/>
        </w:rPr>
      </w:pPr>
    </w:p>
    <w:p>
      <w:pPr>
        <w:ind w:left="1220" w:right="1239" w:firstLine="1518"/>
        <w:spacing w:after="0" w:line="285" w:lineRule="auto"/>
        <w:tabs>
          <w:tab w:leader="none" w:pos="3100" w:val="left"/>
        </w:tabs>
        <w:numPr>
          <w:ilvl w:val="0"/>
          <w:numId w:val="3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complied with all requirements of this Agreement and the Bylaws applicable to the disposition of the Shares;</w:t>
      </w:r>
    </w:p>
    <w:p>
      <w:pPr>
        <w:spacing w:after="0" w:line="115" w:lineRule="exact"/>
        <w:rPr>
          <w:rFonts w:ascii="Times New Roman" w:cs="Times New Roman" w:eastAsia="Times New Roman" w:hAnsi="Times New Roman"/>
          <w:sz w:val="15"/>
          <w:szCs w:val="15"/>
          <w:color w:val="auto"/>
        </w:rPr>
      </w:pPr>
    </w:p>
    <w:p>
      <w:pPr>
        <w:jc w:val="both"/>
        <w:ind w:left="1220" w:right="1239" w:firstLine="1518"/>
        <w:spacing w:after="0" w:line="256" w:lineRule="auto"/>
        <w:tabs>
          <w:tab w:leader="none" w:pos="3065" w:val="left"/>
        </w:tabs>
        <w:numPr>
          <w:ilvl w:val="0"/>
          <w:numId w:val="3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provided the Company with written assurances, in form and substance satisfactory to counsel for the Company, that (i) the proposed disposition does not require registration of the Shares under the Securities Act or under any applicable state securities laws or (ii) all appropriate actions necessary for compliance with the registration requirements of the Securities Act or of any exemption from registration available under the Securities Act (including Rule 144) or applicable state securities laws have been taken; and</w:t>
      </w:r>
    </w:p>
    <w:p>
      <w:pPr>
        <w:spacing w:after="0" w:line="136" w:lineRule="exact"/>
        <w:rPr>
          <w:rFonts w:ascii="Times New Roman" w:cs="Times New Roman" w:eastAsia="Times New Roman" w:hAnsi="Times New Roman"/>
          <w:sz w:val="15"/>
          <w:szCs w:val="15"/>
          <w:color w:val="auto"/>
        </w:rPr>
      </w:pPr>
    </w:p>
    <w:p>
      <w:pPr>
        <w:jc w:val="both"/>
        <w:ind w:left="1220" w:right="1239" w:firstLine="1518"/>
        <w:spacing w:after="0" w:line="254" w:lineRule="auto"/>
        <w:tabs>
          <w:tab w:leader="none" w:pos="3070" w:val="left"/>
        </w:tabs>
        <w:numPr>
          <w:ilvl w:val="0"/>
          <w:numId w:val="3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have provided the Company with written assurances, in form and substance satisfactory to the Company, that the proposed disposition will not result in the contravention of any transfer restrictions applicable to the Shares pursuant to the provisions of the regulations promulgated under Section 25102(o), Rule 701 or under any other applicable securities laws or adversely affect the Company’s ability to rely on the exemption(s) from registration under the Securities Act or under any other applicable securities laws for the grant of the Option, the issuance of Shares thereunder or any other issuance of securities under the Plan.</w:t>
      </w:r>
    </w:p>
    <w:p>
      <w:pPr>
        <w:spacing w:after="0" w:line="133" w:lineRule="exact"/>
        <w:rPr>
          <w:sz w:val="20"/>
          <w:szCs w:val="20"/>
          <w:color w:val="auto"/>
        </w:rPr>
      </w:pPr>
    </w:p>
    <w:p>
      <w:pPr>
        <w:jc w:val="both"/>
        <w:ind w:left="1220" w:right="1239" w:firstLine="1009"/>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5"/>
          <w:szCs w:val="15"/>
          <w:b w:val="1"/>
          <w:bCs w:val="1"/>
          <w:u w:val="single" w:color="auto"/>
          <w:color w:val="auto"/>
        </w:rPr>
        <w:t>Restriction on Transfer</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Optionee shall not transfer, assign, grant a lien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security interest in, pledge, hypothecate, encumber or otherwise dispose of any of the Shares which are subject to the restrictions on transfer set forth in the Bylaws and the Company’s Right of First Refusal described below, except as permitted by this Agreement.</w:t>
      </w:r>
    </w:p>
    <w:p>
      <w:pPr>
        <w:spacing w:after="0" w:line="29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81" w:name="page482"/>
    <w:bookmarkEnd w:id="481"/>
    <w:p>
      <w:pPr>
        <w:jc w:val="both"/>
        <w:ind w:left="1220" w:right="1239" w:firstLine="1009"/>
        <w:spacing w:after="0" w:line="253" w:lineRule="auto"/>
        <w:rPr>
          <w:sz w:val="20"/>
          <w:szCs w:val="20"/>
          <w:color w:val="auto"/>
        </w:rPr>
      </w:pPr>
      <w:r>
        <w:rPr>
          <w:rFonts w:ascii="Times New Roman" w:cs="Times New Roman" w:eastAsia="Times New Roman" w:hAnsi="Times New Roman"/>
          <w:sz w:val="17"/>
          <w:szCs w:val="17"/>
          <w:b w:val="1"/>
          <w:bCs w:val="1"/>
          <w:color w:val="auto"/>
        </w:rPr>
        <w:t xml:space="preserve">7.3 </w:t>
      </w:r>
      <w:r>
        <w:rPr>
          <w:rFonts w:ascii="Times New Roman" w:cs="Times New Roman" w:eastAsia="Times New Roman" w:hAnsi="Times New Roman"/>
          <w:sz w:val="15"/>
          <w:szCs w:val="15"/>
          <w:b w:val="1"/>
          <w:bCs w:val="1"/>
          <w:u w:val="single" w:color="auto"/>
          <w:color w:val="auto"/>
        </w:rPr>
        <w:t>Transferee Obligations</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Each person (other than the Company) to whom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color w:val="auto"/>
        </w:rPr>
        <w:t>Shares are transferred by means of one of the permitted transfers specified in this Agreement must, as a condition precedent to the validity of such transfer, acknowledge in writing to the Company that such person is bound by the provisions of this Agreement and that the transferred Shares are subject to (i) the restrictions on transfer set forth in the Bylaws, (ii) the Company’s Right of First Refusal granted hereunder and (iii) the market stand-off provisions of Section 8 below, to the same extent such Shares would be so subject if retained by Optionee.</w:t>
      </w:r>
    </w:p>
    <w:p>
      <w:pPr>
        <w:spacing w:after="0" w:line="137" w:lineRule="exact"/>
        <w:rPr>
          <w:sz w:val="20"/>
          <w:szCs w:val="20"/>
          <w:color w:val="auto"/>
        </w:rPr>
      </w:pPr>
    </w:p>
    <w:p>
      <w:pPr>
        <w:jc w:val="both"/>
        <w:ind w:left="1220" w:right="1239" w:firstLine="509"/>
        <w:spacing w:after="0" w:line="250" w:lineRule="auto"/>
        <w:tabs>
          <w:tab w:leader="none" w:pos="2246" w:val="left"/>
        </w:tabs>
        <w:numPr>
          <w:ilvl w:val="0"/>
          <w:numId w:val="3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MARKET STANDOFF AGREEMENT. </w:t>
      </w:r>
      <w:r>
        <w:rPr>
          <w:rFonts w:ascii="Times New Roman" w:cs="Times New Roman" w:eastAsia="Times New Roman" w:hAnsi="Times New Roman"/>
          <w:sz w:val="15"/>
          <w:szCs w:val="15"/>
          <w:color w:val="auto"/>
        </w:rPr>
        <w:t>Optionee agrees that, subject to any early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release provisions that apply pro rata to stockholders of the Company according to their holdings of Common Stock (determined on an as-converted into Common Stock basis), Optionee will not, for a period of up to one hundred eighty (180) days (plus up to an additional thirty five (35) days to the extent reasonably requested by the Company or such underwriter(s) to accommodate regulatory restrictions on the publication or other distribution of research reports or earnings releases by the Company, including NASD and NYSE rules) following the effective date of the registration statement filed with the SEC relating to the initial underwritten sale of Common Stock of the Company to the public under the Securities Act (the “</w:t>
      </w:r>
      <w:r>
        <w:rPr>
          <w:rFonts w:ascii="Times New Roman" w:cs="Times New Roman" w:eastAsia="Times New Roman" w:hAnsi="Times New Roman"/>
          <w:sz w:val="15"/>
          <w:szCs w:val="15"/>
          <w:b w:val="1"/>
          <w:bCs w:val="1"/>
          <w:i w:val="1"/>
          <w:iCs w:val="1"/>
          <w:color w:val="auto"/>
        </w:rPr>
        <w:t>IPO</w:t>
      </w:r>
      <w:r>
        <w:rPr>
          <w:rFonts w:ascii="Times New Roman" w:cs="Times New Roman" w:eastAsia="Times New Roman" w:hAnsi="Times New Roman"/>
          <w:sz w:val="15"/>
          <w:szCs w:val="15"/>
          <w:color w:val="auto"/>
        </w:rPr>
        <w:t xml:space="preserve">”), directly or indirectly sell, offer to sell, grant any option for the sale of, or otherwise dispose of any Common Stock or securities convertible into Common Stock, </w:t>
      </w:r>
      <w:r>
        <w:rPr>
          <w:rFonts w:ascii="Times New Roman" w:cs="Times New Roman" w:eastAsia="Times New Roman" w:hAnsi="Times New Roman"/>
          <w:sz w:val="15"/>
          <w:szCs w:val="15"/>
          <w:u w:val="single" w:color="auto"/>
          <w:color w:val="auto"/>
        </w:rPr>
        <w:t>except for:</w:t>
      </w:r>
      <w:r>
        <w:rPr>
          <w:rFonts w:ascii="Times New Roman" w:cs="Times New Roman" w:eastAsia="Times New Roman" w:hAnsi="Times New Roman"/>
          <w:sz w:val="15"/>
          <w:szCs w:val="15"/>
          <w:color w:val="auto"/>
        </w:rPr>
        <w:t xml:space="preserve"> (i) transfers of Shares permitted under Section 9.6 hereof so long as such transferee furnishes to the Company and the managing underwriter their written consent to be bound by this Section 8 as a condition precedent to such transfer; and (ii) sales of any securities to be included in the registration statement for the IPO. For the avoidance of doubt, the provisions of this Section shall only apply to the IPO. The restricted period shall in any event terminate two (2) years after the closing date of the IPO. In order to enforce the foregoing covenant, the Company shall have the right to place restrictive legends on the certificates representing the Shares subject to this Section and to impose stop transfer instructions with respect to the Shares until the end of such period. Optionee further agrees to enter into any agreement reasonably required by the underwriters to implement the foregoing restrictions on transfer. For the avoidance of doubt, the foregoing provisions of this Section shall not apply to any registration of securities of the Company (a) under an employee benefit plan or (b) in a merger, consolidation, business combination or similar transaction.</w:t>
      </w:r>
    </w:p>
    <w:p>
      <w:pPr>
        <w:spacing w:after="0" w:line="326" w:lineRule="exact"/>
        <w:rPr>
          <w:rFonts w:ascii="Times New Roman" w:cs="Times New Roman" w:eastAsia="Times New Roman" w:hAnsi="Times New Roman"/>
          <w:sz w:val="15"/>
          <w:szCs w:val="15"/>
          <w:b w:val="1"/>
          <w:bCs w:val="1"/>
          <w:color w:val="auto"/>
        </w:rPr>
      </w:pPr>
    </w:p>
    <w:p>
      <w:pPr>
        <w:jc w:val="both"/>
        <w:ind w:left="1220" w:right="1239" w:firstLine="509"/>
        <w:spacing w:after="0" w:line="257" w:lineRule="auto"/>
        <w:tabs>
          <w:tab w:leader="none" w:pos="2131" w:val="left"/>
        </w:tabs>
        <w:numPr>
          <w:ilvl w:val="0"/>
          <w:numId w:val="39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COMPANY’S RIGHT OF FIRST REFUSAL. </w:t>
      </w:r>
      <w:r>
        <w:rPr>
          <w:rFonts w:ascii="Times New Roman" w:cs="Times New Roman" w:eastAsia="Times New Roman" w:hAnsi="Times New Roman"/>
          <w:sz w:val="15"/>
          <w:szCs w:val="15"/>
          <w:color w:val="auto"/>
        </w:rPr>
        <w:t>Subject to the restrictions on transfer set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forth in the Bylaws, before any Shares held by Optionee or any transferee of such Shares (either sometimes referred to herein as the “</w:t>
      </w:r>
      <w:r>
        <w:rPr>
          <w:rFonts w:ascii="Times New Roman" w:cs="Times New Roman" w:eastAsia="Times New Roman" w:hAnsi="Times New Roman"/>
          <w:sz w:val="15"/>
          <w:szCs w:val="15"/>
          <w:b w:val="1"/>
          <w:bCs w:val="1"/>
          <w:i w:val="1"/>
          <w:iCs w:val="1"/>
          <w:color w:val="auto"/>
        </w:rPr>
        <w:t>Holder”</w:t>
      </w:r>
      <w:r>
        <w:rPr>
          <w:rFonts w:ascii="Times New Roman" w:cs="Times New Roman" w:eastAsia="Times New Roman" w:hAnsi="Times New Roman"/>
          <w:sz w:val="15"/>
          <w:szCs w:val="15"/>
          <w:color w:val="auto"/>
        </w:rPr>
        <w:t>) may be sold or otherwise transferred (including, without limitation, a transfer by gift or operation of law), the Company and/or its assignee(s) will have a right of first refusal to purchase the Shares to be sold or transferred (the “</w:t>
      </w:r>
      <w:r>
        <w:rPr>
          <w:rFonts w:ascii="Times New Roman" w:cs="Times New Roman" w:eastAsia="Times New Roman" w:hAnsi="Times New Roman"/>
          <w:sz w:val="15"/>
          <w:szCs w:val="15"/>
          <w:b w:val="1"/>
          <w:bCs w:val="1"/>
          <w:i w:val="1"/>
          <w:iCs w:val="1"/>
          <w:color w:val="auto"/>
        </w:rPr>
        <w:t>Offered Shares”</w:t>
      </w:r>
      <w:r>
        <w:rPr>
          <w:rFonts w:ascii="Times New Roman" w:cs="Times New Roman" w:eastAsia="Times New Roman" w:hAnsi="Times New Roman"/>
          <w:sz w:val="15"/>
          <w:szCs w:val="15"/>
          <w:color w:val="auto"/>
        </w:rPr>
        <w:t>) on the terms and conditions set forth in this Section (the “</w:t>
      </w:r>
      <w:r>
        <w:rPr>
          <w:rFonts w:ascii="Times New Roman" w:cs="Times New Roman" w:eastAsia="Times New Roman" w:hAnsi="Times New Roman"/>
          <w:sz w:val="15"/>
          <w:szCs w:val="15"/>
          <w:b w:val="1"/>
          <w:bCs w:val="1"/>
          <w:i w:val="1"/>
          <w:iCs w:val="1"/>
          <w:color w:val="auto"/>
        </w:rPr>
        <w:t>Right of First Refusal”</w:t>
      </w:r>
      <w:r>
        <w:rPr>
          <w:rFonts w:ascii="Times New Roman" w:cs="Times New Roman" w:eastAsia="Times New Roman" w:hAnsi="Times New Roman"/>
          <w:sz w:val="15"/>
          <w:szCs w:val="15"/>
          <w:color w:val="auto"/>
        </w:rPr>
        <w:t>).</w:t>
      </w:r>
    </w:p>
    <w:p>
      <w:pPr>
        <w:spacing w:after="0" w:line="132"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9.1. </w:t>
      </w:r>
      <w:r>
        <w:rPr>
          <w:rFonts w:ascii="Times New Roman" w:cs="Times New Roman" w:eastAsia="Times New Roman" w:hAnsi="Times New Roman"/>
          <w:sz w:val="15"/>
          <w:szCs w:val="15"/>
          <w:b w:val="1"/>
          <w:bCs w:val="1"/>
          <w:u w:val="single" w:color="auto"/>
          <w:color w:val="auto"/>
        </w:rPr>
        <w:t>Notice of Proposed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Holder of the Offered Shares will deliver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Company a written notice (the “</w:t>
      </w:r>
      <w:r>
        <w:rPr>
          <w:rFonts w:ascii="Times New Roman" w:cs="Times New Roman" w:eastAsia="Times New Roman" w:hAnsi="Times New Roman"/>
          <w:sz w:val="15"/>
          <w:szCs w:val="15"/>
          <w:b w:val="1"/>
          <w:bCs w:val="1"/>
          <w:i w:val="1"/>
          <w:iCs w:val="1"/>
          <w:color w:val="auto"/>
        </w:rPr>
        <w:t>Notice”</w:t>
      </w:r>
      <w:r>
        <w:rPr>
          <w:rFonts w:ascii="Times New Roman" w:cs="Times New Roman" w:eastAsia="Times New Roman" w:hAnsi="Times New Roman"/>
          <w:sz w:val="15"/>
          <w:szCs w:val="15"/>
          <w:color w:val="auto"/>
        </w:rPr>
        <w:t>) stating: (i) the Holder’s bona fide intention to sell or otherwise transfer the Offered Shares; (ii) the name and address of each proposed purchaser or other transferee (the “</w:t>
      </w:r>
      <w:r>
        <w:rPr>
          <w:rFonts w:ascii="Times New Roman" w:cs="Times New Roman" w:eastAsia="Times New Roman" w:hAnsi="Times New Roman"/>
          <w:sz w:val="15"/>
          <w:szCs w:val="15"/>
          <w:b w:val="1"/>
          <w:bCs w:val="1"/>
          <w:i w:val="1"/>
          <w:iCs w:val="1"/>
          <w:color w:val="auto"/>
        </w:rPr>
        <w:t>Proposed Transferee”</w:t>
      </w:r>
      <w:r>
        <w:rPr>
          <w:rFonts w:ascii="Times New Roman" w:cs="Times New Roman" w:eastAsia="Times New Roman" w:hAnsi="Times New Roman"/>
          <w:sz w:val="15"/>
          <w:szCs w:val="15"/>
          <w:color w:val="auto"/>
        </w:rPr>
        <w:t>); (iii) the number of Offered Shares to be transferred to each Proposed Transferee; (iv) the bona fide cash price or other consideration for which the Holder proposes to transfer the Offered Shares (the “</w:t>
      </w:r>
      <w:r>
        <w:rPr>
          <w:rFonts w:ascii="Times New Roman" w:cs="Times New Roman" w:eastAsia="Times New Roman" w:hAnsi="Times New Roman"/>
          <w:sz w:val="15"/>
          <w:szCs w:val="15"/>
          <w:b w:val="1"/>
          <w:bCs w:val="1"/>
          <w:i w:val="1"/>
          <w:iCs w:val="1"/>
          <w:color w:val="auto"/>
        </w:rPr>
        <w:t>Offered Price”</w:t>
      </w:r>
      <w:r>
        <w:rPr>
          <w:rFonts w:ascii="Times New Roman" w:cs="Times New Roman" w:eastAsia="Times New Roman" w:hAnsi="Times New Roman"/>
          <w:sz w:val="15"/>
          <w:szCs w:val="15"/>
          <w:color w:val="auto"/>
        </w:rPr>
        <w:t>); and (v) that the Holder acknowledges this Notice is an offer to sell the Offered Shares to the Company and/or its assignee(s) pursuant to the Company’s Right of First Refusal at the Offered Price as provided for in this Agreement.</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482" w:name="page483"/>
    <w:bookmarkEnd w:id="482"/>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9.2. </w:t>
      </w:r>
      <w:r>
        <w:rPr>
          <w:rFonts w:ascii="Times New Roman" w:cs="Times New Roman" w:eastAsia="Times New Roman" w:hAnsi="Times New Roman"/>
          <w:sz w:val="15"/>
          <w:szCs w:val="15"/>
          <w:b w:val="1"/>
          <w:bCs w:val="1"/>
          <w:u w:val="single" w:color="auto"/>
          <w:color w:val="auto"/>
        </w:rPr>
        <w:t>Exercise of Right of First Refusal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At any time within thirty (30) days after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of the Notice, the Company and/or its assignee(s) may, by giving written notice to the Holder, elect to purchase all (or, with the consent of the Holder, less than all) the Offered Shares proposed to be transferred to any one or more of the Proposed Transferees named in the Notice, at the purchase price, determined as specified below.</w:t>
      </w:r>
    </w:p>
    <w:p>
      <w:pPr>
        <w:spacing w:after="0" w:line="131" w:lineRule="exact"/>
        <w:rPr>
          <w:sz w:val="20"/>
          <w:szCs w:val="20"/>
          <w:color w:val="auto"/>
        </w:rPr>
      </w:pPr>
    </w:p>
    <w:p>
      <w:pPr>
        <w:jc w:val="both"/>
        <w:ind w:left="1220" w:right="1239" w:firstLine="1009"/>
        <w:spacing w:after="0" w:line="257" w:lineRule="auto"/>
        <w:rPr>
          <w:sz w:val="20"/>
          <w:szCs w:val="20"/>
          <w:color w:val="auto"/>
        </w:rPr>
      </w:pPr>
      <w:r>
        <w:rPr>
          <w:rFonts w:ascii="Times New Roman" w:cs="Times New Roman" w:eastAsia="Times New Roman" w:hAnsi="Times New Roman"/>
          <w:sz w:val="15"/>
          <w:szCs w:val="15"/>
          <w:b w:val="1"/>
          <w:bCs w:val="1"/>
          <w:color w:val="auto"/>
        </w:rPr>
        <w:t xml:space="preserve">9.3. </w:t>
      </w:r>
      <w:r>
        <w:rPr>
          <w:rFonts w:ascii="Times New Roman" w:cs="Times New Roman" w:eastAsia="Times New Roman" w:hAnsi="Times New Roman"/>
          <w:sz w:val="15"/>
          <w:szCs w:val="15"/>
          <w:b w:val="1"/>
          <w:bCs w:val="1"/>
          <w:u w:val="single" w:color="auto"/>
          <w:color w:val="auto"/>
        </w:rPr>
        <w:t>Purchase Price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purchase price for the Offered Shares purchased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Section will be the Offered Price,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if the Offered Price consists of no legal consideration (as, for example, in the case of a transfer by gift) then the purchase price will be the fair market value of the Offered Shares as determined in good faith by the Committee. If the Offered Price includes consideration other than cash, then the value of the non-cash consideration, as determined in good faith by the Committee, will conclusively be deemed to be the cash equivalent value of such non-cash consideration.</w:t>
      </w:r>
    </w:p>
    <w:p>
      <w:pPr>
        <w:spacing w:after="0" w:line="132" w:lineRule="exact"/>
        <w:rPr>
          <w:sz w:val="20"/>
          <w:szCs w:val="20"/>
          <w:color w:val="auto"/>
        </w:rPr>
      </w:pPr>
    </w:p>
    <w:p>
      <w:pPr>
        <w:jc w:val="both"/>
        <w:ind w:left="1220" w:right="1239" w:firstLine="1009"/>
        <w:spacing w:after="0" w:line="256" w:lineRule="auto"/>
        <w:rPr>
          <w:sz w:val="20"/>
          <w:szCs w:val="20"/>
          <w:color w:val="auto"/>
        </w:rPr>
      </w:pPr>
      <w:r>
        <w:rPr>
          <w:rFonts w:ascii="Times New Roman" w:cs="Times New Roman" w:eastAsia="Times New Roman" w:hAnsi="Times New Roman"/>
          <w:sz w:val="15"/>
          <w:szCs w:val="15"/>
          <w:b w:val="1"/>
          <w:bCs w:val="1"/>
          <w:color w:val="auto"/>
        </w:rPr>
        <w:t xml:space="preserve">9.4. </w:t>
      </w:r>
      <w:r>
        <w:rPr>
          <w:rFonts w:ascii="Times New Roman" w:cs="Times New Roman" w:eastAsia="Times New Roman" w:hAnsi="Times New Roman"/>
          <w:sz w:val="15"/>
          <w:szCs w:val="15"/>
          <w:b w:val="1"/>
          <w:bCs w:val="1"/>
          <w:u w:val="single" w:color="auto"/>
          <w:color w:val="auto"/>
        </w:rPr>
        <w:t>Payment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Payment of the purchase price for the Offered Shares will be payable, at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option of the Company and/or its assignee(s) (as applicable), by check or by cancellation of all or a portion of any outstanding purchase money indebtedness owed by the Holder to the Company (or to such assignee, in the case of a purchase of Offered Shares by such assignee) or by any combination thereof. The purchase price will be paid without interest within sixty (60) days after the Company’s receipt of the Notice, or, at the option of the Company and/or its assignee(s), in the manner and at the time(s) set forth in the Notice.</w:t>
      </w:r>
    </w:p>
    <w:p>
      <w:pPr>
        <w:spacing w:after="0" w:line="315" w:lineRule="exact"/>
        <w:rPr>
          <w:sz w:val="20"/>
          <w:szCs w:val="20"/>
          <w:color w:val="auto"/>
        </w:rPr>
      </w:pPr>
    </w:p>
    <w:p>
      <w:pPr>
        <w:jc w:val="both"/>
        <w:ind w:left="1220" w:right="1239" w:firstLine="1009"/>
        <w:spacing w:after="0" w:line="252" w:lineRule="auto"/>
        <w:rPr>
          <w:sz w:val="20"/>
          <w:szCs w:val="20"/>
          <w:color w:val="auto"/>
        </w:rPr>
      </w:pPr>
      <w:r>
        <w:rPr>
          <w:rFonts w:ascii="Times New Roman" w:cs="Times New Roman" w:eastAsia="Times New Roman" w:hAnsi="Times New Roman"/>
          <w:sz w:val="15"/>
          <w:szCs w:val="15"/>
          <w:b w:val="1"/>
          <w:bCs w:val="1"/>
          <w:color w:val="auto"/>
        </w:rPr>
        <w:t xml:space="preserve">9.5. </w:t>
      </w:r>
      <w:r>
        <w:rPr>
          <w:rFonts w:ascii="Times New Roman" w:cs="Times New Roman" w:eastAsia="Times New Roman" w:hAnsi="Times New Roman"/>
          <w:sz w:val="15"/>
          <w:szCs w:val="15"/>
          <w:b w:val="1"/>
          <w:bCs w:val="1"/>
          <w:u w:val="single" w:color="auto"/>
          <w:color w:val="auto"/>
        </w:rPr>
        <w:t>Holder’s Right to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all of the Offered Shares proposed in the Notice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be transferred to a given Proposed Transferee are not purchased by the Company and/or its assignee(s) as provided in this Section, then the Holder may sell or otherwise transfer such Offered Shares to each Proposed Transferee at the Offered Price or at a higher price,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(i) such sale or other transfer is consummated within ninety (90) days after the date of the Notice, (ii) any such sale or other transfer is effected in compliance with all applicable securities laws, and (iii) each Proposed Transferee agrees in writing that the provisions of this Section will continue to apply to the Offered Shares in the hands of such Proposed Transferee. If the Offered Shares described in the Notice are not transferred to each Proposed Transferee within such ninety (90) day period, then a new Notice must be given to the Company pursuant to which the Company will again be offered the Right of First Refusal before any Shares held by the Holder may be sold or otherwise transferred.</w:t>
      </w:r>
    </w:p>
    <w:p>
      <w:pPr>
        <w:spacing w:after="0" w:line="30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83" w:name="page484"/>
    <w:bookmarkEnd w:id="483"/>
    <w:p>
      <w:pPr>
        <w:jc w:val="both"/>
        <w:ind w:left="1220" w:right="1239" w:firstLine="1009"/>
        <w:spacing w:after="0" w:line="250" w:lineRule="auto"/>
        <w:rPr>
          <w:sz w:val="20"/>
          <w:szCs w:val="20"/>
          <w:color w:val="auto"/>
        </w:rPr>
      </w:pPr>
      <w:r>
        <w:rPr>
          <w:rFonts w:ascii="Times New Roman" w:cs="Times New Roman" w:eastAsia="Times New Roman" w:hAnsi="Times New Roman"/>
          <w:sz w:val="15"/>
          <w:szCs w:val="15"/>
          <w:b w:val="1"/>
          <w:bCs w:val="1"/>
          <w:color w:val="auto"/>
        </w:rPr>
        <w:t xml:space="preserve">9.6. </w:t>
      </w:r>
      <w:r>
        <w:rPr>
          <w:rFonts w:ascii="Times New Roman" w:cs="Times New Roman" w:eastAsia="Times New Roman" w:hAnsi="Times New Roman"/>
          <w:sz w:val="15"/>
          <w:szCs w:val="15"/>
          <w:b w:val="1"/>
          <w:bCs w:val="1"/>
          <w:u w:val="single" w:color="auto"/>
          <w:color w:val="auto"/>
        </w:rPr>
        <w:t>Exempt Transfers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Notwithstanding anything to the contrary in this Section,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following transfers of Shares will be exempt from the Right of First Refusal: (i) the transfer of any or all of the Shares during Optionee’s lifetime by gift or on Optionee’s death by will or intestacy to any member(s) of Optionee’s “Immediate Family” (as defined below) or to a trust for the benefit of Optionee and/or member(s) of Optionee’s Immediate Family, </w:t>
      </w:r>
      <w:r>
        <w:rPr>
          <w:rFonts w:ascii="Times New Roman" w:cs="Times New Roman" w:eastAsia="Times New Roman" w:hAnsi="Times New Roman"/>
          <w:sz w:val="15"/>
          <w:szCs w:val="15"/>
          <w:i w:val="1"/>
          <w:iCs w:val="1"/>
          <w:u w:val="single" w:color="auto"/>
          <w:color w:val="auto"/>
        </w:rPr>
        <w:t>provided</w:t>
      </w:r>
      <w:r>
        <w:rPr>
          <w:rFonts w:ascii="Times New Roman" w:cs="Times New Roman" w:eastAsia="Times New Roman" w:hAnsi="Times New Roman"/>
          <w:sz w:val="15"/>
          <w:szCs w:val="15"/>
          <w:color w:val="auto"/>
        </w:rPr>
        <w:t xml:space="preserve"> that each transferee or other recipient agrees in a writing satisfactory to the Company that the provisions of this Section will continue to apply to the transferred Shares in the hands of such transferee or other recipient; (ii) any transfer of Shares made pursuant to a statutory merger, statutory consolidation of the Company with or into another corporation or corporations or a conversion of the Company into another form of legal entity (except that the Right of First Refusal will continue to apply thereafter to such Shares, in which case the surviving corporation of such merger or consolidation or the resulting entity of such conversion shall succeed to the rights of the Company under this Section unless the agreement of merger or consolidation or conversion expressly otherwise provides); or (iii) any transfer of Shares pursuant to the winding up and dissolution of the Company. As used herein, the term “</w:t>
      </w:r>
      <w:r>
        <w:rPr>
          <w:rFonts w:ascii="Times New Roman" w:cs="Times New Roman" w:eastAsia="Times New Roman" w:hAnsi="Times New Roman"/>
          <w:sz w:val="15"/>
          <w:szCs w:val="15"/>
          <w:b w:val="1"/>
          <w:bCs w:val="1"/>
          <w:i w:val="1"/>
          <w:iCs w:val="1"/>
          <w:color w:val="auto"/>
        </w:rPr>
        <w:t>Immediate Family”</w:t>
      </w:r>
      <w:r>
        <w:rPr>
          <w:rFonts w:ascii="Times New Roman" w:cs="Times New Roman" w:eastAsia="Times New Roman" w:hAnsi="Times New Roman"/>
          <w:sz w:val="15"/>
          <w:szCs w:val="15"/>
          <w:color w:val="auto"/>
        </w:rPr>
        <w:t xml:space="preserve"> will mean Optionee’s spouse, the lineal descendant or antecedent, father, mother, brother or sister, child, adopted child, grandchild or adopted grandchild of Optionee or Optionee’s spouse, or the spouse of any of the above or Spousal Equivalent, as defined herein. As used herein, a person is deemed to be a “</w:t>
      </w:r>
      <w:r>
        <w:rPr>
          <w:rFonts w:ascii="Times New Roman" w:cs="Times New Roman" w:eastAsia="Times New Roman" w:hAnsi="Times New Roman"/>
          <w:sz w:val="15"/>
          <w:szCs w:val="15"/>
          <w:b w:val="1"/>
          <w:bCs w:val="1"/>
          <w:i w:val="1"/>
          <w:iCs w:val="1"/>
          <w:color w:val="auto"/>
        </w:rPr>
        <w:t>Spousal Equivalent”</w:t>
      </w:r>
      <w:r>
        <w:rPr>
          <w:rFonts w:ascii="Times New Roman" w:cs="Times New Roman" w:eastAsia="Times New Roman" w:hAnsi="Times New Roman"/>
          <w:sz w:val="15"/>
          <w:szCs w:val="15"/>
          <w:color w:val="auto"/>
        </w:rPr>
        <w:t xml:space="preserve"> provided the following circumstances are true: (i) irrespective of whether or not Optionee and the Spousal Equivalent are the same sex, they are the sole spousal equivalent of the other for the last twelve (12) months, (ii) they intend to remain so indefinitely, (iii) neither are married to anyone else, (iv) both are at least 18 years of age and mentally competent to consent to contract, (v) they are not related by blood to a degree of closeness that which would prohibit legal marriage in the state in which they legally reside, (vi) they are jointly responsible for each other’s common welfare and financial obligations, and (vii) they reside together in the same residence for the last twelve (12) months and intend to do so indefinitely.</w:t>
      </w:r>
    </w:p>
    <w:p>
      <w:pPr>
        <w:spacing w:after="0" w:line="145" w:lineRule="exact"/>
        <w:rPr>
          <w:sz w:val="20"/>
          <w:szCs w:val="20"/>
          <w:color w:val="auto"/>
        </w:rPr>
      </w:pPr>
    </w:p>
    <w:p>
      <w:pPr>
        <w:ind w:left="2240"/>
        <w:spacing w:after="0"/>
        <w:tabs>
          <w:tab w:leader="none" w:pos="2580" w:val="left"/>
        </w:tabs>
        <w:rPr>
          <w:sz w:val="20"/>
          <w:szCs w:val="20"/>
          <w:color w:val="auto"/>
        </w:rPr>
      </w:pPr>
      <w:r>
        <w:rPr>
          <w:rFonts w:ascii="Times New Roman" w:cs="Times New Roman" w:eastAsia="Times New Roman" w:hAnsi="Times New Roman"/>
          <w:sz w:val="15"/>
          <w:szCs w:val="15"/>
          <w:b w:val="1"/>
          <w:bCs w:val="1"/>
          <w:color w:val="auto"/>
        </w:rPr>
        <w:t>9.7.</w:t>
      </w:r>
      <w:r>
        <w:rPr>
          <w:sz w:val="20"/>
          <w:szCs w:val="20"/>
          <w:color w:val="auto"/>
        </w:rPr>
        <w:tab/>
      </w:r>
      <w:r>
        <w:rPr>
          <w:rFonts w:ascii="Times New Roman" w:cs="Times New Roman" w:eastAsia="Times New Roman" w:hAnsi="Times New Roman"/>
          <w:sz w:val="15"/>
          <w:szCs w:val="15"/>
          <w:b w:val="1"/>
          <w:bCs w:val="1"/>
          <w:u w:val="single" w:color="auto"/>
          <w:color w:val="auto"/>
        </w:rPr>
        <w:t>Termination of Right of First Refusal</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u w:val="single" w:color="auto"/>
          <w:color w:val="auto"/>
        </w:rPr>
        <w:t xml:space="preserve"> </w:t>
      </w:r>
      <w:r>
        <w:rPr>
          <w:rFonts w:ascii="Times New Roman" w:cs="Times New Roman" w:eastAsia="Times New Roman" w:hAnsi="Times New Roman"/>
          <w:sz w:val="15"/>
          <w:szCs w:val="15"/>
          <w:color w:val="auto"/>
        </w:rPr>
        <w:t>The Right of First Refusal will terminate</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as to all Shares: (i) on the effective date of the first sale of Common Stock of the Company to the general</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public pursuant to a registration statement filed with and declared effective by the SEC under the</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Securities Act (other than a registration statement relating solely to the issuance of Common Stock</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pursuant to a business combination or an employee incentive or benefit plan); (ii) on any transfer or</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conversion of Shares made pursuant to a statutory merger or statutory consolidation of the Company with</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or into another corporation or corporations if the common stock of the surviving corporation or any direct</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or indirect parent corporation thereof is registered under the Exchange Act; or (iii) on any transfer or</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conversion of Shares made pursuant to a statutory conversion of the Company into another form of legal</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entity if  the common equity (or comparable equity security) of entity resulting from such conversion is</w:t>
      </w:r>
    </w:p>
    <w:p>
      <w:pPr>
        <w:spacing w:after="0" w:line="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registered under the Exchange Act.</w:t>
      </w:r>
    </w:p>
    <w:p>
      <w:pPr>
        <w:spacing w:after="0" w:line="154" w:lineRule="exact"/>
        <w:rPr>
          <w:sz w:val="20"/>
          <w:szCs w:val="20"/>
          <w:color w:val="auto"/>
        </w:rPr>
      </w:pPr>
    </w:p>
    <w:p>
      <w:pPr>
        <w:jc w:val="both"/>
        <w:ind w:left="1220" w:right="1239" w:firstLine="1009"/>
        <w:spacing w:after="0" w:line="254" w:lineRule="auto"/>
        <w:rPr>
          <w:sz w:val="20"/>
          <w:szCs w:val="20"/>
          <w:color w:val="auto"/>
        </w:rPr>
      </w:pPr>
      <w:r>
        <w:rPr>
          <w:rFonts w:ascii="Times New Roman" w:cs="Times New Roman" w:eastAsia="Times New Roman" w:hAnsi="Times New Roman"/>
          <w:sz w:val="15"/>
          <w:szCs w:val="15"/>
          <w:b w:val="1"/>
          <w:bCs w:val="1"/>
          <w:color w:val="auto"/>
        </w:rPr>
        <w:t xml:space="preserve">9.8. </w:t>
      </w:r>
      <w:r>
        <w:rPr>
          <w:rFonts w:ascii="Times New Roman" w:cs="Times New Roman" w:eastAsia="Times New Roman" w:hAnsi="Times New Roman"/>
          <w:sz w:val="15"/>
          <w:szCs w:val="15"/>
          <w:b w:val="1"/>
          <w:bCs w:val="1"/>
          <w:u w:val="single" w:color="auto"/>
          <w:color w:val="auto"/>
        </w:rPr>
        <w:t>Encumbrances on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may grant a lien or security interest in,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pledge, hypothecate or encumber Shares only if each party to whom such lien or security interest is granted, or to whom such pledge, hypothecation or other encumbrance is made, agrees in a writing satisfactory to the Company that: (i) such lien, security interest, pledge, hypothecation or encumbrance will not adversely affect or impair the Right of First Refusal or the rights of the Company and/or its assignee(s) with respect thereto and will not apply to such Shares after they are acquired by the Company and/or its assignees under this Section; and (ii) the provisions of this Agreement will continue to apply to such Shares in the hands of such party and any transferee of such party.</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84" w:name="page485"/>
    <w:bookmarkEnd w:id="484"/>
    <w:p>
      <w:pPr>
        <w:jc w:val="both"/>
        <w:ind w:left="1220" w:right="1239" w:firstLine="1009"/>
        <w:spacing w:after="0" w:line="251" w:lineRule="auto"/>
        <w:rPr>
          <w:sz w:val="20"/>
          <w:szCs w:val="20"/>
          <w:color w:val="auto"/>
        </w:rPr>
      </w:pPr>
      <w:r>
        <w:rPr>
          <w:rFonts w:ascii="Times New Roman" w:cs="Times New Roman" w:eastAsia="Times New Roman" w:hAnsi="Times New Roman"/>
          <w:sz w:val="15"/>
          <w:szCs w:val="15"/>
          <w:b w:val="1"/>
          <w:bCs w:val="1"/>
          <w:color w:val="auto"/>
        </w:rPr>
        <w:t xml:space="preserve">9.9. </w:t>
      </w:r>
      <w:r>
        <w:rPr>
          <w:rFonts w:ascii="Times New Roman" w:cs="Times New Roman" w:eastAsia="Times New Roman" w:hAnsi="Times New Roman"/>
          <w:sz w:val="15"/>
          <w:szCs w:val="15"/>
          <w:b w:val="1"/>
          <w:bCs w:val="1"/>
          <w:u w:val="single" w:color="auto"/>
          <w:color w:val="auto"/>
        </w:rPr>
        <w:t>Effect of Company Co-Sale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Optionee is, or at any time hereafter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becomes, a party to or otherwise bound by (i) the Company’s Amended and Restated Right of First Refusal and Co-Sale Agreement dated as of April 24, 2020 among the Company and certain stockholders of the Company, as such may be amended and/or restated from time to time, and/or (ii) any other agreement that is a successor to or replacement of such agreement (collectively, the “</w:t>
      </w:r>
      <w:r>
        <w:rPr>
          <w:rFonts w:ascii="Times New Roman" w:cs="Times New Roman" w:eastAsia="Times New Roman" w:hAnsi="Times New Roman"/>
          <w:sz w:val="15"/>
          <w:szCs w:val="15"/>
          <w:b w:val="1"/>
          <w:bCs w:val="1"/>
          <w:i w:val="1"/>
          <w:iCs w:val="1"/>
          <w:color w:val="auto"/>
        </w:rPr>
        <w:t>Company Co-Sale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i w:val="1"/>
          <w:iCs w:val="1"/>
          <w:color w:val="auto"/>
        </w:rPr>
        <w:t>Agreement</w:t>
      </w:r>
      <w:r>
        <w:rPr>
          <w:rFonts w:ascii="Times New Roman" w:cs="Times New Roman" w:eastAsia="Times New Roman" w:hAnsi="Times New Roman"/>
          <w:sz w:val="15"/>
          <w:szCs w:val="15"/>
          <w:color w:val="auto"/>
        </w:rPr>
        <w:t>”), then, in the event of any conflict or inconsistency between the provisions of Section 8</w:t>
      </w:r>
      <w:r>
        <w:rPr>
          <w:rFonts w:ascii="Times New Roman" w:cs="Times New Roman" w:eastAsia="Times New Roman" w:hAnsi="Times New Roman"/>
          <w:sz w:val="15"/>
          <w:szCs w:val="15"/>
          <w:b w:val="1"/>
          <w:bCs w:val="1"/>
          <w:i w:val="1"/>
          <w:iCs w:val="1"/>
          <w:color w:val="auto"/>
        </w:rPr>
        <w:t xml:space="preserve"> </w:t>
      </w:r>
      <w:r>
        <w:rPr>
          <w:rFonts w:ascii="Times New Roman" w:cs="Times New Roman" w:eastAsia="Times New Roman" w:hAnsi="Times New Roman"/>
          <w:sz w:val="15"/>
          <w:szCs w:val="15"/>
          <w:color w:val="auto"/>
        </w:rPr>
        <w:t>hereof and/or this Section 9 and any provisions in the Company Co-Sale Agreement granting the Company and/or other security holders of the Company rights of first refusal and/or co-sale rights with respect to any or all of the Shares or imposing market stand-off restrictions, Optionee agrees with the Company that the terms and conditions of the Company Co-Sale Agreement shall apply, govern, supersede and prevail over (and in lieu of) the provisions of Section 8 hereof and/or of this Section 9 (as applicable) so long as the Company Co-Sale Agreement is in effect and Optionee is a party to or bound thereby. If the Company Co-Sale Agreement is no longer in effect or if Optionee is not a party to or bound thereby, then the provisions of this Section 9 shall apply in full force and effect until termination of the Right of First Refusal and the provisions of Section 8 hereof shall apply in full force and effect in accordance with its terms.</w:t>
      </w:r>
    </w:p>
    <w:p>
      <w:pPr>
        <w:spacing w:after="0" w:line="322" w:lineRule="exact"/>
        <w:rPr>
          <w:sz w:val="20"/>
          <w:szCs w:val="20"/>
          <w:color w:val="auto"/>
        </w:rPr>
      </w:pPr>
    </w:p>
    <w:p>
      <w:pPr>
        <w:jc w:val="both"/>
        <w:ind w:left="1220" w:right="1239" w:firstLine="509"/>
        <w:spacing w:after="0" w:line="253" w:lineRule="auto"/>
        <w:tabs>
          <w:tab w:leader="none" w:pos="2334"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RIGHTS AS A STOCKHOLDER. </w:t>
      </w:r>
      <w:r>
        <w:rPr>
          <w:rFonts w:ascii="Times New Roman" w:cs="Times New Roman" w:eastAsia="Times New Roman" w:hAnsi="Times New Roman"/>
          <w:sz w:val="15"/>
          <w:szCs w:val="15"/>
          <w:color w:val="auto"/>
        </w:rPr>
        <w:t>Optionee shall not have any of the rights of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stockholder with respect to any Shares unless and until such Shares are issued to Optionee. Subject to the terms and conditions of this Agreement, Optionee will have all of the rights of a stockholder of the Company with respect to the Shares from and after the date that Shares are issued to Optionee pursuant to, and in accordance with, the terms of the Exercise Agreement until such time as Optionee disposes of the Shares or the Company and/or its assignee(s) exercise(s) the Right of First Refusal. Upon an exercise of the Right of First Refusal, Optionee will have no further rights as a holder of the Shares so purchased upon such exercise, other than the right to receive payment for the Shares so purchased in accordance with the provisions of this Agreement, and Optionee will promptly surrender the stock certificate(s) evidencing the Shares so purchased to the Company for transfer or cancellation.</w:t>
      </w:r>
    </w:p>
    <w:p>
      <w:pPr>
        <w:spacing w:after="0" w:line="136" w:lineRule="exact"/>
        <w:rPr>
          <w:rFonts w:ascii="Times New Roman" w:cs="Times New Roman" w:eastAsia="Times New Roman" w:hAnsi="Times New Roman"/>
          <w:sz w:val="15"/>
          <w:szCs w:val="15"/>
          <w:b w:val="1"/>
          <w:bCs w:val="1"/>
          <w:color w:val="auto"/>
        </w:rPr>
      </w:pPr>
    </w:p>
    <w:p>
      <w:pPr>
        <w:jc w:val="both"/>
        <w:ind w:left="1220" w:right="1239" w:firstLine="509"/>
        <w:spacing w:after="0" w:line="252" w:lineRule="auto"/>
        <w:tabs>
          <w:tab w:leader="none" w:pos="2208"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ESCROW. </w:t>
      </w:r>
      <w:r>
        <w:rPr>
          <w:rFonts w:ascii="Times New Roman" w:cs="Times New Roman" w:eastAsia="Times New Roman" w:hAnsi="Times New Roman"/>
          <w:sz w:val="15"/>
          <w:szCs w:val="15"/>
          <w:color w:val="auto"/>
        </w:rPr>
        <w:t>As security for Optionee’s faithful performance of this Agreement, Optionee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agrees, immediately upon receipt of the stock certificate(s) evidencing the Shares to deliver such certificate(s) to the Secretary of the Company or other designee of the Company (the “</w:t>
      </w:r>
      <w:r>
        <w:rPr>
          <w:rFonts w:ascii="Times New Roman" w:cs="Times New Roman" w:eastAsia="Times New Roman" w:hAnsi="Times New Roman"/>
          <w:sz w:val="15"/>
          <w:szCs w:val="15"/>
          <w:b w:val="1"/>
          <w:bCs w:val="1"/>
          <w:i w:val="1"/>
          <w:iCs w:val="1"/>
          <w:color w:val="auto"/>
        </w:rPr>
        <w:t>Escrow Holder</w:t>
      </w:r>
      <w:r>
        <w:rPr>
          <w:rFonts w:ascii="Times New Roman" w:cs="Times New Roman" w:eastAsia="Times New Roman" w:hAnsi="Times New Roman"/>
          <w:sz w:val="15"/>
          <w:szCs w:val="15"/>
          <w:color w:val="auto"/>
        </w:rPr>
        <w:t>”), who is hereby appointed to hold such certificate(s) in escrow and to take all such actions and to effectuate all such transfers and/or releases of such Shares as are in accordance with the terms of this Agreement. Optionee and the Company agree that Escrow Holder will not be liable to any party to this Agreement (or to any other party) for any actions or omissions unless Escrow Holder is grossly negligent or intentionally fraudulent in carrying out the duties of Escrow Holder under this Agreement. Escrow Holder may rely upon any letter, notice or other document executed with any signature purported to be genuine and may rely on the advice of counsel and obey any order of any court with respect to the transactions contemplated by this Agreement and will not be liable for any act or omission taken by Escrow Holder in good faith reliance on such documents, the advice of counsel or a court order. The Shares will be released from escrow upon termination of the Right of First Refusal.</w:t>
      </w:r>
    </w:p>
    <w:p>
      <w:pPr>
        <w:spacing w:after="0" w:line="136" w:lineRule="exact"/>
        <w:rPr>
          <w:rFonts w:ascii="Times New Roman" w:cs="Times New Roman" w:eastAsia="Times New Roman" w:hAnsi="Times New Roman"/>
          <w:sz w:val="15"/>
          <w:szCs w:val="15"/>
          <w:b w:val="1"/>
          <w:bCs w:val="1"/>
          <w:color w:val="auto"/>
        </w:rPr>
      </w:pPr>
    </w:p>
    <w:p>
      <w:pPr>
        <w:jc w:val="both"/>
        <w:ind w:left="1220" w:right="1239" w:firstLine="509"/>
        <w:spacing w:after="0" w:line="253" w:lineRule="auto"/>
        <w:tabs>
          <w:tab w:leader="none" w:pos="2239" w:val="left"/>
        </w:tabs>
        <w:numPr>
          <w:ilvl w:val="0"/>
          <w:numId w:val="3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u w:val="single" w:color="auto"/>
          <w:color w:val="auto"/>
        </w:rPr>
        <w:t>Company Co-Sale Agreement and Voting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As a material inducement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consideration for the Company to enter into this Agreement, Optionee hereby agrees that if, the Company requests Optionee to enter into and become a party to (a) the Company Co-Sale Agreement (and to subject the Shares to the rights of first refusal held by the Company and other Company investors thereunder and the co-sale rights of other investors thereunder) and/or (b) the Company Voting Agreement (pursuant to which Optionee would agree to vote all shares of Company stock held by Optionee for the election of directors and in favor of certain material transactions (such as mergers or sales of the Company), then Optionee will enter into such agreements and execute and deliver signature pages thereto (as requested by the Company) in such capacities as the Company requests, at the time of exercising this Option and as a condition to such exercise or at any later time.</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85" w:name="page486"/>
    <w:bookmarkEnd w:id="485"/>
    <w:p>
      <w:pPr>
        <w:ind w:left="2200" w:hanging="471"/>
        <w:spacing w:after="0"/>
        <w:tabs>
          <w:tab w:leader="none" w:pos="2200" w:val="left"/>
        </w:tabs>
        <w:numPr>
          <w:ilvl w:val="0"/>
          <w:numId w:val="39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RESTRICTIVE LEGENDS AND STOP-TRANSFER ORDERS.</w:t>
      </w:r>
    </w:p>
    <w:p>
      <w:pPr>
        <w:spacing w:after="0" w:line="174"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13.1. </w:t>
      </w:r>
      <w:r>
        <w:rPr>
          <w:rFonts w:ascii="Times New Roman" w:cs="Times New Roman" w:eastAsia="Times New Roman" w:hAnsi="Times New Roman"/>
          <w:sz w:val="15"/>
          <w:szCs w:val="15"/>
          <w:b w:val="1"/>
          <w:bCs w:val="1"/>
          <w:u w:val="single" w:color="auto"/>
          <w:color w:val="auto"/>
        </w:rPr>
        <w:t>Legends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understands and agrees that the Company will place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legends set forth below or similar legends on any stock certificate(s) evidencing the Shares, together with any other legends that may be required by state or U.S. Federal securities laws, the Company’s Certificate of Incorporation or Bylaws, any other agreement between Optionee and the Company, or any agreement between Optionee and any third party (and any other legend(s) that the Company may become obligated to place on the stock certificate(s) evidencing the Shares under the terms of any agreement to which the Company is or may become bound or obligated):</w:t>
      </w:r>
    </w:p>
    <w:p>
      <w:pPr>
        <w:spacing w:after="0" w:line="140" w:lineRule="exact"/>
        <w:rPr>
          <w:sz w:val="20"/>
          <w:szCs w:val="20"/>
          <w:color w:val="auto"/>
        </w:rPr>
      </w:pPr>
    </w:p>
    <w:p>
      <w:pPr>
        <w:jc w:val="both"/>
        <w:ind w:left="1220" w:right="1239" w:firstLine="1518"/>
        <w:spacing w:after="0" w:line="252" w:lineRule="auto"/>
        <w:tabs>
          <w:tab w:leader="none" w:pos="3252" w:val="left"/>
        </w:tabs>
        <w:numPr>
          <w:ilvl w:val="0"/>
          <w:numId w:val="3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SECURITIES REPRESENTED HEREBY HAVE NOT BEEN REGISTERED UNDER THE SECURITIES ACT OF 1933, AS AMENDED (THE “SECURITIES ACT”), OR UNDER THE SECURITIES LAWS OF CERTAIN STATES. THESE SECURITIES ARE SUBJECT TO RESTRICTIONS ON TRANSFERABILITY AND RESALE AND MAY NOT BE TRANSFERRED OR RESOLD EXCEPT AS PERMITTED UNDER THE SECURITIES ACT AND APPLICABLE STATE SECURITIES LAWS, PURSUANT TO REGISTRATION OR EXEMPTION THEREFROM. INVESTORS SHOULD BE AWARE THAT THEY MAY BE REQUIRED TO BEAR THE FINANCIAL RISKS OF THIS INVESTMENT FOR AN INDEFINITE PERIOD OF TIME. THE ISSUER OF THESE SECURITIES MAY REQUIRE AN OPINION OF COUNSEL IN FORM AND SUBSTANCE SATISFACTORY TO THE ISSUER TO THE EFFECT THAT ANY PROPOSED TRANSFER OR RESALE IS IN COMPLIANCE WITH THE SECURITIES ACT AND ANY APPLICABLE STATE SECURITIES LAWS.</w:t>
      </w:r>
    </w:p>
    <w:p>
      <w:pPr>
        <w:spacing w:after="0" w:line="320" w:lineRule="exact"/>
        <w:rPr>
          <w:rFonts w:ascii="Times New Roman" w:cs="Times New Roman" w:eastAsia="Times New Roman" w:hAnsi="Times New Roman"/>
          <w:sz w:val="15"/>
          <w:szCs w:val="15"/>
          <w:color w:val="auto"/>
        </w:rPr>
      </w:pPr>
    </w:p>
    <w:p>
      <w:pPr>
        <w:jc w:val="both"/>
        <w:ind w:left="1220" w:right="1239" w:firstLine="1518"/>
        <w:spacing w:after="0" w:line="254" w:lineRule="auto"/>
        <w:tabs>
          <w:tab w:leader="none" w:pos="3332" w:val="left"/>
        </w:tabs>
        <w:numPr>
          <w:ilvl w:val="0"/>
          <w:numId w:val="3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REPRESENTED BY THIS CERTIFICATE ARE SUBJECT TO CERTAIN RESTRICTIONS ON RESALE AND TRANSFER, INCLUDING THE RIGHT OF FIRST REFUSAL HELD BY THE ISSUER AND/OR ITS ASSIGNEE(S) AS SET FORTH IN A STOCK OPTION AGREEMENT BETWEEN THE ISSUER AND THE ORIGINAL HOLDER OF THESE SHARES, A COPY OF WHICH MAY BE OBTAINED AT THE PRINCIPAL OFFICE OF THE ISSUER. SUCH SALE AND TRANSFER RESTRICTIONS, INCLUDING THE RIGHT OF FIRST REFUSAL, ARE BINDING ON TRANSFEREES OF THESE SHARES.</w:t>
      </w:r>
    </w:p>
    <w:p>
      <w:pPr>
        <w:spacing w:after="0" w:line="141" w:lineRule="exact"/>
        <w:rPr>
          <w:rFonts w:ascii="Times New Roman" w:cs="Times New Roman" w:eastAsia="Times New Roman" w:hAnsi="Times New Roman"/>
          <w:sz w:val="15"/>
          <w:szCs w:val="15"/>
          <w:color w:val="auto"/>
        </w:rPr>
      </w:pPr>
    </w:p>
    <w:p>
      <w:pPr>
        <w:jc w:val="both"/>
        <w:ind w:left="1220" w:right="1239" w:firstLine="1518"/>
        <w:spacing w:after="0" w:line="261" w:lineRule="auto"/>
        <w:tabs>
          <w:tab w:leader="none" w:pos="3072" w:val="left"/>
        </w:tabs>
        <w:numPr>
          <w:ilvl w:val="0"/>
          <w:numId w:val="3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EVIDENCED HEREBY ARE SUBJECT TO A RIGHT OF FIRST REFUSAL OPTION IN FAVOR OF THE CORPORATION AND/OR ITS ASSIGNEE(S), AS PROVIDED IN THE BYLAWS OF THE CORPORATION, A COPY OF WHICH IS ON FILE WITH THE SECRETARY OF THE CORPORATION.</w:t>
      </w:r>
    </w:p>
    <w:p>
      <w:pPr>
        <w:spacing w:after="0" w:line="132" w:lineRule="exact"/>
        <w:rPr>
          <w:rFonts w:ascii="Times New Roman" w:cs="Times New Roman" w:eastAsia="Times New Roman" w:hAnsi="Times New Roman"/>
          <w:sz w:val="15"/>
          <w:szCs w:val="15"/>
          <w:color w:val="auto"/>
        </w:rPr>
      </w:pPr>
    </w:p>
    <w:p>
      <w:pPr>
        <w:jc w:val="both"/>
        <w:ind w:left="1220" w:right="1239" w:firstLine="1518"/>
        <w:spacing w:after="0" w:line="253" w:lineRule="auto"/>
        <w:tabs>
          <w:tab w:leader="none" w:pos="3332" w:val="left"/>
        </w:tabs>
        <w:numPr>
          <w:ilvl w:val="0"/>
          <w:numId w:val="3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SHARES REPRESENTED BY THIS CERTIFICATE ARE SUBJECT TO A MARKET STANDOFF RESTRICTION AS SET FORTH IN A CERTAIN STOCK OPTION AGREEMENT BETWEEN THE ISSUER AND THE ORIGINAL HOLDER OF THESE SHARES, A COPY OF WHICH MAY BE OBTAINED AT THE PRINCIPAL OFFICE OF THE ISSUER. AS A RESULT OF SUCH AGREEMENT, THESE SHARES MAY NOT BE TRADED PRIOR TO 180 DAYS AFTER THE EFFECTIVE DATE OF CERTAIN PUBLIC OFFERINGS OF THE COMMON STOCK OF THE ISSUER HEREOF. SUCH RESTRICTION IS BINDING ON TRANSFEREES OF THESE SHARES.</w:t>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Optionee agrees that if Optionee becomes a party to (i) the Company Co-Sale Agreement or (ii)</w:t>
      </w:r>
    </w:p>
    <w:p>
      <w:pPr>
        <w:spacing w:after="0" w:line="22" w:lineRule="exact"/>
        <w:rPr>
          <w:sz w:val="20"/>
          <w:szCs w:val="20"/>
          <w:color w:val="auto"/>
        </w:rPr>
      </w:pPr>
    </w:p>
    <w:p>
      <w:pPr>
        <w:jc w:val="both"/>
        <w:ind w:left="1220" w:right="1239" w:firstLine="4"/>
        <w:spacing w:after="0" w:line="251" w:lineRule="auto"/>
        <w:tabs>
          <w:tab w:leader="none" w:pos="1498" w:val="left"/>
        </w:tabs>
        <w:numPr>
          <w:ilvl w:val="0"/>
          <w:numId w:val="3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Company’s Amended and Restated Voting Agreement dated as of April 24, 2020 among the Company and certain stockholders of the Company, as such may be amended and/or restated from time to time, and/or (B) any other voting agreement that is a successor to or replacement of such agreement (collectively, the “</w:t>
      </w:r>
      <w:r>
        <w:rPr>
          <w:rFonts w:ascii="Times New Roman" w:cs="Times New Roman" w:eastAsia="Times New Roman" w:hAnsi="Times New Roman"/>
          <w:sz w:val="15"/>
          <w:szCs w:val="15"/>
          <w:b w:val="1"/>
          <w:bCs w:val="1"/>
          <w:i w:val="1"/>
          <w:iCs w:val="1"/>
          <w:color w:val="auto"/>
        </w:rPr>
        <w:t>Company Voting Agreement</w:t>
      </w:r>
      <w:r>
        <w:rPr>
          <w:rFonts w:ascii="Times New Roman" w:cs="Times New Roman" w:eastAsia="Times New Roman" w:hAnsi="Times New Roman"/>
          <w:sz w:val="15"/>
          <w:szCs w:val="15"/>
          <w:color w:val="auto"/>
        </w:rPr>
        <w:t>”), then Optionee agrees that the stock certificate(s) evidencing the Shares shall, in addition, bear any legends required under the Company Co-Sale Agreement and/or the Company Voting Agreement, as applicable.</w:t>
      </w:r>
    </w:p>
    <w:p>
      <w:pPr>
        <w:spacing w:after="0" w:line="30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86" w:name="page487"/>
    <w:bookmarkEnd w:id="486"/>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13.2. </w:t>
      </w:r>
      <w:r>
        <w:rPr>
          <w:rFonts w:ascii="Times New Roman" w:cs="Times New Roman" w:eastAsia="Times New Roman" w:hAnsi="Times New Roman"/>
          <w:sz w:val="15"/>
          <w:szCs w:val="15"/>
          <w:b w:val="1"/>
          <w:bCs w:val="1"/>
          <w:u w:val="single" w:color="auto"/>
          <w:color w:val="auto"/>
        </w:rPr>
        <w:t>Stop-Transfer Instructions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agrees that, to ensure compliance with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restrictions imposed by this Agreement and the Bylaws, the Company may issue appropriate “stop-transfer” instructions to its transfer agent, if any, and if the Company transfers its own securities, it may make appropriate notations to the same effect in its own records.</w:t>
      </w:r>
    </w:p>
    <w:p>
      <w:pPr>
        <w:spacing w:after="0" w:line="130"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13.3. </w:t>
      </w:r>
      <w:r>
        <w:rPr>
          <w:rFonts w:ascii="Times New Roman" w:cs="Times New Roman" w:eastAsia="Times New Roman" w:hAnsi="Times New Roman"/>
          <w:sz w:val="15"/>
          <w:szCs w:val="15"/>
          <w:b w:val="1"/>
          <w:bCs w:val="1"/>
          <w:u w:val="single" w:color="auto"/>
          <w:color w:val="auto"/>
        </w:rPr>
        <w:t>Refusal to Transfer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Company will not be required (i) to transfer on its books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Shares that have been sold or otherwise transferred in violation of any of the provisions of the Bylaws or this Agreement or (ii) to treat as owner of such Shares, or to accord the right to vote or pay dividends to any purchaser or other transferee to whom such Shares have been so transferred.</w:t>
      </w:r>
    </w:p>
    <w:p>
      <w:pPr>
        <w:spacing w:after="0" w:line="130" w:lineRule="exact"/>
        <w:rPr>
          <w:sz w:val="20"/>
          <w:szCs w:val="20"/>
          <w:color w:val="auto"/>
        </w:rPr>
      </w:pPr>
    </w:p>
    <w:p>
      <w:pPr>
        <w:jc w:val="both"/>
        <w:ind w:left="1220" w:right="1239" w:firstLine="509"/>
        <w:spacing w:after="0" w:line="259" w:lineRule="auto"/>
        <w:tabs>
          <w:tab w:leader="none" w:pos="2274" w:val="left"/>
        </w:tabs>
        <w:numPr>
          <w:ilvl w:val="0"/>
          <w:numId w:val="39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CERTAIN TAX CONSEQUENCES. </w:t>
      </w:r>
      <w:r>
        <w:rPr>
          <w:rFonts w:ascii="Times New Roman" w:cs="Times New Roman" w:eastAsia="Times New Roman" w:hAnsi="Times New Roman"/>
          <w:sz w:val="15"/>
          <w:szCs w:val="15"/>
          <w:color w:val="auto"/>
        </w:rPr>
        <w:t>Set forth below is a brief summary as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Effective Date of the Plan of some of the federal tax consequences of exercise of the Option and disposition of the Shares. THIS SUMMARY IS NECESSARILY INCOMPLETE, AND THE TAX LAWS AND REGULATIONS ARE SUBJECT TO CHANGE. OPTIONEE SHOULD CONSULT A TAX ADVISER BEFORE EXERCISING THE OPTION OR DISPOSING OF THE SHARES.</w:t>
      </w:r>
    </w:p>
    <w:p>
      <w:pPr>
        <w:spacing w:after="0" w:line="131" w:lineRule="exact"/>
        <w:rPr>
          <w:sz w:val="20"/>
          <w:szCs w:val="20"/>
          <w:color w:val="auto"/>
        </w:rPr>
      </w:pPr>
    </w:p>
    <w:p>
      <w:pPr>
        <w:jc w:val="both"/>
        <w:ind w:left="1220" w:right="1239" w:firstLine="1009"/>
        <w:spacing w:after="0" w:line="259" w:lineRule="auto"/>
        <w:rPr>
          <w:sz w:val="20"/>
          <w:szCs w:val="20"/>
          <w:color w:val="auto"/>
        </w:rPr>
      </w:pPr>
      <w:r>
        <w:rPr>
          <w:rFonts w:ascii="Times New Roman" w:cs="Times New Roman" w:eastAsia="Times New Roman" w:hAnsi="Times New Roman"/>
          <w:sz w:val="15"/>
          <w:szCs w:val="15"/>
          <w:b w:val="1"/>
          <w:bCs w:val="1"/>
          <w:color w:val="auto"/>
        </w:rPr>
        <w:t xml:space="preserve">14.1. </w:t>
      </w:r>
      <w:r>
        <w:rPr>
          <w:rFonts w:ascii="Times New Roman" w:cs="Times New Roman" w:eastAsia="Times New Roman" w:hAnsi="Times New Roman"/>
          <w:sz w:val="15"/>
          <w:szCs w:val="15"/>
          <w:b w:val="1"/>
          <w:bCs w:val="1"/>
          <w:u w:val="single" w:color="auto"/>
          <w:color w:val="auto"/>
        </w:rPr>
        <w:t>Exercise of ISO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the Option qualifies as an ISO, there will be no regular federal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income tax liability upon the exercise of the Option, although the excess, if any, of the Fair Market Value of the Shares on the date of exercise over the Exercise Price will be treated as a tax preference item for federal alternative minimum tax purposes and may subject Optionee to the alternative minimum tax in the year of exercise.</w:t>
      </w:r>
    </w:p>
    <w:p>
      <w:pPr>
        <w:spacing w:after="0" w:line="131" w:lineRule="exact"/>
        <w:rPr>
          <w:sz w:val="20"/>
          <w:szCs w:val="20"/>
          <w:color w:val="auto"/>
        </w:rPr>
      </w:pPr>
    </w:p>
    <w:p>
      <w:pPr>
        <w:jc w:val="both"/>
        <w:ind w:left="1220" w:right="1239" w:firstLine="1009"/>
        <w:spacing w:after="0" w:line="255" w:lineRule="auto"/>
        <w:rPr>
          <w:sz w:val="20"/>
          <w:szCs w:val="20"/>
          <w:color w:val="auto"/>
        </w:rPr>
      </w:pPr>
      <w:r>
        <w:rPr>
          <w:rFonts w:ascii="Times New Roman" w:cs="Times New Roman" w:eastAsia="Times New Roman" w:hAnsi="Times New Roman"/>
          <w:sz w:val="15"/>
          <w:szCs w:val="15"/>
          <w:b w:val="1"/>
          <w:bCs w:val="1"/>
          <w:color w:val="auto"/>
        </w:rPr>
        <w:t xml:space="preserve">14.2. </w:t>
      </w:r>
      <w:r>
        <w:rPr>
          <w:rFonts w:ascii="Times New Roman" w:cs="Times New Roman" w:eastAsia="Times New Roman" w:hAnsi="Times New Roman"/>
          <w:sz w:val="15"/>
          <w:szCs w:val="15"/>
          <w:b w:val="1"/>
          <w:bCs w:val="1"/>
          <w:u w:val="single" w:color="auto"/>
          <w:color w:val="auto"/>
        </w:rPr>
        <w:t>Exercise of Nonqualified Stock Option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If the Option does not qualify as an ISO,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there may be a regular federal income tax liability upon the exercise of the Option. Optionee will be treated as having received compensation income (taxable at ordinary income tax rates) equal to the excess, if any, of the Fair Market Value of the Shares on the date of exercise over the Exercise Price. If Optionee is a current or former employee of the Company, the Company may be required to withhold from Optionee’s compensation or collect from Optionee and pay to the applicable taxing authorities an amount equal to a percentage of this compensation income at the time of exercise.</w:t>
      </w:r>
    </w:p>
    <w:p>
      <w:pPr>
        <w:spacing w:after="0" w:line="136" w:lineRule="exact"/>
        <w:rPr>
          <w:sz w:val="20"/>
          <w:szCs w:val="20"/>
          <w:color w:val="auto"/>
        </w:rPr>
      </w:pPr>
    </w:p>
    <w:p>
      <w:pPr>
        <w:jc w:val="both"/>
        <w:ind w:left="1220" w:right="1239" w:firstLine="1009"/>
        <w:spacing w:after="0" w:line="291" w:lineRule="auto"/>
        <w:rPr>
          <w:sz w:val="20"/>
          <w:szCs w:val="20"/>
          <w:color w:val="auto"/>
        </w:rPr>
      </w:pPr>
      <w:r>
        <w:rPr>
          <w:rFonts w:ascii="Times New Roman" w:cs="Times New Roman" w:eastAsia="Times New Roman" w:hAnsi="Times New Roman"/>
          <w:sz w:val="15"/>
          <w:szCs w:val="15"/>
          <w:b w:val="1"/>
          <w:bCs w:val="1"/>
          <w:color w:val="auto"/>
        </w:rPr>
        <w:t xml:space="preserve">14.3. </w:t>
      </w:r>
      <w:r>
        <w:rPr>
          <w:rFonts w:ascii="Times New Roman" w:cs="Times New Roman" w:eastAsia="Times New Roman" w:hAnsi="Times New Roman"/>
          <w:sz w:val="15"/>
          <w:szCs w:val="15"/>
          <w:b w:val="1"/>
          <w:bCs w:val="1"/>
          <w:u w:val="single" w:color="auto"/>
          <w:color w:val="auto"/>
        </w:rPr>
        <w:t>Disposition of Shares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following tax consequences may apply upon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disposition of the Shares.</w:t>
      </w:r>
    </w:p>
    <w:p>
      <w:pPr>
        <w:spacing w:after="0" w:line="111" w:lineRule="exact"/>
        <w:rPr>
          <w:sz w:val="20"/>
          <w:szCs w:val="20"/>
          <w:color w:val="auto"/>
        </w:rPr>
      </w:pPr>
    </w:p>
    <w:p>
      <w:pPr>
        <w:jc w:val="both"/>
        <w:ind w:left="1220" w:right="1239" w:firstLine="1518"/>
        <w:spacing w:after="0" w:line="254" w:lineRule="auto"/>
        <w:tabs>
          <w:tab w:leader="none" w:pos="3101" w:val="left"/>
        </w:tabs>
        <w:numPr>
          <w:ilvl w:val="1"/>
          <w:numId w:val="3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Incentive Stock Options</w:t>
      </w:r>
      <w:r>
        <w:rPr>
          <w:rFonts w:ascii="Times New Roman" w:cs="Times New Roman" w:eastAsia="Times New Roman" w:hAnsi="Times New Roman"/>
          <w:sz w:val="15"/>
          <w:szCs w:val="15"/>
          <w:color w:val="auto"/>
        </w:rPr>
        <w:t>. If the Shares are held for more than twelve (12) months after the date of purchase of the Shares pursuant to the exercise of an ISO and are disposed of more than two (2) years after the Date of Grant, any gain realized on disposition of the Shares will be treated as long term capital gain for federal income tax purposes. If Shares purchased under an ISO are disposed of within the applicable one (1) year or two (2) year period, any gain realized on such disposition will be treated as compensation income (taxable at ordinary income rates in the year of the disposition) to the extent of the excess, if any, of the Fair Market Value of the Shares on the date of exercise over the Exercise Price.</w:t>
      </w:r>
    </w:p>
    <w:p>
      <w:pPr>
        <w:spacing w:after="0" w:line="320" w:lineRule="exact"/>
        <w:rPr>
          <w:rFonts w:ascii="Times New Roman" w:cs="Times New Roman" w:eastAsia="Times New Roman" w:hAnsi="Times New Roman"/>
          <w:sz w:val="15"/>
          <w:szCs w:val="15"/>
          <w:color w:val="auto"/>
        </w:rPr>
      </w:pPr>
    </w:p>
    <w:p>
      <w:pPr>
        <w:ind w:left="3120" w:hanging="382"/>
        <w:spacing w:after="0"/>
        <w:tabs>
          <w:tab w:leader="none" w:pos="3120" w:val="left"/>
        </w:tabs>
        <w:numPr>
          <w:ilvl w:val="1"/>
          <w:numId w:val="3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Nonqualified Stock Options</w:t>
      </w:r>
      <w:r>
        <w:rPr>
          <w:rFonts w:ascii="Times New Roman" w:cs="Times New Roman" w:eastAsia="Times New Roman" w:hAnsi="Times New Roman"/>
          <w:sz w:val="15"/>
          <w:szCs w:val="15"/>
          <w:color w:val="auto"/>
        </w:rPr>
        <w:t>.  If the Shares are held for more than twelve</w:t>
      </w:r>
    </w:p>
    <w:p>
      <w:pPr>
        <w:spacing w:after="0" w:line="22" w:lineRule="exact"/>
        <w:rPr>
          <w:rFonts w:ascii="Times New Roman" w:cs="Times New Roman" w:eastAsia="Times New Roman" w:hAnsi="Times New Roman"/>
          <w:sz w:val="15"/>
          <w:szCs w:val="15"/>
          <w:color w:val="auto"/>
        </w:rPr>
      </w:pPr>
    </w:p>
    <w:p>
      <w:pPr>
        <w:ind w:left="1220" w:right="1239" w:firstLine="4"/>
        <w:spacing w:after="0" w:line="263" w:lineRule="auto"/>
        <w:tabs>
          <w:tab w:leader="none" w:pos="1541" w:val="left"/>
        </w:tabs>
        <w:numPr>
          <w:ilvl w:val="0"/>
          <w:numId w:val="4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months after the date of purchase of the Shares pursuant to the exercise of an NQSO, any gain realized on disposition of the Shares will be treated as long term capital gain.</w:t>
      </w:r>
    </w:p>
    <w:p>
      <w:pPr>
        <w:spacing w:after="0" w:line="28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87" w:name="page488"/>
    <w:bookmarkEnd w:id="487"/>
    <w:p>
      <w:pPr>
        <w:ind w:left="2160" w:hanging="431"/>
        <w:spacing w:after="0"/>
        <w:tabs>
          <w:tab w:leader="none" w:pos="2160" w:val="left"/>
        </w:tabs>
        <w:numPr>
          <w:ilvl w:val="0"/>
          <w:numId w:val="40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GENERAL PROVISIONS.</w:t>
      </w:r>
    </w:p>
    <w:p>
      <w:pPr>
        <w:spacing w:after="0" w:line="174" w:lineRule="exact"/>
        <w:rPr>
          <w:sz w:val="20"/>
          <w:szCs w:val="20"/>
          <w:color w:val="auto"/>
        </w:rPr>
      </w:pPr>
    </w:p>
    <w:p>
      <w:pPr>
        <w:jc w:val="both"/>
        <w:ind w:left="1220" w:right="1239" w:firstLine="1009"/>
        <w:spacing w:after="0" w:line="270" w:lineRule="auto"/>
        <w:rPr>
          <w:sz w:val="20"/>
          <w:szCs w:val="20"/>
          <w:color w:val="auto"/>
        </w:rPr>
      </w:pPr>
      <w:r>
        <w:rPr>
          <w:rFonts w:ascii="Times New Roman" w:cs="Times New Roman" w:eastAsia="Times New Roman" w:hAnsi="Times New Roman"/>
          <w:sz w:val="15"/>
          <w:szCs w:val="15"/>
          <w:b w:val="1"/>
          <w:bCs w:val="1"/>
          <w:color w:val="auto"/>
        </w:rPr>
        <w:t xml:space="preserve">15.1. </w:t>
      </w:r>
      <w:r>
        <w:rPr>
          <w:rFonts w:ascii="Times New Roman" w:cs="Times New Roman" w:eastAsia="Times New Roman" w:hAnsi="Times New Roman"/>
          <w:sz w:val="15"/>
          <w:szCs w:val="15"/>
          <w:b w:val="1"/>
          <w:bCs w:val="1"/>
          <w:u w:val="single" w:color="auto"/>
          <w:color w:val="auto"/>
        </w:rPr>
        <w:t>Interpretation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dispute regarding the interpretation of this Agreement shall</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be submitted by Optionee or the Company to the Committee for review. The resolution of such a dispute by the Committee shall be final and binding on the Company and Optionee.</w:t>
      </w:r>
    </w:p>
    <w:p>
      <w:pPr>
        <w:spacing w:after="0" w:line="122" w:lineRule="exact"/>
        <w:rPr>
          <w:sz w:val="20"/>
          <w:szCs w:val="20"/>
          <w:color w:val="auto"/>
        </w:rPr>
      </w:pPr>
    </w:p>
    <w:p>
      <w:pPr>
        <w:jc w:val="both"/>
        <w:ind w:left="1220" w:right="1239" w:firstLine="1009"/>
        <w:spacing w:after="0" w:line="262" w:lineRule="auto"/>
        <w:rPr>
          <w:sz w:val="20"/>
          <w:szCs w:val="20"/>
          <w:color w:val="auto"/>
        </w:rPr>
      </w:pPr>
      <w:r>
        <w:rPr>
          <w:rFonts w:ascii="Times New Roman" w:cs="Times New Roman" w:eastAsia="Times New Roman" w:hAnsi="Times New Roman"/>
          <w:sz w:val="15"/>
          <w:szCs w:val="15"/>
          <w:b w:val="1"/>
          <w:bCs w:val="1"/>
          <w:color w:val="auto"/>
        </w:rPr>
        <w:t xml:space="preserve">15.2. </w:t>
      </w:r>
      <w:r>
        <w:rPr>
          <w:rFonts w:ascii="Times New Roman" w:cs="Times New Roman" w:eastAsia="Times New Roman" w:hAnsi="Times New Roman"/>
          <w:sz w:val="15"/>
          <w:szCs w:val="15"/>
          <w:b w:val="1"/>
          <w:bCs w:val="1"/>
          <w:u w:val="single" w:color="auto"/>
          <w:color w:val="auto"/>
        </w:rPr>
        <w:t>Entire Agreement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Plan, the Grant Notice and the Exercise Agreement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incorporated herein by reference. This Agreement, the Grant Notice, the Plan and the Exercise Agreement constitute the entire agreement of the parties with respect to the subject matter hereof and supersede all prior undertakings and agreements with respect to such subject matter.</w:t>
      </w:r>
    </w:p>
    <w:p>
      <w:pPr>
        <w:spacing w:after="0" w:line="130" w:lineRule="exact"/>
        <w:rPr>
          <w:sz w:val="20"/>
          <w:szCs w:val="20"/>
          <w:color w:val="auto"/>
        </w:rPr>
      </w:pPr>
    </w:p>
    <w:p>
      <w:pPr>
        <w:jc w:val="both"/>
        <w:ind w:left="1220" w:right="1239" w:firstLine="509"/>
        <w:spacing w:after="0" w:line="251" w:lineRule="auto"/>
        <w:tabs>
          <w:tab w:leader="none" w:pos="2201"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NOTICES. </w:t>
      </w:r>
      <w:r>
        <w:rPr>
          <w:rFonts w:ascii="Times New Roman" w:cs="Times New Roman" w:eastAsia="Times New Roman" w:hAnsi="Times New Roman"/>
          <w:sz w:val="15"/>
          <w:szCs w:val="15"/>
          <w:color w:val="auto"/>
        </w:rPr>
        <w:t>Any and all notices required or permitted to be given to a party pursuant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provisions of this Agreement will be in writing and will be effective and deemed to provide such party sufficient notice under this Agreement on the earliest of the following: (i) at the time of personal delivery, if delivery is in person; (ii) at the time an electronic confirmation of receipt is received, if delivery is by email; (iii) at the time of transmission by facsimile, addressed to the other party at its facsimile number specified herein (or hereafter modified by subsequent notice to the parties hereto), with confirmation of receipt made by both telephone and printed confirmation sheet verifying successful transmission of the facsimile; (iv) one (1) business day after deposit with an express overnight courier for United States deliveries, or two (2) business days after such deposit for deliveries outside of the United States, with proof of delivery from the courier requested; or (v) three (3) business days after deposit in the United States mail by certified mail (return receipt requested) for United States deliveries. Any notice for delivery outside the United States will be sent by email, facsimile or by express courier. Any notice not delivered personally or by email will be sent with postage and/or other charges prepaid and properly addressed to Optionee at the last known address or facsimile number on the books of the Company, or at such other address or facsimile number as such other party may designate by one of the indicated means of notice herein to the other parties hereto or, in the case of the Company, to it at its principal place of business. Notices to the Company will be marked “Attention: Chief Financial Officer.” Notices by facsimile shall be machine verified as received.</w:t>
      </w:r>
    </w:p>
    <w:p>
      <w:pPr>
        <w:spacing w:after="0" w:line="318" w:lineRule="exact"/>
        <w:rPr>
          <w:rFonts w:ascii="Times New Roman" w:cs="Times New Roman" w:eastAsia="Times New Roman" w:hAnsi="Times New Roman"/>
          <w:sz w:val="15"/>
          <w:szCs w:val="15"/>
          <w:b w:val="1"/>
          <w:bCs w:val="1"/>
          <w:color w:val="auto"/>
        </w:rPr>
      </w:pPr>
    </w:p>
    <w:p>
      <w:pPr>
        <w:jc w:val="both"/>
        <w:ind w:left="1220" w:right="1239" w:firstLine="509"/>
        <w:spacing w:after="0" w:line="259" w:lineRule="auto"/>
        <w:tabs>
          <w:tab w:leader="none" w:pos="2201"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SUCCESSORS AND ASSIGNS. </w:t>
      </w:r>
      <w:r>
        <w:rPr>
          <w:rFonts w:ascii="Times New Roman" w:cs="Times New Roman" w:eastAsia="Times New Roman" w:hAnsi="Times New Roman"/>
          <w:sz w:val="15"/>
          <w:szCs w:val="15"/>
          <w:color w:val="auto"/>
        </w:rPr>
        <w:t>The Company may assign any of its rights under this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Agreement including its rights to purchase Shares under the Right of First Refusal. This Agreement shall be binding upon and inure to the benefit of the successors and assigns of the Company. Subject to the restrictions on transfer set forth herein, this Agreement shall be binding upon Optionee and Optionee’s heirs, executors, administrators, legal representatives, successors and assigns.</w:t>
      </w:r>
    </w:p>
    <w:p>
      <w:pPr>
        <w:spacing w:after="0" w:line="131" w:lineRule="exact"/>
        <w:rPr>
          <w:rFonts w:ascii="Times New Roman" w:cs="Times New Roman" w:eastAsia="Times New Roman" w:hAnsi="Times New Roman"/>
          <w:sz w:val="15"/>
          <w:szCs w:val="15"/>
          <w:b w:val="1"/>
          <w:bCs w:val="1"/>
          <w:color w:val="auto"/>
        </w:rPr>
      </w:pPr>
    </w:p>
    <w:p>
      <w:pPr>
        <w:jc w:val="both"/>
        <w:ind w:left="1220" w:right="1239" w:firstLine="509"/>
        <w:spacing w:after="0" w:line="259" w:lineRule="auto"/>
        <w:tabs>
          <w:tab w:leader="none" w:pos="2159"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GOVERNING LAW. </w:t>
      </w:r>
      <w:r>
        <w:rPr>
          <w:rFonts w:ascii="Times New Roman" w:cs="Times New Roman" w:eastAsia="Times New Roman" w:hAnsi="Times New Roman"/>
          <w:sz w:val="15"/>
          <w:szCs w:val="15"/>
          <w:color w:val="auto"/>
        </w:rPr>
        <w:t>This Agreement shall be governed by and construed in accordance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with the internal laws of the State of Delaware as such laws are applied to agreements between Delaware residents entered into and to be performed entirely within Delaware. If any provision of this Agreement is determined by a court of law to be illegal or unenforceable, then such provision will be enforced to the maximum extent possible and the other provisions will remain fully effective and enforceable.</w:t>
      </w:r>
    </w:p>
    <w:p>
      <w:pPr>
        <w:spacing w:after="0" w:line="131" w:lineRule="exact"/>
        <w:rPr>
          <w:rFonts w:ascii="Times New Roman" w:cs="Times New Roman" w:eastAsia="Times New Roman" w:hAnsi="Times New Roman"/>
          <w:sz w:val="15"/>
          <w:szCs w:val="15"/>
          <w:b w:val="1"/>
          <w:bCs w:val="1"/>
          <w:color w:val="auto"/>
        </w:rPr>
      </w:pPr>
    </w:p>
    <w:p>
      <w:pPr>
        <w:jc w:val="both"/>
        <w:ind w:left="1220" w:right="1239" w:firstLine="509"/>
        <w:spacing w:after="0" w:line="270" w:lineRule="auto"/>
        <w:tabs>
          <w:tab w:leader="none" w:pos="2220"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FURTHER ASSURANCES. </w:t>
      </w:r>
      <w:r>
        <w:rPr>
          <w:rFonts w:ascii="Times New Roman" w:cs="Times New Roman" w:eastAsia="Times New Roman" w:hAnsi="Times New Roman"/>
          <w:sz w:val="15"/>
          <w:szCs w:val="15"/>
          <w:color w:val="auto"/>
        </w:rPr>
        <w:t>The parties agree to execute such further documents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instruments and to take such further actions as may be reasonably necessary to carry out the purposes and intent of this Agreement.</w:t>
      </w:r>
    </w:p>
    <w:p>
      <w:pPr>
        <w:spacing w:after="0" w:line="122" w:lineRule="exact"/>
        <w:rPr>
          <w:rFonts w:ascii="Times New Roman" w:cs="Times New Roman" w:eastAsia="Times New Roman" w:hAnsi="Times New Roman"/>
          <w:sz w:val="15"/>
          <w:szCs w:val="15"/>
          <w:b w:val="1"/>
          <w:bCs w:val="1"/>
          <w:color w:val="auto"/>
        </w:rPr>
      </w:pPr>
    </w:p>
    <w:p>
      <w:pPr>
        <w:jc w:val="both"/>
        <w:ind w:left="1220" w:right="1239" w:firstLine="509"/>
        <w:spacing w:after="0" w:line="262" w:lineRule="auto"/>
        <w:tabs>
          <w:tab w:leader="none" w:pos="2259" w:val="left"/>
        </w:tabs>
        <w:numPr>
          <w:ilvl w:val="0"/>
          <w:numId w:val="40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TITLES AND HEADINGS. </w:t>
      </w:r>
      <w:r>
        <w:rPr>
          <w:rFonts w:ascii="Times New Roman" w:cs="Times New Roman" w:eastAsia="Times New Roman" w:hAnsi="Times New Roman"/>
          <w:sz w:val="15"/>
          <w:szCs w:val="15"/>
          <w:color w:val="auto"/>
        </w:rPr>
        <w:t>The titles, captions and headings of this Agreement are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included for ease of reference only and will be disregarded in interpreting or construing this Agreement. Unless otherwise specifically stated, all references herein to “sections” and “exhibits” will mean “sections” and “exhibits” to this Agreement.</w:t>
      </w:r>
    </w:p>
    <w:p>
      <w:pPr>
        <w:spacing w:after="0" w:line="29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88" w:name="page489"/>
    <w:bookmarkEnd w:id="488"/>
    <w:p>
      <w:pPr>
        <w:jc w:val="both"/>
        <w:ind w:left="1220" w:right="1239" w:firstLine="509"/>
        <w:spacing w:after="0" w:line="270" w:lineRule="auto"/>
        <w:tabs>
          <w:tab w:leader="none" w:pos="2222"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COUNTERPARTS. </w:t>
      </w:r>
      <w:r>
        <w:rPr>
          <w:rFonts w:ascii="Times New Roman" w:cs="Times New Roman" w:eastAsia="Times New Roman" w:hAnsi="Times New Roman"/>
          <w:sz w:val="15"/>
          <w:szCs w:val="15"/>
          <w:color w:val="auto"/>
        </w:rPr>
        <w:t>This Agreement may be executed in any number of counterparts,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each of which when so executed and delivered will be deemed an original, and all of which together shall constitute one and the same agreement.</w:t>
      </w:r>
    </w:p>
    <w:p>
      <w:pPr>
        <w:spacing w:after="0" w:line="122" w:lineRule="exact"/>
        <w:rPr>
          <w:rFonts w:ascii="Times New Roman" w:cs="Times New Roman" w:eastAsia="Times New Roman" w:hAnsi="Times New Roman"/>
          <w:sz w:val="15"/>
          <w:szCs w:val="15"/>
          <w:b w:val="1"/>
          <w:bCs w:val="1"/>
          <w:color w:val="auto"/>
        </w:rPr>
      </w:pPr>
    </w:p>
    <w:p>
      <w:pPr>
        <w:jc w:val="both"/>
        <w:ind w:left="1220" w:right="1239" w:firstLine="509"/>
        <w:spacing w:after="0" w:line="254" w:lineRule="auto"/>
        <w:tabs>
          <w:tab w:leader="none" w:pos="2264" w:val="left"/>
        </w:tabs>
        <w:numPr>
          <w:ilvl w:val="0"/>
          <w:numId w:val="403"/>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SEVERABILITY. </w:t>
      </w:r>
      <w:r>
        <w:rPr>
          <w:rFonts w:ascii="Times New Roman" w:cs="Times New Roman" w:eastAsia="Times New Roman" w:hAnsi="Times New Roman"/>
          <w:sz w:val="15"/>
          <w:szCs w:val="15"/>
          <w:color w:val="auto"/>
        </w:rPr>
        <w:t>If any provision of this Agreement is determined by any court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arbitrator of competent jurisdiction to be invalid, illegal or unenforceable in any respect, such provision will be enforced to the maximum extent possible given the intent of the parties hereto. If such clause or provision cannot be so enforced, such provision shall be stricken from this Agreement and the remainder of this Agreement shall be enforced as if such invalid, illegal or unenforceable clause or provision had (to the extent not enforceable) never been contained in this Agreement. Notwithstanding the forgoing, if the value of this Agreement based upon the substantial benefit of the bargain for any party is materially impaired, which determination as made by the presiding court or arbitrator of competent jurisdiction shall be binding, then both parties agree to substitute such provision(s) through good faith negotiations.</w:t>
      </w:r>
    </w:p>
    <w:p>
      <w:pPr>
        <w:spacing w:after="0" w:line="137" w:lineRule="exact"/>
        <w:rPr>
          <w:rFonts w:ascii="Times New Roman" w:cs="Times New Roman" w:eastAsia="Times New Roman" w:hAnsi="Times New Roman"/>
          <w:sz w:val="15"/>
          <w:szCs w:val="15"/>
          <w:b w:val="1"/>
          <w:bCs w:val="1"/>
          <w:color w:val="auto"/>
        </w:rPr>
      </w:pPr>
    </w:p>
    <w:p>
      <w:pPr>
        <w:ind w:left="41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color w:val="auto"/>
        </w:rPr>
        <w:t>* * * * *</w:t>
      </w:r>
    </w:p>
    <w:p>
      <w:pPr>
        <w:spacing w:after="0" w:line="17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color w:val="auto"/>
        </w:rPr>
        <w:t xml:space="preserve">Attachment: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Form of Stock Option Exercise Notice and Agreement</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489" w:name="page490"/>
    <w:bookmarkEnd w:id="489"/>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ADDENDUM</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TERMS AND CONDITIONS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 OPTIONEES OUTSIDE THE U.S.</w:t>
      </w:r>
    </w:p>
    <w:p>
      <w:pPr>
        <w:spacing w:after="0" w:line="32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i w:val="1"/>
          <w:iCs w:val="1"/>
          <w:color w:val="auto"/>
        </w:rPr>
        <w:t>Terms and Conditions</w:t>
      </w:r>
    </w:p>
    <w:p>
      <w:pPr>
        <w:spacing w:after="0" w:line="178"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This Addendum includes additional terms and conditions that govern the Option granted to Optionee under the Plan if Optionee resides and/or works in one of the countries listed below. Capitalized terms used but not defined herein shall have the meanings ascribed to them in the Plan and/or the Agreement to which this Addendum is attached.</w:t>
      </w:r>
    </w:p>
    <w:p>
      <w:pPr>
        <w:spacing w:after="0" w:line="133" w:lineRule="exact"/>
        <w:rPr>
          <w:sz w:val="20"/>
          <w:szCs w:val="20"/>
          <w:color w:val="auto"/>
        </w:rPr>
      </w:pPr>
    </w:p>
    <w:p>
      <w:pPr>
        <w:jc w:val="both"/>
        <w:ind w:left="1220" w:right="1239" w:firstLine="505"/>
        <w:spacing w:after="0" w:line="256" w:lineRule="auto"/>
        <w:rPr>
          <w:sz w:val="20"/>
          <w:szCs w:val="20"/>
          <w:color w:val="auto"/>
        </w:rPr>
      </w:pPr>
      <w:r>
        <w:rPr>
          <w:rFonts w:ascii="Times New Roman" w:cs="Times New Roman" w:eastAsia="Times New Roman" w:hAnsi="Times New Roman"/>
          <w:sz w:val="15"/>
          <w:szCs w:val="15"/>
          <w:color w:val="auto"/>
        </w:rPr>
        <w:t>If Optionee is a citizen or resident of a country other than the one in which he or she is currently working and/or residing, transfers to another country after the Date of Grant, is a consultant, changes employment status to a consultant position, or is considered a resident of another country for local law purposes, the Company shall, in its discretion, determine the extent to which the special terms and conditions contained herein shall be applicable to Optionee. References to Optionee’s Employer shall include any entity that engages Optionee’s services.</w:t>
      </w:r>
    </w:p>
    <w:p>
      <w:pPr>
        <w:spacing w:after="0" w:line="137"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In accepting this Option, Optionee acknowledges, understands and agrees that:</w:t>
      </w:r>
    </w:p>
    <w:p>
      <w:pPr>
        <w:spacing w:after="0" w:line="170" w:lineRule="exact"/>
        <w:rPr>
          <w:sz w:val="20"/>
          <w:szCs w:val="20"/>
          <w:color w:val="auto"/>
        </w:rPr>
      </w:pPr>
    </w:p>
    <w:p>
      <w:pPr>
        <w:jc w:val="both"/>
        <w:ind w:left="1220" w:right="1239" w:firstLine="505"/>
        <w:spacing w:after="0" w:line="259" w:lineRule="auto"/>
        <w:rPr>
          <w:sz w:val="20"/>
          <w:szCs w:val="20"/>
          <w:color w:val="auto"/>
        </w:rPr>
      </w:pPr>
      <w:r>
        <w:rPr>
          <w:rFonts w:ascii="Times New Roman" w:cs="Times New Roman" w:eastAsia="Times New Roman" w:hAnsi="Times New Roman"/>
          <w:sz w:val="15"/>
          <w:szCs w:val="15"/>
          <w:b w:val="1"/>
          <w:bCs w:val="1"/>
          <w:u w:val="single" w:color="auto"/>
          <w:color w:val="auto"/>
        </w:rPr>
        <w:t>Data Privacy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Optionee hereby explicitly and unambiguously consent to the collection,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processing, use and transfer, in electronic or other form, of Optionee’s personal data as described in this Agreement and any other award materials by and among, as applicable, the Company, or, if different, Optionee’s employer (the “</w:t>
      </w:r>
      <w:r>
        <w:rPr>
          <w:rFonts w:ascii="Times New Roman" w:cs="Times New Roman" w:eastAsia="Times New Roman" w:hAnsi="Times New Roman"/>
          <w:sz w:val="15"/>
          <w:szCs w:val="15"/>
          <w:b w:val="1"/>
          <w:bCs w:val="1"/>
          <w:i w:val="1"/>
          <w:iCs w:val="1"/>
          <w:color w:val="auto"/>
        </w:rPr>
        <w:t>Employer</w:t>
      </w:r>
      <w:r>
        <w:rPr>
          <w:rFonts w:ascii="Times New Roman" w:cs="Times New Roman" w:eastAsia="Times New Roman" w:hAnsi="Times New Roman"/>
          <w:sz w:val="15"/>
          <w:szCs w:val="15"/>
          <w:color w:val="auto"/>
        </w:rPr>
        <w:t>”), and its Subsidiaries, Parent or Affiliates for the exclusive purpose of implementing, administering and managing Optionee’s participation in the Plan.</w:t>
      </w:r>
    </w:p>
    <w:p>
      <w:pPr>
        <w:spacing w:after="0" w:line="135" w:lineRule="exact"/>
        <w:rPr>
          <w:sz w:val="20"/>
          <w:szCs w:val="20"/>
          <w:color w:val="auto"/>
        </w:rPr>
      </w:pPr>
    </w:p>
    <w:p>
      <w:pPr>
        <w:jc w:val="both"/>
        <w:ind w:left="1220" w:right="1239" w:firstLine="505"/>
        <w:spacing w:after="0" w:line="255" w:lineRule="auto"/>
        <w:rPr>
          <w:sz w:val="20"/>
          <w:szCs w:val="20"/>
          <w:color w:val="auto"/>
        </w:rPr>
      </w:pPr>
      <w:r>
        <w:rPr>
          <w:rFonts w:ascii="Times New Roman" w:cs="Times New Roman" w:eastAsia="Times New Roman" w:hAnsi="Times New Roman"/>
          <w:sz w:val="15"/>
          <w:szCs w:val="15"/>
          <w:color w:val="auto"/>
        </w:rPr>
        <w:t>Optionee understands that the Company and the Employer may hold certain personal information about Optionee, including but not limited to, Optionee’s name, home address and telephone number, date of birth, social insurance number or other identification number, salary, nationality, job title, any shares of Class A Common Stock or directorships held in the Company, details of all awards or any other entitlement to shares of Class A Common Stock granted, canceled, exercised, vested, unvested or outstanding in Optionee’s favor, for the exclusive purpose of implementing, administering and managing the Plan (“</w:t>
      </w:r>
      <w:r>
        <w:rPr>
          <w:rFonts w:ascii="Times New Roman" w:cs="Times New Roman" w:eastAsia="Times New Roman" w:hAnsi="Times New Roman"/>
          <w:sz w:val="15"/>
          <w:szCs w:val="15"/>
          <w:b w:val="1"/>
          <w:bCs w:val="1"/>
          <w:i w:val="1"/>
          <w:iCs w:val="1"/>
          <w:color w:val="auto"/>
        </w:rPr>
        <w:t>Data</w:t>
      </w:r>
      <w:r>
        <w:rPr>
          <w:rFonts w:ascii="Times New Roman" w:cs="Times New Roman" w:eastAsia="Times New Roman" w:hAnsi="Times New Roman"/>
          <w:sz w:val="15"/>
          <w:szCs w:val="15"/>
          <w:color w:val="auto"/>
        </w:rPr>
        <w:t>”).</w:t>
      </w:r>
    </w:p>
    <w:p>
      <w:pPr>
        <w:spacing w:after="0" w:line="320" w:lineRule="exact"/>
        <w:rPr>
          <w:sz w:val="20"/>
          <w:szCs w:val="20"/>
          <w:color w:val="auto"/>
        </w:rPr>
      </w:pPr>
    </w:p>
    <w:p>
      <w:pPr>
        <w:jc w:val="both"/>
        <w:ind w:left="1220" w:right="1239" w:firstLine="505"/>
        <w:spacing w:after="0" w:line="251" w:lineRule="auto"/>
        <w:rPr>
          <w:sz w:val="20"/>
          <w:szCs w:val="20"/>
          <w:color w:val="auto"/>
        </w:rPr>
      </w:pPr>
      <w:r>
        <w:rPr>
          <w:rFonts w:ascii="Times New Roman" w:cs="Times New Roman" w:eastAsia="Times New Roman" w:hAnsi="Times New Roman"/>
          <w:sz w:val="15"/>
          <w:szCs w:val="15"/>
          <w:color w:val="auto"/>
        </w:rPr>
        <w:t>Optionee understands that Data will be transferred to any third parties assisting the Company with the implementation, administration and management of the Plan. Optionee understands that the recipients of the Data may be located in the United States or elsewhere, and that the recipients’ country (e.g., the United States) may have different data privacy laws and protections than Optionee’s country. Optionee understands that Optionee may request a list with the names and addresses of any potential recipients of the Data by contacting Optionee’s local human resources representative. Optionee authorizes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Optionee’s participation in the Plan. Optionee understands that Data will be held only as long as is necessary to implement, administer and manage Optionee’s participation in the Plan. Optionee understands that Optionee may, at any time, view Data, request additional information about the storage and processing of Data, require any necessary amendments to Data or refuse or withdraw the consents herein, in any case without cost, by contacting in writing Optionee’s local human resources representative. Optionee understands, however, that refusing or withdrawing Optionee’s consent may affect Optionee’s ability to</w:t>
      </w:r>
    </w:p>
    <w:p>
      <w:pPr>
        <w:spacing w:after="0" w:line="200" w:lineRule="exact"/>
        <w:rPr>
          <w:sz w:val="20"/>
          <w:szCs w:val="20"/>
          <w:color w:val="auto"/>
        </w:rPr>
      </w:pPr>
    </w:p>
    <w:p>
      <w:pPr>
        <w:spacing w:after="0" w:line="27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90" w:name="page491"/>
    <w:bookmarkEnd w:id="490"/>
    <w:p>
      <w:pPr>
        <w:ind w:left="1220"/>
        <w:spacing w:after="0" w:line="267" w:lineRule="auto"/>
        <w:rPr>
          <w:sz w:val="20"/>
          <w:szCs w:val="20"/>
          <w:color w:val="auto"/>
        </w:rPr>
      </w:pPr>
      <w:r>
        <w:rPr>
          <w:rFonts w:ascii="Times New Roman" w:cs="Times New Roman" w:eastAsia="Times New Roman" w:hAnsi="Times New Roman"/>
          <w:sz w:val="15"/>
          <w:szCs w:val="15"/>
          <w:color w:val="auto"/>
        </w:rPr>
        <w:t>participate in the Plan. withdrawal of consent, resources representative.</w:t>
      </w:r>
    </w:p>
    <w:p>
      <w:pPr>
        <w:spacing w:after="0" w:line="20" w:lineRule="exact"/>
        <w:rPr>
          <w:sz w:val="20"/>
          <w:szCs w:val="20"/>
          <w:color w:val="auto"/>
        </w:rPr>
      </w:pPr>
      <w:r>
        <w:rPr>
          <w:sz w:val="20"/>
          <w:szCs w:val="20"/>
          <w:color w:val="auto"/>
        </w:rPr>
        <w:br w:type="column"/>
      </w:r>
    </w:p>
    <w:p>
      <w:pPr>
        <w:jc w:val="right"/>
        <w:ind w:right="1239"/>
        <w:spacing w:after="0" w:line="285" w:lineRule="auto"/>
        <w:rPr>
          <w:sz w:val="20"/>
          <w:szCs w:val="20"/>
          <w:color w:val="auto"/>
        </w:rPr>
      </w:pPr>
      <w:r>
        <w:rPr>
          <w:rFonts w:ascii="Times New Roman" w:cs="Times New Roman" w:eastAsia="Times New Roman" w:hAnsi="Times New Roman"/>
          <w:sz w:val="15"/>
          <w:szCs w:val="15"/>
          <w:color w:val="auto"/>
        </w:rPr>
        <w:t>For more information on the consequences of Optionee’s refusal to consent or Optionee understands that Optionee may contact Optionee’s local human</w:t>
      </w:r>
    </w:p>
    <w:p>
      <w:pPr>
        <w:spacing w:after="0" w:line="295" w:lineRule="exact"/>
        <w:rPr>
          <w:sz w:val="20"/>
          <w:szCs w:val="20"/>
          <w:color w:val="auto"/>
        </w:rPr>
      </w:pPr>
    </w:p>
    <w:p>
      <w:pPr>
        <w:sectPr>
          <w:pgSz w:w="11900" w:h="16838" w:orient="portrait"/>
          <w:cols w:equalWidth="0" w:num="2">
            <w:col w:w="2740" w:space="40"/>
            <w:col w:w="6239"/>
          </w:cols>
          <w:pgMar w:left="1440" w:top="1300" w:right="1440" w:bottom="1440" w:gutter="0" w:footer="0" w:header="0"/>
        </w:sectPr>
      </w:pPr>
    </w:p>
    <w:p>
      <w:pPr>
        <w:ind w:left="1720"/>
        <w:spacing w:after="0"/>
        <w:rPr>
          <w:sz w:val="20"/>
          <w:szCs w:val="20"/>
          <w:color w:val="auto"/>
        </w:rPr>
      </w:pPr>
      <w:r>
        <w:rPr>
          <w:rFonts w:ascii="Times New Roman" w:cs="Times New Roman" w:eastAsia="Times New Roman" w:hAnsi="Times New Roman"/>
          <w:sz w:val="15"/>
          <w:szCs w:val="15"/>
          <w:color w:val="auto"/>
        </w:rPr>
        <w:t>In accepting this Option, Optionee also acknowledges, understands and agrees that:</w:t>
      </w:r>
    </w:p>
    <w:p>
      <w:pPr>
        <w:spacing w:after="0" w:line="174" w:lineRule="exact"/>
        <w:rPr>
          <w:sz w:val="20"/>
          <w:szCs w:val="20"/>
          <w:color w:val="auto"/>
        </w:rPr>
      </w:pPr>
    </w:p>
    <w:p>
      <w:pPr>
        <w:ind w:left="1480" w:right="1239" w:hanging="256"/>
        <w:spacing w:after="0" w:line="285"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Plan is established voluntarily by the Company, it is discretionary in nature, and may be amended, suspended or terminated by the Company at any time, to the extent permitted by the Plan;</w:t>
      </w:r>
    </w:p>
    <w:p>
      <w:pPr>
        <w:spacing w:after="0" w:line="115" w:lineRule="exact"/>
        <w:rPr>
          <w:rFonts w:ascii="Times New Roman" w:cs="Times New Roman" w:eastAsia="Times New Roman" w:hAnsi="Times New Roman"/>
          <w:sz w:val="15"/>
          <w:szCs w:val="15"/>
          <w:color w:val="auto"/>
        </w:rPr>
      </w:pPr>
    </w:p>
    <w:p>
      <w:pPr>
        <w:jc w:val="both"/>
        <w:ind w:left="1480" w:right="1239" w:hanging="256"/>
        <w:spacing w:after="0" w:line="267"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grant of the Option is voluntary and occasional and does not create any contractual or other right to receive future grants of options, or benefits in lieu of options, even if options have been granted in the past;</w:t>
      </w:r>
    </w:p>
    <w:p>
      <w:pPr>
        <w:spacing w:after="0" w:line="128" w:lineRule="exact"/>
        <w:rPr>
          <w:rFonts w:ascii="Times New Roman" w:cs="Times New Roman" w:eastAsia="Times New Roman" w:hAnsi="Times New Roman"/>
          <w:sz w:val="15"/>
          <w:szCs w:val="15"/>
          <w:color w:val="auto"/>
        </w:rPr>
      </w:pPr>
    </w:p>
    <w:p>
      <w:pPr>
        <w:ind w:left="1480" w:right="1239" w:hanging="256"/>
        <w:spacing w:after="0" w:line="285"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decisions with respect to future Option or other grants, if any, will be at the sole discretion of the Company;</w:t>
      </w:r>
    </w:p>
    <w:p>
      <w:pPr>
        <w:spacing w:after="0" w:line="115" w:lineRule="exact"/>
        <w:rPr>
          <w:rFonts w:ascii="Times New Roman" w:cs="Times New Roman" w:eastAsia="Times New Roman" w:hAnsi="Times New Roman"/>
          <w:sz w:val="15"/>
          <w:szCs w:val="15"/>
          <w:color w:val="auto"/>
        </w:rPr>
      </w:pPr>
    </w:p>
    <w:p>
      <w:pPr>
        <w:jc w:val="both"/>
        <w:ind w:left="1480" w:right="1239" w:hanging="256"/>
        <w:spacing w:after="0" w:line="257"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grant and Optionee’s participation in the Plan shall not create a right to employment or be interpreted as forming an employment or service contract with the Company, Employer, or any Subsidiary or Parent or Affiliate of the Company and shall not interfere with the ability of the Company, the Employer or any Subsidiary or Parent or Affiliate of the Company, as applicable, to Terminate Optionee;</w:t>
      </w:r>
    </w:p>
    <w:p>
      <w:pPr>
        <w:spacing w:after="0" w:line="138" w:lineRule="exact"/>
        <w:rPr>
          <w:rFonts w:ascii="Times New Roman" w:cs="Times New Roman" w:eastAsia="Times New Roman" w:hAnsi="Times New Roman"/>
          <w:sz w:val="15"/>
          <w:szCs w:val="15"/>
          <w:color w:val="auto"/>
        </w:rPr>
      </w:pPr>
    </w:p>
    <w:p>
      <w:pPr>
        <w:ind w:left="1480" w:hanging="256"/>
        <w:spacing w:after="0"/>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is voluntarily participating in the Plan;</w:t>
      </w:r>
    </w:p>
    <w:p>
      <w:pPr>
        <w:spacing w:after="0" w:line="174" w:lineRule="exact"/>
        <w:rPr>
          <w:rFonts w:ascii="Times New Roman" w:cs="Times New Roman" w:eastAsia="Times New Roman" w:hAnsi="Times New Roman"/>
          <w:sz w:val="15"/>
          <w:szCs w:val="15"/>
          <w:color w:val="auto"/>
        </w:rPr>
      </w:pPr>
    </w:p>
    <w:p>
      <w:pPr>
        <w:ind w:left="1480" w:right="1239" w:hanging="256"/>
        <w:spacing w:after="0" w:line="285"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and any Shares acquired under the Plan are not intended to replace any pension rights or compensation;</w:t>
      </w:r>
    </w:p>
    <w:p>
      <w:pPr>
        <w:spacing w:after="0" w:line="115" w:lineRule="exact"/>
        <w:rPr>
          <w:rFonts w:ascii="Times New Roman" w:cs="Times New Roman" w:eastAsia="Times New Roman" w:hAnsi="Times New Roman"/>
          <w:sz w:val="15"/>
          <w:szCs w:val="15"/>
          <w:color w:val="auto"/>
        </w:rPr>
      </w:pPr>
    </w:p>
    <w:p>
      <w:pPr>
        <w:jc w:val="both"/>
        <w:ind w:left="1480" w:right="1239" w:hanging="256"/>
        <w:spacing w:after="0" w:line="261"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and any Shares acquired under the Plan and the income and value of same, are not part of normal or expected compensation for any purpose, including, without limitation, calculating any severance, resignation, termination, redundancy, dismissal, end-of-service payments, bonuses, long-service awards, pension or retirement or welfare benefits or similar payments;</w:t>
      </w:r>
    </w:p>
    <w:p>
      <w:pPr>
        <w:spacing w:after="0" w:line="132" w:lineRule="exact"/>
        <w:rPr>
          <w:rFonts w:ascii="Times New Roman" w:cs="Times New Roman" w:eastAsia="Times New Roman" w:hAnsi="Times New Roman"/>
          <w:sz w:val="15"/>
          <w:szCs w:val="15"/>
          <w:color w:val="auto"/>
        </w:rPr>
      </w:pPr>
    </w:p>
    <w:p>
      <w:pPr>
        <w:ind w:left="1480" w:right="1239" w:hanging="256"/>
        <w:spacing w:after="0" w:line="285"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future value of the Shares underlying the Option is unknown, indeterminable, and cannot be predicted with certainty;</w:t>
      </w:r>
    </w:p>
    <w:p>
      <w:pPr>
        <w:spacing w:after="0" w:line="115" w:lineRule="exact"/>
        <w:rPr>
          <w:rFonts w:ascii="Times New Roman" w:cs="Times New Roman" w:eastAsia="Times New Roman" w:hAnsi="Times New Roman"/>
          <w:sz w:val="15"/>
          <w:szCs w:val="15"/>
          <w:color w:val="auto"/>
        </w:rPr>
      </w:pPr>
    </w:p>
    <w:p>
      <w:pPr>
        <w:ind w:left="1480" w:hanging="256"/>
        <w:spacing w:after="0"/>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underlying Shares do not increase in value, the Option will have no value;</w:t>
      </w:r>
    </w:p>
    <w:p>
      <w:pPr>
        <w:spacing w:after="0" w:line="174" w:lineRule="exact"/>
        <w:rPr>
          <w:rFonts w:ascii="Times New Roman" w:cs="Times New Roman" w:eastAsia="Times New Roman" w:hAnsi="Times New Roman"/>
          <w:sz w:val="15"/>
          <w:szCs w:val="15"/>
          <w:color w:val="auto"/>
        </w:rPr>
      </w:pPr>
    </w:p>
    <w:p>
      <w:pPr>
        <w:ind w:left="1480" w:right="1239" w:hanging="256"/>
        <w:spacing w:after="0" w:line="285"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Optionee exercises the Option and acquires Shares, the value of such Shares may increase or decrease in value, even below the Exercise Price;</w:t>
      </w:r>
    </w:p>
    <w:p>
      <w:pPr>
        <w:spacing w:after="0" w:line="115" w:lineRule="exact"/>
        <w:rPr>
          <w:rFonts w:ascii="Times New Roman" w:cs="Times New Roman" w:eastAsia="Times New Roman" w:hAnsi="Times New Roman"/>
          <w:sz w:val="15"/>
          <w:szCs w:val="15"/>
          <w:color w:val="auto"/>
        </w:rPr>
      </w:pPr>
    </w:p>
    <w:p>
      <w:pPr>
        <w:jc w:val="both"/>
        <w:ind w:left="1480" w:right="1239" w:hanging="256"/>
        <w:spacing w:after="0" w:line="252" w:lineRule="auto"/>
        <w:tabs>
          <w:tab w:leader="none" w:pos="1480" w:val="left"/>
        </w:tabs>
        <w:numPr>
          <w:ilvl w:val="0"/>
          <w:numId w:val="4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claim or entitlement to compensation or damages shall arise from forfeiture of the Option resulting from the Termination of Optionee's service (for any reason whatsoever, whether or not later found to be invalid or in breach of employment laws in the jurisdiction where Optionee is employed or the terms of Optionee’s employment agreement, if any), and in consideration of the grant of the Option to which Optionee is otherwise not entitled, Optionee irrevocably agrees never to institute any claim against the Company, any of its Parent, Subsidiaries, Affiliates, or the Employer, waives his or her ability, if any, to bring any such claim, and releases the Company, any of its Parent, Subsidiaries, Affiliates and the Employer from any such claim; if, notwithstanding the foregoing, any such claim is allowed by a court of competent jurisdiction, then, by participating in the Plan, Optionee shall be deemed irrevocably to have agreed not to pursue such claim and agree to execute any and all documents necessary to request dismissal or withdrawal of such claim;</w:t>
      </w:r>
    </w:p>
    <w:p>
      <w:pPr>
        <w:spacing w:after="0" w:line="299"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type w:val="continuous"/>
        </w:sectPr>
      </w:pPr>
    </w:p>
    <w:bookmarkStart w:id="491" w:name="page492"/>
    <w:bookmarkEnd w:id="491"/>
    <w:p>
      <w:pPr>
        <w:jc w:val="both"/>
        <w:ind w:left="1480" w:right="1239" w:hanging="256"/>
        <w:spacing w:after="0" w:line="251" w:lineRule="auto"/>
        <w:tabs>
          <w:tab w:leader="none" w:pos="1480" w:val="left"/>
        </w:tabs>
        <w:numPr>
          <w:ilvl w:val="0"/>
          <w:numId w:val="4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the Option, Optionee's service will be considered Terminated as of the date Optionee is no longer actively providing services to the Company or any of its Parent, Subsidiaries, or Affiliates (regardless of the reason for such Termination and whether or not later found to be invalid or in breach of employment laws in the jurisdiction where Optionee is employed or the terms of Optionee’s employment agreement, if any), and unless otherwise expressly provided in this Agreement or determined by the Company, (i) Optionee’s right to vest in the Option under the Plan, if any, will terminate as of such date and will not be extended by any notice period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Optionee’s period of service would not include any contractual notice period or any period of “garden leave” or similar period mandated under employment laws in the jurisdiction where Optionee is employed or the terms of Optionee’s employment agreement, if any); and (ii) the period (if any) during which Optionee may exercise the Option after such termination of Optionee's service will commence on the date Optionee ceases to actively provide services and will not be extended by any notice period mandated under employment laws in the jurisdiction where Optionee is employed or terms of Optionee’s employment agreement, if any; the Committee shall have the exclusive discretion to determine when Optionee is no longer actively providing services for purposes of his or her Option grant (including whether Optionee may still be considered to be providing services while on a leave of absence;</w:t>
      </w:r>
    </w:p>
    <w:p>
      <w:pPr>
        <w:spacing w:after="0" w:line="319" w:lineRule="exact"/>
        <w:rPr>
          <w:rFonts w:ascii="Times New Roman" w:cs="Times New Roman" w:eastAsia="Times New Roman" w:hAnsi="Times New Roman"/>
          <w:sz w:val="15"/>
          <w:szCs w:val="15"/>
          <w:color w:val="auto"/>
        </w:rPr>
      </w:pPr>
    </w:p>
    <w:p>
      <w:pPr>
        <w:jc w:val="both"/>
        <w:ind w:left="1480" w:right="1239" w:hanging="256"/>
        <w:spacing w:after="0" w:line="261" w:lineRule="auto"/>
        <w:tabs>
          <w:tab w:leader="none" w:pos="1480" w:val="left"/>
        </w:tabs>
        <w:numPr>
          <w:ilvl w:val="0"/>
          <w:numId w:val="4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otherwise provided in the Plan or by the Company in its discretion, the Option and the benefits evidenced by this Agreement do not create any entitlement to have the Option or any such benefits transferred to, or assumed by, another company nor to be exchanged, cashed out or substituted for, in connection with any corporate transaction affecting the shares of the Company;</w:t>
      </w:r>
    </w:p>
    <w:p>
      <w:pPr>
        <w:spacing w:after="0" w:line="132" w:lineRule="exact"/>
        <w:rPr>
          <w:rFonts w:ascii="Times New Roman" w:cs="Times New Roman" w:eastAsia="Times New Roman" w:hAnsi="Times New Roman"/>
          <w:sz w:val="15"/>
          <w:szCs w:val="15"/>
          <w:color w:val="auto"/>
        </w:rPr>
      </w:pPr>
    </w:p>
    <w:p>
      <w:pPr>
        <w:ind w:left="1480" w:right="1239" w:hanging="256"/>
        <w:spacing w:after="0" w:line="285" w:lineRule="auto"/>
        <w:tabs>
          <w:tab w:leader="none" w:pos="1480" w:val="left"/>
        </w:tabs>
        <w:numPr>
          <w:ilvl w:val="0"/>
          <w:numId w:val="4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Option and the Shares subject to the Option are not part of normal or expected compensation or salary for any purpose; and</w:t>
      </w:r>
    </w:p>
    <w:p>
      <w:pPr>
        <w:spacing w:after="0" w:line="115" w:lineRule="exact"/>
        <w:rPr>
          <w:rFonts w:ascii="Times New Roman" w:cs="Times New Roman" w:eastAsia="Times New Roman" w:hAnsi="Times New Roman"/>
          <w:sz w:val="15"/>
          <w:szCs w:val="15"/>
          <w:color w:val="auto"/>
        </w:rPr>
      </w:pPr>
    </w:p>
    <w:p>
      <w:pPr>
        <w:jc w:val="both"/>
        <w:ind w:left="1480" w:right="1239" w:hanging="256"/>
        <w:spacing w:after="0" w:line="259" w:lineRule="auto"/>
        <w:tabs>
          <w:tab w:leader="none" w:pos="1480" w:val="left"/>
        </w:tabs>
        <w:numPr>
          <w:ilvl w:val="0"/>
          <w:numId w:val="4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the Employer nor any the Company or any Subsidiary or Parent or Affiliate of the Company shall be liable for any foreign exchange rate fluctuation between Optionee’s local currency and the United States Dollar that may affect the value of the Option or of any amounts due to Optionee pursuant to the exercise of the Option or the subsequent sale of any Shares acquired upon exercise.</w:t>
      </w:r>
    </w:p>
    <w:p>
      <w:pPr>
        <w:spacing w:after="0" w:line="31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i w:val="1"/>
          <w:iCs w:val="1"/>
          <w:color w:val="auto"/>
        </w:rPr>
        <w:t>Notifications</w:t>
      </w:r>
    </w:p>
    <w:p>
      <w:pPr>
        <w:spacing w:after="0" w:line="178" w:lineRule="exact"/>
        <w:rPr>
          <w:sz w:val="20"/>
          <w:szCs w:val="20"/>
          <w:color w:val="auto"/>
        </w:rPr>
      </w:pPr>
    </w:p>
    <w:p>
      <w:pPr>
        <w:jc w:val="both"/>
        <w:ind w:left="1220" w:right="1239" w:firstLine="505"/>
        <w:spacing w:after="0" w:line="253" w:lineRule="auto"/>
        <w:rPr>
          <w:sz w:val="20"/>
          <w:szCs w:val="20"/>
          <w:color w:val="auto"/>
        </w:rPr>
      </w:pPr>
      <w:r>
        <w:rPr>
          <w:rFonts w:ascii="Times New Roman" w:cs="Times New Roman" w:eastAsia="Times New Roman" w:hAnsi="Times New Roman"/>
          <w:sz w:val="15"/>
          <w:szCs w:val="15"/>
          <w:color w:val="auto"/>
        </w:rPr>
        <w:t>This Addendum also includes information regarding exchange controls and certain other issues of which Optionee should be aware with respect to Optionee’s participation in the Plan. The information is provided solely for the convenience of Optionee and is based on the securities, exchange control and other laws in effect in the respective countries as of January 2018. Such laws are often complex and change frequently. As a result, the Company strongly recommends that Optionee not rely on the information noted herein as the only source of information relating to the consequences of Optionee’s participation in the Plan because the information may be out of date by the time Optionee vests in or exercises this Option or sells any exercised Shares.</w:t>
      </w:r>
    </w:p>
    <w:p>
      <w:pPr>
        <w:spacing w:after="0" w:line="143"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In addition, the information contained in this Addendum is general in nature and may not apply to Optionee’s particular situation, and the Company is not in a position to assure Optionee of any particular result. Accordingly, Optionee is advised to seek appropriate professional advice as to how the applicable laws in his or her country may apply to his or her situation.</w:t>
      </w:r>
    </w:p>
    <w:p>
      <w:pPr>
        <w:spacing w:after="0" w:line="2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92" w:name="page493"/>
    <w:bookmarkEnd w:id="492"/>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Finally, Optionee understands that if he or she is a citizen or resident of a country other than the one in which he or she is currently residing and/or working, transfers to another country after the Date of Grant, or is considered a resident of another country for local law purposes, the notifications contained herein may not be applicable to Optionee in the same manner.</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U</w:t>
      </w:r>
      <w:r>
        <w:rPr>
          <w:rFonts w:ascii="Times New Roman" w:cs="Times New Roman" w:eastAsia="Times New Roman" w:hAnsi="Times New Roman"/>
          <w:sz w:val="10"/>
          <w:szCs w:val="10"/>
          <w:b w:val="1"/>
          <w:bCs w:val="1"/>
          <w:color w:val="auto"/>
        </w:rPr>
        <w:t>nited</w:t>
      </w:r>
      <w:r>
        <w:rPr>
          <w:rFonts w:ascii="Times New Roman" w:cs="Times New Roman" w:eastAsia="Times New Roman" w:hAnsi="Times New Roman"/>
          <w:sz w:val="15"/>
          <w:szCs w:val="15"/>
          <w:b w:val="1"/>
          <w:bCs w:val="1"/>
          <w:color w:val="auto"/>
        </w:rPr>
        <w:t xml:space="preserve"> K</w:t>
      </w:r>
      <w:r>
        <w:rPr>
          <w:rFonts w:ascii="Times New Roman" w:cs="Times New Roman" w:eastAsia="Times New Roman" w:hAnsi="Times New Roman"/>
          <w:sz w:val="10"/>
          <w:szCs w:val="10"/>
          <w:b w:val="1"/>
          <w:bCs w:val="1"/>
          <w:color w:val="auto"/>
        </w:rPr>
        <w:t>ingdom</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i w:val="1"/>
          <w:iCs w:val="1"/>
          <w:color w:val="auto"/>
        </w:rPr>
        <w:t>Terms and Conditions</w:t>
      </w:r>
    </w:p>
    <w:p>
      <w:pPr>
        <w:spacing w:after="0" w:line="174" w:lineRule="exact"/>
        <w:rPr>
          <w:sz w:val="20"/>
          <w:szCs w:val="20"/>
          <w:color w:val="auto"/>
        </w:rPr>
      </w:pPr>
    </w:p>
    <w:p>
      <w:pPr>
        <w:jc w:val="both"/>
        <w:ind w:left="1220" w:right="1239" w:firstLine="505"/>
        <w:spacing w:after="0" w:line="253" w:lineRule="auto"/>
        <w:rPr>
          <w:sz w:val="20"/>
          <w:szCs w:val="20"/>
          <w:color w:val="auto"/>
        </w:rPr>
      </w:pPr>
      <w:r>
        <w:rPr>
          <w:rFonts w:ascii="Times New Roman" w:cs="Times New Roman" w:eastAsia="Times New Roman" w:hAnsi="Times New Roman"/>
          <w:sz w:val="15"/>
          <w:szCs w:val="15"/>
          <w:b w:val="1"/>
          <w:bCs w:val="1"/>
          <w:u w:val="single" w:color="auto"/>
          <w:color w:val="auto"/>
        </w:rPr>
        <w:t>Section 431 Election</w:t>
      </w:r>
      <w:r>
        <w:rPr>
          <w:rFonts w:ascii="Times New Roman" w:cs="Times New Roman" w:eastAsia="Times New Roman" w:hAnsi="Times New Roman"/>
          <w:sz w:val="15"/>
          <w:szCs w:val="15"/>
          <w:color w:val="auto"/>
        </w:rPr>
        <w:t>. Except as provided below, as a condition of participation in the Plan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no later than the time of exercise of the Option, Optionee agrees to enter into, jointly with Optionee’s employer (or the Company or its Subsidiaries or Affiliates, as applicable), a joint election within Section 431 of the U.K. Income Tax (Earnings and Pensions) Act 2003 (“</w:t>
      </w:r>
      <w:r>
        <w:rPr>
          <w:rFonts w:ascii="Times New Roman" w:cs="Times New Roman" w:eastAsia="Times New Roman" w:hAnsi="Times New Roman"/>
          <w:sz w:val="15"/>
          <w:szCs w:val="15"/>
          <w:u w:val="single" w:color="auto"/>
          <w:color w:val="auto"/>
        </w:rPr>
        <w:t>ITEPA 2003</w:t>
      </w:r>
      <w:r>
        <w:rPr>
          <w:rFonts w:ascii="Times New Roman" w:cs="Times New Roman" w:eastAsia="Times New Roman" w:hAnsi="Times New Roman"/>
          <w:sz w:val="15"/>
          <w:szCs w:val="15"/>
          <w:color w:val="auto"/>
        </w:rPr>
        <w:t>”) in respect of computing any tax charge on the acquisition of “restricted securities” (as defined in Sections 423 and 424 of ITEPA 2003), and that Optionee will not revoke such election at any time (the “</w:t>
      </w:r>
      <w:r>
        <w:rPr>
          <w:rFonts w:ascii="Times New Roman" w:cs="Times New Roman" w:eastAsia="Times New Roman" w:hAnsi="Times New Roman"/>
          <w:sz w:val="15"/>
          <w:szCs w:val="15"/>
          <w:u w:val="single" w:color="auto"/>
          <w:color w:val="auto"/>
        </w:rPr>
        <w:t>Joint Election</w:t>
      </w:r>
      <w:r>
        <w:rPr>
          <w:rFonts w:ascii="Times New Roman" w:cs="Times New Roman" w:eastAsia="Times New Roman" w:hAnsi="Times New Roman"/>
          <w:sz w:val="15"/>
          <w:szCs w:val="15"/>
          <w:color w:val="auto"/>
        </w:rPr>
        <w:t>”). This election will be to treat the Shares acquired pursuant to the exercise of the Option as if such Shares were not restricted securities (for U.K. tax purposes only). If Optionee is required to but does not enter into such an election prior to the exercise of the Option, Optionee will not be entitled to exercise the Option and no Shares will be issued to Optionee, without any liability to the Company or Optionee’s employer.</w:t>
      </w:r>
    </w:p>
    <w:p>
      <w:pPr>
        <w:spacing w:after="0" w:line="141" w:lineRule="exact"/>
        <w:rPr>
          <w:sz w:val="20"/>
          <w:szCs w:val="20"/>
          <w:color w:val="auto"/>
        </w:rPr>
      </w:pPr>
    </w:p>
    <w:p>
      <w:pPr>
        <w:jc w:val="both"/>
        <w:ind w:left="1220" w:right="1239" w:firstLine="505"/>
        <w:spacing w:after="0" w:line="259" w:lineRule="auto"/>
        <w:rPr>
          <w:sz w:val="20"/>
          <w:szCs w:val="20"/>
          <w:color w:val="auto"/>
        </w:rPr>
      </w:pPr>
      <w:r>
        <w:rPr>
          <w:rFonts w:ascii="Times New Roman" w:cs="Times New Roman" w:eastAsia="Times New Roman" w:hAnsi="Times New Roman"/>
          <w:sz w:val="15"/>
          <w:szCs w:val="15"/>
          <w:color w:val="auto"/>
        </w:rPr>
        <w:t>If the Optionee exercises the Options at a time when the Shares are considered to be “readily convertible assets” and are publicly traded, quoted or listed on a recognized exchange or securities market</w:t>
      </w:r>
    </w:p>
    <w:p>
      <w:pPr>
        <w:spacing w:after="0" w:line="1" w:lineRule="exact"/>
        <w:rPr>
          <w:sz w:val="20"/>
          <w:szCs w:val="20"/>
          <w:color w:val="auto"/>
        </w:rPr>
      </w:pPr>
    </w:p>
    <w:p>
      <w:pPr>
        <w:ind w:left="1220" w:right="1239" w:firstLine="4"/>
        <w:spacing w:after="0" w:line="263" w:lineRule="auto"/>
        <w:tabs>
          <w:tab w:leader="none" w:pos="1297" w:val="left"/>
        </w:tabs>
        <w:numPr>
          <w:ilvl w:val="0"/>
          <w:numId w:val="4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Optionee shall not be required to enter into a Joint Election as a condition of participation in the Plan and the exercise of the Option.</w:t>
      </w:r>
    </w:p>
    <w:p>
      <w:pPr>
        <w:spacing w:after="0" w:line="12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u w:val="single" w:color="auto"/>
          <w:color w:val="auto"/>
        </w:rPr>
        <w:t>Responsibility for Taxes</w:t>
      </w:r>
      <w:r>
        <w:rPr>
          <w:rFonts w:ascii="Times New Roman" w:cs="Times New Roman" w:eastAsia="Times New Roman" w:hAnsi="Times New Roman"/>
          <w:sz w:val="15"/>
          <w:szCs w:val="15"/>
          <w:color w:val="auto"/>
        </w:rPr>
        <w:t>.</w:t>
      </w:r>
    </w:p>
    <w:p>
      <w:pPr>
        <w:spacing w:after="0" w:line="178" w:lineRule="exact"/>
        <w:rPr>
          <w:sz w:val="20"/>
          <w:szCs w:val="20"/>
          <w:color w:val="auto"/>
        </w:rPr>
      </w:pPr>
    </w:p>
    <w:p>
      <w:pPr>
        <w:jc w:val="both"/>
        <w:ind w:left="1220" w:right="1239" w:firstLine="505"/>
        <w:spacing w:after="0" w:line="254" w:lineRule="auto"/>
        <w:rPr>
          <w:sz w:val="20"/>
          <w:szCs w:val="20"/>
          <w:color w:val="auto"/>
        </w:rPr>
      </w:pPr>
      <w:r>
        <w:rPr>
          <w:rFonts w:ascii="Times New Roman" w:cs="Times New Roman" w:eastAsia="Times New Roman" w:hAnsi="Times New Roman"/>
          <w:sz w:val="15"/>
          <w:szCs w:val="15"/>
          <w:color w:val="auto"/>
        </w:rPr>
        <w:t>If payment or withholding of the income tax is due in connection with the Option and is not made within ninety (90) days after the end of the year in which the event giving rise to the income tax liability occurs or such other period specified in Section 222(1)(c) of the ITEPA 2003 (the “</w:t>
      </w:r>
      <w:r>
        <w:rPr>
          <w:rFonts w:ascii="Times New Roman" w:cs="Times New Roman" w:eastAsia="Times New Roman" w:hAnsi="Times New Roman"/>
          <w:sz w:val="15"/>
          <w:szCs w:val="15"/>
          <w:u w:val="single" w:color="auto"/>
          <w:color w:val="auto"/>
        </w:rPr>
        <w:t>Due Date</w:t>
      </w:r>
      <w:r>
        <w:rPr>
          <w:rFonts w:ascii="Times New Roman" w:cs="Times New Roman" w:eastAsia="Times New Roman" w:hAnsi="Times New Roman"/>
          <w:sz w:val="15"/>
          <w:szCs w:val="15"/>
          <w:color w:val="auto"/>
        </w:rPr>
        <w:t>”), the amount of any uncollected income tax will constitute a loan owed by Optionee to the Employer, effective on the Due Date. Optionee agrees that the loan will bear interest at then-current Official Rate of Her Majesty’s Revenue and Customs (“</w:t>
      </w:r>
      <w:r>
        <w:rPr>
          <w:rFonts w:ascii="Times New Roman" w:cs="Times New Roman" w:eastAsia="Times New Roman" w:hAnsi="Times New Roman"/>
          <w:sz w:val="15"/>
          <w:szCs w:val="15"/>
          <w:u w:val="single" w:color="auto"/>
          <w:color w:val="auto"/>
        </w:rPr>
        <w:t>HMRC</w:t>
      </w:r>
      <w:r>
        <w:rPr>
          <w:rFonts w:ascii="Times New Roman" w:cs="Times New Roman" w:eastAsia="Times New Roman" w:hAnsi="Times New Roman"/>
          <w:sz w:val="15"/>
          <w:szCs w:val="15"/>
          <w:color w:val="auto"/>
        </w:rPr>
        <w:t>”), it will be immediately due and repayable, and the Company or the Employer may recover it at any time thereafter by any of the means referred to in the Agreement.</w:t>
      </w:r>
    </w:p>
    <w:p>
      <w:pPr>
        <w:spacing w:after="0" w:line="141" w:lineRule="exact"/>
        <w:rPr>
          <w:sz w:val="20"/>
          <w:szCs w:val="20"/>
          <w:color w:val="auto"/>
        </w:rPr>
      </w:pPr>
    </w:p>
    <w:p>
      <w:pPr>
        <w:jc w:val="both"/>
        <w:ind w:left="1220" w:right="1239" w:firstLine="505"/>
        <w:spacing w:after="0" w:line="252" w:lineRule="auto"/>
        <w:rPr>
          <w:sz w:val="20"/>
          <w:szCs w:val="20"/>
          <w:color w:val="auto"/>
        </w:rPr>
      </w:pPr>
      <w:r>
        <w:rPr>
          <w:rFonts w:ascii="Times New Roman" w:cs="Times New Roman" w:eastAsia="Times New Roman" w:hAnsi="Times New Roman"/>
          <w:sz w:val="15"/>
          <w:szCs w:val="15"/>
          <w:color w:val="auto"/>
        </w:rPr>
        <w:t xml:space="preserve">Notwithstanding the foregoing, if Optionee is a director or executive officer of the Company (within the meaning of Section 13(k) of the U.S. Securities Exchange Act of 1934, as amended), Optionee will not be eligible for such a loan to cover the income tax due as described above. In the event that Optionee is a director or executive officer and the income tax is not collected from or paid by Optionee by the Due Date, the amount of any uncollected tax will constitute a benefit to Optionee on which additional income tax and National Insurance Contributions, or </w:t>
      </w:r>
      <w:r>
        <w:rPr>
          <w:rFonts w:ascii="Times New Roman" w:cs="Times New Roman" w:eastAsia="Times New Roman" w:hAnsi="Times New Roman"/>
          <w:sz w:val="15"/>
          <w:szCs w:val="15"/>
          <w:u w:val="single" w:color="auto"/>
          <w:color w:val="auto"/>
        </w:rPr>
        <w:t>NICs</w:t>
      </w:r>
      <w:r>
        <w:rPr>
          <w:rFonts w:ascii="Times New Roman" w:cs="Times New Roman" w:eastAsia="Times New Roman" w:hAnsi="Times New Roman"/>
          <w:sz w:val="15"/>
          <w:szCs w:val="15"/>
          <w:color w:val="auto"/>
        </w:rPr>
        <w:t xml:space="preserve"> will be payable. Optionee acknowledges that the Company or the Employer may recover any such additional income tax and NICs at any time thereafter by any of the means referred to in the Agreement. Optionee will also be responsible for reporting and paying any income tax and NICs due on this additional benefit directly to HMRC under the self-assessment regime.</w:t>
      </w:r>
    </w:p>
    <w:p>
      <w:pPr>
        <w:spacing w:after="0" w:line="200" w:lineRule="exact"/>
        <w:rPr>
          <w:sz w:val="20"/>
          <w:szCs w:val="20"/>
          <w:color w:val="auto"/>
        </w:rPr>
      </w:pPr>
    </w:p>
    <w:p>
      <w:pPr>
        <w:spacing w:after="0" w:line="28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493" w:name="page494"/>
    <w:bookmarkEnd w:id="493"/>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ANNEX A</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STOCK OPTION EXERCISE NOTICE AND AGREEMENT</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494" w:name="page495"/>
    <w:bookmarkEnd w:id="494"/>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STOCK OPTION EXERCISE NOTICE AND AGREEMENT</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valyn</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harma</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w:t>
      </w:r>
      <w:r>
        <w:rPr>
          <w:rFonts w:ascii="Times New Roman" w:cs="Times New Roman" w:eastAsia="Times New Roman" w:hAnsi="Times New Roman"/>
          <w:sz w:val="15"/>
          <w:szCs w:val="15"/>
          <w:b w:val="1"/>
          <w:bCs w:val="1"/>
          <w:color w:val="auto"/>
        </w:rPr>
        <w: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2022 E</w:t>
      </w:r>
      <w:r>
        <w:rPr>
          <w:rFonts w:ascii="Times New Roman" w:cs="Times New Roman" w:eastAsia="Times New Roman" w:hAnsi="Times New Roman"/>
          <w:sz w:val="10"/>
          <w:szCs w:val="10"/>
          <w:b w:val="1"/>
          <w:bCs w:val="1"/>
          <w:color w:val="auto"/>
        </w:rPr>
        <w:t>quity</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ncentive</w:t>
      </w:r>
      <w:r>
        <w:rPr>
          <w:rFonts w:ascii="Times New Roman" w:cs="Times New Roman" w:eastAsia="Times New Roman" w:hAnsi="Times New Roman"/>
          <w:sz w:val="15"/>
          <w:szCs w:val="15"/>
          <w:b w:val="1"/>
          <w:bCs w:val="1"/>
          <w:color w:val="auto"/>
        </w:rPr>
        <w:t xml:space="preserve"> P</w:t>
      </w:r>
      <w:r>
        <w:rPr>
          <w:rFonts w:ascii="Times New Roman" w:cs="Times New Roman" w:eastAsia="Times New Roman" w:hAnsi="Times New Roman"/>
          <w:sz w:val="10"/>
          <w:szCs w:val="10"/>
          <w:b w:val="1"/>
          <w:bCs w:val="1"/>
          <w:color w:val="auto"/>
        </w:rPr>
        <w:t>lan</w:t>
      </w:r>
    </w:p>
    <w:p>
      <w:pPr>
        <w:spacing w:after="0" w:line="174" w:lineRule="exact"/>
        <w:rPr>
          <w:sz w:val="20"/>
          <w:szCs w:val="20"/>
          <w:color w:val="auto"/>
        </w:rPr>
      </w:pPr>
    </w:p>
    <w:p>
      <w:pPr>
        <w:jc w:val="both"/>
        <w:ind w:left="1220" w:right="1239" w:firstLine="505"/>
        <w:spacing w:after="0" w:line="262" w:lineRule="auto"/>
        <w:rPr>
          <w:sz w:val="20"/>
          <w:szCs w:val="20"/>
          <w:color w:val="auto"/>
        </w:rPr>
      </w:pPr>
      <w:r>
        <w:rPr>
          <w:rFonts w:ascii="Times New Roman" w:cs="Times New Roman" w:eastAsia="Times New Roman" w:hAnsi="Times New Roman"/>
          <w:sz w:val="15"/>
          <w:szCs w:val="15"/>
          <w:b w:val="1"/>
          <w:bCs w:val="1"/>
          <w:i w:val="1"/>
          <w:iCs w:val="1"/>
          <w:color w:val="auto"/>
        </w:rPr>
        <w:t>*</w:t>
      </w:r>
      <w:r>
        <w:rPr>
          <w:rFonts w:ascii="Times New Roman" w:cs="Times New Roman" w:eastAsia="Times New Roman" w:hAnsi="Times New Roman"/>
          <w:sz w:val="15"/>
          <w:szCs w:val="15"/>
          <w:b w:val="1"/>
          <w:bCs w:val="1"/>
          <w:u w:val="single" w:color="auto"/>
          <w:color w:val="auto"/>
        </w:rPr>
        <w:t>NOTE</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You </w:t>
      </w:r>
      <w:r>
        <w:rPr>
          <w:rFonts w:ascii="Times New Roman" w:cs="Times New Roman" w:eastAsia="Times New Roman" w:hAnsi="Times New Roman"/>
          <w:sz w:val="15"/>
          <w:szCs w:val="15"/>
          <w:b w:val="1"/>
          <w:bCs w:val="1"/>
          <w:i w:val="1"/>
          <w:iCs w:val="1"/>
          <w:u w:val="single" w:color="auto"/>
          <w:color w:val="auto"/>
        </w:rPr>
        <w:t>must</w:t>
      </w:r>
      <w:r>
        <w:rPr>
          <w:rFonts w:ascii="Times New Roman" w:cs="Times New Roman" w:eastAsia="Times New Roman" w:hAnsi="Times New Roman"/>
          <w:sz w:val="15"/>
          <w:szCs w:val="15"/>
          <w:b w:val="1"/>
          <w:bCs w:val="1"/>
          <w:i w:val="1"/>
          <w:iCs w:val="1"/>
          <w:color w:val="auto"/>
        </w:rPr>
        <w:t xml:space="preserve"> sign this Notice before submitting it to Avalyn Pharma Inc. (the “Company”) </w:t>
      </w:r>
      <w:r>
        <w:rPr>
          <w:rFonts w:ascii="Times New Roman" w:cs="Times New Roman" w:eastAsia="Times New Roman" w:hAnsi="Times New Roman"/>
          <w:sz w:val="15"/>
          <w:szCs w:val="15"/>
          <w:b w:val="1"/>
          <w:bCs w:val="1"/>
          <w:i w:val="1"/>
          <w:iCs w:val="1"/>
          <w:u w:val="single" w:color="auto"/>
          <w:color w:val="auto"/>
        </w:rPr>
        <w:t>AND</w:t>
      </w: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15"/>
          <w:szCs w:val="15"/>
          <w:b w:val="1"/>
          <w:bCs w:val="1"/>
          <w:i w:val="1"/>
          <w:iCs w:val="1"/>
          <w:color w:val="auto"/>
        </w:rPr>
        <w:t xml:space="preserve"> if requested to do so by the Company, you </w:t>
      </w:r>
      <w:r>
        <w:rPr>
          <w:rFonts w:ascii="Times New Roman" w:cs="Times New Roman" w:eastAsia="Times New Roman" w:hAnsi="Times New Roman"/>
          <w:sz w:val="15"/>
          <w:szCs w:val="15"/>
          <w:b w:val="1"/>
          <w:bCs w:val="1"/>
          <w:i w:val="1"/>
          <w:iCs w:val="1"/>
          <w:u w:val="single" w:color="auto"/>
          <w:color w:val="auto"/>
        </w:rPr>
        <w:t>must</w:t>
      </w:r>
      <w:r>
        <w:rPr>
          <w:rFonts w:ascii="Times New Roman" w:cs="Times New Roman" w:eastAsia="Times New Roman" w:hAnsi="Times New Roman"/>
          <w:sz w:val="15"/>
          <w:szCs w:val="15"/>
          <w:b w:val="1"/>
          <w:bCs w:val="1"/>
          <w:i w:val="1"/>
          <w:iCs w:val="1"/>
          <w:color w:val="auto"/>
        </w:rPr>
        <w:t xml:space="preserve"> also sign the signature pages to the Company’s then-current Company Co-Sale Agreement and Company Voting Agreement (as those terms are defined in the Stock Option Agreement) before submitting this Notice to the Company.</w:t>
      </w:r>
    </w:p>
    <w:p>
      <w:pPr>
        <w:spacing w:after="0" w:line="1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0"/>
          <w:szCs w:val="10"/>
          <w:b w:val="1"/>
          <w:bCs w:val="1"/>
          <w:color w:val="auto"/>
        </w:rPr>
        <w:t>ptionee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Please provide the following information about yourself (“</w:t>
      </w:r>
      <w:r>
        <w:rPr>
          <w:rFonts w:ascii="Times New Roman" w:cs="Times New Roman" w:eastAsia="Times New Roman" w:hAnsi="Times New Roman"/>
          <w:sz w:val="15"/>
          <w:szCs w:val="15"/>
          <w:b w:val="1"/>
          <w:bCs w:val="1"/>
          <w:i w:val="1"/>
          <w:iCs w:val="1"/>
          <w:color w:val="auto"/>
        </w:rPr>
        <w:t>Optionee</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p>
      <w:pPr>
        <w:spacing w:after="0" w:line="210" w:lineRule="exact"/>
        <w:rPr>
          <w:sz w:val="20"/>
          <w:szCs w:val="20"/>
          <w:color w:val="auto"/>
        </w:rPr>
      </w:pPr>
    </w:p>
    <w:tbl>
      <w:tblPr>
        <w:tblLayout w:type="fixed"/>
        <w:tblInd w:w="1220" w:type="dxa"/>
        <w:tblCellMar>
          <w:top w:w="0" w:type="dxa"/>
          <w:left w:w="0" w:type="dxa"/>
          <w:bottom w:w="0" w:type="dxa"/>
          <w:right w:w="0" w:type="dxa"/>
        </w:tblCellMar>
      </w:tblPr>
      <w:tr>
        <w:trPr>
          <w:trHeight w:val="185"/>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Name:</w:t>
            </w:r>
          </w:p>
        </w:tc>
        <w:tc>
          <w:tcPr>
            <w:tcW w:w="1980" w:type="dxa"/>
            <w:vAlign w:val="bottom"/>
            <w:tcBorders>
              <w:bottom w:val="single" w:sz="8" w:color="auto"/>
            </w:tcBorders>
          </w:tcPr>
          <w:p>
            <w:pPr>
              <w:spacing w:after="0"/>
              <w:rPr>
                <w:sz w:val="16"/>
                <w:szCs w:val="16"/>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Social Security Number:</w:t>
            </w:r>
          </w:p>
        </w:tc>
      </w:tr>
      <w:tr>
        <w:trPr>
          <w:trHeight w:val="358"/>
        </w:trPr>
        <w:tc>
          <w:tcPr>
            <w:tcW w:w="760" w:type="dxa"/>
            <w:vAlign w:val="bottom"/>
          </w:tcPr>
          <w:p>
            <w:pPr>
              <w:spacing w:after="0"/>
              <w:rPr>
                <w:sz w:val="20"/>
                <w:szCs w:val="20"/>
                <w:color w:val="auto"/>
              </w:rPr>
            </w:pPr>
            <w:r>
              <w:rPr>
                <w:rFonts w:ascii="Times New Roman" w:cs="Times New Roman" w:eastAsia="Times New Roman" w:hAnsi="Times New Roman"/>
                <w:sz w:val="15"/>
                <w:szCs w:val="15"/>
                <w:color w:val="auto"/>
              </w:rPr>
              <w:t>Address:</w:t>
            </w:r>
          </w:p>
        </w:tc>
        <w:tc>
          <w:tcPr>
            <w:tcW w:w="1980" w:type="dxa"/>
            <w:vAlign w:val="bottom"/>
            <w:tcBorders>
              <w:bottom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Employee Number:</w:t>
            </w:r>
          </w:p>
        </w:tc>
      </w:tr>
      <w:tr>
        <w:trPr>
          <w:trHeight w:val="358"/>
        </w:trPr>
        <w:tc>
          <w:tcPr>
            <w:tcW w:w="760" w:type="dxa"/>
            <w:vAlign w:val="bottom"/>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15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Email Address:</w:t>
            </w:r>
          </w:p>
        </w:tc>
      </w:tr>
      <w:tr>
        <w:trPr>
          <w:trHeight w:val="180"/>
        </w:trPr>
        <w:tc>
          <w:tcPr>
            <w:tcW w:w="760" w:type="dxa"/>
            <w:vAlign w:val="bottom"/>
          </w:tcPr>
          <w:p>
            <w:pPr>
              <w:spacing w:after="0"/>
              <w:rPr>
                <w:sz w:val="15"/>
                <w:szCs w:val="15"/>
                <w:color w:val="auto"/>
              </w:rPr>
            </w:pPr>
          </w:p>
        </w:tc>
        <w:tc>
          <w:tcPr>
            <w:tcW w:w="1980" w:type="dxa"/>
            <w:vAlign w:val="bottom"/>
            <w:tcBorders>
              <w:bottom w:val="single" w:sz="8" w:color="auto"/>
            </w:tcBorders>
          </w:tcPr>
          <w:p>
            <w:pPr>
              <w:spacing w:after="0"/>
              <w:rPr>
                <w:sz w:val="15"/>
                <w:szCs w:val="15"/>
                <w:color w:val="auto"/>
              </w:rPr>
            </w:pPr>
          </w:p>
        </w:tc>
        <w:tc>
          <w:tcPr>
            <w:tcW w:w="158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3670935</wp:posOffset>
            </wp:positionH>
            <wp:positionV relativeFrom="paragraph">
              <wp:posOffset>-613410</wp:posOffset>
            </wp:positionV>
            <wp:extent cx="1195070" cy="698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195070" cy="698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-373380</wp:posOffset>
            </wp:positionV>
            <wp:extent cx="1195070" cy="698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195070" cy="698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-132715</wp:posOffset>
            </wp:positionV>
            <wp:extent cx="1195070" cy="698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195070" cy="6985"/>
                    </a:xfrm>
                    <a:prstGeom prst="rect">
                      <a:avLst/>
                    </a:prstGeom>
                    <a:noFill/>
                  </pic:spPr>
                </pic:pic>
              </a:graphicData>
            </a:graphic>
          </wp:anchor>
        </w:drawing>
        <w:drawing>
          <wp:anchor simplePos="0" relativeHeight="251657728" behindDoc="1" locked="0" layoutInCell="0" allowOverlap="1">
            <wp:simplePos x="0" y="0"/>
            <wp:positionH relativeFrom="column">
              <wp:posOffset>3670935</wp:posOffset>
            </wp:positionH>
            <wp:positionV relativeFrom="paragraph">
              <wp:posOffset>-6350</wp:posOffset>
            </wp:positionV>
            <wp:extent cx="1195070" cy="698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195070" cy="6985"/>
                    </a:xfrm>
                    <a:prstGeom prst="rect">
                      <a:avLst/>
                    </a:prstGeom>
                    <a:noFill/>
                  </pic:spPr>
                </pic:pic>
              </a:graphicData>
            </a:graphic>
          </wp:anchor>
        </w:drawing>
      </w:r>
    </w:p>
    <w:p>
      <w:pPr>
        <w:spacing w:after="0" w:line="14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0"/>
          <w:szCs w:val="10"/>
          <w:b w:val="1"/>
          <w:bCs w:val="1"/>
          <w:color w:val="auto"/>
        </w:rPr>
        <w:t>ption</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i w:val="1"/>
          <w:iCs w:val="1"/>
          <w:color w:val="auto"/>
        </w:rPr>
        <w:t>Please provide this information on the option being exercised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the “</w:t>
      </w:r>
      <w:r>
        <w:rPr>
          <w:rFonts w:ascii="Times New Roman" w:cs="Times New Roman" w:eastAsia="Times New Roman" w:hAnsi="Times New Roman"/>
          <w:sz w:val="15"/>
          <w:szCs w:val="15"/>
          <w:b w:val="1"/>
          <w:bCs w:val="1"/>
          <w:i w:val="1"/>
          <w:iCs w:val="1"/>
          <w:color w:val="auto"/>
        </w:rPr>
        <w:t>Option</w:t>
      </w:r>
      <w:r>
        <w:rPr>
          <w:rFonts w:ascii="Times New Roman" w:cs="Times New Roman" w:eastAsia="Times New Roman" w:hAnsi="Times New Roman"/>
          <w:sz w:val="15"/>
          <w:szCs w:val="15"/>
          <w:i w:val="1"/>
          <w:iCs w:val="1"/>
          <w:color w:val="auto"/>
        </w:rPr>
        <w:t>”</w:t>
      </w:r>
      <w:r>
        <w:rPr>
          <w:rFonts w:ascii="Times New Roman" w:cs="Times New Roman" w:eastAsia="Times New Roman" w:hAnsi="Times New Roman"/>
          <w:sz w:val="15"/>
          <w:szCs w:val="15"/>
          <w:color w:val="auto"/>
        </w:rPr>
        <w:t>):</w:t>
      </w:r>
    </w:p>
    <w:p>
      <w:pPr>
        <w:spacing w:after="0" w:line="19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Grant No.</w:t>
      </w:r>
    </w:p>
    <w:p>
      <w:pPr>
        <w:sectPr>
          <w:pgSz w:w="11900" w:h="16838" w:orient="portrait"/>
          <w:cols w:equalWidth="0" w:num="1">
            <w:col w:w="9019"/>
          </w:cols>
          <w:pgMar w:left="1440" w:top="1297" w:right="1440" w:bottom="1440" w:gutter="0" w:footer="0" w:header="0"/>
        </w:sectPr>
      </w:pP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color w:val="auto"/>
        </w:rPr>
        <w:t>Date of Grant: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Type of Stock Option:</w:t>
      </w:r>
    </w:p>
    <w:p>
      <w:pPr>
        <w:spacing w:after="0" w:line="195" w:lineRule="exact"/>
        <w:rPr>
          <w:sz w:val="20"/>
          <w:szCs w:val="20"/>
          <w:color w:val="auto"/>
        </w:rPr>
      </w:pPr>
    </w:p>
    <w:p>
      <w:pPr>
        <w:sectPr>
          <w:pgSz w:w="11900" w:h="16838" w:orient="portrait"/>
          <w:cols w:equalWidth="0" w:num="2">
            <w:col w:w="4940" w:space="720"/>
            <w:col w:w="3359"/>
          </w:cols>
          <w:pgMar w:left="1440" w:top="129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5"/>
          <w:szCs w:val="15"/>
          <w:color w:val="auto"/>
        </w:rPr>
        <w:t>Option Price per Share: $____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Nonqualified (NQSO)</w:t>
      </w:r>
    </w:p>
    <w:p>
      <w:pPr>
        <w:spacing w:after="0" w:line="195" w:lineRule="exact"/>
        <w:rPr>
          <w:sz w:val="20"/>
          <w:szCs w:val="20"/>
          <w:color w:val="auto"/>
        </w:rPr>
      </w:pPr>
    </w:p>
    <w:p>
      <w:pPr>
        <w:sectPr>
          <w:pgSz w:w="11900" w:h="16838" w:orient="portrait"/>
          <w:cols w:equalWidth="0" w:num="2">
            <w:col w:w="4980" w:space="720"/>
            <w:col w:w="3319"/>
          </w:cols>
          <w:pgMar w:left="1440" w:top="1297" w:right="1440" w:bottom="1440" w:gutter="0" w:footer="0" w:header="0"/>
          <w:type w:val="continuous"/>
        </w:sectPr>
      </w:pPr>
    </w:p>
    <w:p>
      <w:pPr>
        <w:ind w:left="1300" w:right="60"/>
        <w:spacing w:after="0" w:line="285" w:lineRule="auto"/>
        <w:rPr>
          <w:sz w:val="20"/>
          <w:szCs w:val="20"/>
          <w:color w:val="auto"/>
        </w:rPr>
      </w:pPr>
      <w:r>
        <w:rPr>
          <w:rFonts w:ascii="Times New Roman" w:cs="Times New Roman" w:eastAsia="Times New Roman" w:hAnsi="Times New Roman"/>
          <w:sz w:val="15"/>
          <w:szCs w:val="15"/>
          <w:color w:val="auto"/>
        </w:rPr>
        <w:t>Total number of shares of Common Stock of the Company subject to the Option: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Incentive (ISO)</w:t>
      </w:r>
    </w:p>
    <w:p>
      <w:pPr>
        <w:spacing w:after="0" w:line="258" w:lineRule="exact"/>
        <w:rPr>
          <w:sz w:val="20"/>
          <w:szCs w:val="20"/>
          <w:color w:val="auto"/>
        </w:rPr>
      </w:pPr>
    </w:p>
    <w:p>
      <w:pPr>
        <w:sectPr>
          <w:pgSz w:w="11900" w:h="16838" w:orient="portrait"/>
          <w:cols w:equalWidth="0" w:num="2">
            <w:col w:w="4980" w:space="720"/>
            <w:col w:w="3319"/>
          </w:cols>
          <w:pgMar w:left="1440" w:top="1297" w:right="1440" w:bottom="1440" w:gutter="0" w:footer="0" w:header="0"/>
          <w:type w:val="continuous"/>
        </w:sectPr>
      </w:pPr>
    </w:p>
    <w:p>
      <w:pPr>
        <w:spacing w:after="0" w:line="10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b w:val="1"/>
          <w:bCs w:val="1"/>
          <w:color w:val="auto"/>
        </w:rPr>
        <w:t>E</w:t>
      </w:r>
      <w:r>
        <w:rPr>
          <w:rFonts w:ascii="Times New Roman" w:cs="Times New Roman" w:eastAsia="Times New Roman" w:hAnsi="Times New Roman"/>
          <w:sz w:val="10"/>
          <w:szCs w:val="10"/>
          <w:b w:val="1"/>
          <w:bCs w:val="1"/>
          <w:color w:val="auto"/>
        </w:rPr>
        <w:t>xercise</w:t>
      </w:r>
      <w:r>
        <w:rPr>
          <w:rFonts w:ascii="Times New Roman" w:cs="Times New Roman" w:eastAsia="Times New Roman" w:hAnsi="Times New Roman"/>
          <w:sz w:val="15"/>
          <w:szCs w:val="15"/>
          <w:b w:val="1"/>
          <w:bCs w:val="1"/>
          <w:color w:val="auto"/>
        </w:rPr>
        <w:t xml:space="preserve"> I</w:t>
      </w:r>
      <w:r>
        <w:rPr>
          <w:rFonts w:ascii="Times New Roman" w:cs="Times New Roman" w:eastAsia="Times New Roman" w:hAnsi="Times New Roman"/>
          <w:sz w:val="10"/>
          <w:szCs w:val="10"/>
          <w:b w:val="1"/>
          <w:bCs w:val="1"/>
          <w:color w:val="auto"/>
        </w:rPr>
        <w:t>nformation</w:t>
      </w:r>
      <w:r>
        <w:rPr>
          <w:rFonts w:ascii="Times New Roman" w:cs="Times New Roman" w:eastAsia="Times New Roman" w:hAnsi="Times New Roman"/>
          <w:sz w:val="15"/>
          <w:szCs w:val="15"/>
          <w:b w:val="1"/>
          <w:bCs w:val="1"/>
          <w:color w:val="auto"/>
        </w:rPr>
        <w:t>:</w:t>
      </w:r>
    </w:p>
    <w:p>
      <w:pPr>
        <w:spacing w:after="0" w:line="178" w:lineRule="exact"/>
        <w:rPr>
          <w:sz w:val="20"/>
          <w:szCs w:val="20"/>
          <w:color w:val="auto"/>
        </w:rPr>
      </w:pPr>
    </w:p>
    <w:p>
      <w:pPr>
        <w:ind w:left="1220" w:right="1239"/>
        <w:spacing w:after="0" w:line="285" w:lineRule="auto"/>
        <w:rPr>
          <w:sz w:val="20"/>
          <w:szCs w:val="20"/>
          <w:color w:val="auto"/>
        </w:rPr>
      </w:pPr>
      <w:r>
        <w:rPr>
          <w:rFonts w:ascii="Times New Roman" w:cs="Times New Roman" w:eastAsia="Times New Roman" w:hAnsi="Times New Roman"/>
          <w:sz w:val="15"/>
          <w:szCs w:val="15"/>
          <w:color w:val="auto"/>
        </w:rPr>
        <w:t>Number of shares of Common Stock of the Company for which the Option is now being exercised [________________]. (These shares are referred to below as the “</w:t>
      </w:r>
      <w:r>
        <w:rPr>
          <w:rFonts w:ascii="Times New Roman" w:cs="Times New Roman" w:eastAsia="Times New Roman" w:hAnsi="Times New Roman"/>
          <w:sz w:val="15"/>
          <w:szCs w:val="15"/>
          <w:b w:val="1"/>
          <w:bCs w:val="1"/>
          <w:i w:val="1"/>
          <w:iCs w:val="1"/>
          <w:color w:val="auto"/>
        </w:rPr>
        <w:t>Purchased Shares</w:t>
      </w:r>
      <w:r>
        <w:rPr>
          <w:rFonts w:ascii="Times New Roman" w:cs="Times New Roman" w:eastAsia="Times New Roman" w:hAnsi="Times New Roman"/>
          <w:sz w:val="15"/>
          <w:szCs w:val="15"/>
          <w:color w:val="auto"/>
        </w:rPr>
        <w:t>.”)</w:t>
      </w:r>
    </w:p>
    <w:p>
      <w:pPr>
        <w:spacing w:after="0" w:line="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Total Exercise Price Being Paid for the Purchased Shares: $____________</w:t>
      </w:r>
    </w:p>
    <w:p>
      <w:pPr>
        <w:spacing w:after="0" w:line="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 xml:space="preserve">Form of payment enclosed </w:t>
      </w:r>
      <w:r>
        <w:rPr>
          <w:rFonts w:ascii="Times New Roman" w:cs="Times New Roman" w:eastAsia="Times New Roman" w:hAnsi="Times New Roman"/>
          <w:sz w:val="15"/>
          <w:szCs w:val="15"/>
          <w:b w:val="1"/>
          <w:bCs w:val="1"/>
          <w:i w:val="1"/>
          <w:iCs w:val="1"/>
          <w:color w:val="auto"/>
        </w:rPr>
        <w:t>[check all that apply]</w:t>
      </w:r>
      <w:r>
        <w:rPr>
          <w:rFonts w:ascii="Times New Roman" w:cs="Times New Roman" w:eastAsia="Times New Roman" w:hAnsi="Times New Roman"/>
          <w:sz w:val="15"/>
          <w:szCs w:val="15"/>
          <w:color w:val="auto"/>
        </w:rPr>
        <w:t>:</w:t>
      </w:r>
    </w:p>
    <w:p>
      <w:pPr>
        <w:spacing w:after="0" w:line="90"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Check for $____________, payable to “</w:t>
      </w:r>
      <w:r>
        <w:rPr>
          <w:rFonts w:ascii="Times New Roman" w:cs="Times New Roman" w:eastAsia="Times New Roman" w:hAnsi="Times New Roman"/>
          <w:sz w:val="15"/>
          <w:szCs w:val="15"/>
          <w:b w:val="1"/>
          <w:bCs w:val="1"/>
          <w:i w:val="1"/>
          <w:iCs w:val="1"/>
          <w:color w:val="auto"/>
        </w:rPr>
        <w:t>Avalyn Pharma Inc.</w:t>
      </w:r>
      <w:r>
        <w:rPr>
          <w:rFonts w:ascii="Times New Roman" w:cs="Times New Roman" w:eastAsia="Times New Roman" w:hAnsi="Times New Roman"/>
          <w:sz w:val="15"/>
          <w:szCs w:val="15"/>
          <w:color w:val="auto"/>
        </w:rPr>
        <w:t>”</w:t>
      </w:r>
    </w:p>
    <w:p>
      <w:pPr>
        <w:spacing w:after="0" w:line="94"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5"/>
          <w:szCs w:val="15"/>
          <w:color w:val="auto"/>
        </w:rPr>
        <w:t>Certificate(s) for ________________ shares of Common Stock of the Company. These shares will be</w:t>
      </w:r>
    </w:p>
    <w:p>
      <w:pPr>
        <w:spacing w:after="0" w:line="22" w:lineRule="exact"/>
        <w:rPr>
          <w:sz w:val="20"/>
          <w:szCs w:val="20"/>
          <w:color w:val="auto"/>
        </w:rPr>
      </w:pPr>
    </w:p>
    <w:p>
      <w:pPr>
        <w:ind w:left="1480" w:right="1839"/>
        <w:spacing w:after="0" w:line="380" w:lineRule="auto"/>
        <w:rPr>
          <w:sz w:val="20"/>
          <w:szCs w:val="20"/>
          <w:color w:val="auto"/>
        </w:rPr>
      </w:pPr>
      <w:r>
        <w:rPr>
          <w:rFonts w:ascii="Times New Roman" w:cs="Times New Roman" w:eastAsia="Times New Roman" w:hAnsi="Times New Roman"/>
          <w:sz w:val="15"/>
          <w:szCs w:val="15"/>
          <w:color w:val="auto"/>
        </w:rPr>
        <w:t xml:space="preserve">valued as of the date this notice is received by the Company. </w:t>
      </w:r>
      <w:r>
        <w:rPr>
          <w:rFonts w:ascii="Times New Roman" w:cs="Times New Roman" w:eastAsia="Times New Roman" w:hAnsi="Times New Roman"/>
          <w:sz w:val="15"/>
          <w:szCs w:val="15"/>
          <w:b w:val="1"/>
          <w:bCs w:val="1"/>
          <w:i w:val="1"/>
          <w:iCs w:val="1"/>
          <w:color w:val="auto"/>
        </w:rPr>
        <w:t>[Requires Company consent.]</w:t>
      </w:r>
      <w:r>
        <w:rPr>
          <w:rFonts w:ascii="Times New Roman" w:cs="Times New Roman" w:eastAsia="Times New Roman" w:hAnsi="Times New Roman"/>
          <w:sz w:val="15"/>
          <w:szCs w:val="15"/>
          <w:color w:val="auto"/>
        </w:rPr>
        <w:t xml:space="preserve"> Automated Clearing House (“</w:t>
      </w:r>
      <w:r>
        <w:rPr>
          <w:rFonts w:ascii="Times New Roman" w:cs="Times New Roman" w:eastAsia="Times New Roman" w:hAnsi="Times New Roman"/>
          <w:sz w:val="15"/>
          <w:szCs w:val="15"/>
          <w:b w:val="1"/>
          <w:bCs w:val="1"/>
          <w:i w:val="1"/>
          <w:iCs w:val="1"/>
          <w:color w:val="auto"/>
        </w:rPr>
        <w:t>ACH</w:t>
      </w:r>
      <w:r>
        <w:rPr>
          <w:rFonts w:ascii="Times New Roman" w:cs="Times New Roman" w:eastAsia="Times New Roman" w:hAnsi="Times New Roman"/>
          <w:sz w:val="15"/>
          <w:szCs w:val="15"/>
          <w:color w:val="auto"/>
        </w:rPr>
        <w:t>”) transfer in the amount of $___________.</w:t>
      </w: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type w:val="continuous"/>
        </w:sectPr>
      </w:pPr>
    </w:p>
    <w:bookmarkStart w:id="495" w:name="page496"/>
    <w:bookmarkEnd w:id="495"/>
    <w:p>
      <w:pPr>
        <w:jc w:val="both"/>
        <w:ind w:left="1220" w:right="1239" w:firstLine="505"/>
        <w:spacing w:after="0" w:line="280" w:lineRule="auto"/>
        <w:rPr>
          <w:sz w:val="20"/>
          <w:szCs w:val="20"/>
          <w:color w:val="auto"/>
        </w:rPr>
      </w:pPr>
      <w:r>
        <w:rPr>
          <w:rFonts w:ascii="Times New Roman" w:cs="Times New Roman" w:eastAsia="Times New Roman" w:hAnsi="Times New Roman"/>
          <w:sz w:val="15"/>
          <w:szCs w:val="15"/>
          <w:b w:val="1"/>
          <w:bCs w:val="1"/>
          <w:color w:val="auto"/>
        </w:rPr>
        <w:t>A</w:t>
      </w:r>
      <w:r>
        <w:rPr>
          <w:rFonts w:ascii="Times New Roman" w:cs="Times New Roman" w:eastAsia="Times New Roman" w:hAnsi="Times New Roman"/>
          <w:sz w:val="10"/>
          <w:szCs w:val="10"/>
          <w:b w:val="1"/>
          <w:bCs w:val="1"/>
          <w:color w:val="auto"/>
        </w:rPr>
        <w:t>greements</w:t>
      </w:r>
      <w:r>
        <w:rPr>
          <w:rFonts w:ascii="Times New Roman" w:cs="Times New Roman" w:eastAsia="Times New Roman" w:hAnsi="Times New Roman"/>
          <w:sz w:val="15"/>
          <w:szCs w:val="15"/>
          <w:b w:val="1"/>
          <w:bCs w:val="1"/>
          <w:color w:val="auto"/>
        </w:rPr>
        <w:t>, R</w:t>
      </w:r>
      <w:r>
        <w:rPr>
          <w:rFonts w:ascii="Times New Roman" w:cs="Times New Roman" w:eastAsia="Times New Roman" w:hAnsi="Times New Roman"/>
          <w:sz w:val="10"/>
          <w:szCs w:val="10"/>
          <w:b w:val="1"/>
          <w:bCs w:val="1"/>
          <w:color w:val="auto"/>
        </w:rPr>
        <w:t>epresentations and</w:t>
      </w:r>
      <w:r>
        <w:rPr>
          <w:rFonts w:ascii="Times New Roman" w:cs="Times New Roman" w:eastAsia="Times New Roman" w:hAnsi="Times New Roman"/>
          <w:sz w:val="15"/>
          <w:szCs w:val="15"/>
          <w:b w:val="1"/>
          <w:bCs w:val="1"/>
          <w:color w:val="auto"/>
        </w:rPr>
        <w:t xml:space="preserve"> A</w:t>
      </w:r>
      <w:r>
        <w:rPr>
          <w:rFonts w:ascii="Times New Roman" w:cs="Times New Roman" w:eastAsia="Times New Roman" w:hAnsi="Times New Roman"/>
          <w:sz w:val="10"/>
          <w:szCs w:val="10"/>
          <w:b w:val="1"/>
          <w:bCs w:val="1"/>
          <w:color w:val="auto"/>
        </w:rPr>
        <w:t>cknowledgments of</w:t>
      </w:r>
      <w:r>
        <w:rPr>
          <w:rFonts w:ascii="Times New Roman" w:cs="Times New Roman" w:eastAsia="Times New Roman" w:hAnsi="Times New Roman"/>
          <w:sz w:val="15"/>
          <w:szCs w:val="15"/>
          <w:b w:val="1"/>
          <w:bCs w:val="1"/>
          <w:color w:val="auto"/>
        </w:rPr>
        <w:t xml:space="preserve"> O</w:t>
      </w:r>
      <w:r>
        <w:rPr>
          <w:rFonts w:ascii="Times New Roman" w:cs="Times New Roman" w:eastAsia="Times New Roman" w:hAnsi="Times New Roman"/>
          <w:sz w:val="10"/>
          <w:szCs w:val="10"/>
          <w:b w:val="1"/>
          <w:bCs w:val="1"/>
          <w:color w:val="auto"/>
        </w:rPr>
        <w:t>ptionee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By signing this Stock</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Option Exercise Notice and Agreement, Optionee hereby agrees with, and represents to, the Company as follows:</w:t>
      </w:r>
    </w:p>
    <w:p>
      <w:pPr>
        <w:spacing w:after="0" w:line="312" w:lineRule="exact"/>
        <w:rPr>
          <w:sz w:val="20"/>
          <w:szCs w:val="20"/>
          <w:color w:val="auto"/>
        </w:rPr>
      </w:pPr>
    </w:p>
    <w:p>
      <w:pPr>
        <w:jc w:val="both"/>
        <w:ind w:left="1480" w:right="1239" w:hanging="256"/>
        <w:spacing w:after="0" w:line="251" w:lineRule="auto"/>
        <w:tabs>
          <w:tab w:leader="none" w:pos="1480" w:val="left"/>
        </w:tabs>
        <w:numPr>
          <w:ilvl w:val="0"/>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Terms Governing. </w:t>
      </w:r>
      <w:r>
        <w:rPr>
          <w:rFonts w:ascii="Times New Roman" w:cs="Times New Roman" w:eastAsia="Times New Roman" w:hAnsi="Times New Roman"/>
          <w:sz w:val="15"/>
          <w:szCs w:val="15"/>
          <w:color w:val="auto"/>
        </w:rPr>
        <w:t>I acknowledge and agree with the Company that I am acquiring the Purchased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by exercise of this Option subject to all other terms and conditions of the Notice of Stock Option Grant and the Stock Option Agreement that govern the Option, including without limitation the terms of the Company’s 2022 Equity Incentive Plan (the “</w:t>
      </w:r>
      <w:r>
        <w:rPr>
          <w:rFonts w:ascii="Times New Roman" w:cs="Times New Roman" w:eastAsia="Times New Roman" w:hAnsi="Times New Roman"/>
          <w:sz w:val="15"/>
          <w:szCs w:val="15"/>
          <w:b w:val="1"/>
          <w:bCs w:val="1"/>
          <w:i w:val="1"/>
          <w:iCs w:val="1"/>
          <w:color w:val="auto"/>
        </w:rPr>
        <w:t>Plan</w:t>
      </w:r>
      <w:r>
        <w:rPr>
          <w:rFonts w:ascii="Times New Roman" w:cs="Times New Roman" w:eastAsia="Times New Roman" w:hAnsi="Times New Roman"/>
          <w:sz w:val="15"/>
          <w:szCs w:val="15"/>
          <w:color w:val="auto"/>
        </w:rPr>
        <w:t>”).</w:t>
      </w:r>
    </w:p>
    <w:p>
      <w:pPr>
        <w:spacing w:after="0" w:line="147" w:lineRule="exact"/>
        <w:rPr>
          <w:rFonts w:ascii="Times New Roman" w:cs="Times New Roman" w:eastAsia="Times New Roman" w:hAnsi="Times New Roman"/>
          <w:sz w:val="17"/>
          <w:szCs w:val="17"/>
          <w:b w:val="1"/>
          <w:bCs w:val="1"/>
          <w:color w:val="auto"/>
        </w:rPr>
      </w:pPr>
    </w:p>
    <w:p>
      <w:pPr>
        <w:jc w:val="both"/>
        <w:ind w:left="1480" w:right="1239" w:hanging="256"/>
        <w:spacing w:after="0" w:line="249" w:lineRule="auto"/>
        <w:tabs>
          <w:tab w:leader="none" w:pos="1480" w:val="left"/>
        </w:tabs>
        <w:numPr>
          <w:ilvl w:val="0"/>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Investment Intent; Securities Law Restrictions. </w:t>
      </w:r>
      <w:r>
        <w:rPr>
          <w:rFonts w:ascii="Times New Roman" w:cs="Times New Roman" w:eastAsia="Times New Roman" w:hAnsi="Times New Roman"/>
          <w:sz w:val="15"/>
          <w:szCs w:val="15"/>
          <w:color w:val="auto"/>
        </w:rPr>
        <w:t>I represent and warrant to the Company that I am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acquiring and will hold the Purchased Shares for investment for my account only, and not with a view to, or for resale in connection with, any “distribution” of the Purchased Shares within the meaning of the Securities Act of 1933, as amended (the “</w:t>
      </w:r>
      <w:r>
        <w:rPr>
          <w:rFonts w:ascii="Times New Roman" w:cs="Times New Roman" w:eastAsia="Times New Roman" w:hAnsi="Times New Roman"/>
          <w:sz w:val="15"/>
          <w:szCs w:val="15"/>
          <w:b w:val="1"/>
          <w:bCs w:val="1"/>
          <w:i w:val="1"/>
          <w:iCs w:val="1"/>
          <w:color w:val="auto"/>
        </w:rPr>
        <w:t>Securities Act</w:t>
      </w:r>
      <w:r>
        <w:rPr>
          <w:rFonts w:ascii="Times New Roman" w:cs="Times New Roman" w:eastAsia="Times New Roman" w:hAnsi="Times New Roman"/>
          <w:sz w:val="15"/>
          <w:szCs w:val="15"/>
          <w:color w:val="auto"/>
        </w:rPr>
        <w:t>”). I understand that the Purchased Shares have not been registered under the Securities Act by reason of a specific exemption from such registration requirement and that the Purchased Shares must be held by me indefinitely, unless they are subsequently registered under the Securities Act or I obtain an opinion of counsel (in form and substance satisfactory to the Company and its counsel) that registration is not required. I acknowledge that the Company is under no obligation to register the Purchased Shares under the Securities Act or under any other securities law.</w:t>
      </w:r>
    </w:p>
    <w:p>
      <w:pPr>
        <w:spacing w:after="0" w:line="152" w:lineRule="exact"/>
        <w:rPr>
          <w:rFonts w:ascii="Times New Roman" w:cs="Times New Roman" w:eastAsia="Times New Roman" w:hAnsi="Times New Roman"/>
          <w:sz w:val="17"/>
          <w:szCs w:val="17"/>
          <w:b w:val="1"/>
          <w:bCs w:val="1"/>
          <w:color w:val="auto"/>
        </w:rPr>
      </w:pPr>
    </w:p>
    <w:p>
      <w:pPr>
        <w:jc w:val="both"/>
        <w:ind w:left="1480" w:right="1239" w:hanging="256"/>
        <w:spacing w:after="0" w:line="249" w:lineRule="auto"/>
        <w:tabs>
          <w:tab w:leader="none" w:pos="1480" w:val="left"/>
        </w:tabs>
        <w:numPr>
          <w:ilvl w:val="0"/>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Restrictions on Transfer: Rule 144. </w:t>
      </w:r>
      <w:r>
        <w:rPr>
          <w:rFonts w:ascii="Times New Roman" w:cs="Times New Roman" w:eastAsia="Times New Roman" w:hAnsi="Times New Roman"/>
          <w:sz w:val="15"/>
          <w:szCs w:val="15"/>
          <w:color w:val="auto"/>
        </w:rPr>
        <w:t>I will not sell, transfer or otherwise dispose of the Purchased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in violation of the Securities Act, the Securities Exchange Act of 1934, or the rules promulgated thereunder (including Rule 144 under the Securities Act described below (“</w:t>
      </w:r>
      <w:r>
        <w:rPr>
          <w:rFonts w:ascii="Times New Roman" w:cs="Times New Roman" w:eastAsia="Times New Roman" w:hAnsi="Times New Roman"/>
          <w:sz w:val="15"/>
          <w:szCs w:val="15"/>
          <w:b w:val="1"/>
          <w:bCs w:val="1"/>
          <w:i w:val="1"/>
          <w:iCs w:val="1"/>
          <w:color w:val="auto"/>
        </w:rPr>
        <w:t>Rule 144</w:t>
      </w:r>
      <w:r>
        <w:rPr>
          <w:rFonts w:ascii="Times New Roman" w:cs="Times New Roman" w:eastAsia="Times New Roman" w:hAnsi="Times New Roman"/>
          <w:sz w:val="15"/>
          <w:szCs w:val="15"/>
          <w:color w:val="auto"/>
        </w:rPr>
        <w:t>”)) or of any other applicable securities laws. I am aware of Rule 144, which permits limited public resales of securities acquired in a non-public offering, subject to satisfaction of certain conditions, which include (without limitation) that: (a) certain current public information about the Company is available; (b) the resale occurs only after the holding period required by Rule 144 has been met; (c) the sale occurs through an unsolicited “broker’s transaction”; and (d) the amount of securities being sold during any three-month period does not exceed specified limitations. I understand that the conditions for resale set forth in Rule 144 have not been satisfied and that the Company has no plans to satisfy these conditions in the foreseeable future.</w:t>
      </w:r>
    </w:p>
    <w:p>
      <w:pPr>
        <w:spacing w:after="0" w:line="152" w:lineRule="exact"/>
        <w:rPr>
          <w:rFonts w:ascii="Times New Roman" w:cs="Times New Roman" w:eastAsia="Times New Roman" w:hAnsi="Times New Roman"/>
          <w:sz w:val="17"/>
          <w:szCs w:val="17"/>
          <w:b w:val="1"/>
          <w:bCs w:val="1"/>
          <w:color w:val="auto"/>
        </w:rPr>
      </w:pPr>
    </w:p>
    <w:p>
      <w:pPr>
        <w:jc w:val="both"/>
        <w:ind w:left="1480" w:right="1239" w:hanging="256"/>
        <w:spacing w:after="0" w:line="249" w:lineRule="auto"/>
        <w:tabs>
          <w:tab w:leader="none" w:pos="1480" w:val="left"/>
        </w:tabs>
        <w:numPr>
          <w:ilvl w:val="0"/>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Access to Information; Understanding of Risk in Investment. </w:t>
      </w:r>
      <w:r>
        <w:rPr>
          <w:rFonts w:ascii="Times New Roman" w:cs="Times New Roman" w:eastAsia="Times New Roman" w:hAnsi="Times New Roman"/>
          <w:sz w:val="15"/>
          <w:szCs w:val="15"/>
          <w:color w:val="auto"/>
        </w:rPr>
        <w:t>I acknowledge that I have received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and had access to such information as I consider necessary or appropriate for deciding whether to invest in the Purchased Shares and that I had an opportunity to ask questions and receive answers from the Company regarding the terms and conditions of the issuance of the Purchased Shares. I am aware that my investment in the Company is a speculative investment that has limited liquidity and is subject to the risk of complete loss. I am able, without impairing my financial condition, to hold the Purchased Shares for an indefinite period and to suffer a complete loss of my investment in the Purchased Shares.</w:t>
      </w:r>
    </w:p>
    <w:p>
      <w:pPr>
        <w:spacing w:after="0" w:line="331" w:lineRule="exact"/>
        <w:rPr>
          <w:rFonts w:ascii="Times New Roman" w:cs="Times New Roman" w:eastAsia="Times New Roman" w:hAnsi="Times New Roman"/>
          <w:sz w:val="17"/>
          <w:szCs w:val="17"/>
          <w:b w:val="1"/>
          <w:bCs w:val="1"/>
          <w:color w:val="auto"/>
        </w:rPr>
      </w:pPr>
    </w:p>
    <w:p>
      <w:pPr>
        <w:jc w:val="both"/>
        <w:ind w:left="1480" w:right="1239" w:hanging="256"/>
        <w:spacing w:after="0" w:line="251" w:lineRule="auto"/>
        <w:tabs>
          <w:tab w:leader="none" w:pos="1480" w:val="left"/>
        </w:tabs>
        <w:numPr>
          <w:ilvl w:val="0"/>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Rights of First Refusal; Market Stand-off. </w:t>
      </w:r>
      <w:r>
        <w:rPr>
          <w:rFonts w:ascii="Times New Roman" w:cs="Times New Roman" w:eastAsia="Times New Roman" w:hAnsi="Times New Roman"/>
          <w:sz w:val="15"/>
          <w:szCs w:val="15"/>
          <w:color w:val="auto"/>
        </w:rPr>
        <w:t>I acknowledge that the Purchased Shares remain subject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to the Company’s Right of First Refusal and the market stand-off covenants (sometimes referred to as the “lock-up”), all in accordance with the applicable Notice of Stock Option Grant and the Stock Option Agreement that govern the Option.</w:t>
      </w:r>
    </w:p>
    <w:p>
      <w:pPr>
        <w:spacing w:after="0" w:line="147" w:lineRule="exact"/>
        <w:rPr>
          <w:rFonts w:ascii="Times New Roman" w:cs="Times New Roman" w:eastAsia="Times New Roman" w:hAnsi="Times New Roman"/>
          <w:sz w:val="17"/>
          <w:szCs w:val="17"/>
          <w:b w:val="1"/>
          <w:bCs w:val="1"/>
          <w:color w:val="auto"/>
        </w:rPr>
      </w:pPr>
    </w:p>
    <w:p>
      <w:pPr>
        <w:ind w:left="1480" w:right="1239" w:hanging="256"/>
        <w:spacing w:after="0" w:line="259" w:lineRule="auto"/>
        <w:tabs>
          <w:tab w:leader="none" w:pos="1480" w:val="left"/>
        </w:tabs>
        <w:numPr>
          <w:ilvl w:val="0"/>
          <w:numId w:val="4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Restrictions on Transfer: Bylaws. </w:t>
      </w:r>
      <w:r>
        <w:rPr>
          <w:rFonts w:ascii="Times New Roman" w:cs="Times New Roman" w:eastAsia="Times New Roman" w:hAnsi="Times New Roman"/>
          <w:sz w:val="15"/>
          <w:szCs w:val="15"/>
          <w:color w:val="auto"/>
        </w:rPr>
        <w:t>I acknowledge that the Purchased Shares will be subject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restrictions on transferability and resale set forth in the Company’s Bylaws as currently in effect.</w:t>
      </w:r>
    </w:p>
    <w:p>
      <w:pPr>
        <w:spacing w:after="0" w:line="290"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96" w:name="page497"/>
    <w:bookmarkEnd w:id="496"/>
    <w:p>
      <w:pPr>
        <w:jc w:val="both"/>
        <w:ind w:left="1480" w:right="1239" w:hanging="256"/>
        <w:spacing w:after="0" w:line="249" w:lineRule="auto"/>
        <w:tabs>
          <w:tab w:leader="none" w:pos="148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Form of Ownership. </w:t>
      </w:r>
      <w:r>
        <w:rPr>
          <w:rFonts w:ascii="Times New Roman" w:cs="Times New Roman" w:eastAsia="Times New Roman" w:hAnsi="Times New Roman"/>
          <w:sz w:val="15"/>
          <w:szCs w:val="15"/>
          <w:color w:val="auto"/>
        </w:rPr>
        <w:t>I acknowledge that the Company has encouraged me to consult my own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adviser to determine the form of ownership of the Purchased Shares that is appropriate for me. In the event that I choose to transfer my Purchased Shares to a trust, I agree to sign a Stock Transfer Agreement. In the event that I choose to transfer my Purchased Shares to a trust that is not an eligible revocable trust, I also acknowledge that the transfer will be treated as a “disposition” for tax purposes. As a result, the favorable ISO tax treatment will be unavailable and other unfavorable tax consequences may occur.</w:t>
      </w:r>
    </w:p>
    <w:p>
      <w:pPr>
        <w:spacing w:after="0" w:line="332" w:lineRule="exact"/>
        <w:rPr>
          <w:rFonts w:ascii="Times New Roman" w:cs="Times New Roman" w:eastAsia="Times New Roman" w:hAnsi="Times New Roman"/>
          <w:sz w:val="17"/>
          <w:szCs w:val="17"/>
          <w:b w:val="1"/>
          <w:bCs w:val="1"/>
          <w:color w:val="auto"/>
        </w:rPr>
      </w:pPr>
    </w:p>
    <w:p>
      <w:pPr>
        <w:ind w:left="1480" w:right="1239" w:hanging="256"/>
        <w:spacing w:after="0" w:line="259" w:lineRule="auto"/>
        <w:tabs>
          <w:tab w:leader="none" w:pos="148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Investigation of Tax Consequences. </w:t>
      </w:r>
      <w:r>
        <w:rPr>
          <w:rFonts w:ascii="Times New Roman" w:cs="Times New Roman" w:eastAsia="Times New Roman" w:hAnsi="Times New Roman"/>
          <w:sz w:val="15"/>
          <w:szCs w:val="15"/>
          <w:color w:val="auto"/>
        </w:rPr>
        <w:t>I acknowledge that the Company has encouraged me to consult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my own adviser to determine the tax consequences of acquiring the Purchased Shares at this time.</w:t>
      </w:r>
    </w:p>
    <w:p>
      <w:pPr>
        <w:spacing w:after="0" w:line="139" w:lineRule="exact"/>
        <w:rPr>
          <w:rFonts w:ascii="Times New Roman" w:cs="Times New Roman" w:eastAsia="Times New Roman" w:hAnsi="Times New Roman"/>
          <w:sz w:val="17"/>
          <w:szCs w:val="17"/>
          <w:b w:val="1"/>
          <w:bCs w:val="1"/>
          <w:color w:val="auto"/>
        </w:rPr>
      </w:pPr>
    </w:p>
    <w:p>
      <w:pPr>
        <w:jc w:val="both"/>
        <w:ind w:left="1480" w:right="1239" w:hanging="256"/>
        <w:spacing w:after="0" w:line="249" w:lineRule="auto"/>
        <w:tabs>
          <w:tab w:leader="none" w:pos="148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Other Tax Matters. </w:t>
      </w:r>
      <w:r>
        <w:rPr>
          <w:rFonts w:ascii="Times New Roman" w:cs="Times New Roman" w:eastAsia="Times New Roman" w:hAnsi="Times New Roman"/>
          <w:sz w:val="15"/>
          <w:szCs w:val="15"/>
          <w:color w:val="auto"/>
        </w:rPr>
        <w:t>I agree that the Company does not have a duty to design or administer the Plan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its other compensation programs in a manner that minimizes my tax liabilities. I will not make any claim against the Company or its Board, officers or employees related to tax liabilities arising from my options or my other compensation. In particular, I acknowledge that my options (including the Option) are exempt from section 409A of the Internal Revenue Code only if the exercise price per share is at least equal to the fair market value per share of the Common Stock at the time the option was granted by the Board. Since shares of the Common Stock are not traded on an established securities market, the determination of their fair market value was made by the Board and/or by an independent valuation firm retained by the Company. I acknowledge that there is no guarantee in either case that the Internal Revenue Service will agree with the valuation, and I will not make any claim against the Company or its Board, officers or employees in the event that the Internal Revenue Service asserts that the valuation was too low.\</w:t>
      </w:r>
    </w:p>
    <w:p>
      <w:pPr>
        <w:spacing w:after="0" w:line="151" w:lineRule="exact"/>
        <w:rPr>
          <w:rFonts w:ascii="Times New Roman" w:cs="Times New Roman" w:eastAsia="Times New Roman" w:hAnsi="Times New Roman"/>
          <w:sz w:val="17"/>
          <w:szCs w:val="17"/>
          <w:b w:val="1"/>
          <w:bCs w:val="1"/>
          <w:color w:val="auto"/>
        </w:rPr>
      </w:pPr>
    </w:p>
    <w:p>
      <w:pPr>
        <w:ind w:left="1480" w:right="1239" w:hanging="256"/>
        <w:spacing w:after="0" w:line="259" w:lineRule="auto"/>
        <w:tabs>
          <w:tab w:leader="none" w:pos="148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Spouse Consent. </w:t>
      </w:r>
      <w:r>
        <w:rPr>
          <w:rFonts w:ascii="Times New Roman" w:cs="Times New Roman" w:eastAsia="Times New Roman" w:hAnsi="Times New Roman"/>
          <w:sz w:val="15"/>
          <w:szCs w:val="15"/>
          <w:color w:val="auto"/>
        </w:rPr>
        <w:t>I agree to seek the consent of my spouse to the extent required by the Company to</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enforce the foregoing.</w:t>
      </w:r>
    </w:p>
    <w:p>
      <w:pPr>
        <w:spacing w:after="0" w:line="139" w:lineRule="exact"/>
        <w:rPr>
          <w:rFonts w:ascii="Times New Roman" w:cs="Times New Roman" w:eastAsia="Times New Roman" w:hAnsi="Times New Roman"/>
          <w:sz w:val="17"/>
          <w:szCs w:val="17"/>
          <w:b w:val="1"/>
          <w:bCs w:val="1"/>
          <w:color w:val="auto"/>
        </w:rPr>
      </w:pPr>
    </w:p>
    <w:p>
      <w:pPr>
        <w:jc w:val="both"/>
        <w:ind w:left="1480" w:right="1239" w:hanging="256"/>
        <w:spacing w:after="0" w:line="249" w:lineRule="auto"/>
        <w:tabs>
          <w:tab w:leader="none" w:pos="148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Agreement to Enter into Company Co-Sale Agreement and Company Voting Agreement. </w:t>
      </w:r>
      <w:r>
        <w:rPr>
          <w:rFonts w:ascii="Times New Roman" w:cs="Times New Roman" w:eastAsia="Times New Roman" w:hAnsi="Times New Roman"/>
          <w:sz w:val="15"/>
          <w:szCs w:val="15"/>
          <w:color w:val="auto"/>
        </w:rPr>
        <w:t>Pursuant to the Stock Option Agreement, if requested to do so by the Company, I agree to enter into and execute the then-current Company Co-Sale Agreement and/or the then-current Company Voting Agreement concurrently with my exercise of the Option or at any other time I am requested to do so by the Company. I acknowledge that by entering into the Company Co-Sale Agreement I will be subjecting the Purchased Shares to the rights of first refusal, co-sale rights and all the other provisions of the Company Co-Sale Agreement and that by entering into the Voting Agreement I will be subjected to voting and other obligations and covenants regarding all Company shares I own and all other provisions of the Company Voting Agreement, in addition to the right of first refusal, repurchase option and market stand-off provisions described above.</w:t>
      </w:r>
    </w:p>
    <w:p>
      <w:pPr>
        <w:spacing w:after="0" w:line="152" w:lineRule="exact"/>
        <w:rPr>
          <w:rFonts w:ascii="Times New Roman" w:cs="Times New Roman" w:eastAsia="Times New Roman" w:hAnsi="Times New Roman"/>
          <w:sz w:val="17"/>
          <w:szCs w:val="17"/>
          <w:b w:val="1"/>
          <w:bCs w:val="1"/>
          <w:color w:val="auto"/>
        </w:rPr>
      </w:pPr>
    </w:p>
    <w:p>
      <w:pPr>
        <w:jc w:val="both"/>
        <w:ind w:left="1480" w:right="1239" w:hanging="256"/>
        <w:spacing w:after="0" w:line="251" w:lineRule="auto"/>
        <w:tabs>
          <w:tab w:leader="none" w:pos="1480" w:val="left"/>
        </w:tabs>
        <w:numPr>
          <w:ilvl w:val="0"/>
          <w:numId w:val="4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5"/>
          <w:szCs w:val="15"/>
          <w:b w:val="1"/>
          <w:bCs w:val="1"/>
          <w:color w:val="auto"/>
        </w:rPr>
        <w:t xml:space="preserve">Tax Withholding. </w:t>
      </w:r>
      <w:r>
        <w:rPr>
          <w:rFonts w:ascii="Times New Roman" w:cs="Times New Roman" w:eastAsia="Times New Roman" w:hAnsi="Times New Roman"/>
          <w:sz w:val="15"/>
          <w:szCs w:val="15"/>
          <w:color w:val="auto"/>
        </w:rPr>
        <w:t>As a condition of exercising this Option, I agree to make adequate provision for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foreign, federal, state or other tax withholding obligations, if any, which arise upon the grant, vesting or exercise of this Option, or disposition of the Purchased Shares, whether by withholding, direct payment to the Company, or otherwise.</w:t>
      </w:r>
    </w:p>
    <w:p>
      <w:pPr>
        <w:spacing w:after="0" w:line="141" w:lineRule="exact"/>
        <w:rPr>
          <w:sz w:val="20"/>
          <w:szCs w:val="20"/>
          <w:color w:val="auto"/>
        </w:rPr>
      </w:pPr>
    </w:p>
    <w:p>
      <w:pPr>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The undersigned hereby executes and delivers this Stock Option Exercise Notice and Agreement and agrees to be bound by its terms.</w:t>
      </w:r>
    </w:p>
    <w:p>
      <w:pPr>
        <w:spacing w:after="0" w:line="133" w:lineRule="exact"/>
        <w:rPr>
          <w:sz w:val="20"/>
          <w:szCs w:val="20"/>
          <w:color w:val="auto"/>
        </w:rPr>
      </w:pPr>
    </w:p>
    <w:p>
      <w:pPr>
        <w:ind w:left="1220"/>
        <w:spacing w:after="0"/>
        <w:tabs>
          <w:tab w:leader="none" w:pos="5280" w:val="left"/>
        </w:tabs>
        <w:rPr>
          <w:sz w:val="20"/>
          <w:szCs w:val="20"/>
          <w:color w:val="auto"/>
        </w:rPr>
      </w:pPr>
      <w:r>
        <w:rPr>
          <w:rFonts w:ascii="Times New Roman" w:cs="Times New Roman" w:eastAsia="Times New Roman" w:hAnsi="Times New Roman"/>
          <w:sz w:val="15"/>
          <w:szCs w:val="15"/>
          <w:b w:val="1"/>
          <w:bCs w:val="1"/>
          <w:color w:val="auto"/>
        </w:rPr>
        <w:t>S</w:t>
      </w:r>
      <w:r>
        <w:rPr>
          <w:rFonts w:ascii="Times New Roman" w:cs="Times New Roman" w:eastAsia="Times New Roman" w:hAnsi="Times New Roman"/>
          <w:sz w:val="10"/>
          <w:szCs w:val="10"/>
          <w:b w:val="1"/>
          <w:bCs w:val="1"/>
          <w:color w:val="auto"/>
        </w:rPr>
        <w:t>ignature</w:t>
      </w:r>
      <w:r>
        <w:rPr>
          <w:rFonts w:ascii="Times New Roman" w:cs="Times New Roman" w:eastAsia="Times New Roman" w:hAnsi="Times New Roman"/>
          <w:sz w:val="15"/>
          <w:szCs w:val="15"/>
          <w:b w:val="1"/>
          <w:bCs w:val="1"/>
          <w:color w:val="auto"/>
        </w:rPr>
        <w:t>:</w:t>
      </w:r>
      <w:r>
        <w:rPr>
          <w:sz w:val="20"/>
          <w:szCs w:val="20"/>
          <w:color w:val="auto"/>
        </w:rPr>
        <w:tab/>
      </w:r>
      <w:r>
        <w:rPr>
          <w:rFonts w:ascii="Times New Roman" w:cs="Times New Roman" w:eastAsia="Times New Roman" w:hAnsi="Times New Roman"/>
          <w:sz w:val="15"/>
          <w:szCs w:val="15"/>
          <w:b w:val="1"/>
          <w:bCs w:val="1"/>
          <w:color w:val="auto"/>
        </w:rPr>
        <w:t>D</w:t>
      </w:r>
      <w:r>
        <w:rPr>
          <w:rFonts w:ascii="Times New Roman" w:cs="Times New Roman" w:eastAsia="Times New Roman" w:hAnsi="Times New Roman"/>
          <w:sz w:val="10"/>
          <w:szCs w:val="10"/>
          <w:b w:val="1"/>
          <w:bCs w:val="1"/>
          <w:color w:val="auto"/>
        </w:rPr>
        <w:t>ate</w:t>
      </w:r>
      <w:r>
        <w:rPr>
          <w:rFonts w:ascii="Times New Roman" w:cs="Times New Roman" w:eastAsia="Times New Roman" w:hAnsi="Times New Roman"/>
          <w:sz w:val="15"/>
          <w:szCs w:val="15"/>
          <w:b w:val="1"/>
          <w:bCs w:val="1"/>
          <w:color w:val="auto"/>
        </w:rPr>
        <w:t>:</w:t>
      </w:r>
    </w:p>
    <w:p>
      <w:pPr>
        <w:spacing w:after="0" w:line="2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Optionee’s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-104775</wp:posOffset>
            </wp:positionV>
            <wp:extent cx="4165600" cy="698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4165600" cy="6985"/>
                    </a:xfrm>
                    <a:prstGeom prst="rect">
                      <a:avLst/>
                    </a:prstGeom>
                    <a:noFill/>
                  </pic:spPr>
                </pic:pic>
              </a:graphicData>
            </a:graphic>
          </wp:anchor>
        </w:drawing>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[Signature Page to Stock Option Exercise Notice and Agreement]</w:t>
      </w:r>
    </w:p>
    <w:p>
      <w:pPr>
        <w:spacing w:after="0" w:line="33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375920</wp:posOffset>
            </wp:positionV>
            <wp:extent cx="54857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7" w:right="1440" w:bottom="1440" w:gutter="0" w:footer="0" w:header="0"/>
        </w:sectPr>
      </w:pPr>
    </w:p>
    <w:bookmarkStart w:id="497" w:name="page498"/>
    <w:bookmarkEnd w:id="497"/>
    <w:p>
      <w:pPr>
        <w:jc w:val="right"/>
        <w:ind w:right="1239"/>
        <w:spacing w:after="0"/>
        <w:rPr>
          <w:sz w:val="20"/>
          <w:szCs w:val="20"/>
          <w:color w:val="auto"/>
        </w:rPr>
      </w:pPr>
      <w:r>
        <w:rPr>
          <w:rFonts w:ascii="Times New Roman" w:cs="Times New Roman" w:eastAsia="Times New Roman" w:hAnsi="Times New Roman"/>
          <w:sz w:val="15"/>
          <w:szCs w:val="15"/>
          <w:b w:val="1"/>
          <w:bCs w:val="1"/>
          <w:color w:val="auto"/>
        </w:rPr>
        <w:t>Exhibit 10.5</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FORM OF INDEMNIFICATION AGREEMENT</w:t>
      </w:r>
    </w:p>
    <w:p>
      <w:pPr>
        <w:spacing w:after="0" w:line="144" w:lineRule="exact"/>
        <w:rPr>
          <w:sz w:val="20"/>
          <w:szCs w:val="20"/>
          <w:color w:val="auto"/>
        </w:rPr>
      </w:pPr>
    </w:p>
    <w:p>
      <w:pPr>
        <w:ind w:left="1220" w:right="1539" w:firstLine="505"/>
        <w:spacing w:after="0" w:line="246" w:lineRule="auto"/>
        <w:rPr>
          <w:sz w:val="20"/>
          <w:szCs w:val="20"/>
          <w:color w:val="auto"/>
        </w:rPr>
      </w:pPr>
      <w:r>
        <w:rPr>
          <w:rFonts w:ascii="Times New Roman" w:cs="Times New Roman" w:eastAsia="Times New Roman" w:hAnsi="Times New Roman"/>
          <w:sz w:val="17"/>
          <w:szCs w:val="17"/>
          <w:color w:val="auto"/>
        </w:rPr>
        <w:t>This Indemnification Agreement (“Agreement”) is made as of [Date] by and between Avalyn Pharma Inc., a Delaware corporation (the “Company”), and [Director Name] (“Indemnitee”).</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RECITALS</w:t>
      </w:r>
    </w:p>
    <w:p>
      <w:pPr>
        <w:spacing w:after="0" w:line="351" w:lineRule="exact"/>
        <w:rPr>
          <w:sz w:val="20"/>
          <w:szCs w:val="20"/>
          <w:color w:val="auto"/>
        </w:rPr>
      </w:pPr>
    </w:p>
    <w:p>
      <w:pPr>
        <w:ind w:left="1220" w:right="1519" w:firstLine="505"/>
        <w:spacing w:after="0" w:line="259" w:lineRule="auto"/>
        <w:rPr>
          <w:sz w:val="20"/>
          <w:szCs w:val="20"/>
          <w:color w:val="auto"/>
        </w:rPr>
      </w:pPr>
      <w:r>
        <w:rPr>
          <w:rFonts w:ascii="Times New Roman" w:cs="Times New Roman" w:eastAsia="Times New Roman" w:hAnsi="Times New Roman"/>
          <w:sz w:val="17"/>
          <w:szCs w:val="17"/>
          <w:color w:val="auto"/>
        </w:rPr>
        <w:t>WHEREAS, the Company desires to attract and retain the services of highly qualified individuals, such as Indemnitee, to serve the Company;</w:t>
      </w:r>
    </w:p>
    <w:p>
      <w:pPr>
        <w:spacing w:after="0" w:line="125" w:lineRule="exact"/>
        <w:rPr>
          <w:sz w:val="20"/>
          <w:szCs w:val="20"/>
          <w:color w:val="auto"/>
        </w:rPr>
      </w:pPr>
    </w:p>
    <w:p>
      <w:pPr>
        <w:jc w:val="both"/>
        <w:ind w:left="1220" w:right="1379" w:firstLine="505"/>
        <w:spacing w:after="0" w:line="246" w:lineRule="auto"/>
        <w:rPr>
          <w:sz w:val="20"/>
          <w:szCs w:val="20"/>
          <w:color w:val="auto"/>
        </w:rPr>
      </w:pPr>
      <w:r>
        <w:rPr>
          <w:rFonts w:ascii="Times New Roman" w:cs="Times New Roman" w:eastAsia="Times New Roman" w:hAnsi="Times New Roman"/>
          <w:sz w:val="17"/>
          <w:szCs w:val="17"/>
          <w:color w:val="auto"/>
        </w:rPr>
        <w:t>WHEREAS, in order to induce Indemnitee to [provide][continue to provide] services to the Company, the Company wishes to provide for the indemnification of, and advancement of expenses to, Indemnitee to the maximum extent permitted by law;</w:t>
      </w:r>
    </w:p>
    <w:p>
      <w:pPr>
        <w:spacing w:after="0" w:line="135" w:lineRule="exact"/>
        <w:rPr>
          <w:sz w:val="20"/>
          <w:szCs w:val="20"/>
          <w:color w:val="auto"/>
        </w:rPr>
      </w:pPr>
    </w:p>
    <w:p>
      <w:pPr>
        <w:ind w:left="1220" w:right="1239" w:firstLine="505"/>
        <w:spacing w:after="0" w:line="239" w:lineRule="auto"/>
        <w:rPr>
          <w:sz w:val="20"/>
          <w:szCs w:val="20"/>
          <w:color w:val="auto"/>
        </w:rPr>
      </w:pPr>
      <w:r>
        <w:rPr>
          <w:rFonts w:ascii="Times New Roman" w:cs="Times New Roman" w:eastAsia="Times New Roman" w:hAnsi="Times New Roman"/>
          <w:sz w:val="17"/>
          <w:szCs w:val="17"/>
          <w:color w:val="auto"/>
        </w:rPr>
        <w:t>WHEREAS, the Amended and Restated Certificate of Incorporation (as amended and in effect from time to time, the “Charter”) and the Amended and Restated Bylaws (as amended and in effect from time to time, the “Bylaws”) of the Company require indemnification of the officers and directors of the Company, and Indemnitee may also be entitled to indemnification pursuant to the General Corporation Law of the State of Delaware (the “DGCL”);</w:t>
      </w:r>
    </w:p>
    <w:p>
      <w:pPr>
        <w:spacing w:after="0" w:line="141" w:lineRule="exact"/>
        <w:rPr>
          <w:sz w:val="20"/>
          <w:szCs w:val="20"/>
          <w:color w:val="auto"/>
        </w:rPr>
      </w:pPr>
    </w:p>
    <w:p>
      <w:pPr>
        <w:ind w:left="1220" w:right="1619" w:firstLine="505"/>
        <w:spacing w:after="0" w:line="241" w:lineRule="auto"/>
        <w:rPr>
          <w:sz w:val="20"/>
          <w:szCs w:val="20"/>
          <w:color w:val="auto"/>
        </w:rPr>
      </w:pPr>
      <w:r>
        <w:rPr>
          <w:rFonts w:ascii="Times New Roman" w:cs="Times New Roman" w:eastAsia="Times New Roman" w:hAnsi="Times New Roman"/>
          <w:sz w:val="17"/>
          <w:szCs w:val="17"/>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40" w:lineRule="exact"/>
        <w:rPr>
          <w:sz w:val="20"/>
          <w:szCs w:val="20"/>
          <w:color w:val="auto"/>
        </w:rPr>
      </w:pPr>
    </w:p>
    <w:p>
      <w:pPr>
        <w:ind w:left="1220" w:right="1319" w:firstLine="505"/>
        <w:spacing w:after="0" w:line="246" w:lineRule="auto"/>
        <w:rPr>
          <w:sz w:val="20"/>
          <w:szCs w:val="20"/>
          <w:color w:val="auto"/>
        </w:rPr>
      </w:pPr>
      <w:r>
        <w:rPr>
          <w:rFonts w:ascii="Times New Roman" w:cs="Times New Roman" w:eastAsia="Times New Roman" w:hAnsi="Times New Roman"/>
          <w:sz w:val="17"/>
          <w:szCs w:val="17"/>
          <w:color w:val="auto"/>
        </w:rPr>
        <w:t>WHEREAS, the Board of Directors of the Company (the “Board”) has determined that the increased difficulty in attracting and retaining highly qualified persons such as Indemnitee is detrimental to the best interests of the Company’s stockholders;</w:t>
      </w:r>
    </w:p>
    <w:p>
      <w:pPr>
        <w:spacing w:after="0" w:line="135" w:lineRule="exact"/>
        <w:rPr>
          <w:sz w:val="20"/>
          <w:szCs w:val="20"/>
          <w:color w:val="auto"/>
        </w:rPr>
      </w:pPr>
    </w:p>
    <w:p>
      <w:pPr>
        <w:ind w:left="1220" w:right="1259" w:firstLine="505"/>
        <w:spacing w:after="0" w:line="239" w:lineRule="auto"/>
        <w:rPr>
          <w:sz w:val="20"/>
          <w:szCs w:val="20"/>
          <w:color w:val="auto"/>
        </w:rPr>
      </w:pPr>
      <w:r>
        <w:rPr>
          <w:rFonts w:ascii="Times New Roman" w:cs="Times New Roman" w:eastAsia="Times New Roman" w:hAnsi="Times New Roman"/>
          <w:sz w:val="17"/>
          <w:szCs w:val="17"/>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[continue to serve] the Company free from undue concern that they will not be so indemnified;</w:t>
      </w:r>
    </w:p>
    <w:p>
      <w:pPr>
        <w:spacing w:after="0" w:line="141" w:lineRule="exact"/>
        <w:rPr>
          <w:sz w:val="20"/>
          <w:szCs w:val="20"/>
          <w:color w:val="auto"/>
        </w:rPr>
      </w:pPr>
    </w:p>
    <w:p>
      <w:pPr>
        <w:ind w:left="1220" w:right="1279" w:firstLine="505"/>
        <w:spacing w:after="0" w:line="241" w:lineRule="auto"/>
        <w:rPr>
          <w:sz w:val="20"/>
          <w:szCs w:val="20"/>
          <w:color w:val="auto"/>
        </w:rPr>
      </w:pPr>
      <w:r>
        <w:rPr>
          <w:rFonts w:ascii="Times New Roman" w:cs="Times New Roman" w:eastAsia="Times New Roman" w:hAnsi="Times New Roman"/>
          <w:sz w:val="17"/>
          <w:szCs w:val="17"/>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 and</w:t>
      </w:r>
    </w:p>
    <w:p>
      <w:pPr>
        <w:spacing w:after="0" w:line="140" w:lineRule="exact"/>
        <w:rPr>
          <w:sz w:val="20"/>
          <w:szCs w:val="20"/>
          <w:color w:val="auto"/>
        </w:rPr>
      </w:pPr>
    </w:p>
    <w:p>
      <w:pPr>
        <w:ind w:left="1220" w:right="1299" w:firstLine="505"/>
        <w:spacing w:after="0" w:line="261" w:lineRule="auto"/>
        <w:rPr>
          <w:sz w:val="20"/>
          <w:szCs w:val="20"/>
          <w:color w:val="auto"/>
        </w:rPr>
      </w:pPr>
      <w:r>
        <w:rPr>
          <w:rFonts w:ascii="Times New Roman" w:cs="Times New Roman" w:eastAsia="Times New Roman" w:hAnsi="Times New Roman"/>
          <w:sz w:val="16"/>
          <w:szCs w:val="16"/>
          <w:color w:val="auto"/>
        </w:rPr>
        <w:t>[WHEREAS, Indemnitee has certain rights to indemnification and/or insurance provided by [Name of Fund/Sponsor] (“[Name of Fund/Sponsor]”) which Indemnitee and [Name of Fund/Sponsor] intend to be secondary to the primary obligation of the Company to indemnify Indemnitee as provided in this Agreement, with the Company’s acknowledgment and agreement</w:t>
      </w: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3" w:right="1440" w:bottom="1440" w:gutter="0" w:footer="0" w:header="0"/>
        </w:sectPr>
      </w:pPr>
    </w:p>
    <w:bookmarkStart w:id="498" w:name="page499"/>
    <w:bookmarkEnd w:id="498"/>
    <w:p>
      <w:pPr>
        <w:ind w:left="1220" w:right="1479"/>
        <w:spacing w:after="0" w:line="259" w:lineRule="auto"/>
        <w:rPr>
          <w:sz w:val="20"/>
          <w:szCs w:val="20"/>
          <w:color w:val="auto"/>
        </w:rPr>
      </w:pPr>
      <w:r>
        <w:rPr>
          <w:rFonts w:ascii="Times New Roman" w:cs="Times New Roman" w:eastAsia="Times New Roman" w:hAnsi="Times New Roman"/>
          <w:sz w:val="17"/>
          <w:szCs w:val="17"/>
          <w:color w:val="auto"/>
        </w:rPr>
        <w:t>to the foregoing being a material condition to Indemnitee’s willingness to [serve] [continue to serve] on the Board.]</w:t>
      </w:r>
    </w:p>
    <w:p>
      <w:pPr>
        <w:spacing w:after="0" w:line="125" w:lineRule="exact"/>
        <w:rPr>
          <w:sz w:val="20"/>
          <w:szCs w:val="20"/>
          <w:color w:val="auto"/>
        </w:rPr>
      </w:pPr>
    </w:p>
    <w:p>
      <w:pPr>
        <w:ind w:left="1220" w:right="1659" w:firstLine="505"/>
        <w:spacing w:after="0" w:line="259" w:lineRule="auto"/>
        <w:rPr>
          <w:sz w:val="20"/>
          <w:szCs w:val="20"/>
          <w:color w:val="auto"/>
        </w:rPr>
      </w:pPr>
      <w:r>
        <w:rPr>
          <w:rFonts w:ascii="Times New Roman" w:cs="Times New Roman" w:eastAsia="Times New Roman" w:hAnsi="Times New Roman"/>
          <w:sz w:val="17"/>
          <w:szCs w:val="17"/>
          <w:color w:val="auto"/>
        </w:rPr>
        <w:t>NOW, THEREFORE, in consideration of the premises and the covenants contained herein, the Company and Indemnitee do hereby covenant and agree as follows:</w:t>
      </w:r>
    </w:p>
    <w:p>
      <w:pPr>
        <w:spacing w:after="0" w:line="125" w:lineRule="exact"/>
        <w:rPr>
          <w:sz w:val="20"/>
          <w:szCs w:val="20"/>
          <w:color w:val="auto"/>
        </w:rPr>
      </w:pPr>
    </w:p>
    <w:p>
      <w:pPr>
        <w:ind w:left="1220" w:right="1239" w:firstLine="505"/>
        <w:spacing w:after="0" w:line="238" w:lineRule="auto"/>
        <w:rPr>
          <w:sz w:val="20"/>
          <w:szCs w:val="20"/>
          <w:color w:val="auto"/>
        </w:rPr>
      </w:pPr>
      <w:r>
        <w:rPr>
          <w:rFonts w:ascii="Times New Roman" w:cs="Times New Roman" w:eastAsia="Times New Roman" w:hAnsi="Times New Roman"/>
          <w:sz w:val="17"/>
          <w:szCs w:val="17"/>
          <w:u w:val="single" w:color="auto"/>
          <w:color w:val="auto"/>
        </w:rPr>
        <w:t>Section 1. Services to the Company</w:t>
      </w:r>
      <w:r>
        <w:rPr>
          <w:rFonts w:ascii="Times New Roman" w:cs="Times New Roman" w:eastAsia="Times New Roman" w:hAnsi="Times New Roman"/>
          <w:sz w:val="17"/>
          <w:szCs w:val="17"/>
          <w:color w:val="auto"/>
        </w:rPr>
        <w:t>. Indemnitee agrees to [serve] [continue to serve] as a director of the Company. Indemnitee may at any time and for any reason resign from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40" w:lineRule="exact"/>
        <w:rPr>
          <w:sz w:val="20"/>
          <w:szCs w:val="20"/>
          <w:color w:val="auto"/>
        </w:rPr>
      </w:pPr>
    </w:p>
    <w:p>
      <w:pPr>
        <w:ind w:left="1720"/>
        <w:spacing w:after="0"/>
        <w:tabs>
          <w:tab w:leader="none" w:pos="2540" w:val="left"/>
        </w:tabs>
        <w:rPr>
          <w:sz w:val="20"/>
          <w:szCs w:val="20"/>
          <w:color w:val="auto"/>
        </w:rPr>
      </w:pPr>
      <w:r>
        <w:rPr>
          <w:rFonts w:ascii="Times New Roman" w:cs="Times New Roman" w:eastAsia="Times New Roman" w:hAnsi="Times New Roman"/>
          <w:sz w:val="17"/>
          <w:szCs w:val="17"/>
          <w:u w:val="single" w:color="auto"/>
          <w:color w:val="auto"/>
        </w:rPr>
        <w:t>Section 2.</w:t>
      </w:r>
      <w:r>
        <w:rPr>
          <w:sz w:val="20"/>
          <w:szCs w:val="20"/>
          <w:color w:val="auto"/>
        </w:rPr>
        <w:tab/>
      </w:r>
      <w:r>
        <w:rPr>
          <w:rFonts w:ascii="Times New Roman" w:cs="Times New Roman" w:eastAsia="Times New Roman" w:hAnsi="Times New Roman"/>
          <w:sz w:val="16"/>
          <w:szCs w:val="16"/>
          <w:color w:val="auto"/>
        </w:rPr>
        <w:t>Definitions.</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As used in this Agreement:</w:t>
      </w:r>
    </w:p>
    <w:p>
      <w:pPr>
        <w:spacing w:after="0" w:line="162" w:lineRule="exact"/>
        <w:rPr>
          <w:sz w:val="20"/>
          <w:szCs w:val="20"/>
          <w:color w:val="auto"/>
        </w:rPr>
      </w:pPr>
    </w:p>
    <w:p>
      <w:pPr>
        <w:ind w:left="1220" w:right="1379" w:firstLine="1013"/>
        <w:spacing w:after="0" w:line="238" w:lineRule="auto"/>
        <w:tabs>
          <w:tab w:leader="none" w:pos="2592"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40" w:lineRule="exact"/>
        <w:rPr>
          <w:rFonts w:ascii="Times New Roman" w:cs="Times New Roman" w:eastAsia="Times New Roman" w:hAnsi="Times New Roman"/>
          <w:sz w:val="17"/>
          <w:szCs w:val="17"/>
          <w:color w:val="auto"/>
        </w:rPr>
      </w:pPr>
    </w:p>
    <w:p>
      <w:pPr>
        <w:ind w:left="1220" w:right="1239" w:firstLine="1013"/>
        <w:spacing w:after="0" w:line="259" w:lineRule="auto"/>
        <w:tabs>
          <w:tab w:leader="none" w:pos="2592"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shall be deemed the “Beneficial Owner” of, and shall be deemed to “Beneficially Own” and have “Beneficial Ownership” of, any securities:</w:t>
      </w:r>
    </w:p>
    <w:p>
      <w:pPr>
        <w:spacing w:after="0" w:line="125" w:lineRule="exact"/>
        <w:rPr>
          <w:sz w:val="20"/>
          <w:szCs w:val="20"/>
          <w:color w:val="auto"/>
        </w:rPr>
      </w:pPr>
    </w:p>
    <w:p>
      <w:pPr>
        <w:ind w:left="1220" w:right="1319" w:firstLine="1013"/>
        <w:spacing w:after="0" w:line="246" w:lineRule="auto"/>
        <w:tabs>
          <w:tab w:leader="none" w:pos="2592"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34" w:lineRule="exact"/>
        <w:rPr>
          <w:rFonts w:ascii="Times New Roman" w:cs="Times New Roman" w:eastAsia="Times New Roman" w:hAnsi="Times New Roman"/>
          <w:sz w:val="17"/>
          <w:szCs w:val="17"/>
          <w:color w:val="auto"/>
        </w:rPr>
      </w:pPr>
    </w:p>
    <w:p>
      <w:pPr>
        <w:ind w:left="1220" w:right="1319" w:firstLine="1013"/>
        <w:spacing w:after="0" w:line="235" w:lineRule="auto"/>
        <w:tabs>
          <w:tab w:leader="none" w:pos="2592"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w:t>
      </w:r>
      <w:r>
        <w:rPr>
          <w:rFonts w:ascii="Times New Roman" w:cs="Times New Roman" w:eastAsia="Times New Roman" w:hAnsi="Times New Roman"/>
          <w:sz w:val="17"/>
          <w:szCs w:val="17"/>
          <w:i w:val="1"/>
          <w:iCs w:val="1"/>
          <w:color w:val="auto"/>
        </w:rPr>
        <w:t>bona fid</w:t>
      </w:r>
      <w:r>
        <w:rPr>
          <w:rFonts w:ascii="Times New Roman" w:cs="Times New Roman" w:eastAsia="Times New Roman" w:hAnsi="Times New Roman"/>
          <w:sz w:val="17"/>
          <w:szCs w:val="17"/>
          <w:color w:val="auto"/>
        </w:rPr>
        <w:t>e public offering of securities);</w:t>
      </w:r>
    </w:p>
    <w:p>
      <w:pPr>
        <w:spacing w:after="0" w:line="146" w:lineRule="exact"/>
        <w:rPr>
          <w:rFonts w:ascii="Times New Roman" w:cs="Times New Roman" w:eastAsia="Times New Roman" w:hAnsi="Times New Roman"/>
          <w:sz w:val="17"/>
          <w:szCs w:val="17"/>
          <w:color w:val="auto"/>
        </w:rPr>
      </w:pPr>
    </w:p>
    <w:p>
      <w:pPr>
        <w:ind w:left="1220" w:right="1239" w:firstLine="1013"/>
        <w:spacing w:after="0" w:line="238" w:lineRule="auto"/>
        <w:tabs>
          <w:tab w:leader="none" w:pos="2592"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public offering of securities) for the purpose of acquiring, holding, voting or disposing of any securities of the Company; or</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499" w:name="page500"/>
    <w:bookmarkEnd w:id="499"/>
    <w:p>
      <w:pPr>
        <w:ind w:left="1220" w:right="1239" w:firstLine="1013"/>
        <w:spacing w:after="0" w:line="235" w:lineRule="auto"/>
        <w:tabs>
          <w:tab w:leader="none" w:pos="2592"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40" w:lineRule="exact"/>
        <w:rPr>
          <w:sz w:val="20"/>
          <w:szCs w:val="20"/>
          <w:color w:val="auto"/>
        </w:rPr>
      </w:pPr>
    </w:p>
    <w:p>
      <w:pPr>
        <w:ind w:left="1220" w:right="1259" w:firstLine="505"/>
        <w:spacing w:after="0" w:line="246" w:lineRule="auto"/>
        <w:rPr>
          <w:sz w:val="20"/>
          <w:szCs w:val="20"/>
          <w:color w:val="auto"/>
        </w:rPr>
      </w:pPr>
      <w:r>
        <w:rPr>
          <w:rFonts w:ascii="Times New Roman" w:cs="Times New Roman" w:eastAsia="Times New Roman" w:hAnsi="Times New Roman"/>
          <w:sz w:val="17"/>
          <w:szCs w:val="17"/>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35" w:lineRule="exact"/>
        <w:rPr>
          <w:sz w:val="20"/>
          <w:szCs w:val="20"/>
          <w:color w:val="auto"/>
        </w:rPr>
      </w:pPr>
    </w:p>
    <w:p>
      <w:pPr>
        <w:ind w:left="1220" w:right="1419" w:firstLine="1013"/>
        <w:spacing w:after="0" w:line="259" w:lineRule="auto"/>
        <w:tabs>
          <w:tab w:leader="none" w:pos="2592"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Control” shall be deemed to occur upon the earliest to occur after the date of this Agreement of any of the following events:</w:t>
      </w:r>
    </w:p>
    <w:p>
      <w:pPr>
        <w:spacing w:after="0" w:line="125" w:lineRule="exact"/>
        <w:rPr>
          <w:sz w:val="20"/>
          <w:szCs w:val="20"/>
          <w:color w:val="auto"/>
        </w:rPr>
      </w:pPr>
    </w:p>
    <w:p>
      <w:pPr>
        <w:ind w:left="1220" w:right="1339" w:firstLine="1013"/>
        <w:spacing w:after="0" w:line="236" w:lineRule="auto"/>
        <w:tabs>
          <w:tab w:leader="none" w:pos="2592"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Stock by Third Party</w:t>
      </w:r>
      <w:r>
        <w:rPr>
          <w:rFonts w:ascii="Times New Roman" w:cs="Times New Roman" w:eastAsia="Times New Roman" w:hAnsi="Times New Roman"/>
          <w:sz w:val="17"/>
          <w:szCs w:val="17"/>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41" w:lineRule="exact"/>
        <w:rPr>
          <w:rFonts w:ascii="Times New Roman" w:cs="Times New Roman" w:eastAsia="Times New Roman" w:hAnsi="Times New Roman"/>
          <w:sz w:val="17"/>
          <w:szCs w:val="17"/>
          <w:color w:val="auto"/>
        </w:rPr>
      </w:pPr>
    </w:p>
    <w:p>
      <w:pPr>
        <w:ind w:left="1220" w:right="1259" w:firstLine="1013"/>
        <w:spacing w:after="0" w:line="236" w:lineRule="auto"/>
        <w:tabs>
          <w:tab w:leader="none" w:pos="2592"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Board of Directors</w:t>
      </w:r>
      <w:r>
        <w:rPr>
          <w:rFonts w:ascii="Times New Roman" w:cs="Times New Roman" w:eastAsia="Times New Roman" w:hAnsi="Times New Roman"/>
          <w:sz w:val="17"/>
          <w:szCs w:val="17"/>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41" w:lineRule="exact"/>
        <w:rPr>
          <w:rFonts w:ascii="Times New Roman" w:cs="Times New Roman" w:eastAsia="Times New Roman" w:hAnsi="Times New Roman"/>
          <w:sz w:val="17"/>
          <w:szCs w:val="17"/>
          <w:color w:val="auto"/>
        </w:rPr>
      </w:pPr>
    </w:p>
    <w:p>
      <w:pPr>
        <w:ind w:left="1220" w:right="1239" w:firstLine="1013"/>
        <w:spacing w:after="0" w:line="255" w:lineRule="auto"/>
        <w:tabs>
          <w:tab w:leader="none" w:pos="2592" w:val="left"/>
        </w:tabs>
        <w:numPr>
          <w:ilvl w:val="0"/>
          <w:numId w:val="4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Corporate Transactions</w:t>
      </w:r>
      <w:r>
        <w:rPr>
          <w:rFonts w:ascii="Times New Roman" w:cs="Times New Roman" w:eastAsia="Times New Roman" w:hAnsi="Times New Roman"/>
          <w:sz w:val="16"/>
          <w:szCs w:val="16"/>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0" w:name="page501"/>
    <w:bookmarkEnd w:id="500"/>
    <w:p>
      <w:pPr>
        <w:ind w:left="1220" w:right="1699"/>
        <w:spacing w:after="0" w:line="259" w:lineRule="auto"/>
        <w:rPr>
          <w:sz w:val="20"/>
          <w:szCs w:val="20"/>
          <w:color w:val="auto"/>
        </w:rPr>
      </w:pPr>
      <w:r>
        <w:rPr>
          <w:rFonts w:ascii="Times New Roman" w:cs="Times New Roman" w:eastAsia="Times New Roman" w:hAnsi="Times New Roman"/>
          <w:sz w:val="17"/>
          <w:szCs w:val="17"/>
          <w:color w:val="auto"/>
        </w:rPr>
        <w:t>such merger or consolidation and with the power to elect at least a majority of the board of directors or other governing body of such surviving or successor entity;</w:t>
      </w:r>
    </w:p>
    <w:p>
      <w:pPr>
        <w:spacing w:after="0" w:line="125" w:lineRule="exact"/>
        <w:rPr>
          <w:sz w:val="20"/>
          <w:szCs w:val="20"/>
          <w:color w:val="auto"/>
        </w:rPr>
      </w:pPr>
    </w:p>
    <w:p>
      <w:pPr>
        <w:ind w:left="1220" w:right="1479" w:firstLine="1013"/>
        <w:spacing w:after="0" w:line="241" w:lineRule="auto"/>
        <w:tabs>
          <w:tab w:leader="none" w:pos="2592"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139" w:lineRule="exact"/>
        <w:rPr>
          <w:rFonts w:ascii="Times New Roman" w:cs="Times New Roman" w:eastAsia="Times New Roman" w:hAnsi="Times New Roman"/>
          <w:sz w:val="17"/>
          <w:szCs w:val="17"/>
          <w:color w:val="auto"/>
        </w:rPr>
      </w:pPr>
    </w:p>
    <w:p>
      <w:pPr>
        <w:jc w:val="both"/>
        <w:ind w:left="1220" w:right="1379" w:firstLine="1013"/>
        <w:spacing w:after="0" w:line="241" w:lineRule="auto"/>
        <w:tabs>
          <w:tab w:leader="none" w:pos="2592"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Events</w:t>
      </w:r>
      <w:r>
        <w:rPr>
          <w:rFonts w:ascii="Times New Roman" w:cs="Times New Roman" w:eastAsia="Times New Roman" w:hAnsi="Times New Roman"/>
          <w:sz w:val="17"/>
          <w:szCs w:val="17"/>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40" w:lineRule="exact"/>
        <w:rPr>
          <w:sz w:val="20"/>
          <w:szCs w:val="20"/>
          <w:color w:val="auto"/>
        </w:rPr>
      </w:pPr>
    </w:p>
    <w:p>
      <w:pPr>
        <w:ind w:left="1220" w:right="1259" w:firstLine="1013"/>
        <w:spacing w:after="0" w:line="241" w:lineRule="auto"/>
        <w:tabs>
          <w:tab w:leader="none" w:pos="2634"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“Corporate Status” describes the status of a person as a current or former director of the Company or current or former director, manager, partner, officer, employee, agent or trustee of any other Enterprise which such person is or was serving at the request of the Company.</w:t>
      </w:r>
    </w:p>
    <w:p>
      <w:pPr>
        <w:spacing w:after="0" w:line="139" w:lineRule="exact"/>
        <w:rPr>
          <w:rFonts w:ascii="Times New Roman" w:cs="Times New Roman" w:eastAsia="Times New Roman" w:hAnsi="Times New Roman"/>
          <w:sz w:val="17"/>
          <w:szCs w:val="17"/>
          <w:color w:val="auto"/>
        </w:rPr>
      </w:pPr>
    </w:p>
    <w:p>
      <w:pPr>
        <w:ind w:left="1220" w:right="1399" w:firstLine="1013"/>
        <w:spacing w:after="0" w:line="238" w:lineRule="auto"/>
        <w:tabs>
          <w:tab w:leader="none" w:pos="2592"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“Enforcement 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40" w:lineRule="exact"/>
        <w:rPr>
          <w:rFonts w:ascii="Times New Roman" w:cs="Times New Roman" w:eastAsia="Times New Roman" w:hAnsi="Times New Roman"/>
          <w:sz w:val="17"/>
          <w:szCs w:val="17"/>
          <w:color w:val="auto"/>
        </w:rPr>
      </w:pPr>
    </w:p>
    <w:p>
      <w:pPr>
        <w:ind w:left="1220" w:right="1379" w:firstLine="1013"/>
        <w:spacing w:after="0" w:line="241" w:lineRule="auto"/>
        <w:tabs>
          <w:tab w:leader="none" w:pos="2592"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“Enterprise”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39" w:lineRule="exact"/>
        <w:rPr>
          <w:rFonts w:ascii="Times New Roman" w:cs="Times New Roman" w:eastAsia="Times New Roman" w:hAnsi="Times New Roman"/>
          <w:sz w:val="17"/>
          <w:szCs w:val="17"/>
          <w:color w:val="auto"/>
        </w:rPr>
      </w:pPr>
    </w:p>
    <w:p>
      <w:pPr>
        <w:ind w:left="1220" w:right="1319" w:firstLine="1013"/>
        <w:spacing w:after="0" w:line="236" w:lineRule="auto"/>
        <w:tabs>
          <w:tab w:leader="none" w:pos="2592" w:val="left"/>
        </w:tabs>
        <w:numPr>
          <w:ilvl w:val="0"/>
          <w:numId w:val="4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44" w:lineRule="exact"/>
        <w:rPr>
          <w:rFonts w:ascii="Times New Roman" w:cs="Times New Roman" w:eastAsia="Times New Roman" w:hAnsi="Times New Roman"/>
          <w:sz w:val="17"/>
          <w:szCs w:val="17"/>
          <w:color w:val="auto"/>
        </w:rPr>
      </w:pPr>
    </w:p>
    <w:p>
      <w:pPr>
        <w:ind w:left="1220" w:right="1279" w:firstLine="1013"/>
        <w:spacing w:after="0" w:line="253" w:lineRule="auto"/>
        <w:tabs>
          <w:tab w:leader="none" w:pos="2592" w:val="left"/>
        </w:tabs>
        <w:numPr>
          <w:ilvl w:val="0"/>
          <w:numId w:val="4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“Independent Counsel”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1" w:name="page502"/>
    <w:bookmarkEnd w:id="501"/>
    <w:p>
      <w:pPr>
        <w:ind w:left="1220" w:right="1339"/>
        <w:spacing w:after="0" w:line="241" w:lineRule="auto"/>
        <w:rPr>
          <w:sz w:val="20"/>
          <w:szCs w:val="20"/>
          <w:color w:val="auto"/>
        </w:rPr>
      </w:pPr>
      <w:r>
        <w:rPr>
          <w:rFonts w:ascii="Times New Roman" w:cs="Times New Roman" w:eastAsia="Times New Roman" w:hAnsi="Times New Roman"/>
          <w:sz w:val="17"/>
          <w:szCs w:val="17"/>
          <w:color w:val="auto"/>
        </w:rPr>
        <w:t>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40" w:lineRule="exact"/>
        <w:rPr>
          <w:sz w:val="20"/>
          <w:szCs w:val="20"/>
          <w:color w:val="auto"/>
        </w:rPr>
      </w:pPr>
    </w:p>
    <w:p>
      <w:pPr>
        <w:ind w:left="1220" w:right="1319" w:firstLine="1013"/>
        <w:spacing w:after="0" w:line="239" w:lineRule="auto"/>
        <w:tabs>
          <w:tab w:leader="none" w:pos="2592"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 shall mean (i) an individual, a corporation, a partnership, a limited liability company, an association, a joint stock company, a trust, a business trust, a government or political subdivision, any unincorporated organization or any other association or entity including any successor (by merger or otherwise) thereof or thereto, and (ii) a “group” as that term is used for purposes of Section 13(d)(3) of the Exchange Act.</w:t>
      </w:r>
    </w:p>
    <w:p>
      <w:pPr>
        <w:spacing w:after="0" w:line="140" w:lineRule="exact"/>
        <w:rPr>
          <w:rFonts w:ascii="Times New Roman" w:cs="Times New Roman" w:eastAsia="Times New Roman" w:hAnsi="Times New Roman"/>
          <w:sz w:val="17"/>
          <w:szCs w:val="17"/>
          <w:color w:val="auto"/>
        </w:rPr>
      </w:pPr>
    </w:p>
    <w:p>
      <w:pPr>
        <w:ind w:left="1220" w:right="1239" w:firstLine="1013"/>
        <w:spacing w:after="0" w:line="234" w:lineRule="auto"/>
        <w:tabs>
          <w:tab w:leader="none" w:pos="2592" w:val="left"/>
        </w:tabs>
        <w:numPr>
          <w:ilvl w:val="0"/>
          <w:numId w:val="4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of the Company or is or was serving at the request of the Company as a director, manager, partner, officer, employee, agent or trustee of any Enterprise or by reason of any action taken by Indemnitee or of any action taken on his or her part while acting as a director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spacing w:after="0" w:line="146" w:lineRule="exact"/>
        <w:rPr>
          <w:sz w:val="20"/>
          <w:szCs w:val="20"/>
          <w:color w:val="auto"/>
        </w:rPr>
      </w:pPr>
    </w:p>
    <w:p>
      <w:pPr>
        <w:ind w:left="1220" w:right="1239" w:firstLine="505"/>
        <w:spacing w:after="0" w:line="235" w:lineRule="auto"/>
        <w:rPr>
          <w:sz w:val="20"/>
          <w:szCs w:val="20"/>
          <w:color w:val="auto"/>
        </w:rPr>
      </w:pPr>
      <w:r>
        <w:rPr>
          <w:rFonts w:ascii="Times New Roman" w:cs="Times New Roman" w:eastAsia="Times New Roman" w:hAnsi="Times New Roman"/>
          <w:sz w:val="17"/>
          <w:szCs w:val="17"/>
          <w:u w:val="single" w:color="auto"/>
          <w:color w:val="auto"/>
        </w:rPr>
        <w:t>Section 3. Indemnity in Third-Party Proceedings</w:t>
      </w:r>
      <w:r>
        <w:rPr>
          <w:rFonts w:ascii="Times New Roman" w:cs="Times New Roman" w:eastAsia="Times New Roman" w:hAnsi="Times New Roman"/>
          <w:sz w:val="17"/>
          <w:szCs w:val="17"/>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46" w:lineRule="exact"/>
        <w:rPr>
          <w:sz w:val="20"/>
          <w:szCs w:val="20"/>
          <w:color w:val="auto"/>
        </w:rPr>
      </w:pPr>
    </w:p>
    <w:p>
      <w:pPr>
        <w:ind w:left="1220" w:right="1259" w:firstLine="505"/>
        <w:spacing w:after="0" w:line="253" w:lineRule="auto"/>
        <w:rPr>
          <w:sz w:val="20"/>
          <w:szCs w:val="20"/>
          <w:color w:val="auto"/>
        </w:rPr>
      </w:pPr>
      <w:r>
        <w:rPr>
          <w:rFonts w:ascii="Times New Roman" w:cs="Times New Roman" w:eastAsia="Times New Roman" w:hAnsi="Times New Roman"/>
          <w:sz w:val="16"/>
          <w:szCs w:val="16"/>
          <w:u w:val="single" w:color="auto"/>
          <w:color w:val="auto"/>
        </w:rPr>
        <w:t>Section 4. Indemnity in Proceedings by or in the Right of the Company</w:t>
      </w:r>
      <w:r>
        <w:rPr>
          <w:rFonts w:ascii="Times New Roman" w:cs="Times New Roman" w:eastAsia="Times New Roman" w:hAnsi="Times New Roman"/>
          <w:sz w:val="16"/>
          <w:szCs w:val="16"/>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2" w:name="page503"/>
    <w:bookmarkEnd w:id="502"/>
    <w:p>
      <w:pPr>
        <w:ind w:left="1220" w:right="1319"/>
        <w:spacing w:after="0" w:line="238" w:lineRule="auto"/>
        <w:rPr>
          <w:sz w:val="20"/>
          <w:szCs w:val="20"/>
          <w:color w:val="auto"/>
        </w:rPr>
      </w:pPr>
      <w:r>
        <w:rPr>
          <w:rFonts w:ascii="Times New Roman" w:cs="Times New Roman" w:eastAsia="Times New Roman" w:hAnsi="Times New Roman"/>
          <w:sz w:val="17"/>
          <w:szCs w:val="17"/>
          <w:color w:val="auto"/>
        </w:rPr>
        <w:t>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140" w:lineRule="exact"/>
        <w:rPr>
          <w:sz w:val="20"/>
          <w:szCs w:val="20"/>
          <w:color w:val="auto"/>
        </w:rPr>
      </w:pPr>
    </w:p>
    <w:p>
      <w:pPr>
        <w:ind w:left="1220" w:right="1259" w:firstLine="505"/>
        <w:spacing w:after="0" w:line="235" w:lineRule="auto"/>
        <w:rPr>
          <w:sz w:val="20"/>
          <w:szCs w:val="20"/>
          <w:color w:val="auto"/>
        </w:rPr>
      </w:pPr>
      <w:r>
        <w:rPr>
          <w:rFonts w:ascii="Times New Roman" w:cs="Times New Roman" w:eastAsia="Times New Roman" w:hAnsi="Times New Roman"/>
          <w:sz w:val="17"/>
          <w:szCs w:val="17"/>
          <w:u w:val="single" w:color="auto"/>
          <w:color w:val="auto"/>
        </w:rPr>
        <w:t>Section 5. Indemnification for Expenses of a Party Who is Wholly or Partly Successful</w:t>
      </w:r>
      <w:r>
        <w:rPr>
          <w:rFonts w:ascii="Times New Roman" w:cs="Times New Roman" w:eastAsia="Times New Roman" w:hAnsi="Times New Roman"/>
          <w:sz w:val="17"/>
          <w:szCs w:val="17"/>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42" w:lineRule="exact"/>
        <w:rPr>
          <w:sz w:val="20"/>
          <w:szCs w:val="20"/>
          <w:color w:val="auto"/>
        </w:rPr>
      </w:pPr>
    </w:p>
    <w:p>
      <w:pPr>
        <w:ind w:left="1220" w:right="1319" w:firstLine="505"/>
        <w:spacing w:after="0" w:line="237" w:lineRule="auto"/>
        <w:rPr>
          <w:sz w:val="20"/>
          <w:szCs w:val="20"/>
          <w:color w:val="auto"/>
        </w:rPr>
      </w:pPr>
      <w:r>
        <w:rPr>
          <w:rFonts w:ascii="Times New Roman" w:cs="Times New Roman" w:eastAsia="Times New Roman" w:hAnsi="Times New Roman"/>
          <w:sz w:val="17"/>
          <w:szCs w:val="17"/>
          <w:u w:val="single" w:color="auto"/>
          <w:color w:val="auto"/>
        </w:rPr>
        <w:t>Section 6. Reimbursement for Expenses of a Witness or in Response to a Subpoena</w:t>
      </w:r>
      <w:r>
        <w:rPr>
          <w:rFonts w:ascii="Times New Roman" w:cs="Times New Roman" w:eastAsia="Times New Roman" w:hAnsi="Times New Roman"/>
          <w:sz w:val="17"/>
          <w:szCs w:val="17"/>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41" w:lineRule="exact"/>
        <w:rPr>
          <w:sz w:val="20"/>
          <w:szCs w:val="20"/>
          <w:color w:val="auto"/>
        </w:rPr>
      </w:pPr>
    </w:p>
    <w:p>
      <w:pPr>
        <w:ind w:left="1220" w:right="1839" w:firstLine="505"/>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7. Exclusions</w:t>
      </w:r>
      <w:r>
        <w:rPr>
          <w:rFonts w:ascii="Times New Roman" w:cs="Times New Roman" w:eastAsia="Times New Roman" w:hAnsi="Times New Roman"/>
          <w:sz w:val="17"/>
          <w:szCs w:val="17"/>
          <w:color w:val="auto"/>
        </w:rPr>
        <w:t>. Notwithstanding any provision in this Agreement to the contrary, the Company shall not be obligated under this Agreement:</w:t>
      </w:r>
    </w:p>
    <w:p>
      <w:pPr>
        <w:spacing w:after="0" w:line="125" w:lineRule="exact"/>
        <w:rPr>
          <w:sz w:val="20"/>
          <w:szCs w:val="20"/>
          <w:color w:val="auto"/>
        </w:rPr>
      </w:pPr>
    </w:p>
    <w:p>
      <w:pPr>
        <w:ind w:left="1220" w:right="1319" w:firstLine="1013"/>
        <w:spacing w:after="0" w:line="238" w:lineRule="auto"/>
        <w:tabs>
          <w:tab w:leader="none" w:pos="2592"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[(i)] apply to any personal or umbrella liability insurance maintained by Indemnitee, [or, (ii) affect the rights of Indemnitee or the Fund Indemnitors as set forth in Section 13(c)];</w:t>
      </w:r>
    </w:p>
    <w:p>
      <w:pPr>
        <w:spacing w:after="0" w:line="140" w:lineRule="exact"/>
        <w:rPr>
          <w:rFonts w:ascii="Times New Roman" w:cs="Times New Roman" w:eastAsia="Times New Roman" w:hAnsi="Times New Roman"/>
          <w:sz w:val="17"/>
          <w:szCs w:val="17"/>
          <w:color w:val="auto"/>
        </w:rPr>
      </w:pPr>
    </w:p>
    <w:p>
      <w:pPr>
        <w:ind w:left="1220" w:right="1259" w:firstLine="1013"/>
        <w:spacing w:after="0" w:line="239" w:lineRule="auto"/>
        <w:tabs>
          <w:tab w:leader="none" w:pos="2592" w:val="left"/>
        </w:tabs>
        <w:numPr>
          <w:ilvl w:val="0"/>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(“SOX”);</w:t>
      </w:r>
    </w:p>
    <w:p>
      <w:pPr>
        <w:spacing w:after="0" w:line="140" w:lineRule="exact"/>
        <w:rPr>
          <w:rFonts w:ascii="Times New Roman" w:cs="Times New Roman" w:eastAsia="Times New Roman" w:hAnsi="Times New Roman"/>
          <w:sz w:val="17"/>
          <w:szCs w:val="17"/>
          <w:color w:val="auto"/>
        </w:rPr>
      </w:pPr>
    </w:p>
    <w:p>
      <w:pPr>
        <w:ind w:left="1220" w:right="1319" w:firstLine="1013"/>
        <w:spacing w:after="0" w:line="268" w:lineRule="auto"/>
        <w:tabs>
          <w:tab w:leader="none" w:pos="2592" w:val="left"/>
        </w:tabs>
        <w:numPr>
          <w:ilvl w:val="0"/>
          <w:numId w:val="4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3" w:name="page504"/>
    <w:bookmarkEnd w:id="503"/>
    <w:p>
      <w:pPr>
        <w:ind w:left="1220" w:right="1279"/>
        <w:spacing w:after="0" w:line="237" w:lineRule="auto"/>
        <w:rPr>
          <w:sz w:val="20"/>
          <w:szCs w:val="20"/>
          <w:color w:val="auto"/>
        </w:rPr>
      </w:pPr>
      <w:r>
        <w:rPr>
          <w:rFonts w:ascii="Times New Roman" w:cs="Times New Roman" w:eastAsia="Times New Roman" w:hAnsi="Times New Roman"/>
          <w:sz w:val="17"/>
          <w:szCs w:val="17"/>
          <w:color w:val="auto"/>
        </w:rPr>
        <w:t>or part thereof and (ii) the Company provides the indemnification, in its sole discretion, pursuant to the powers vested in the Company under applicable law; provided, however, that this Section 7(c)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41" w:lineRule="exact"/>
        <w:rPr>
          <w:sz w:val="20"/>
          <w:szCs w:val="20"/>
          <w:color w:val="auto"/>
        </w:rPr>
      </w:pPr>
    </w:p>
    <w:p>
      <w:pPr>
        <w:ind w:left="1220" w:right="1239" w:firstLine="1013"/>
        <w:spacing w:after="0" w:line="246" w:lineRule="auto"/>
        <w:tabs>
          <w:tab w:leader="none" w:pos="2592" w:val="left"/>
        </w:tabs>
        <w:numPr>
          <w:ilvl w:val="0"/>
          <w:numId w:val="4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any indemnification or advancement of expenses that is prohibited by applicable law (as such law exists at the time payment would otherwise be required pursuant to this Agreement).</w:t>
      </w:r>
    </w:p>
    <w:p>
      <w:pPr>
        <w:spacing w:after="0" w:line="135" w:lineRule="exact"/>
        <w:rPr>
          <w:sz w:val="20"/>
          <w:szCs w:val="20"/>
          <w:color w:val="auto"/>
        </w:rPr>
      </w:pPr>
    </w:p>
    <w:p>
      <w:pPr>
        <w:ind w:left="1220" w:right="1239" w:firstLine="505"/>
        <w:spacing w:after="0" w:line="233" w:lineRule="auto"/>
        <w:rPr>
          <w:sz w:val="20"/>
          <w:szCs w:val="20"/>
          <w:color w:val="auto"/>
        </w:rPr>
      </w:pPr>
      <w:r>
        <w:rPr>
          <w:rFonts w:ascii="Times New Roman" w:cs="Times New Roman" w:eastAsia="Times New Roman" w:hAnsi="Times New Roman"/>
          <w:sz w:val="17"/>
          <w:szCs w:val="17"/>
          <w:u w:val="single" w:color="auto"/>
          <w:color w:val="auto"/>
        </w:rPr>
        <w:t>Section 8. Advancement of Expenses</w:t>
      </w:r>
      <w:r>
        <w:rPr>
          <w:rFonts w:ascii="Times New Roman" w:cs="Times New Roman" w:eastAsia="Times New Roman" w:hAnsi="Times New Roman"/>
          <w:sz w:val="17"/>
          <w:szCs w:val="17"/>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56" w:lineRule="exact"/>
        <w:rPr>
          <w:sz w:val="20"/>
          <w:szCs w:val="20"/>
          <w:color w:val="auto"/>
        </w:rPr>
      </w:pPr>
    </w:p>
    <w:p>
      <w:pPr>
        <w:ind w:left="1720"/>
        <w:spacing w:after="0"/>
        <w:tabs>
          <w:tab w:leader="none" w:pos="2540"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6"/>
          <w:szCs w:val="16"/>
          <w:color w:val="auto"/>
        </w:rPr>
        <w:t>Procedure for Notification and Defense of Claim.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1097915</wp:posOffset>
            </wp:positionH>
            <wp:positionV relativeFrom="paragraph">
              <wp:posOffset>-10160</wp:posOffset>
            </wp:positionV>
            <wp:extent cx="534035" cy="698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534035" cy="6985"/>
                    </a:xfrm>
                    <a:prstGeom prst="rect">
                      <a:avLst/>
                    </a:prstGeom>
                    <a:noFill/>
                  </pic:spPr>
                </pic:pic>
              </a:graphicData>
            </a:graphic>
          </wp:anchor>
        </w:drawing>
      </w:r>
    </w:p>
    <w:p>
      <w:pPr>
        <w:spacing w:after="0" w:line="142" w:lineRule="exact"/>
        <w:rPr>
          <w:sz w:val="20"/>
          <w:szCs w:val="20"/>
          <w:color w:val="auto"/>
        </w:rPr>
      </w:pPr>
    </w:p>
    <w:p>
      <w:pPr>
        <w:jc w:val="both"/>
        <w:ind w:left="1220" w:right="1299" w:firstLine="1013"/>
        <w:spacing w:after="0" w:line="241" w:lineRule="auto"/>
        <w:tabs>
          <w:tab w:leader="none" w:pos="2592" w:val="left"/>
        </w:tabs>
        <w:numPr>
          <w:ilvl w:val="0"/>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39" w:lineRule="exact"/>
        <w:rPr>
          <w:rFonts w:ascii="Times New Roman" w:cs="Times New Roman" w:eastAsia="Times New Roman" w:hAnsi="Times New Roman"/>
          <w:sz w:val="17"/>
          <w:szCs w:val="17"/>
          <w:color w:val="auto"/>
        </w:rPr>
      </w:pPr>
    </w:p>
    <w:p>
      <w:pPr>
        <w:ind w:left="1220" w:right="1239" w:firstLine="1013"/>
        <w:spacing w:after="0" w:line="255" w:lineRule="auto"/>
        <w:tabs>
          <w:tab w:leader="none" w:pos="2592" w:val="left"/>
        </w:tabs>
        <w:numPr>
          <w:ilvl w:val="0"/>
          <w:numId w:val="4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4" w:name="page505"/>
    <w:bookmarkEnd w:id="504"/>
    <w:p>
      <w:pPr>
        <w:ind w:left="1220" w:right="1339"/>
        <w:spacing w:after="0" w:line="235" w:lineRule="auto"/>
        <w:rPr>
          <w:sz w:val="20"/>
          <w:szCs w:val="20"/>
          <w:color w:val="auto"/>
        </w:rPr>
      </w:pPr>
      <w:r>
        <w:rPr>
          <w:rFonts w:ascii="Times New Roman" w:cs="Times New Roman" w:eastAsia="Times New Roman" w:hAnsi="Times New Roman"/>
          <w:sz w:val="17"/>
          <w:szCs w:val="17"/>
          <w:color w:val="auto"/>
        </w:rPr>
        <w:t>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46" w:lineRule="exact"/>
        <w:rPr>
          <w:sz w:val="20"/>
          <w:szCs w:val="20"/>
          <w:color w:val="auto"/>
        </w:rPr>
      </w:pPr>
    </w:p>
    <w:p>
      <w:pPr>
        <w:ind w:left="1220" w:right="1359" w:firstLine="1013"/>
        <w:spacing w:after="0" w:line="246" w:lineRule="auto"/>
        <w:tabs>
          <w:tab w:leader="none" w:pos="2592"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Company does not assume the defense in a Proceeding pursuant to paragraph (b) above, then the Company will be entitled to participate in the Proceeding at its own expense.</w:t>
      </w:r>
    </w:p>
    <w:p>
      <w:pPr>
        <w:spacing w:after="0" w:line="134" w:lineRule="exact"/>
        <w:rPr>
          <w:rFonts w:ascii="Times New Roman" w:cs="Times New Roman" w:eastAsia="Times New Roman" w:hAnsi="Times New Roman"/>
          <w:sz w:val="17"/>
          <w:szCs w:val="17"/>
          <w:color w:val="auto"/>
        </w:rPr>
      </w:pPr>
    </w:p>
    <w:p>
      <w:pPr>
        <w:ind w:left="1220" w:right="1259" w:firstLine="1013"/>
        <w:spacing w:after="0" w:line="234" w:lineRule="auto"/>
        <w:tabs>
          <w:tab w:leader="none" w:pos="2592"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48"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Procedure Upon Application for Indemnification.</w:t>
      </w:r>
    </w:p>
    <w:p>
      <w:pPr>
        <w:spacing w:after="0" w:line="162" w:lineRule="exact"/>
        <w:rPr>
          <w:sz w:val="20"/>
          <w:szCs w:val="20"/>
          <w:color w:val="auto"/>
        </w:rPr>
      </w:pPr>
    </w:p>
    <w:p>
      <w:pPr>
        <w:ind w:left="1220" w:right="1299" w:firstLine="1013"/>
        <w:spacing w:after="0" w:line="251" w:lineRule="auto"/>
        <w:tabs>
          <w:tab w:leader="none" w:pos="2592" w:val="left"/>
        </w:tabs>
        <w:numPr>
          <w:ilvl w:val="1"/>
          <w:numId w:val="4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by Independent Counsel in a written opinion to the Board; or (y) if a Change in Control shall not have occurred:</w:t>
      </w:r>
    </w:p>
    <w:p>
      <w:pPr>
        <w:spacing w:after="0" w:line="2" w:lineRule="exact"/>
        <w:rPr>
          <w:rFonts w:ascii="Times New Roman" w:cs="Times New Roman" w:eastAsia="Times New Roman" w:hAnsi="Times New Roman"/>
          <w:sz w:val="16"/>
          <w:szCs w:val="16"/>
          <w:color w:val="auto"/>
        </w:rPr>
      </w:pPr>
    </w:p>
    <w:p>
      <w:pPr>
        <w:ind w:left="1220" w:right="1259" w:firstLine="4"/>
        <w:spacing w:after="0" w:line="233" w:lineRule="auto"/>
        <w:tabs>
          <w:tab w:leader="none" w:pos="1421" w:val="left"/>
        </w:tabs>
        <w:numPr>
          <w:ilvl w:val="0"/>
          <w:numId w:val="4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 payment to Indemnitee shall be made within thirty (30) days after such</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505" w:name="page506"/>
    <w:bookmarkEnd w:id="505"/>
    <w:p>
      <w:pPr>
        <w:ind w:left="1220" w:right="1319"/>
        <w:spacing w:after="0" w:line="234" w:lineRule="auto"/>
        <w:rPr>
          <w:sz w:val="20"/>
          <w:szCs w:val="20"/>
          <w:color w:val="auto"/>
        </w:rPr>
      </w:pPr>
      <w:r>
        <w:rPr>
          <w:rFonts w:ascii="Times New Roman" w:cs="Times New Roman" w:eastAsia="Times New Roman" w:hAnsi="Times New Roman"/>
          <w:sz w:val="17"/>
          <w:szCs w:val="17"/>
          <w:color w:val="auto"/>
        </w:rPr>
        <w:t>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48" w:lineRule="exact"/>
        <w:rPr>
          <w:sz w:val="20"/>
          <w:szCs w:val="20"/>
          <w:color w:val="auto"/>
        </w:rPr>
      </w:pPr>
    </w:p>
    <w:p>
      <w:pPr>
        <w:ind w:left="1220" w:right="1279" w:firstLine="1013"/>
        <w:spacing w:after="0" w:line="233" w:lineRule="auto"/>
        <w:tabs>
          <w:tab w:leader="none" w:pos="2592" w:val="left"/>
        </w:tabs>
        <w:numPr>
          <w:ilvl w:val="1"/>
          <w:numId w:val="4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determination of entitlement to indemnification is to be made by Independent Counsel pursuant to Section 10(a), the Independent Counsel shall be selected by the Board if a Change in Control shall not have occurred or, if a Change in Control shall have occurred,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w:t>
      </w:r>
    </w:p>
    <w:p>
      <w:pPr>
        <w:spacing w:after="0" w:line="10" w:lineRule="exact"/>
        <w:rPr>
          <w:rFonts w:ascii="Times New Roman" w:cs="Times New Roman" w:eastAsia="Times New Roman" w:hAnsi="Times New Roman"/>
          <w:sz w:val="17"/>
          <w:szCs w:val="17"/>
          <w:color w:val="auto"/>
        </w:rPr>
      </w:pPr>
    </w:p>
    <w:p>
      <w:pPr>
        <w:ind w:left="1220" w:right="1239" w:firstLine="4"/>
        <w:spacing w:after="0" w:line="233" w:lineRule="auto"/>
        <w:tabs>
          <w:tab w:leader="none" w:pos="1468" w:val="left"/>
        </w:tabs>
        <w:numPr>
          <w:ilvl w:val="0"/>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144" w:lineRule="exact"/>
        <w:rPr>
          <w:rFonts w:ascii="Times New Roman" w:cs="Times New Roman" w:eastAsia="Times New Roman" w:hAnsi="Times New Roman"/>
          <w:sz w:val="17"/>
          <w:szCs w:val="17"/>
          <w:color w:val="auto"/>
        </w:rPr>
      </w:pPr>
    </w:p>
    <w:p>
      <w:pPr>
        <w:ind w:left="1220" w:right="1359" w:firstLine="1013"/>
        <w:spacing w:after="0" w:line="255" w:lineRule="auto"/>
        <w:tabs>
          <w:tab w:leader="none" w:pos="2592" w:val="left"/>
        </w:tabs>
        <w:numPr>
          <w:ilvl w:val="1"/>
          <w:numId w:val="4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w:t>
      </w: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6" w:name="page507"/>
    <w:bookmarkEnd w:id="506"/>
    <w:p>
      <w:pPr>
        <w:ind w:left="1720"/>
        <w:spacing w:after="0"/>
        <w:rPr>
          <w:sz w:val="20"/>
          <w:szCs w:val="20"/>
          <w:color w:val="auto"/>
        </w:rPr>
      </w:pP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Presumptions and Effect of Certain Proceedings.</w:t>
      </w:r>
    </w:p>
    <w:p>
      <w:pPr>
        <w:spacing w:after="0" w:line="162" w:lineRule="exact"/>
        <w:rPr>
          <w:sz w:val="20"/>
          <w:szCs w:val="20"/>
          <w:color w:val="auto"/>
        </w:rPr>
      </w:pPr>
    </w:p>
    <w:p>
      <w:pPr>
        <w:ind w:left="1220" w:right="1319" w:firstLine="1013"/>
        <w:spacing w:after="0" w:line="237" w:lineRule="auto"/>
        <w:tabs>
          <w:tab w:leader="none" w:pos="2592"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41" w:lineRule="exact"/>
        <w:rPr>
          <w:rFonts w:ascii="Times New Roman" w:cs="Times New Roman" w:eastAsia="Times New Roman" w:hAnsi="Times New Roman"/>
          <w:sz w:val="17"/>
          <w:szCs w:val="17"/>
          <w:color w:val="auto"/>
        </w:rPr>
      </w:pPr>
    </w:p>
    <w:p>
      <w:pPr>
        <w:ind w:left="1220" w:right="1379" w:firstLine="1013"/>
        <w:spacing w:after="0" w:line="236" w:lineRule="auto"/>
        <w:tabs>
          <w:tab w:leader="none" w:pos="2592"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7"/>
          <w:szCs w:val="17"/>
          <w:u w:val="single" w:color="auto"/>
          <w:color w:val="auto"/>
        </w:rPr>
        <w:t>nolo contendere</w:t>
      </w:r>
      <w:r>
        <w:rPr>
          <w:rFonts w:ascii="Times New Roman" w:cs="Times New Roman" w:eastAsia="Times New Roman" w:hAnsi="Times New Roman"/>
          <w:sz w:val="17"/>
          <w:szCs w:val="17"/>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44" w:lineRule="exact"/>
        <w:rPr>
          <w:rFonts w:ascii="Times New Roman" w:cs="Times New Roman" w:eastAsia="Times New Roman" w:hAnsi="Times New Roman"/>
          <w:sz w:val="17"/>
          <w:szCs w:val="17"/>
          <w:color w:val="auto"/>
        </w:rPr>
      </w:pPr>
    </w:p>
    <w:p>
      <w:pPr>
        <w:ind w:left="1220" w:right="1279" w:firstLine="1013"/>
        <w:spacing w:after="0" w:line="234" w:lineRule="auto"/>
        <w:tabs>
          <w:tab w:leader="none" w:pos="2592"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4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Remedies of Indemnitee.</w:t>
      </w:r>
    </w:p>
    <w:p>
      <w:pPr>
        <w:spacing w:after="0" w:line="162" w:lineRule="exact"/>
        <w:rPr>
          <w:sz w:val="20"/>
          <w:szCs w:val="20"/>
          <w:color w:val="auto"/>
        </w:rPr>
      </w:pPr>
    </w:p>
    <w:p>
      <w:pPr>
        <w:ind w:left="1220" w:right="1259" w:firstLine="1013"/>
        <w:spacing w:after="0" w:line="254" w:lineRule="auto"/>
        <w:tabs>
          <w:tab w:leader="none" w:pos="2592" w:val="left"/>
        </w:tabs>
        <w:numPr>
          <w:ilvl w:val="0"/>
          <w:numId w:val="4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 pursuant to Section 10(a) of this Agreement within sixty (60) days after receipt by the Company of the request for indemnification for which a determination is to be made other than by Independent Counsel, (iv) payment of indemnification or reimbursement of expenses is not made</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7" w:name="page508"/>
    <w:bookmarkEnd w:id="507"/>
    <w:p>
      <w:pPr>
        <w:ind w:left="1220"/>
        <w:spacing w:after="0"/>
        <w:rPr>
          <w:sz w:val="20"/>
          <w:szCs w:val="20"/>
          <w:color w:val="auto"/>
        </w:rPr>
      </w:pPr>
      <w:r>
        <w:rPr>
          <w:rFonts w:ascii="Times New Roman" w:cs="Times New Roman" w:eastAsia="Times New Roman" w:hAnsi="Times New Roman"/>
          <w:sz w:val="17"/>
          <w:szCs w:val="17"/>
          <w:color w:val="auto"/>
        </w:rPr>
        <w:t>pursuant to Section 5 or 6 or the last sentence of Section 10(a) of this Agreement within thirty</w:t>
      </w:r>
    </w:p>
    <w:p>
      <w:pPr>
        <w:spacing w:after="0" w:line="12" w:lineRule="exact"/>
        <w:rPr>
          <w:sz w:val="20"/>
          <w:szCs w:val="20"/>
          <w:color w:val="auto"/>
        </w:rPr>
      </w:pPr>
    </w:p>
    <w:p>
      <w:pPr>
        <w:ind w:left="1220" w:right="1239" w:firstLine="4"/>
        <w:spacing w:after="0" w:line="233" w:lineRule="auto"/>
        <w:tabs>
          <w:tab w:leader="none" w:pos="1542" w:val="left"/>
        </w:tabs>
        <w:numPr>
          <w:ilvl w:val="0"/>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42" w:lineRule="exact"/>
        <w:rPr>
          <w:rFonts w:ascii="Times New Roman" w:cs="Times New Roman" w:eastAsia="Times New Roman" w:hAnsi="Times New Roman"/>
          <w:sz w:val="17"/>
          <w:szCs w:val="17"/>
          <w:color w:val="auto"/>
        </w:rPr>
      </w:pPr>
    </w:p>
    <w:p>
      <w:pPr>
        <w:ind w:left="1220" w:right="1259" w:firstLine="1013"/>
        <w:spacing w:after="0" w:line="237" w:lineRule="auto"/>
        <w:tabs>
          <w:tab w:leader="none" w:pos="2592" w:val="left"/>
        </w:tabs>
        <w:numPr>
          <w:ilvl w:val="1"/>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41" w:lineRule="exact"/>
        <w:rPr>
          <w:rFonts w:ascii="Times New Roman" w:cs="Times New Roman" w:eastAsia="Times New Roman" w:hAnsi="Times New Roman"/>
          <w:sz w:val="17"/>
          <w:szCs w:val="17"/>
          <w:color w:val="auto"/>
        </w:rPr>
      </w:pPr>
    </w:p>
    <w:p>
      <w:pPr>
        <w:ind w:left="1220" w:right="1399" w:firstLine="1013"/>
        <w:spacing w:after="0" w:line="255" w:lineRule="auto"/>
        <w:tabs>
          <w:tab w:leader="none" w:pos="2592" w:val="left"/>
        </w:tabs>
        <w:numPr>
          <w:ilvl w:val="1"/>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30" w:lineRule="exact"/>
        <w:rPr>
          <w:rFonts w:ascii="Times New Roman" w:cs="Times New Roman" w:eastAsia="Times New Roman" w:hAnsi="Times New Roman"/>
          <w:sz w:val="16"/>
          <w:szCs w:val="16"/>
          <w:color w:val="auto"/>
        </w:rPr>
      </w:pPr>
    </w:p>
    <w:p>
      <w:pPr>
        <w:ind w:left="1220" w:right="1399" w:firstLine="1013"/>
        <w:spacing w:after="0" w:line="261" w:lineRule="auto"/>
        <w:tabs>
          <w:tab w:leader="none" w:pos="2592" w:val="left"/>
        </w:tabs>
        <w:numPr>
          <w:ilvl w:val="1"/>
          <w:numId w:val="4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24" w:lineRule="exact"/>
        <w:rPr>
          <w:rFonts w:ascii="Times New Roman" w:cs="Times New Roman" w:eastAsia="Times New Roman" w:hAnsi="Times New Roman"/>
          <w:sz w:val="16"/>
          <w:szCs w:val="16"/>
          <w:color w:val="auto"/>
        </w:rPr>
      </w:pPr>
    </w:p>
    <w:p>
      <w:pPr>
        <w:ind w:left="1220" w:right="1279" w:firstLine="1013"/>
        <w:spacing w:after="0" w:line="235" w:lineRule="auto"/>
        <w:tabs>
          <w:tab w:leader="none" w:pos="2592" w:val="left"/>
        </w:tabs>
        <w:numPr>
          <w:ilvl w:val="1"/>
          <w:numId w:val="4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 received by Indemnitee in connection with such Enforcement Expenses but, in the case of invoices in connection with legal services, any references to legal work performed or to</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8" w:name="page509"/>
    <w:bookmarkEnd w:id="508"/>
    <w:p>
      <w:pPr>
        <w:ind w:left="1220" w:right="1419"/>
        <w:spacing w:after="0" w:line="259" w:lineRule="auto"/>
        <w:rPr>
          <w:sz w:val="20"/>
          <w:szCs w:val="20"/>
          <w:color w:val="auto"/>
        </w:rPr>
      </w:pPr>
      <w:r>
        <w:rPr>
          <w:rFonts w:ascii="Times New Roman" w:cs="Times New Roman" w:eastAsia="Times New Roman" w:hAnsi="Times New Roman"/>
          <w:sz w:val="17"/>
          <w:szCs w:val="17"/>
          <w:color w:val="auto"/>
        </w:rPr>
        <w:t>expenditures made that would cause Indemnitee to waive any privilege accorded by applicable law need not be included with the invoice.</w:t>
      </w:r>
    </w:p>
    <w:p>
      <w:pPr>
        <w:spacing w:after="0" w:line="125" w:lineRule="exact"/>
        <w:rPr>
          <w:sz w:val="20"/>
          <w:szCs w:val="20"/>
          <w:color w:val="auto"/>
        </w:rPr>
      </w:pPr>
    </w:p>
    <w:p>
      <w:pPr>
        <w:ind w:left="1220" w:right="1399" w:firstLine="1013"/>
        <w:spacing w:after="0" w:line="246" w:lineRule="auto"/>
        <w:tabs>
          <w:tab w:leader="none" w:pos="2592" w:val="left"/>
        </w:tabs>
        <w:numPr>
          <w:ilvl w:val="0"/>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35" w:lineRule="exact"/>
        <w:rPr>
          <w:sz w:val="20"/>
          <w:szCs w:val="20"/>
          <w:color w:val="auto"/>
        </w:rPr>
      </w:pPr>
    </w:p>
    <w:p>
      <w:pPr>
        <w:ind w:left="1220" w:right="2379" w:firstLine="505"/>
        <w:spacing w:after="0" w:line="259" w:lineRule="auto"/>
        <w:rPr>
          <w:sz w:val="20"/>
          <w:szCs w:val="20"/>
          <w:color w:val="auto"/>
        </w:rPr>
      </w:pP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Non-exclusivity; Survival of Rights; Insurance; [Primacy of Indemnification;] Subrogation.</w:t>
      </w:r>
    </w:p>
    <w:p>
      <w:pPr>
        <w:spacing w:after="0" w:line="125" w:lineRule="exact"/>
        <w:rPr>
          <w:sz w:val="20"/>
          <w:szCs w:val="20"/>
          <w:color w:val="auto"/>
        </w:rPr>
      </w:pPr>
    </w:p>
    <w:p>
      <w:pPr>
        <w:ind w:left="1220" w:right="1239" w:firstLine="1013"/>
        <w:spacing w:after="0" w:line="249" w:lineRule="auto"/>
        <w:tabs>
          <w:tab w:leader="none" w:pos="2592"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3" w:lineRule="exact"/>
        <w:rPr>
          <w:rFonts w:ascii="Times New Roman" w:cs="Times New Roman" w:eastAsia="Times New Roman" w:hAnsi="Times New Roman"/>
          <w:sz w:val="16"/>
          <w:szCs w:val="16"/>
          <w:color w:val="auto"/>
        </w:rPr>
      </w:pPr>
    </w:p>
    <w:p>
      <w:pPr>
        <w:ind w:left="1220" w:right="1299" w:firstLine="1013"/>
        <w:spacing w:after="0" w:line="234" w:lineRule="auto"/>
        <w:tabs>
          <w:tab w:leader="none" w:pos="2592" w:val="left"/>
        </w:tabs>
        <w:numPr>
          <w:ilvl w:val="0"/>
          <w:numId w:val="4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47" w:lineRule="exact"/>
        <w:rPr>
          <w:rFonts w:ascii="Times New Roman" w:cs="Times New Roman" w:eastAsia="Times New Roman" w:hAnsi="Times New Roman"/>
          <w:sz w:val="17"/>
          <w:szCs w:val="17"/>
          <w:color w:val="auto"/>
        </w:rPr>
      </w:pPr>
    </w:p>
    <w:p>
      <w:pPr>
        <w:ind w:left="1220" w:right="1459" w:firstLine="1013"/>
        <w:spacing w:after="0" w:line="257" w:lineRule="auto"/>
        <w:tabs>
          <w:tab w:leader="none" w:pos="2592" w:val="left"/>
        </w:tabs>
        <w:numPr>
          <w:ilvl w:val="0"/>
          <w:numId w:val="4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hereby acknowledges that Indemnitee has certain rights to indemnification, advancement of expenses and/or insurance provided by [Name of Fund/Sponsor] and certain of [its][their] affiliates (collectively, the “Fund Indemnitors”). The Company hereby agrees (i) that it is the indemnitor of first resort (i.e</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its obligations to Indemnitee are primary and any obligation of the Fund Indemnitors to advance expenses or to</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09" w:name="page510"/>
    <w:bookmarkEnd w:id="509"/>
    <w:p>
      <w:pPr>
        <w:ind w:left="1220" w:right="1239"/>
        <w:spacing w:after="0" w:line="234" w:lineRule="auto"/>
        <w:rPr>
          <w:sz w:val="20"/>
          <w:szCs w:val="20"/>
          <w:color w:val="auto"/>
        </w:rPr>
      </w:pPr>
      <w:r>
        <w:rPr>
          <w:rFonts w:ascii="Times New Roman" w:cs="Times New Roman" w:eastAsia="Times New Roman" w:hAnsi="Times New Roman"/>
          <w:sz w:val="17"/>
          <w:szCs w:val="17"/>
          <w:color w:val="auto"/>
        </w:rPr>
        <w:t>provide indemnification for the same expenses or liabilities incurred by Indemnitee are secondary), (ii) that it shall be required to advance the full amount of expenses incurred by Indemnitee and shall be liable for the full amount of all Expenses, judgments, penalties, fines and amounts paid in settlement to the extent legally permitted and as required by the terms of this Agreement and the Charter and/or Bylaws (or any other agreement between the Company and Indemnitee), without regard to any rights Indemnitee may have against the Fund Indemnitors, and (iii)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Indemnitee with respect to any claim for which Indemnitee has sought indemnification from the Company shall affect the foregoing and the Fund Indemnitors shall have a right of contribution and/or be subrogated to the extent of such advancement or payment to all of the rights of recovery of Indemnitee against the Company. The Company and Indemnitee agree that the Fund Indemnitors are express third party beneficiaries of the terms of this Section 13(c).]</w:t>
      </w:r>
    </w:p>
    <w:p>
      <w:pPr>
        <w:spacing w:after="0" w:line="148" w:lineRule="exact"/>
        <w:rPr>
          <w:sz w:val="20"/>
          <w:szCs w:val="20"/>
          <w:color w:val="auto"/>
        </w:rPr>
      </w:pPr>
    </w:p>
    <w:p>
      <w:pPr>
        <w:ind w:left="1220" w:right="1299" w:firstLine="1013"/>
        <w:spacing w:after="0" w:line="238" w:lineRule="auto"/>
        <w:tabs>
          <w:tab w:leader="none" w:pos="2592"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paragraph (c) above,] [I/i]n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140" w:lineRule="exact"/>
        <w:rPr>
          <w:rFonts w:ascii="Times New Roman" w:cs="Times New Roman" w:eastAsia="Times New Roman" w:hAnsi="Times New Roman"/>
          <w:sz w:val="17"/>
          <w:szCs w:val="17"/>
          <w:color w:val="auto"/>
        </w:rPr>
      </w:pPr>
    </w:p>
    <w:p>
      <w:pPr>
        <w:ind w:left="1220" w:right="1239" w:firstLine="1013"/>
        <w:spacing w:after="0" w:line="239" w:lineRule="auto"/>
        <w:tabs>
          <w:tab w:leader="none" w:pos="2592" w:val="left"/>
        </w:tabs>
        <w:numPr>
          <w:ilvl w:val="0"/>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provided in paragraph (c) above,] [T/t]he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41" w:lineRule="exact"/>
        <w:rPr>
          <w:sz w:val="20"/>
          <w:szCs w:val="20"/>
          <w:color w:val="auto"/>
        </w:rPr>
      </w:pPr>
    </w:p>
    <w:p>
      <w:pPr>
        <w:ind w:left="1220" w:right="1259" w:firstLine="505"/>
        <w:spacing w:after="0" w:line="235" w:lineRule="auto"/>
        <w:rPr>
          <w:sz w:val="20"/>
          <w:szCs w:val="20"/>
          <w:color w:val="auto"/>
        </w:rPr>
      </w:pPr>
      <w:r>
        <w:rPr>
          <w:rFonts w:ascii="Times New Roman" w:cs="Times New Roman" w:eastAsia="Times New Roman" w:hAnsi="Times New Roman"/>
          <w:sz w:val="17"/>
          <w:szCs w:val="17"/>
          <w:u w:val="single" w:color="auto"/>
          <w:color w:val="auto"/>
        </w:rPr>
        <w:t>Section 14. Duration of Agreement</w:t>
      </w:r>
      <w:r>
        <w:rPr>
          <w:rFonts w:ascii="Times New Roman" w:cs="Times New Roman" w:eastAsia="Times New Roman" w:hAnsi="Times New Roman"/>
          <w:sz w:val="17"/>
          <w:szCs w:val="17"/>
          <w:color w:val="auto"/>
        </w:rPr>
        <w:t>. This Agreement shall continue until and terminate upon the later of: (a) ten (10) years after the date that Indemnitee shall have ceased to serve as a director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40" w:lineRule="exact"/>
        <w:rPr>
          <w:sz w:val="20"/>
          <w:szCs w:val="20"/>
          <w:color w:val="auto"/>
        </w:rPr>
      </w:pPr>
    </w:p>
    <w:p>
      <w:pPr>
        <w:ind w:left="1220" w:right="1279" w:firstLine="505"/>
        <w:spacing w:after="0" w:line="261" w:lineRule="auto"/>
        <w:rPr>
          <w:sz w:val="20"/>
          <w:szCs w:val="20"/>
          <w:color w:val="auto"/>
        </w:rPr>
      </w:pPr>
      <w:r>
        <w:rPr>
          <w:rFonts w:ascii="Times New Roman" w:cs="Times New Roman" w:eastAsia="Times New Roman" w:hAnsi="Times New Roman"/>
          <w:sz w:val="16"/>
          <w:szCs w:val="16"/>
          <w:u w:val="single" w:color="auto"/>
          <w:color w:val="auto"/>
        </w:rPr>
        <w:t>Section 15. Severability</w:t>
      </w:r>
      <w:r>
        <w:rPr>
          <w:rFonts w:ascii="Times New Roman" w:cs="Times New Roman" w:eastAsia="Times New Roman" w:hAnsi="Times New Roman"/>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10" w:name="page511"/>
    <w:bookmarkEnd w:id="510"/>
    <w:p>
      <w:pPr>
        <w:ind w:left="1220" w:right="1339"/>
        <w:spacing w:after="0" w:line="258" w:lineRule="auto"/>
        <w:rPr>
          <w:sz w:val="20"/>
          <w:szCs w:val="20"/>
          <w:color w:val="auto"/>
        </w:rPr>
      </w:pPr>
      <w:r>
        <w:rPr>
          <w:rFonts w:ascii="Times New Roman" w:cs="Times New Roman" w:eastAsia="Times New Roman" w:hAnsi="Times New Roman"/>
          <w:sz w:val="16"/>
          <w:szCs w:val="16"/>
          <w:color w:val="auto"/>
        </w:rPr>
        <w:t>or unenforceable, that is not itself invalid, illegal or unenforceable) shall not in any way be affected or impaired thereby and shall remain enforceable to the fullest extent permitted by law;</w:t>
      </w:r>
    </w:p>
    <w:p>
      <w:pPr>
        <w:spacing w:after="0" w:line="1" w:lineRule="exact"/>
        <w:rPr>
          <w:sz w:val="20"/>
          <w:szCs w:val="20"/>
          <w:color w:val="auto"/>
        </w:rPr>
      </w:pPr>
    </w:p>
    <w:p>
      <w:pPr>
        <w:ind w:left="1220" w:right="1279" w:firstLine="4"/>
        <w:spacing w:after="0" w:line="234" w:lineRule="auto"/>
        <w:tabs>
          <w:tab w:leader="none" w:pos="1458"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4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u w:val="single" w:color="auto"/>
          <w:color w:val="auto"/>
        </w:rPr>
        <w:t>Section 16.</w:t>
      </w:r>
      <w:r>
        <w:rPr>
          <w:rFonts w:ascii="Times New Roman" w:cs="Times New Roman" w:eastAsia="Times New Roman" w:hAnsi="Times New Roman"/>
          <w:sz w:val="17"/>
          <w:szCs w:val="17"/>
          <w:color w:val="auto"/>
        </w:rPr>
        <w:t xml:space="preserve">  Enforcement.</w:t>
      </w:r>
    </w:p>
    <w:p>
      <w:pPr>
        <w:spacing w:after="0" w:line="162" w:lineRule="exact"/>
        <w:rPr>
          <w:sz w:val="20"/>
          <w:szCs w:val="20"/>
          <w:color w:val="auto"/>
        </w:rPr>
      </w:pPr>
    </w:p>
    <w:p>
      <w:pPr>
        <w:ind w:left="1220" w:right="1439" w:firstLine="1013"/>
        <w:spacing w:after="0" w:line="241" w:lineRule="auto"/>
        <w:tabs>
          <w:tab w:leader="none" w:pos="2592"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expressly confirms and agrees that it has entered into this Agreement and assumed the obligations imposed on it hereby in order to induce Indemnitee to [serve] [continue to serve] as a director of the Company, and the Company acknowledges that Indemnitee is relying upon this Agreement in serving as a director of the Company.</w:t>
      </w:r>
    </w:p>
    <w:p>
      <w:pPr>
        <w:spacing w:after="0" w:line="139" w:lineRule="exact"/>
        <w:rPr>
          <w:rFonts w:ascii="Times New Roman" w:cs="Times New Roman" w:eastAsia="Times New Roman" w:hAnsi="Times New Roman"/>
          <w:sz w:val="17"/>
          <w:szCs w:val="17"/>
          <w:color w:val="auto"/>
        </w:rPr>
      </w:pPr>
    </w:p>
    <w:p>
      <w:pPr>
        <w:ind w:left="1220" w:right="1259" w:firstLine="1013"/>
        <w:spacing w:after="0" w:line="238" w:lineRule="auto"/>
        <w:tabs>
          <w:tab w:leader="none" w:pos="2592" w:val="left"/>
        </w:tabs>
        <w:numPr>
          <w:ilvl w:val="0"/>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 provided, however, that this Agreement is a supplement to and in furtherance of the Charter, the Bylaws and applicable law, and shall not be deemed a substitute therefor, nor to diminish or abrogate any rights of Indemnitee thereunder.</w:t>
      </w:r>
    </w:p>
    <w:p>
      <w:pPr>
        <w:spacing w:after="0" w:line="140" w:lineRule="exact"/>
        <w:rPr>
          <w:sz w:val="20"/>
          <w:szCs w:val="20"/>
          <w:color w:val="auto"/>
        </w:rPr>
      </w:pPr>
    </w:p>
    <w:p>
      <w:pPr>
        <w:ind w:left="1220" w:right="1279" w:firstLine="505"/>
        <w:spacing w:after="0" w:line="236" w:lineRule="auto"/>
        <w:rPr>
          <w:sz w:val="20"/>
          <w:szCs w:val="20"/>
          <w:color w:val="auto"/>
        </w:rPr>
      </w:pPr>
      <w:r>
        <w:rPr>
          <w:rFonts w:ascii="Times New Roman" w:cs="Times New Roman" w:eastAsia="Times New Roman" w:hAnsi="Times New Roman"/>
          <w:sz w:val="17"/>
          <w:szCs w:val="17"/>
          <w:u w:val="single" w:color="auto"/>
          <w:color w:val="auto"/>
        </w:rPr>
        <w:t>Section 17. Modification and Waiver</w:t>
      </w:r>
      <w:r>
        <w:rPr>
          <w:rFonts w:ascii="Times New Roman" w:cs="Times New Roman" w:eastAsia="Times New Roman" w:hAnsi="Times New Roman"/>
          <w:sz w:val="17"/>
          <w:szCs w:val="17"/>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44" w:lineRule="exact"/>
        <w:rPr>
          <w:sz w:val="20"/>
          <w:szCs w:val="20"/>
          <w:color w:val="auto"/>
        </w:rPr>
      </w:pPr>
    </w:p>
    <w:p>
      <w:pPr>
        <w:ind w:left="1220" w:right="1279" w:firstLine="505"/>
        <w:spacing w:after="0" w:line="235" w:lineRule="auto"/>
        <w:rPr>
          <w:sz w:val="20"/>
          <w:szCs w:val="20"/>
          <w:color w:val="auto"/>
        </w:rPr>
      </w:pPr>
      <w:r>
        <w:rPr>
          <w:rFonts w:ascii="Times New Roman" w:cs="Times New Roman" w:eastAsia="Times New Roman" w:hAnsi="Times New Roman"/>
          <w:sz w:val="17"/>
          <w:szCs w:val="17"/>
          <w:u w:val="single" w:color="auto"/>
          <w:color w:val="auto"/>
        </w:rPr>
        <w:t>Section 18. Notice by Indemnitee</w:t>
      </w:r>
      <w:r>
        <w:rPr>
          <w:rFonts w:ascii="Times New Roman" w:cs="Times New Roman" w:eastAsia="Times New Roman" w:hAnsi="Times New Roman"/>
          <w:sz w:val="17"/>
          <w:szCs w:val="17"/>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46" w:lineRule="exact"/>
        <w:rPr>
          <w:sz w:val="20"/>
          <w:szCs w:val="20"/>
          <w:color w:val="auto"/>
        </w:rPr>
      </w:pPr>
    </w:p>
    <w:p>
      <w:pPr>
        <w:jc w:val="both"/>
        <w:ind w:left="1220" w:right="1419" w:firstLine="505"/>
        <w:spacing w:after="0" w:line="261" w:lineRule="auto"/>
        <w:rPr>
          <w:sz w:val="20"/>
          <w:szCs w:val="20"/>
          <w:color w:val="auto"/>
        </w:rPr>
      </w:pPr>
      <w:r>
        <w:rPr>
          <w:rFonts w:ascii="Times New Roman" w:cs="Times New Roman" w:eastAsia="Times New Roman" w:hAnsi="Times New Roman"/>
          <w:sz w:val="16"/>
          <w:szCs w:val="16"/>
          <w:u w:val="single" w:color="auto"/>
          <w:color w:val="auto"/>
        </w:rPr>
        <w:t>Section 19. Notices</w:t>
      </w:r>
      <w:r>
        <w:rPr>
          <w:rFonts w:ascii="Times New Roman" w:cs="Times New Roman" w:eastAsia="Times New Roman" w:hAnsi="Times New Roman"/>
          <w:sz w:val="16"/>
          <w:szCs w:val="16"/>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11" w:name="page512"/>
    <w:bookmarkEnd w:id="511"/>
    <w:p>
      <w:pPr>
        <w:ind w:left="1220" w:right="1459"/>
        <w:spacing w:after="0" w:line="241" w:lineRule="auto"/>
        <w:rPr>
          <w:sz w:val="20"/>
          <w:szCs w:val="20"/>
          <w:color w:val="auto"/>
        </w:rPr>
      </w:pPr>
      <w:r>
        <w:rPr>
          <w:rFonts w:ascii="Times New Roman" w:cs="Times New Roman" w:eastAsia="Times New Roman" w:hAnsi="Times New Roman"/>
          <w:sz w:val="17"/>
          <w:szCs w:val="17"/>
          <w:color w:val="auto"/>
        </w:rPr>
        <w:t>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61" w:lineRule="exact"/>
        <w:rPr>
          <w:sz w:val="20"/>
          <w:szCs w:val="20"/>
          <w:color w:val="auto"/>
        </w:rPr>
      </w:pPr>
    </w:p>
    <w:p>
      <w:pPr>
        <w:ind w:left="2740" w:hanging="528"/>
        <w:spacing w:after="0"/>
        <w:tabs>
          <w:tab w:leader="none" w:pos="2740" w:val="left"/>
        </w:tabs>
        <w:numPr>
          <w:ilvl w:val="0"/>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Indemnitee, at such address as Indemnitee shall provide to the</w:t>
      </w:r>
    </w:p>
    <w:p>
      <w:pPr>
        <w:spacing w:after="0" w:line="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Company.</w:t>
      </w:r>
    </w:p>
    <w:p>
      <w:pPr>
        <w:spacing w:after="0" w:line="165" w:lineRule="exact"/>
        <w:rPr>
          <w:sz w:val="20"/>
          <w:szCs w:val="20"/>
          <w:color w:val="auto"/>
        </w:rPr>
      </w:pPr>
    </w:p>
    <w:p>
      <w:pPr>
        <w:ind w:left="2740" w:hanging="528"/>
        <w:spacing w:after="0"/>
        <w:tabs>
          <w:tab w:leader="none" w:pos="2740" w:val="left"/>
        </w:tabs>
        <w:numPr>
          <w:ilvl w:val="0"/>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w:t>
      </w:r>
    </w:p>
    <w:p>
      <w:pPr>
        <w:spacing w:after="0" w:line="182" w:lineRule="exact"/>
        <w:rPr>
          <w:rFonts w:ascii="Times New Roman" w:cs="Times New Roman" w:eastAsia="Times New Roman" w:hAnsi="Times New Roman"/>
          <w:sz w:val="17"/>
          <w:szCs w:val="17"/>
          <w:color w:val="auto"/>
        </w:rPr>
      </w:pPr>
    </w:p>
    <w:p>
      <w:pPr>
        <w:ind w:left="27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Avalyn Pharma Inc.</w:t>
      </w:r>
    </w:p>
    <w:p>
      <w:pPr>
        <w:spacing w:after="0" w:line="11" w:lineRule="exact"/>
        <w:rPr>
          <w:rFonts w:ascii="Times New Roman" w:cs="Times New Roman" w:eastAsia="Times New Roman" w:hAnsi="Times New Roman"/>
          <w:sz w:val="17"/>
          <w:szCs w:val="17"/>
          <w:color w:val="auto"/>
        </w:rPr>
      </w:pPr>
    </w:p>
    <w:p>
      <w:pPr>
        <w:ind w:left="2740" w:right="3939"/>
        <w:spacing w:after="0" w:line="23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105 West First Street Boston, MA 02127 USA Attention: Chief Executive Officer</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or to any other address as may have been furnished to Indemnitee by the Company.</w:t>
      </w:r>
    </w:p>
    <w:p>
      <w:pPr>
        <w:spacing w:after="0" w:line="162" w:lineRule="exact"/>
        <w:rPr>
          <w:sz w:val="20"/>
          <w:szCs w:val="20"/>
          <w:color w:val="auto"/>
        </w:rPr>
      </w:pPr>
    </w:p>
    <w:p>
      <w:pPr>
        <w:ind w:left="1220" w:right="1279" w:firstLine="505"/>
        <w:spacing w:after="0" w:line="235" w:lineRule="auto"/>
        <w:rPr>
          <w:sz w:val="20"/>
          <w:szCs w:val="20"/>
          <w:color w:val="auto"/>
        </w:rPr>
      </w:pPr>
      <w:r>
        <w:rPr>
          <w:rFonts w:ascii="Times New Roman" w:cs="Times New Roman" w:eastAsia="Times New Roman" w:hAnsi="Times New Roman"/>
          <w:sz w:val="17"/>
          <w:szCs w:val="17"/>
          <w:u w:val="single" w:color="auto"/>
          <w:color w:val="auto"/>
        </w:rPr>
        <w:t>Section 20. Contribution</w:t>
      </w:r>
      <w:r>
        <w:rPr>
          <w:rFonts w:ascii="Times New Roman" w:cs="Times New Roman" w:eastAsia="Times New Roman" w:hAnsi="Times New Roman"/>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 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46" w:lineRule="exact"/>
        <w:rPr>
          <w:sz w:val="20"/>
          <w:szCs w:val="20"/>
          <w:color w:val="auto"/>
        </w:rPr>
      </w:pPr>
    </w:p>
    <w:p>
      <w:pPr>
        <w:ind w:left="1220" w:right="1299" w:firstLine="505"/>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21. Internal Revenue Code Section 409A</w:t>
      </w:r>
      <w:r>
        <w:rPr>
          <w:rFonts w:ascii="Times New Roman" w:cs="Times New Roman" w:eastAsia="Times New Roman" w:hAnsi="Times New Roman"/>
          <w:sz w:val="16"/>
          <w:szCs w:val="16"/>
          <w:color w:val="auto"/>
        </w:rPr>
        <w:t>.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33" w:lineRule="exact"/>
        <w:rPr>
          <w:sz w:val="20"/>
          <w:szCs w:val="20"/>
          <w:color w:val="auto"/>
        </w:rPr>
      </w:pPr>
    </w:p>
    <w:p>
      <w:pPr>
        <w:ind w:left="1220" w:right="1239" w:firstLine="505"/>
        <w:spacing w:after="0" w:line="252" w:lineRule="auto"/>
        <w:rPr>
          <w:sz w:val="20"/>
          <w:szCs w:val="20"/>
          <w:color w:val="auto"/>
        </w:rPr>
      </w:pPr>
      <w:r>
        <w:rPr>
          <w:rFonts w:ascii="Times New Roman" w:cs="Times New Roman" w:eastAsia="Times New Roman" w:hAnsi="Times New Roman"/>
          <w:sz w:val="16"/>
          <w:szCs w:val="16"/>
          <w:u w:val="single" w:color="auto"/>
          <w:color w:val="auto"/>
        </w:rPr>
        <w:t>Section 22. Applicable Law and Consent to Jurisdiction</w:t>
      </w:r>
      <w:r>
        <w:rPr>
          <w:rFonts w:ascii="Times New Roman" w:cs="Times New Roman" w:eastAsia="Times New Roman" w:hAnsi="Times New Roman"/>
          <w:sz w:val="16"/>
          <w:szCs w:val="16"/>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512" w:name="page513"/>
    <w:bookmarkEnd w:id="512"/>
    <w:p>
      <w:pPr>
        <w:ind w:left="1220" w:right="1339"/>
        <w:spacing w:after="0" w:line="238" w:lineRule="auto"/>
        <w:rPr>
          <w:sz w:val="20"/>
          <w:szCs w:val="20"/>
          <w:color w:val="auto"/>
        </w:rPr>
      </w:pPr>
      <w:r>
        <w:rPr>
          <w:rFonts w:ascii="Times New Roman" w:cs="Times New Roman" w:eastAsia="Times New Roman" w:hAnsi="Times New Roman"/>
          <w:sz w:val="17"/>
          <w:szCs w:val="17"/>
          <w:color w:val="auto"/>
        </w:rPr>
        <w:t>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40" w:lineRule="exact"/>
        <w:rPr>
          <w:sz w:val="20"/>
          <w:szCs w:val="20"/>
          <w:color w:val="auto"/>
        </w:rPr>
      </w:pPr>
    </w:p>
    <w:p>
      <w:pPr>
        <w:ind w:left="1220" w:right="1259" w:firstLine="505"/>
        <w:spacing w:after="0" w:line="246" w:lineRule="auto"/>
        <w:rPr>
          <w:sz w:val="20"/>
          <w:szCs w:val="20"/>
          <w:color w:val="auto"/>
        </w:rPr>
      </w:pPr>
      <w:r>
        <w:rPr>
          <w:rFonts w:ascii="Times New Roman" w:cs="Times New Roman" w:eastAsia="Times New Roman" w:hAnsi="Times New Roman"/>
          <w:sz w:val="17"/>
          <w:szCs w:val="17"/>
          <w:u w:val="single" w:color="auto"/>
          <w:color w:val="auto"/>
        </w:rPr>
        <w:t>Section 23. Headings</w:t>
      </w:r>
      <w:r>
        <w:rPr>
          <w:rFonts w:ascii="Times New Roman" w:cs="Times New Roman" w:eastAsia="Times New Roman" w:hAnsi="Times New Roman"/>
          <w:sz w:val="17"/>
          <w:szCs w:val="17"/>
          <w:color w:val="auto"/>
        </w:rPr>
        <w:t>. The headings of the paragraphs of this Agreement are inserted for convenience only and shall not be deemed to constitute part of this Agreement or to affect the construction thereof.</w:t>
      </w:r>
    </w:p>
    <w:p>
      <w:pPr>
        <w:spacing w:after="0" w:line="135" w:lineRule="exact"/>
        <w:rPr>
          <w:sz w:val="20"/>
          <w:szCs w:val="20"/>
          <w:color w:val="auto"/>
        </w:rPr>
      </w:pPr>
    </w:p>
    <w:p>
      <w:pPr>
        <w:ind w:left="1220" w:right="1339" w:firstLine="505"/>
        <w:spacing w:after="0" w:line="239" w:lineRule="auto"/>
        <w:rPr>
          <w:sz w:val="20"/>
          <w:szCs w:val="20"/>
          <w:color w:val="auto"/>
        </w:rPr>
      </w:pPr>
      <w:r>
        <w:rPr>
          <w:rFonts w:ascii="Times New Roman" w:cs="Times New Roman" w:eastAsia="Times New Roman" w:hAnsi="Times New Roman"/>
          <w:sz w:val="17"/>
          <w:szCs w:val="17"/>
          <w:u w:val="single" w:color="auto"/>
          <w:color w:val="auto"/>
        </w:rPr>
        <w:t>Section 24. Identical Counterparts</w:t>
      </w:r>
      <w:r>
        <w:rPr>
          <w:rFonts w:ascii="Times New Roman" w:cs="Times New Roman" w:eastAsia="Times New Roman" w:hAnsi="Times New Roman"/>
          <w:sz w:val="17"/>
          <w:szCs w:val="17"/>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41" w:lineRule="exact"/>
        <w:rPr>
          <w:sz w:val="20"/>
          <w:szCs w:val="20"/>
          <w:color w:val="auto"/>
        </w:rPr>
      </w:pPr>
    </w:p>
    <w:p>
      <w:pPr>
        <w:ind w:left="1220" w:right="1299" w:firstLine="505"/>
        <w:spacing w:after="0" w:line="234" w:lineRule="auto"/>
        <w:rPr>
          <w:sz w:val="20"/>
          <w:szCs w:val="20"/>
          <w:color w:val="auto"/>
        </w:rPr>
      </w:pPr>
      <w:r>
        <w:rPr>
          <w:rFonts w:ascii="Times New Roman" w:cs="Times New Roman" w:eastAsia="Times New Roman" w:hAnsi="Times New Roman"/>
          <w:sz w:val="17"/>
          <w:szCs w:val="17"/>
          <w:u w:val="single" w:color="auto"/>
          <w:color w:val="auto"/>
        </w:rPr>
        <w:t>Section 25. Monetary Damages Insufficient/Specific Enforcement</w:t>
      </w:r>
      <w:r>
        <w:rPr>
          <w:rFonts w:ascii="Times New Roman" w:cs="Times New Roman" w:eastAsia="Times New Roman" w:hAnsi="Times New Roman"/>
          <w:sz w:val="17"/>
          <w:szCs w:val="17"/>
          <w:color w:val="auto"/>
        </w:rPr>
        <w:t>. The Company and Indemnitee agree that a monetary remedy for breach of this Agreement may be inadequate, impracticable and difficult of proof, and further agree that such breach may cause Indemnitee 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the Court, and the Company hereby waives any such requirement of a bond or undertaking.</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13" w:name="page514"/>
    <w:bookmarkEnd w:id="513"/>
    <w:p>
      <w:pPr>
        <w:ind w:left="1220" w:right="1299" w:firstLine="505"/>
        <w:spacing w:after="0" w:line="259" w:lineRule="auto"/>
        <w:rPr>
          <w:sz w:val="20"/>
          <w:szCs w:val="20"/>
          <w:color w:val="auto"/>
        </w:rPr>
      </w:pPr>
      <w:r>
        <w:rPr>
          <w:rFonts w:ascii="Times New Roman" w:cs="Times New Roman" w:eastAsia="Times New Roman" w:hAnsi="Times New Roman"/>
          <w:sz w:val="17"/>
          <w:szCs w:val="17"/>
          <w:color w:val="auto"/>
        </w:rPr>
        <w:t>IN WITNESS WHEREOF, the parties have caused this Agreement to be signed as of the day and year first above written.</w:t>
      </w:r>
    </w:p>
    <w:p>
      <w:pPr>
        <w:spacing w:after="0" w:line="14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AVALYN PHARMA INC.</w:t>
      </w:r>
    </w:p>
    <w:p>
      <w:pPr>
        <w:spacing w:after="0" w:line="35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2540</wp:posOffset>
            </wp:positionV>
            <wp:extent cx="1915795" cy="698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4760"/>
        <w:spacing w:after="0"/>
        <w:rPr>
          <w:sz w:val="20"/>
          <w:szCs w:val="20"/>
          <w:color w:val="auto"/>
        </w:rPr>
      </w:pPr>
      <w:r>
        <w:rPr>
          <w:rFonts w:ascii="Times New Roman" w:cs="Times New Roman" w:eastAsia="Times New Roman" w:hAnsi="Times New Roman"/>
          <w:sz w:val="17"/>
          <w:szCs w:val="17"/>
          <w:color w:val="auto"/>
        </w:rPr>
        <w:t>Name:</w:t>
      </w:r>
    </w:p>
    <w:p>
      <w:pPr>
        <w:ind w:left="4760"/>
        <w:spacing w:after="0"/>
        <w:rPr>
          <w:sz w:val="20"/>
          <w:szCs w:val="20"/>
          <w:color w:val="auto"/>
        </w:rPr>
      </w:pPr>
      <w:r>
        <w:rPr>
          <w:rFonts w:ascii="Times New Roman" w:cs="Times New Roman" w:eastAsia="Times New Roman" w:hAnsi="Times New Roman"/>
          <w:sz w:val="17"/>
          <w:szCs w:val="17"/>
          <w:color w:val="auto"/>
        </w:rPr>
        <w:t>Title:</w:t>
      </w:r>
    </w:p>
    <w:p>
      <w:pPr>
        <w:spacing w:after="0" w:line="34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2863215</wp:posOffset>
            </wp:positionH>
            <wp:positionV relativeFrom="paragraph">
              <wp:posOffset>-116840</wp:posOffset>
            </wp:positionV>
            <wp:extent cx="2082800" cy="698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2082800" cy="69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14" w:name="page515"/>
    <w:bookmarkEnd w:id="514"/>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MODEL INDEMNIFICATION AGREEMENT</w:t>
      </w:r>
    </w:p>
    <w:p>
      <w:pPr>
        <w:spacing w:after="0" w:line="144" w:lineRule="exact"/>
        <w:rPr>
          <w:sz w:val="20"/>
          <w:szCs w:val="20"/>
          <w:color w:val="auto"/>
        </w:rPr>
      </w:pPr>
    </w:p>
    <w:p>
      <w:pPr>
        <w:ind w:left="1220" w:right="1539" w:firstLine="505"/>
        <w:spacing w:after="0" w:line="246" w:lineRule="auto"/>
        <w:rPr>
          <w:sz w:val="20"/>
          <w:szCs w:val="20"/>
          <w:color w:val="auto"/>
        </w:rPr>
      </w:pPr>
      <w:r>
        <w:rPr>
          <w:rFonts w:ascii="Times New Roman" w:cs="Times New Roman" w:eastAsia="Times New Roman" w:hAnsi="Times New Roman"/>
          <w:sz w:val="17"/>
          <w:szCs w:val="17"/>
          <w:color w:val="auto"/>
        </w:rPr>
        <w:t>This Indemnification Agreement (“Agreement”) is made as of [Date] by and between Avalyn Pharma Inc., a Delaware corporation (the “Company”), and [Officer Name] (“Indemnitee”).</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RECITALS</w:t>
      </w:r>
    </w:p>
    <w:p>
      <w:pPr>
        <w:spacing w:after="0" w:line="162" w:lineRule="exact"/>
        <w:rPr>
          <w:sz w:val="20"/>
          <w:szCs w:val="20"/>
          <w:color w:val="auto"/>
        </w:rPr>
      </w:pPr>
    </w:p>
    <w:p>
      <w:pPr>
        <w:ind w:left="1220" w:right="1519" w:firstLine="505"/>
        <w:spacing w:after="0" w:line="259" w:lineRule="auto"/>
        <w:rPr>
          <w:sz w:val="20"/>
          <w:szCs w:val="20"/>
          <w:color w:val="auto"/>
        </w:rPr>
      </w:pPr>
      <w:r>
        <w:rPr>
          <w:rFonts w:ascii="Times New Roman" w:cs="Times New Roman" w:eastAsia="Times New Roman" w:hAnsi="Times New Roman"/>
          <w:sz w:val="17"/>
          <w:szCs w:val="17"/>
          <w:color w:val="auto"/>
        </w:rPr>
        <w:t>WHEREAS, the Company desires to attract and retain the services of highly qualified individuals, such as Indemnitee, to serve the Company;</w:t>
      </w:r>
    </w:p>
    <w:p>
      <w:pPr>
        <w:spacing w:after="0" w:line="125" w:lineRule="exact"/>
        <w:rPr>
          <w:sz w:val="20"/>
          <w:szCs w:val="20"/>
          <w:color w:val="auto"/>
        </w:rPr>
      </w:pPr>
    </w:p>
    <w:p>
      <w:pPr>
        <w:ind w:left="1220" w:right="1339" w:firstLine="505"/>
        <w:spacing w:after="0" w:line="246" w:lineRule="auto"/>
        <w:rPr>
          <w:sz w:val="20"/>
          <w:szCs w:val="20"/>
          <w:color w:val="auto"/>
        </w:rPr>
      </w:pPr>
      <w:r>
        <w:rPr>
          <w:rFonts w:ascii="Times New Roman" w:cs="Times New Roman" w:eastAsia="Times New Roman" w:hAnsi="Times New Roman"/>
          <w:sz w:val="17"/>
          <w:szCs w:val="17"/>
          <w:color w:val="auto"/>
        </w:rPr>
        <w:t>WHEREAS, in order to induce Indemnitee to [provide] [continue to provide] services to the Company, the Company wishes to provide for the indemnification of, and advancement of expenses to, Indemnitee to the maximum extent permitted by law;</w:t>
      </w:r>
    </w:p>
    <w:p>
      <w:pPr>
        <w:spacing w:after="0" w:line="135" w:lineRule="exact"/>
        <w:rPr>
          <w:sz w:val="20"/>
          <w:szCs w:val="20"/>
          <w:color w:val="auto"/>
        </w:rPr>
      </w:pPr>
    </w:p>
    <w:p>
      <w:pPr>
        <w:ind w:left="1220" w:right="1239" w:firstLine="505"/>
        <w:spacing w:after="0" w:line="239" w:lineRule="auto"/>
        <w:rPr>
          <w:sz w:val="20"/>
          <w:szCs w:val="20"/>
          <w:color w:val="auto"/>
        </w:rPr>
      </w:pPr>
      <w:r>
        <w:rPr>
          <w:rFonts w:ascii="Times New Roman" w:cs="Times New Roman" w:eastAsia="Times New Roman" w:hAnsi="Times New Roman"/>
          <w:sz w:val="17"/>
          <w:szCs w:val="17"/>
          <w:color w:val="auto"/>
        </w:rPr>
        <w:t>WHEREAS, the Amended and Restated Certificate of Incorporation (as amended and in effect from time to time, the “Charter”) and the Amended and Restated Bylaws (as amended and in effect from time to time, the “Bylaws”) of the Company require indemnification of the officers and directors of the Company, and Indemnitee may also be entitled to indemnification pursuant to the General Corporation Law of the State of Delaware (the “DGCL”);</w:t>
      </w:r>
    </w:p>
    <w:p>
      <w:pPr>
        <w:spacing w:after="0" w:line="141" w:lineRule="exact"/>
        <w:rPr>
          <w:sz w:val="20"/>
          <w:szCs w:val="20"/>
          <w:color w:val="auto"/>
        </w:rPr>
      </w:pPr>
    </w:p>
    <w:p>
      <w:pPr>
        <w:ind w:left="1220" w:right="1619" w:firstLine="505"/>
        <w:spacing w:after="0" w:line="241" w:lineRule="auto"/>
        <w:rPr>
          <w:sz w:val="20"/>
          <w:szCs w:val="20"/>
          <w:color w:val="auto"/>
        </w:rPr>
      </w:pPr>
      <w:r>
        <w:rPr>
          <w:rFonts w:ascii="Times New Roman" w:cs="Times New Roman" w:eastAsia="Times New Roman" w:hAnsi="Times New Roman"/>
          <w:sz w:val="17"/>
          <w:szCs w:val="17"/>
          <w:color w:val="auto"/>
        </w:rPr>
        <w:t>WHEREAS, the Charter, the Bylaws and the DGCL expressly provide that the indemnification provisions set forth therein are not exclusive, and thereby contemplate that contracts may be entered into between the Company and members of the board of directors, officers and other persons with respect to indemnification;</w:t>
      </w:r>
    </w:p>
    <w:p>
      <w:pPr>
        <w:spacing w:after="0" w:line="140" w:lineRule="exact"/>
        <w:rPr>
          <w:sz w:val="20"/>
          <w:szCs w:val="20"/>
          <w:color w:val="auto"/>
        </w:rPr>
      </w:pPr>
    </w:p>
    <w:p>
      <w:pPr>
        <w:ind w:left="1220" w:right="1319" w:firstLine="505"/>
        <w:spacing w:after="0" w:line="246" w:lineRule="auto"/>
        <w:rPr>
          <w:sz w:val="20"/>
          <w:szCs w:val="20"/>
          <w:color w:val="auto"/>
        </w:rPr>
      </w:pPr>
      <w:r>
        <w:rPr>
          <w:rFonts w:ascii="Times New Roman" w:cs="Times New Roman" w:eastAsia="Times New Roman" w:hAnsi="Times New Roman"/>
          <w:sz w:val="17"/>
          <w:szCs w:val="17"/>
          <w:color w:val="auto"/>
        </w:rPr>
        <w:t>WHEREAS, the Board of Directors of the Company (the “Board”) has determined that the increased difficulty in attracting and retaining highly qualified persons such as Indemnitee is detrimental to the best interests of the Company’s stockholders;</w:t>
      </w:r>
    </w:p>
    <w:p>
      <w:pPr>
        <w:spacing w:after="0" w:line="135" w:lineRule="exact"/>
        <w:rPr>
          <w:sz w:val="20"/>
          <w:szCs w:val="20"/>
          <w:color w:val="auto"/>
        </w:rPr>
      </w:pPr>
    </w:p>
    <w:p>
      <w:pPr>
        <w:ind w:left="1220" w:right="1259" w:firstLine="505"/>
        <w:spacing w:after="0" w:line="239" w:lineRule="auto"/>
        <w:rPr>
          <w:sz w:val="20"/>
          <w:szCs w:val="20"/>
          <w:color w:val="auto"/>
        </w:rPr>
      </w:pPr>
      <w:r>
        <w:rPr>
          <w:rFonts w:ascii="Times New Roman" w:cs="Times New Roman" w:eastAsia="Times New Roman" w:hAnsi="Times New Roman"/>
          <w:sz w:val="17"/>
          <w:szCs w:val="17"/>
          <w:color w:val="auto"/>
        </w:rPr>
        <w:t>WHEREAS, it is reasonable and prudent for the Company contractually to obligate itself to indemnify, and to advance expenses on behalf of, such persons to the fullest extent permitted by applicable law, regardless of any amendment or revocation of the Charter or the Bylaws, so that they will [serve] [continue to serve] the Company free from undue concern that they will not be so indemnified; and</w:t>
      </w:r>
    </w:p>
    <w:p>
      <w:pPr>
        <w:spacing w:after="0" w:line="141" w:lineRule="exact"/>
        <w:rPr>
          <w:sz w:val="20"/>
          <w:szCs w:val="20"/>
          <w:color w:val="auto"/>
        </w:rPr>
      </w:pPr>
    </w:p>
    <w:p>
      <w:pPr>
        <w:ind w:left="1220" w:right="1279" w:firstLine="454"/>
        <w:spacing w:after="0" w:line="268" w:lineRule="auto"/>
        <w:rPr>
          <w:sz w:val="20"/>
          <w:szCs w:val="20"/>
          <w:color w:val="auto"/>
        </w:rPr>
      </w:pPr>
      <w:r>
        <w:rPr>
          <w:rFonts w:ascii="Times New Roman" w:cs="Times New Roman" w:eastAsia="Times New Roman" w:hAnsi="Times New Roman"/>
          <w:sz w:val="16"/>
          <w:szCs w:val="16"/>
          <w:color w:val="auto"/>
        </w:rPr>
        <w:t>WHEREAS, this Agreement is a supplement to and in furtherance of the indemnification provided in the Charter, the Bylaws and any resolutions adopted pursuant thereto, and shall not be deemed a substitute therefor, nor to diminish or abrogate any rights of Indemnitee thereunder.</w:t>
      </w:r>
    </w:p>
    <w:p>
      <w:pPr>
        <w:spacing w:after="0" w:line="120" w:lineRule="exact"/>
        <w:rPr>
          <w:sz w:val="20"/>
          <w:szCs w:val="20"/>
          <w:color w:val="auto"/>
        </w:rPr>
      </w:pPr>
    </w:p>
    <w:p>
      <w:pPr>
        <w:ind w:left="1220" w:right="1659" w:firstLine="505"/>
        <w:spacing w:after="0" w:line="259" w:lineRule="auto"/>
        <w:rPr>
          <w:sz w:val="20"/>
          <w:szCs w:val="20"/>
          <w:color w:val="auto"/>
        </w:rPr>
      </w:pPr>
      <w:r>
        <w:rPr>
          <w:rFonts w:ascii="Times New Roman" w:cs="Times New Roman" w:eastAsia="Times New Roman" w:hAnsi="Times New Roman"/>
          <w:sz w:val="17"/>
          <w:szCs w:val="17"/>
          <w:color w:val="auto"/>
        </w:rPr>
        <w:t>NOW, THEREFORE, in consideration of the premises and the covenants contained herein, the Company and Indemnitee do hereby covenant and agree as follows:</w:t>
      </w:r>
    </w:p>
    <w:p>
      <w:pPr>
        <w:spacing w:after="0" w:line="125" w:lineRule="exact"/>
        <w:rPr>
          <w:sz w:val="20"/>
          <w:szCs w:val="20"/>
          <w:color w:val="auto"/>
        </w:rPr>
      </w:pPr>
    </w:p>
    <w:p>
      <w:pPr>
        <w:ind w:left="1220" w:right="1379"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Services to the Company</w:t>
      </w:r>
      <w:r>
        <w:rPr>
          <w:rFonts w:ascii="Times New Roman" w:cs="Times New Roman" w:eastAsia="Times New Roman" w:hAnsi="Times New Roman"/>
          <w:sz w:val="17"/>
          <w:szCs w:val="17"/>
          <w:color w:val="auto"/>
        </w:rPr>
        <w:t>. Indemnitee agrees to [serve] [continue to serve] as [a director and] an officer of the Company. Indemnitee may at any time and for any reason</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515" w:name="page516"/>
    <w:bookmarkEnd w:id="515"/>
    <w:p>
      <w:pPr>
        <w:ind w:left="1220" w:right="1339"/>
        <w:spacing w:after="0" w:line="241" w:lineRule="auto"/>
        <w:rPr>
          <w:sz w:val="20"/>
          <w:szCs w:val="20"/>
          <w:color w:val="auto"/>
        </w:rPr>
      </w:pPr>
      <w:r>
        <w:rPr>
          <w:rFonts w:ascii="Times New Roman" w:cs="Times New Roman" w:eastAsia="Times New Roman" w:hAnsi="Times New Roman"/>
          <w:sz w:val="17"/>
          <w:szCs w:val="17"/>
          <w:color w:val="auto"/>
        </w:rPr>
        <w:t>resign from [any] such position (subject to any other contractual obligation or any obligation imposed by law), in which event the Company shall have no obligation under this Agreement to continue Indemnitee in such position. This Agreement shall not be deemed an employment contract between the Company (or any of its subsidiaries or any Enterprise) and Indemnitee.</w:t>
      </w:r>
    </w:p>
    <w:p>
      <w:pPr>
        <w:spacing w:after="0" w:line="140" w:lineRule="exact"/>
        <w:rPr>
          <w:sz w:val="20"/>
          <w:szCs w:val="20"/>
          <w:color w:val="auto"/>
        </w:rPr>
      </w:pPr>
    </w:p>
    <w:p>
      <w:pPr>
        <w:ind w:left="1720"/>
        <w:spacing w:after="0"/>
        <w:tabs>
          <w:tab w:leader="none" w:pos="2600" w:val="left"/>
        </w:tabs>
        <w:rPr>
          <w:sz w:val="20"/>
          <w:szCs w:val="20"/>
          <w:color w:val="auto"/>
        </w:rPr>
      </w:pPr>
      <w:r>
        <w:rPr>
          <w:rFonts w:ascii="Times New Roman" w:cs="Times New Roman" w:eastAsia="Times New Roman" w:hAnsi="Times New Roman"/>
          <w:sz w:val="17"/>
          <w:szCs w:val="17"/>
          <w:color w:val="auto"/>
        </w:rPr>
        <w:t>Section 2</w:t>
      </w:r>
      <w:r>
        <w:rPr>
          <w:sz w:val="20"/>
          <w:szCs w:val="20"/>
          <w:color w:val="auto"/>
        </w:rPr>
        <w:tab/>
      </w:r>
      <w:r>
        <w:rPr>
          <w:rFonts w:ascii="Times New Roman" w:cs="Times New Roman" w:eastAsia="Times New Roman" w:hAnsi="Times New Roman"/>
          <w:sz w:val="16"/>
          <w:szCs w:val="16"/>
          <w:u w:val="single" w:color="auto"/>
          <w:color w:val="auto"/>
        </w:rPr>
        <w:t>Definitions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As used in this Agreement:</w:t>
      </w:r>
    </w:p>
    <w:p>
      <w:pPr>
        <w:spacing w:after="0" w:line="162" w:lineRule="exact"/>
        <w:rPr>
          <w:sz w:val="20"/>
          <w:szCs w:val="20"/>
          <w:color w:val="auto"/>
        </w:rPr>
      </w:pPr>
    </w:p>
    <w:p>
      <w:pPr>
        <w:ind w:left="1220" w:right="1379" w:firstLine="1013"/>
        <w:spacing w:after="0" w:line="238" w:lineRule="auto"/>
        <w:tabs>
          <w:tab w:leader="none" w:pos="2592" w:val="left"/>
        </w:tabs>
        <w:numPr>
          <w:ilvl w:val="0"/>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and “Associate” shall have the respective meanings ascribed to such terms in Rule 12b-2 of the General Rules and Regulations under the Securities Exchange Act of 1934, as amended (the “Exchange Act”), as in effect on the date of this Agreement; provided, however, that no Person who is a director or officer of the Company shall be deemed an Affiliate or an Associate of any other director or officer of the Company solely as a result of his or her position as director or officer of the Company.</w:t>
      </w:r>
    </w:p>
    <w:p>
      <w:pPr>
        <w:spacing w:after="0" w:line="140" w:lineRule="exact"/>
        <w:rPr>
          <w:rFonts w:ascii="Times New Roman" w:cs="Times New Roman" w:eastAsia="Times New Roman" w:hAnsi="Times New Roman"/>
          <w:sz w:val="17"/>
          <w:szCs w:val="17"/>
          <w:color w:val="auto"/>
        </w:rPr>
      </w:pPr>
    </w:p>
    <w:p>
      <w:pPr>
        <w:ind w:left="1220" w:right="1239" w:firstLine="1013"/>
        <w:spacing w:after="0" w:line="259" w:lineRule="auto"/>
        <w:tabs>
          <w:tab w:leader="none" w:pos="2592" w:val="left"/>
        </w:tabs>
        <w:numPr>
          <w:ilvl w:val="0"/>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shall be deemed the “Beneficial Owner” of, and shall be deemed to “Beneficially Own” and have “Beneficial Ownership” of, any securities:</w:t>
      </w:r>
    </w:p>
    <w:p>
      <w:pPr>
        <w:spacing w:after="0" w:line="125" w:lineRule="exact"/>
        <w:rPr>
          <w:sz w:val="20"/>
          <w:szCs w:val="20"/>
          <w:color w:val="auto"/>
        </w:rPr>
      </w:pPr>
    </w:p>
    <w:p>
      <w:pPr>
        <w:ind w:left="1220" w:right="1319" w:firstLine="1013"/>
        <w:spacing w:after="0" w:line="246" w:lineRule="auto"/>
        <w:tabs>
          <w:tab w:leader="none" w:pos="2592"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such Person or any of such Person’s Affiliates or Associates, directly or indirectly, Beneficially Owns (as determined pursuant to Rule 13d-3 of the Rules under the Exchange Act, as in effect on the date of this Agreement);</w:t>
      </w:r>
    </w:p>
    <w:p>
      <w:pPr>
        <w:spacing w:after="0" w:line="134" w:lineRule="exact"/>
        <w:rPr>
          <w:rFonts w:ascii="Times New Roman" w:cs="Times New Roman" w:eastAsia="Times New Roman" w:hAnsi="Times New Roman"/>
          <w:sz w:val="17"/>
          <w:szCs w:val="17"/>
          <w:color w:val="auto"/>
        </w:rPr>
      </w:pPr>
    </w:p>
    <w:p>
      <w:pPr>
        <w:ind w:left="1220" w:right="1319" w:firstLine="1013"/>
        <w:spacing w:after="0" w:line="235" w:lineRule="auto"/>
        <w:tabs>
          <w:tab w:leader="none" w:pos="2592"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such Person or any of such Person’s Affiliates or Associates, directly or indirectly, has: (A) the legal, equitable or contractual right or obligation to acquire (whether directly or indirectly and whether exercisable immediately or only after the passage of time, compliance with regulatory requirements, satisfaction of one or more conditions (whether or not within the control of such Person) or otherwise) upon the exercise of any conversion rights, exchange rights, rights, warrants or options, or otherwise; (B) the right to vote pursuant to any agreement, arrangement or understanding (whether or not in writing); or (C) the right to dispose of pursuant to any agreement, arrangement or understanding (whether or not in writing) (other than customary arrangements with and between underwriters and selling group members with respect to a bona fide public offering of securities);</w:t>
      </w:r>
    </w:p>
    <w:p>
      <w:pPr>
        <w:spacing w:after="0" w:line="146" w:lineRule="exact"/>
        <w:rPr>
          <w:rFonts w:ascii="Times New Roman" w:cs="Times New Roman" w:eastAsia="Times New Roman" w:hAnsi="Times New Roman"/>
          <w:sz w:val="17"/>
          <w:szCs w:val="17"/>
          <w:color w:val="auto"/>
        </w:rPr>
      </w:pPr>
    </w:p>
    <w:p>
      <w:pPr>
        <w:ind w:left="1220" w:right="1239" w:firstLine="1013"/>
        <w:spacing w:after="0" w:line="238" w:lineRule="auto"/>
        <w:tabs>
          <w:tab w:leader="none" w:pos="2592" w:val="left"/>
        </w:tabs>
        <w:numPr>
          <w:ilvl w:val="0"/>
          <w:numId w:val="4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Beneficially Owned, directly or indirectly, by any other Person (or any Affiliate or Associate thereof) with which such Person or any of such Person’s Affiliates or Associates has any agreement, arrangement or understanding (whether or not in writing) (other than customary agreements with and between underwriters and selling group members with respect to a bona fide public offering of securities) for the purpose of acquiring, holding, voting or disposing of any securities of the Company; or</w:t>
      </w:r>
    </w:p>
    <w:p>
      <w:pPr>
        <w:spacing w:after="0" w:line="140" w:lineRule="exact"/>
        <w:rPr>
          <w:rFonts w:ascii="Times New Roman" w:cs="Times New Roman" w:eastAsia="Times New Roman" w:hAnsi="Times New Roman"/>
          <w:sz w:val="17"/>
          <w:szCs w:val="17"/>
          <w:color w:val="auto"/>
        </w:rPr>
      </w:pPr>
    </w:p>
    <w:p>
      <w:pPr>
        <w:ind w:left="1220" w:right="1279" w:firstLine="1013"/>
        <w:spacing w:after="0" w:line="254" w:lineRule="auto"/>
        <w:tabs>
          <w:tab w:leader="none" w:pos="2592" w:val="left"/>
        </w:tabs>
        <w:numPr>
          <w:ilvl w:val="0"/>
          <w:numId w:val="4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are the subject of a derivative transaction entered into by such Person or any of such Person’s Affiliates or Associates, including, for these purposes, any derivative security acquired by such Person or any of such Person’s Affiliates or Associates that gives such Person or any of such Person’s Affiliates or Associates the economic equivalent of ownership of an amount of securities due to the fact that the value of the derivative security is explicitly determined by reference to the price or value of such securities, or that provides such Person or any of such Person’s Affiliates or Associates an opportunity, directly or indirectly, to profit or to</w:t>
      </w: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16" w:name="page517"/>
    <w:bookmarkEnd w:id="516"/>
    <w:p>
      <w:pPr>
        <w:ind w:left="1220" w:right="1239"/>
        <w:spacing w:after="0" w:line="238" w:lineRule="auto"/>
        <w:rPr>
          <w:sz w:val="20"/>
          <w:szCs w:val="20"/>
          <w:color w:val="auto"/>
        </w:rPr>
      </w:pPr>
      <w:r>
        <w:rPr>
          <w:rFonts w:ascii="Times New Roman" w:cs="Times New Roman" w:eastAsia="Times New Roman" w:hAnsi="Times New Roman"/>
          <w:sz w:val="17"/>
          <w:szCs w:val="17"/>
          <w:color w:val="auto"/>
        </w:rPr>
        <w:t>share in any profit derived from any change in the value of such securities, in any case without regard to whether (A) such derivative security conveys any voting rights in such securities to such Person or any of such Person’s Affiliates or Associates; (B) the derivative security is required to be, or capable of being, settled through delivery of such securities; or (C) such Person or any of such Person’s Affiliates or Associates may have entered into other transactions that hedge the economic effect of such derivative security.</w:t>
      </w:r>
    </w:p>
    <w:p>
      <w:pPr>
        <w:spacing w:after="0" w:line="140" w:lineRule="exact"/>
        <w:rPr>
          <w:sz w:val="20"/>
          <w:szCs w:val="20"/>
          <w:color w:val="auto"/>
        </w:rPr>
      </w:pPr>
    </w:p>
    <w:p>
      <w:pPr>
        <w:ind w:left="1220" w:right="1259" w:firstLine="505"/>
        <w:spacing w:after="0" w:line="246" w:lineRule="auto"/>
        <w:rPr>
          <w:sz w:val="20"/>
          <w:szCs w:val="20"/>
          <w:color w:val="auto"/>
        </w:rPr>
      </w:pPr>
      <w:r>
        <w:rPr>
          <w:rFonts w:ascii="Times New Roman" w:cs="Times New Roman" w:eastAsia="Times New Roman" w:hAnsi="Times New Roman"/>
          <w:sz w:val="17"/>
          <w:szCs w:val="17"/>
          <w:color w:val="auto"/>
        </w:rPr>
        <w:t>Notwithstanding the foregoing, no Person engaged in business as an underwriter of securities shall be deemed the Beneficial Owner of any securities acquired through such Person’s participation as an underwriter in good faith in a firm commitment underwriting.</w:t>
      </w:r>
    </w:p>
    <w:p>
      <w:pPr>
        <w:spacing w:after="0" w:line="135" w:lineRule="exact"/>
        <w:rPr>
          <w:sz w:val="20"/>
          <w:szCs w:val="20"/>
          <w:color w:val="auto"/>
        </w:rPr>
      </w:pPr>
    </w:p>
    <w:p>
      <w:pPr>
        <w:ind w:left="1220" w:right="1419" w:firstLine="1013"/>
        <w:spacing w:after="0" w:line="259" w:lineRule="auto"/>
        <w:tabs>
          <w:tab w:leader="none" w:pos="2592" w:val="left"/>
        </w:tabs>
        <w:numPr>
          <w:ilvl w:val="0"/>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in Control” shall be deemed to occur upon the earliest to occur after the date of this Agreement of any of the following events:</w:t>
      </w:r>
    </w:p>
    <w:p>
      <w:pPr>
        <w:spacing w:after="0" w:line="125" w:lineRule="exact"/>
        <w:rPr>
          <w:sz w:val="20"/>
          <w:szCs w:val="20"/>
          <w:color w:val="auto"/>
        </w:rPr>
      </w:pPr>
    </w:p>
    <w:p>
      <w:pPr>
        <w:ind w:left="1220" w:right="1339" w:firstLine="1013"/>
        <w:spacing w:after="0" w:line="236" w:lineRule="auto"/>
        <w:tabs>
          <w:tab w:leader="none" w:pos="2592"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Acquisition of Stock by Third Party</w:t>
      </w:r>
      <w:r>
        <w:rPr>
          <w:rFonts w:ascii="Times New Roman" w:cs="Times New Roman" w:eastAsia="Times New Roman" w:hAnsi="Times New Roman"/>
          <w:sz w:val="17"/>
          <w:szCs w:val="17"/>
          <w:color w:val="auto"/>
        </w:rPr>
        <w:t>. Any Person is or becomes the Beneficial Owner (as defined above), directly or indirectly, of securities of the Company representing fifty percent (50%) or more of the combined voting power of the Company’s then outstanding securities unless the change in relative Beneficial Ownership of the Company’s securities by any Person results solely from a reduction in the aggregate number of outstanding shares of securities entitled to vote generally in the election of directors, provided that a Change of Control shall be deemed to have occurred if subsequent to such reduction such Person becomes the Beneficial Owner, directly or indirectly, of any additional securities of the Company conferring upon such Person any additional voting power;</w:t>
      </w:r>
    </w:p>
    <w:p>
      <w:pPr>
        <w:spacing w:after="0" w:line="141" w:lineRule="exact"/>
        <w:rPr>
          <w:rFonts w:ascii="Times New Roman" w:cs="Times New Roman" w:eastAsia="Times New Roman" w:hAnsi="Times New Roman"/>
          <w:sz w:val="17"/>
          <w:szCs w:val="17"/>
          <w:color w:val="auto"/>
        </w:rPr>
      </w:pPr>
    </w:p>
    <w:p>
      <w:pPr>
        <w:ind w:left="1220" w:right="1259" w:firstLine="1013"/>
        <w:spacing w:after="0" w:line="236" w:lineRule="auto"/>
        <w:tabs>
          <w:tab w:leader="none" w:pos="2592"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in Board of Directors</w:t>
      </w:r>
      <w:r>
        <w:rPr>
          <w:rFonts w:ascii="Times New Roman" w:cs="Times New Roman" w:eastAsia="Times New Roman" w:hAnsi="Times New Roman"/>
          <w:sz w:val="17"/>
          <w:szCs w:val="17"/>
          <w:color w:val="auto"/>
        </w:rPr>
        <w:t>. During any period of two (2) consecutive years (not including any period prior to the execution of this Agreement), individuals who at the beginning of such period constitute the Board, and any new director (other than a director designated by a Person who has entered into an agreement with the Company to effect a transaction described in Sections 2(c)(i), 2(c)(iii) or 2(c)(iv)) whose election by the Board or nomination for election by the Company’s stockholders was approved by a vote of at least two-thirds of the directors then still in office who either were directors at the beginning of the period or whose election or nomination for election was previously so approved, cease for any reason to constitute at least a majority of the members of the Board;</w:t>
      </w:r>
    </w:p>
    <w:p>
      <w:pPr>
        <w:spacing w:after="0" w:line="141" w:lineRule="exact"/>
        <w:rPr>
          <w:rFonts w:ascii="Times New Roman" w:cs="Times New Roman" w:eastAsia="Times New Roman" w:hAnsi="Times New Roman"/>
          <w:sz w:val="17"/>
          <w:szCs w:val="17"/>
          <w:color w:val="auto"/>
        </w:rPr>
      </w:pPr>
    </w:p>
    <w:p>
      <w:pPr>
        <w:ind w:left="1220" w:right="1239" w:firstLine="1013"/>
        <w:spacing w:after="0" w:line="236" w:lineRule="auto"/>
        <w:tabs>
          <w:tab w:leader="none" w:pos="2592"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Transactions</w:t>
      </w:r>
      <w:r>
        <w:rPr>
          <w:rFonts w:ascii="Times New Roman" w:cs="Times New Roman" w:eastAsia="Times New Roman" w:hAnsi="Times New Roman"/>
          <w:sz w:val="17"/>
          <w:szCs w:val="17"/>
          <w:color w:val="auto"/>
        </w:rPr>
        <w:t>. The effective date of a merger or consolidation of the Company with any other entity, other than a merger or consolidation which would result in the voting securities of the Company outstanding immediately prior to such merger or consolidation continuing to represent (either by remaining outstanding or by being converted into voting securities of the surviving or successor entity) more than 50% of the combined voting power of the voting securities of the surviving or successor entity outstanding immediately after such merger or consolidation and with the power to elect at least a majority of the board of directors or other governing body of such surviving or successor entity;</w:t>
      </w:r>
    </w:p>
    <w:p>
      <w:pPr>
        <w:spacing w:after="0" w:line="144" w:lineRule="exact"/>
        <w:rPr>
          <w:rFonts w:ascii="Times New Roman" w:cs="Times New Roman" w:eastAsia="Times New Roman" w:hAnsi="Times New Roman"/>
          <w:sz w:val="17"/>
          <w:szCs w:val="17"/>
          <w:color w:val="auto"/>
        </w:rPr>
      </w:pPr>
    </w:p>
    <w:p>
      <w:pPr>
        <w:ind w:left="1220" w:right="1479" w:firstLine="1013"/>
        <w:spacing w:after="0" w:line="241" w:lineRule="auto"/>
        <w:tabs>
          <w:tab w:leader="none" w:pos="2592" w:val="left"/>
        </w:tabs>
        <w:numPr>
          <w:ilvl w:val="0"/>
          <w:numId w:val="4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Liquidation</w:t>
      </w:r>
      <w:r>
        <w:rPr>
          <w:rFonts w:ascii="Times New Roman" w:cs="Times New Roman" w:eastAsia="Times New Roman" w:hAnsi="Times New Roman"/>
          <w:sz w:val="17"/>
          <w:szCs w:val="17"/>
          <w:color w:val="auto"/>
        </w:rPr>
        <w:t>. The approval by the stockholders of the Company of a complete liquidation of the Company or an agreement for the sale, lease, exchange or other transfer by the Company, in one or a series of related transactions, of all or substantially all of the Company’s assets; and</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17" w:name="page518"/>
    <w:bookmarkEnd w:id="517"/>
    <w:p>
      <w:pPr>
        <w:jc w:val="both"/>
        <w:ind w:left="1220" w:right="1339" w:firstLine="1013"/>
        <w:spacing w:after="0" w:line="241" w:lineRule="auto"/>
        <w:tabs>
          <w:tab w:leader="none" w:pos="2592" w:val="left"/>
        </w:tabs>
        <w:numPr>
          <w:ilvl w:val="0"/>
          <w:numId w:val="4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Events</w:t>
      </w:r>
      <w:r>
        <w:rPr>
          <w:rFonts w:ascii="Times New Roman" w:cs="Times New Roman" w:eastAsia="Times New Roman" w:hAnsi="Times New Roman"/>
          <w:sz w:val="17"/>
          <w:szCs w:val="17"/>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140" w:lineRule="exact"/>
        <w:rPr>
          <w:sz w:val="20"/>
          <w:szCs w:val="20"/>
          <w:color w:val="auto"/>
        </w:rPr>
      </w:pPr>
    </w:p>
    <w:p>
      <w:pPr>
        <w:ind w:left="1220" w:right="1519" w:firstLine="1013"/>
        <w:spacing w:after="0" w:line="241" w:lineRule="auto"/>
        <w:tabs>
          <w:tab w:leader="none" w:pos="2592"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Corporate Status</w:t>
      </w:r>
      <w:r>
        <w:rPr>
          <w:rFonts w:ascii="Times New Roman" w:cs="Times New Roman" w:eastAsia="Times New Roman" w:hAnsi="Times New Roman"/>
          <w:sz w:val="17"/>
          <w:szCs w:val="17"/>
          <w:color w:val="auto"/>
        </w:rPr>
        <w:t>” describes the status of a person as a current or former [director or] officer of the Company or current or former director, manager, partner, officer, employee, agent or trustee of any other Enterprise which such person is or was serving at the request of the Company.</w:t>
      </w:r>
    </w:p>
    <w:p>
      <w:pPr>
        <w:spacing w:after="0" w:line="139" w:lineRule="exact"/>
        <w:rPr>
          <w:rFonts w:ascii="Times New Roman" w:cs="Times New Roman" w:eastAsia="Times New Roman" w:hAnsi="Times New Roman"/>
          <w:sz w:val="17"/>
          <w:szCs w:val="17"/>
          <w:color w:val="auto"/>
        </w:rPr>
      </w:pPr>
    </w:p>
    <w:p>
      <w:pPr>
        <w:ind w:left="1220" w:right="1399" w:firstLine="1013"/>
        <w:spacing w:after="0" w:line="238" w:lineRule="auto"/>
        <w:tabs>
          <w:tab w:leader="none" w:pos="2592"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Enforcement Expenses</w:t>
      </w:r>
      <w:r>
        <w:rPr>
          <w:rFonts w:ascii="Times New Roman" w:cs="Times New Roman" w:eastAsia="Times New Roman" w:hAnsi="Times New Roman"/>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an action to enforce indemnification or advancement rights, or an appeal from such action. Expenses, however, shall not include fees, salaries, wages or benefits owed to Indemnitee.</w:t>
      </w:r>
    </w:p>
    <w:p>
      <w:pPr>
        <w:spacing w:after="0" w:line="140" w:lineRule="exact"/>
        <w:rPr>
          <w:rFonts w:ascii="Times New Roman" w:cs="Times New Roman" w:eastAsia="Times New Roman" w:hAnsi="Times New Roman"/>
          <w:sz w:val="17"/>
          <w:szCs w:val="17"/>
          <w:color w:val="auto"/>
        </w:rPr>
      </w:pPr>
    </w:p>
    <w:p>
      <w:pPr>
        <w:ind w:left="1220" w:right="1379" w:firstLine="1013"/>
        <w:spacing w:after="0" w:line="241" w:lineRule="auto"/>
        <w:tabs>
          <w:tab w:leader="none" w:pos="2592"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Enterprise</w:t>
      </w:r>
      <w:r>
        <w:rPr>
          <w:rFonts w:ascii="Times New Roman" w:cs="Times New Roman" w:eastAsia="Times New Roman" w:hAnsi="Times New Roman"/>
          <w:sz w:val="17"/>
          <w:szCs w:val="17"/>
          <w:color w:val="auto"/>
        </w:rPr>
        <w:t>” shall mean any corporation (other than the Company), partnership, joint venture, trust, employee benefit plan, limited liability company, or other legal entity of which Indemnitee is or was serving at the request of the Company as a director, manager, partner, officer, employee, agent or trustee.</w:t>
      </w:r>
    </w:p>
    <w:p>
      <w:pPr>
        <w:spacing w:after="0" w:line="139" w:lineRule="exact"/>
        <w:rPr>
          <w:rFonts w:ascii="Times New Roman" w:cs="Times New Roman" w:eastAsia="Times New Roman" w:hAnsi="Times New Roman"/>
          <w:sz w:val="17"/>
          <w:szCs w:val="17"/>
          <w:color w:val="auto"/>
        </w:rPr>
      </w:pPr>
    </w:p>
    <w:p>
      <w:pPr>
        <w:ind w:left="1220" w:right="1319" w:firstLine="1013"/>
        <w:spacing w:after="0" w:line="236" w:lineRule="auto"/>
        <w:tabs>
          <w:tab w:leader="none" w:pos="2592"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shall include all reasonable attorneys’ fees, court costs, transcript costs, fees of experts, travel expenses, duplicating costs, printing and binding costs, telephone charges, postage, delivery service fees, and all other out-of-pocket disbursements or expenses of the types customarily incurred in connection with prosecuting, defending, preparing to prosecute or defend, investigating, being or preparing to be a witness in, or otherwise participating in, a Proceeding or an appeal resulting from a Proceeding. Expenses, however, shall not include amounts paid in settlement by Indemnitee, the amount of judgments or fines against Indemnitee or fees, salaries, wages or benefits owed to Indemnitee.</w:t>
      </w:r>
    </w:p>
    <w:p>
      <w:pPr>
        <w:spacing w:after="0" w:line="144" w:lineRule="exact"/>
        <w:rPr>
          <w:rFonts w:ascii="Times New Roman" w:cs="Times New Roman" w:eastAsia="Times New Roman" w:hAnsi="Times New Roman"/>
          <w:sz w:val="17"/>
          <w:szCs w:val="17"/>
          <w:color w:val="auto"/>
        </w:rPr>
      </w:pPr>
    </w:p>
    <w:p>
      <w:pPr>
        <w:ind w:left="1220" w:right="1279" w:firstLine="1013"/>
        <w:spacing w:after="0" w:line="235" w:lineRule="auto"/>
        <w:tabs>
          <w:tab w:leader="none" w:pos="2592" w:val="left"/>
        </w:tabs>
        <w:numPr>
          <w:ilvl w:val="0"/>
          <w:numId w:val="4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Counsel</w:t>
      </w:r>
      <w:r>
        <w:rPr>
          <w:rFonts w:ascii="Times New Roman" w:cs="Times New Roman" w:eastAsia="Times New Roman" w:hAnsi="Times New Roman"/>
          <w:sz w:val="17"/>
          <w:szCs w:val="17"/>
          <w:color w:val="auto"/>
        </w:rPr>
        <w:t>” means a law firm, or a partner (or, if applicable, member or shareholder) of such a law firm, that is experienced in matters of Delaware corporation law and neither presently is, nor in the past five (5) years has been, retained to represent: (i) the Company, any subsidiary of the Company, any Enterprise or Indemnitee in any matter material to any such party;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and expenses of the Independent Counsel referred to above and to fully indemnify such counsel against any and all expenses, claims, liabilities and damages arising out of or relating to this Agreement or its engagement pursuant hereto.</w:t>
      </w:r>
    </w:p>
    <w:p>
      <w:pPr>
        <w:spacing w:after="0" w:line="141" w:lineRule="exact"/>
        <w:rPr>
          <w:rFonts w:ascii="Times New Roman" w:cs="Times New Roman" w:eastAsia="Times New Roman" w:hAnsi="Times New Roman"/>
          <w:sz w:val="17"/>
          <w:szCs w:val="17"/>
          <w:color w:val="auto"/>
        </w:rPr>
      </w:pPr>
    </w:p>
    <w:p>
      <w:pPr>
        <w:ind w:left="1220" w:right="1319" w:firstLine="1013"/>
        <w:spacing w:after="0" w:line="268" w:lineRule="auto"/>
        <w:tabs>
          <w:tab w:leader="none" w:pos="2592" w:val="left"/>
        </w:tabs>
        <w:numPr>
          <w:ilvl w:val="0"/>
          <w:numId w:val="44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Person</w:t>
      </w:r>
      <w:r>
        <w:rPr>
          <w:rFonts w:ascii="Times New Roman" w:cs="Times New Roman" w:eastAsia="Times New Roman" w:hAnsi="Times New Roman"/>
          <w:sz w:val="16"/>
          <w:szCs w:val="16"/>
          <w:color w:val="auto"/>
        </w:rPr>
        <w:t>” shall mean (i) an individual, a corporation, a partnership, a limited liability company, an association, a joint stock company, a trust, a business trust, a government or political subdivision, any unincorporated organization or any other association or</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18" w:name="page519"/>
    <w:bookmarkEnd w:id="518"/>
    <w:p>
      <w:pPr>
        <w:ind w:left="1220" w:right="1379"/>
        <w:spacing w:after="0" w:line="259" w:lineRule="auto"/>
        <w:rPr>
          <w:sz w:val="20"/>
          <w:szCs w:val="20"/>
          <w:color w:val="auto"/>
        </w:rPr>
      </w:pPr>
      <w:r>
        <w:rPr>
          <w:rFonts w:ascii="Times New Roman" w:cs="Times New Roman" w:eastAsia="Times New Roman" w:hAnsi="Times New Roman"/>
          <w:sz w:val="17"/>
          <w:szCs w:val="17"/>
          <w:color w:val="auto"/>
        </w:rPr>
        <w:t>entity including any successor (by merger or otherwise) thereof or thereto, and (ii) a “group” as that term is used for purposes of Section 13(d)(3) of the Exchange Act.</w:t>
      </w:r>
    </w:p>
    <w:p>
      <w:pPr>
        <w:spacing w:after="0" w:line="125" w:lineRule="exact"/>
        <w:rPr>
          <w:sz w:val="20"/>
          <w:szCs w:val="20"/>
          <w:color w:val="auto"/>
        </w:rPr>
      </w:pPr>
    </w:p>
    <w:p>
      <w:pPr>
        <w:ind w:left="1220" w:right="1299" w:firstLine="1013"/>
        <w:spacing w:after="0" w:line="234" w:lineRule="auto"/>
        <w:tabs>
          <w:tab w:leader="none" w:pos="2592" w:val="left"/>
        </w:tabs>
        <w:numPr>
          <w:ilvl w:val="0"/>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“Proceeding” shall include any threatened, pending or completed action, suit, arbitration, alternate dispute resolution mechanism, investigation, inquiry, administrative hearing or any other actual, threatened or completed proceeding, whether brought in the right of the Company or otherwise and whether of a civil, criminal, administrative, regulatory or investigative nature, and whether formal or informal, in which Indemnitee was, is or will be involved as a party or otherwise by reason of the fact that Indemnitee is or was [a director or] an officer of the Company or is or was serving at the request of the Company as a director, manager, partner, officer, employee, agent or trustee of any Enterprise or by reason of any action taken by Indemnitee or of any action taken on his or her part while acting as [a director or] an officer of the Company or while serving at the request of the Company as a director, manager, partner, officer, employee, agent or trustee of any Enterprise, in each case whether or not serving in such capacity at the time any liability or expense is incurred for which indemnification, reimbursement or advancement of expenses can be provided under this Agreement; provided, however, that the term “Proceeding” shall not include any action, suit or arbitration, or part thereof, initiated by Indemnitee to enforce Indemnitee’s rights under this Agreement as provided for in Section 12(a) of this Agreement.</w:t>
      </w:r>
    </w:p>
    <w:p>
      <w:pPr>
        <w:spacing w:after="0" w:line="146" w:lineRule="exact"/>
        <w:rPr>
          <w:sz w:val="20"/>
          <w:szCs w:val="20"/>
          <w:color w:val="auto"/>
        </w:rPr>
      </w:pPr>
    </w:p>
    <w:p>
      <w:pPr>
        <w:ind w:left="1220" w:right="1239" w:firstLine="505"/>
        <w:spacing w:after="0" w:line="235" w:lineRule="auto"/>
        <w:rPr>
          <w:sz w:val="20"/>
          <w:szCs w:val="20"/>
          <w:color w:val="auto"/>
        </w:rPr>
      </w:pPr>
      <w:r>
        <w:rPr>
          <w:rFonts w:ascii="Times New Roman" w:cs="Times New Roman" w:eastAsia="Times New Roman" w:hAnsi="Times New Roman"/>
          <w:sz w:val="17"/>
          <w:szCs w:val="17"/>
          <w:color w:val="auto"/>
        </w:rPr>
        <w:t xml:space="preserve">Section 3 </w:t>
      </w:r>
      <w:r>
        <w:rPr>
          <w:rFonts w:ascii="Times New Roman" w:cs="Times New Roman" w:eastAsia="Times New Roman" w:hAnsi="Times New Roman"/>
          <w:sz w:val="17"/>
          <w:szCs w:val="17"/>
          <w:u w:val="single" w:color="auto"/>
          <w:color w:val="auto"/>
        </w:rPr>
        <w:t>Indemnity in Third-Party Proceedings</w:t>
      </w:r>
      <w:r>
        <w:rPr>
          <w:rFonts w:ascii="Times New Roman" w:cs="Times New Roman" w:eastAsia="Times New Roman" w:hAnsi="Times New Roman"/>
          <w:sz w:val="17"/>
          <w:szCs w:val="17"/>
          <w:color w:val="auto"/>
        </w:rPr>
        <w:t>. The Company shall indemnify Indemnitee to the extent set forth in this Section 3 if Indemnitee is, or is threatened to be made, a party to or a participant in any Proceeding, other than a Proceeding by or in the right of the Company to procure a judgment in its favor. Pursuant to this Section 3, Indemnitee shall be indemnified against all Expenses, judgments, fines, penalties, excise taxes,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w:t>
      </w:r>
    </w:p>
    <w:p>
      <w:pPr>
        <w:spacing w:after="0" w:line="146" w:lineRule="exact"/>
        <w:rPr>
          <w:sz w:val="20"/>
          <w:szCs w:val="20"/>
          <w:color w:val="auto"/>
        </w:rPr>
      </w:pPr>
    </w:p>
    <w:p>
      <w:pPr>
        <w:ind w:left="1220" w:right="1239" w:firstLine="505"/>
        <w:spacing w:after="0" w:line="234"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Indemnity in Proceedings by or in the Right of the Company</w:t>
      </w:r>
      <w:r>
        <w:rPr>
          <w:rFonts w:ascii="Times New Roman" w:cs="Times New Roman" w:eastAsia="Times New Roman" w:hAnsi="Times New Roman"/>
          <w:sz w:val="17"/>
          <w:szCs w:val="17"/>
          <w:color w:val="auto"/>
        </w:rPr>
        <w:t>. The Company shall indemnify Indemnitee to the extent set forth in this Section 4 if Indemnitee is, or is threatened to be made, a party to or a participant in any Proceeding by or in the right of the Company to procure a judgment in its favor. Pursuant to this Section 4, Indemnitee shall be indemnified against all Expenses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4 in respect of any claim, issue or matter as to which Indemnitee shall have been finally adjudged by a court to be liable to the Company, unless and only to the extent that the Delaware Court of Chancery (the “Delaware Court”) shall determine upon application that, despite the adjudication of liability but in view of all the circumstances of the case, Indemnitee is fairly and reasonably entitled to indemnification for such expenses as the Delaware Court shall deem proper.</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519" w:name="page520"/>
    <w:bookmarkEnd w:id="519"/>
    <w:p>
      <w:pPr>
        <w:ind w:left="1220" w:right="1359" w:firstLine="505"/>
        <w:spacing w:after="0" w:line="235"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Indemnification for Expenses of a Party Who is Wholly or Partly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Successful</w:t>
      </w:r>
      <w:r>
        <w:rPr>
          <w:rFonts w:ascii="Times New Roman" w:cs="Times New Roman" w:eastAsia="Times New Roman" w:hAnsi="Times New Roman"/>
          <w:sz w:val="17"/>
          <w:szCs w:val="17"/>
          <w:color w:val="auto"/>
        </w:rPr>
        <w:t>. Notwithstanding any other provisions of this Agreement and except as provided in Section 7, to the extent that Indemnitee is a party to or a participant in any Proceeding and is successful in such Proceeding or in defense of any claim, issue or matter therein, the Company shall indemnify Indemnitee against all Expenses actually and reasonably incurred by him or her in connection therewith. If Indemnitee is not wholly successful in such Proceeding but is successful as to one or more but less than all claims, issues or matters in such Proceeding, the Company shall indemnify Indemnitee against all Expenses actually and reasonably incurred by Indemnitee or on his or her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142" w:lineRule="exact"/>
        <w:rPr>
          <w:sz w:val="20"/>
          <w:szCs w:val="20"/>
          <w:color w:val="auto"/>
        </w:rPr>
      </w:pPr>
    </w:p>
    <w:p>
      <w:pPr>
        <w:ind w:left="1220" w:right="1319" w:firstLine="505"/>
        <w:spacing w:after="0" w:line="237" w:lineRule="auto"/>
        <w:rPr>
          <w:sz w:val="20"/>
          <w:szCs w:val="20"/>
          <w:color w:val="auto"/>
        </w:rPr>
      </w:pPr>
      <w:r>
        <w:rPr>
          <w:rFonts w:ascii="Times New Roman" w:cs="Times New Roman" w:eastAsia="Times New Roman" w:hAnsi="Times New Roman"/>
          <w:sz w:val="17"/>
          <w:szCs w:val="17"/>
          <w:color w:val="auto"/>
        </w:rPr>
        <w:t xml:space="preserve">Section 6 </w:t>
      </w:r>
      <w:r>
        <w:rPr>
          <w:rFonts w:ascii="Times New Roman" w:cs="Times New Roman" w:eastAsia="Times New Roman" w:hAnsi="Times New Roman"/>
          <w:sz w:val="17"/>
          <w:szCs w:val="17"/>
          <w:u w:val="single" w:color="auto"/>
          <w:color w:val="auto"/>
        </w:rPr>
        <w:t>Reimbursement for Expenses of a Witness or in Response to a Subpoena</w:t>
      </w:r>
      <w:r>
        <w:rPr>
          <w:rFonts w:ascii="Times New Roman" w:cs="Times New Roman" w:eastAsia="Times New Roman" w:hAnsi="Times New Roman"/>
          <w:sz w:val="17"/>
          <w:szCs w:val="17"/>
          <w:color w:val="auto"/>
        </w:rPr>
        <w:t>. Notwithstanding any other provision of this Agreement, to the extent that Indemnitee, by reason of his or her Corporate Status, (i) is a witness in any Proceeding to which Indemnitee is not a party and is not threatened to be made a party or (ii) receives a subpoena with respect to any Proceeding to which Indemnitee is not a party and is not threatened to be made a party, the Company shall reimburse Indemnitee for all Expenses actually and reasonably incurred by him or her or on his or her behalf in connection therewith.</w:t>
      </w:r>
    </w:p>
    <w:p>
      <w:pPr>
        <w:spacing w:after="0" w:line="141" w:lineRule="exact"/>
        <w:rPr>
          <w:sz w:val="20"/>
          <w:szCs w:val="20"/>
          <w:color w:val="auto"/>
        </w:rPr>
      </w:pPr>
    </w:p>
    <w:p>
      <w:pPr>
        <w:ind w:left="1220" w:right="1799" w:firstLine="505"/>
        <w:spacing w:after="0" w:line="259" w:lineRule="auto"/>
        <w:rPr>
          <w:sz w:val="20"/>
          <w:szCs w:val="20"/>
          <w:color w:val="auto"/>
        </w:rPr>
      </w:pPr>
      <w:r>
        <w:rPr>
          <w:rFonts w:ascii="Times New Roman" w:cs="Times New Roman" w:eastAsia="Times New Roman" w:hAnsi="Times New Roman"/>
          <w:sz w:val="17"/>
          <w:szCs w:val="17"/>
          <w:color w:val="auto"/>
        </w:rPr>
        <w:t xml:space="preserve">Section 7 </w:t>
      </w:r>
      <w:r>
        <w:rPr>
          <w:rFonts w:ascii="Times New Roman" w:cs="Times New Roman" w:eastAsia="Times New Roman" w:hAnsi="Times New Roman"/>
          <w:sz w:val="17"/>
          <w:szCs w:val="17"/>
          <w:u w:val="single" w:color="auto"/>
          <w:color w:val="auto"/>
        </w:rPr>
        <w:t>Exclusions</w:t>
      </w:r>
      <w:r>
        <w:rPr>
          <w:rFonts w:ascii="Times New Roman" w:cs="Times New Roman" w:eastAsia="Times New Roman" w:hAnsi="Times New Roman"/>
          <w:sz w:val="17"/>
          <w:szCs w:val="17"/>
          <w:color w:val="auto"/>
        </w:rPr>
        <w:t>. Notwithstanding any provision in this Agreement to the contrary, the Company shall not be obligated under this Agreement:</w:t>
      </w:r>
    </w:p>
    <w:p>
      <w:pPr>
        <w:spacing w:after="0" w:line="125" w:lineRule="exact"/>
        <w:rPr>
          <w:sz w:val="20"/>
          <w:szCs w:val="20"/>
          <w:color w:val="auto"/>
        </w:rPr>
      </w:pPr>
    </w:p>
    <w:p>
      <w:pPr>
        <w:jc w:val="both"/>
        <w:ind w:left="1220" w:right="1399" w:firstLine="1013"/>
        <w:spacing w:after="0" w:line="239" w:lineRule="auto"/>
        <w:tabs>
          <w:tab w:leader="none" w:pos="2592"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for amounts otherwise indemnifiable hereunder (or for which advancement is provided hereunder) if and to the extent that Indemnitee has otherwise actually received such amounts under any insurance policy, contract, agreement or otherwise; provided that the foregoing shall not apply to any personal or umbrella liability insurance maintained by Indemnitee;</w:t>
      </w:r>
    </w:p>
    <w:p>
      <w:pPr>
        <w:spacing w:after="0" w:line="140" w:lineRule="exact"/>
        <w:rPr>
          <w:rFonts w:ascii="Times New Roman" w:cs="Times New Roman" w:eastAsia="Times New Roman" w:hAnsi="Times New Roman"/>
          <w:sz w:val="17"/>
          <w:szCs w:val="17"/>
          <w:color w:val="auto"/>
        </w:rPr>
      </w:pPr>
    </w:p>
    <w:p>
      <w:pPr>
        <w:ind w:left="1220" w:right="1259" w:firstLine="1013"/>
        <w:spacing w:after="0" w:line="239" w:lineRule="auto"/>
        <w:tabs>
          <w:tab w:leader="none" w:pos="2592"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for an accounting of profits made from the purchase and sale (or sale and purchase) by Indemnitee of securities of the Company within the meaning of Section 16(b) of the Exchange Act or similar provisions of state statutory law or common law, or from the purchase or sale by Indemnitee of such securities in violation of Section 306 of the Sarbanes-Oxley Act of 2002 (“SOX”);</w:t>
      </w:r>
    </w:p>
    <w:p>
      <w:pPr>
        <w:spacing w:after="0" w:line="140" w:lineRule="exact"/>
        <w:rPr>
          <w:rFonts w:ascii="Times New Roman" w:cs="Times New Roman" w:eastAsia="Times New Roman" w:hAnsi="Times New Roman"/>
          <w:sz w:val="17"/>
          <w:szCs w:val="17"/>
          <w:color w:val="auto"/>
        </w:rPr>
      </w:pPr>
    </w:p>
    <w:p>
      <w:pPr>
        <w:ind w:left="1220" w:right="1339" w:firstLine="1013"/>
        <w:spacing w:after="0" w:line="237" w:lineRule="auto"/>
        <w:tabs>
          <w:tab w:leader="none" w:pos="2592"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indemnify for any reimbursement of, or repayment to, the Company by Indemnitee of (i) any bonus or other incentive-based or equity-based compensation or of any profits realized by Indemnitee from the sale of securities of the Company pursuant to the terms of (A) Section 304 of SOX, (B) Exchange Act Rule 10D-1 or (C) any formal policy of the Company adopted by the Board (or a committee thereof) or (ii) any other remuneration paid to Indemnitee if it shall be determined by a final judgment or other final adjudication that payment of such remuneration was or would have been in violation of law;</w:t>
      </w:r>
    </w:p>
    <w:p>
      <w:pPr>
        <w:spacing w:after="0" w:line="141" w:lineRule="exact"/>
        <w:rPr>
          <w:rFonts w:ascii="Times New Roman" w:cs="Times New Roman" w:eastAsia="Times New Roman" w:hAnsi="Times New Roman"/>
          <w:sz w:val="17"/>
          <w:szCs w:val="17"/>
          <w:color w:val="auto"/>
        </w:rPr>
      </w:pPr>
    </w:p>
    <w:p>
      <w:pPr>
        <w:ind w:left="1220" w:right="1319" w:firstLine="1013"/>
        <w:spacing w:after="0" w:line="268" w:lineRule="auto"/>
        <w:tabs>
          <w:tab w:leader="none" w:pos="2592" w:val="left"/>
        </w:tabs>
        <w:numPr>
          <w:ilvl w:val="0"/>
          <w:numId w:val="4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indemnify with respect to any Proceeding, or part thereof, brought by Indemnitee against the Company, any legal entity which it controls, any director or officer thereof or any third party, unless (i) the Board has consented to the initiation of such Proceeding</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520" w:name="page521"/>
    <w:bookmarkEnd w:id="520"/>
    <w:p>
      <w:pPr>
        <w:ind w:left="1220" w:right="1279"/>
        <w:spacing w:after="0" w:line="237" w:lineRule="auto"/>
        <w:rPr>
          <w:sz w:val="20"/>
          <w:szCs w:val="20"/>
          <w:color w:val="auto"/>
        </w:rPr>
      </w:pPr>
      <w:r>
        <w:rPr>
          <w:rFonts w:ascii="Times New Roman" w:cs="Times New Roman" w:eastAsia="Times New Roman" w:hAnsi="Times New Roman"/>
          <w:sz w:val="17"/>
          <w:szCs w:val="17"/>
          <w:color w:val="auto"/>
        </w:rPr>
        <w:t>or part thereof and (ii) the Company provides the indemnification, in its sole discretion, pursuant to the powers vested in the Company under applicable law; provided, however, that this Section 7(d) shall not apply to (A) counterclaims or affirmative defenses asserted by Indemnitee in an action brought against Indemnitee or (B) any action brought by Indemnitee for indemnification or advancement from the Company under this Agreement or under any directors’ and officers’ liability insurance policies maintained by the Company in the suit for which indemnification or advancement is being sought as described in Section 12; or</w:t>
      </w:r>
    </w:p>
    <w:p>
      <w:pPr>
        <w:spacing w:after="0" w:line="141" w:lineRule="exact"/>
        <w:rPr>
          <w:sz w:val="20"/>
          <w:szCs w:val="20"/>
          <w:color w:val="auto"/>
        </w:rPr>
      </w:pPr>
    </w:p>
    <w:p>
      <w:pPr>
        <w:ind w:left="1220" w:right="1239" w:firstLine="1013"/>
        <w:spacing w:after="0" w:line="246" w:lineRule="auto"/>
        <w:tabs>
          <w:tab w:leader="none" w:pos="2592" w:val="left"/>
        </w:tabs>
        <w:numPr>
          <w:ilvl w:val="0"/>
          <w:numId w:val="4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provide any indemnification or advancement of expenses that is prohibited by applicable law (as such law exists at the time payment would otherwise be required pursuant to this Agreement).</w:t>
      </w:r>
    </w:p>
    <w:p>
      <w:pPr>
        <w:spacing w:after="0" w:line="135" w:lineRule="exact"/>
        <w:rPr>
          <w:sz w:val="20"/>
          <w:szCs w:val="20"/>
          <w:color w:val="auto"/>
        </w:rPr>
      </w:pPr>
    </w:p>
    <w:p>
      <w:pPr>
        <w:ind w:left="1220" w:right="1239" w:firstLine="505"/>
        <w:spacing w:after="0" w:line="233" w:lineRule="auto"/>
        <w:rPr>
          <w:sz w:val="20"/>
          <w:szCs w:val="20"/>
          <w:color w:val="auto"/>
        </w:rPr>
      </w:pPr>
      <w:r>
        <w:rPr>
          <w:rFonts w:ascii="Times New Roman" w:cs="Times New Roman" w:eastAsia="Times New Roman" w:hAnsi="Times New Roman"/>
          <w:sz w:val="17"/>
          <w:szCs w:val="17"/>
          <w:color w:val="auto"/>
        </w:rPr>
        <w:t xml:space="preserve">Section 8 </w:t>
      </w:r>
      <w:r>
        <w:rPr>
          <w:rFonts w:ascii="Times New Roman" w:cs="Times New Roman" w:eastAsia="Times New Roman" w:hAnsi="Times New Roman"/>
          <w:sz w:val="17"/>
          <w:szCs w:val="17"/>
          <w:u w:val="single" w:color="auto"/>
          <w:color w:val="auto"/>
        </w:rPr>
        <w:t>Advancement of Expenses</w:t>
      </w:r>
      <w:r>
        <w:rPr>
          <w:rFonts w:ascii="Times New Roman" w:cs="Times New Roman" w:eastAsia="Times New Roman" w:hAnsi="Times New Roman"/>
          <w:sz w:val="17"/>
          <w:szCs w:val="17"/>
          <w:color w:val="auto"/>
        </w:rPr>
        <w:t>. Subject to Section 9(b), the Company shall advance the Expenses incurred by Indemnitee in connection with any Proceeding, and such advancement shall be made within thirty (30) days after the receipt by the Company of a statement or statements requesting such advances (including any invoices received by Indemnitee, which such invoices may be redacted as necessary to avoid the waiver of any privilege accorded by applicable law) from time to time, whether prior to or after final disposition of any Proceeding. Advances shall be unsecured and interest free. Advances shall be made without regard to Indemnitee’s (i) ability to repay the expenses, (ii) ultimate entitlement to indemnification under the other provisions of this Agreement and (iii) entitlement to and availability of insurance coverage, including advancement, payment or reimbursement of defense costs, expenses or covered loss under the provisions of any applicable insurance policy (including, without limitation, whether such advancement, payment or reimbursement is withheld, conditioned or delayed by the insurer(s)). Indemnitee shall qualify for advances upon the execution and delivery to the Company of this Agreement which shall constitute an undertaking providing that Indemnitee undertakes to the fullest extent required by law to repay the advance if and to the extent that it is ultimately determined by a court of competent jurisdiction in a final judgment, not subject to appeal, that Indemnitee is not entitled to be indemnified by the Company. No other form of undertaking shall be required. The right to advances under this paragraph shall in all events continue until final disposition of any Proceeding, including any appeal therein. Nothing in this Section 8 shall limit Indemnitee’s right to advancement pursuant to Section 12(e) of this Agreement.</w:t>
      </w:r>
    </w:p>
    <w:p>
      <w:pPr>
        <w:spacing w:after="0" w:line="156" w:lineRule="exact"/>
        <w:rPr>
          <w:sz w:val="20"/>
          <w:szCs w:val="20"/>
          <w:color w:val="auto"/>
        </w:rPr>
      </w:pPr>
    </w:p>
    <w:p>
      <w:pPr>
        <w:ind w:left="1720"/>
        <w:spacing w:after="0"/>
        <w:tabs>
          <w:tab w:leader="none" w:pos="2600" w:val="left"/>
        </w:tabs>
        <w:rPr>
          <w:sz w:val="20"/>
          <w:szCs w:val="20"/>
          <w:color w:val="auto"/>
        </w:rPr>
      </w:pPr>
      <w:r>
        <w:rPr>
          <w:rFonts w:ascii="Times New Roman" w:cs="Times New Roman" w:eastAsia="Times New Roman" w:hAnsi="Times New Roman"/>
          <w:sz w:val="17"/>
          <w:szCs w:val="17"/>
          <w:color w:val="auto"/>
        </w:rPr>
        <w:t>Section 9</w:t>
      </w:r>
      <w:r>
        <w:rPr>
          <w:sz w:val="20"/>
          <w:szCs w:val="20"/>
          <w:color w:val="auto"/>
        </w:rPr>
        <w:tab/>
      </w:r>
      <w:r>
        <w:rPr>
          <w:rFonts w:ascii="Times New Roman" w:cs="Times New Roman" w:eastAsia="Times New Roman" w:hAnsi="Times New Roman"/>
          <w:sz w:val="16"/>
          <w:szCs w:val="16"/>
          <w:u w:val="single" w:color="auto"/>
          <w:color w:val="auto"/>
        </w:rPr>
        <w:t>Procedure for Notification and Defense of Claim</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1220" w:right="1299" w:firstLine="1013"/>
        <w:spacing w:after="0" w:line="241" w:lineRule="auto"/>
        <w:tabs>
          <w:tab w:leader="none" w:pos="2592" w:val="left"/>
        </w:tabs>
        <w:numPr>
          <w:ilvl w:val="0"/>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obtain indemnification under this Agreement, Indemnitee shall submit to the Company a written request therefor specifying the basis for the claim, the amounts for which Indemnitee is seeking payment under this Agreement, and all documentation related thereto as reasonably requested by the Company.</w:t>
      </w:r>
    </w:p>
    <w:p>
      <w:pPr>
        <w:spacing w:after="0" w:line="139" w:lineRule="exact"/>
        <w:rPr>
          <w:rFonts w:ascii="Times New Roman" w:cs="Times New Roman" w:eastAsia="Times New Roman" w:hAnsi="Times New Roman"/>
          <w:sz w:val="17"/>
          <w:szCs w:val="17"/>
          <w:color w:val="auto"/>
        </w:rPr>
      </w:pPr>
    </w:p>
    <w:p>
      <w:pPr>
        <w:ind w:left="1220" w:right="1239" w:firstLine="1013"/>
        <w:spacing w:after="0" w:line="255" w:lineRule="auto"/>
        <w:tabs>
          <w:tab w:leader="none" w:pos="2592" w:val="left"/>
        </w:tabs>
        <w:numPr>
          <w:ilvl w:val="0"/>
          <w:numId w:val="4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event that the Company shall be obligated hereunder to provide indemnification for or make any advancement of Expenses with respect to any Proceeding, the Company shall be entitled to assume the defense of such Proceeding, or any claim, issue or matter therein, with counsel approved by Indemnitee (which approval shall not be unreasonably withheld or delayed) upon the delivery to Indemnitee of written notice of the Company’s election to do so. After delivery of such notice, approval of such counsel by Indemnitee and the retention</w:t>
      </w: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21" w:name="page522"/>
    <w:bookmarkEnd w:id="521"/>
    <w:p>
      <w:pPr>
        <w:ind w:left="1220" w:right="1339"/>
        <w:spacing w:after="0" w:line="235" w:lineRule="auto"/>
        <w:rPr>
          <w:sz w:val="20"/>
          <w:szCs w:val="20"/>
          <w:color w:val="auto"/>
        </w:rPr>
      </w:pPr>
      <w:r>
        <w:rPr>
          <w:rFonts w:ascii="Times New Roman" w:cs="Times New Roman" w:eastAsia="Times New Roman" w:hAnsi="Times New Roman"/>
          <w:sz w:val="17"/>
          <w:szCs w:val="17"/>
          <w:color w:val="auto"/>
        </w:rPr>
        <w:t>of such counsel by the Company, the Company will not be liable to Indemnitee under this Agreement for any fees or expenses of separate counsel subsequently employed by or on behalf of Indemnitee with respect to the same Proceeding; provided that (i) Indemnitee shall have the right to employ separate counsel in any such Proceeding at Indemnitee’s expense and (ii) if (A) the employment of separate counsel by Indemnitee has been previously authorized by the Company, (B) Indemnitee shall have reasonably concluded that there may be a conflict of interest between the Company and Indemnitee in the conduct of such defense, (C) the Company shall not continue to retain such counsel to defend such Proceeding, or (D) a Change in Control shall have occurred, then the fees and expenses actually and reasonably incurred by Indemnitee with respect to his or her separate counsel shall be Expenses hereunder.</w:t>
      </w:r>
    </w:p>
    <w:p>
      <w:pPr>
        <w:spacing w:after="0" w:line="146" w:lineRule="exact"/>
        <w:rPr>
          <w:sz w:val="20"/>
          <w:szCs w:val="20"/>
          <w:color w:val="auto"/>
        </w:rPr>
      </w:pPr>
    </w:p>
    <w:p>
      <w:pPr>
        <w:ind w:left="1220" w:right="1359" w:firstLine="1013"/>
        <w:spacing w:after="0" w:line="246" w:lineRule="auto"/>
        <w:tabs>
          <w:tab w:leader="none" w:pos="2592"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Company does not assume the defense in a Proceeding pursuant to paragraph (b) above, then the Company will be entitled to participate in the Proceeding at its own expense.</w:t>
      </w:r>
    </w:p>
    <w:p>
      <w:pPr>
        <w:spacing w:after="0" w:line="134" w:lineRule="exact"/>
        <w:rPr>
          <w:rFonts w:ascii="Times New Roman" w:cs="Times New Roman" w:eastAsia="Times New Roman" w:hAnsi="Times New Roman"/>
          <w:sz w:val="17"/>
          <w:szCs w:val="17"/>
          <w:color w:val="auto"/>
        </w:rPr>
      </w:pPr>
    </w:p>
    <w:p>
      <w:pPr>
        <w:ind w:left="1220" w:right="1259" w:firstLine="1013"/>
        <w:spacing w:after="0" w:line="234" w:lineRule="auto"/>
        <w:tabs>
          <w:tab w:leader="none" w:pos="2592"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not be liable to indemnify Indemnitee under this Agreement for any amounts paid in settlement of any Proceeding effected without its prior written consent (which consent shall not be unreasonably withheld or delayed). Without limiting the generality of the foregoing, the fact that an insurer under an applicable insurance policy delays or is unwilling to consent to such settlement or is or may be in breach of its obligations under such policy, or the fact that directors’ and officers’ liability insurance is otherwise unavailable or not maintained by the Company, may not be taken into account by the Company in determining whether to provide its consent. The Company shall not, without the prior written consent of Indemnitee (which consent shall not be unreasonably withheld or delayed), enter into any settlement which (i) includes an admission of fault of Indemnitee, any non-monetary remedy imposed on Indemnitee or any monetary damages for which Indemnitee is not wholly and actually indemnified hereunder or (ii) with respect to any Proceeding with respect to which Indemnitee may be or is made a party or may be otherwise entitled to seek indemnification hereunder, does not include the full release of Indemnitee from all liability in respect of such Proceeding.</w:t>
      </w:r>
    </w:p>
    <w:p>
      <w:pPr>
        <w:spacing w:after="0" w:line="148" w:lineRule="exact"/>
        <w:rPr>
          <w:sz w:val="20"/>
          <w:szCs w:val="20"/>
          <w:color w:val="auto"/>
        </w:rPr>
      </w:pPr>
    </w:p>
    <w:p>
      <w:pPr>
        <w:ind w:left="1720"/>
        <w:spacing w:after="0"/>
        <w:tabs>
          <w:tab w:leader="none" w:pos="2680" w:val="left"/>
        </w:tabs>
        <w:rPr>
          <w:sz w:val="20"/>
          <w:szCs w:val="20"/>
          <w:color w:val="auto"/>
        </w:rPr>
      </w:pPr>
      <w:r>
        <w:rPr>
          <w:rFonts w:ascii="Times New Roman" w:cs="Times New Roman" w:eastAsia="Times New Roman" w:hAnsi="Times New Roman"/>
          <w:sz w:val="17"/>
          <w:szCs w:val="17"/>
          <w:color w:val="auto"/>
        </w:rPr>
        <w:t>Section 10</w:t>
      </w:r>
      <w:r>
        <w:rPr>
          <w:sz w:val="20"/>
          <w:szCs w:val="20"/>
          <w:color w:val="auto"/>
        </w:rPr>
        <w:tab/>
      </w:r>
      <w:r>
        <w:rPr>
          <w:rFonts w:ascii="Times New Roman" w:cs="Times New Roman" w:eastAsia="Times New Roman" w:hAnsi="Times New Roman"/>
          <w:sz w:val="16"/>
          <w:szCs w:val="16"/>
          <w:u w:val="single" w:color="auto"/>
          <w:color w:val="auto"/>
        </w:rPr>
        <w:t>Procedure Upon Application for Indemnification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220" w:right="1259" w:firstLine="1013"/>
        <w:spacing w:after="0" w:line="250" w:lineRule="auto"/>
        <w:tabs>
          <w:tab w:leader="none" w:pos="2668" w:val="left"/>
        </w:tabs>
        <w:numPr>
          <w:ilvl w:val="0"/>
          <w:numId w:val="4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Upon written request by Indemnitee for indemnification pursuant to Section 9(a), a determination, if such determination is required by applicable law, with respect to Indemnitee’s entitlement to indemnification hereunder shall be made in the specific case by one of the following methods: (x) if a Change in Control shall have occurred and indemnification is being requested by Indemnitee hereunder in his or her capacity as a director of the Company, by Independent Counsel in a written opinion to the Board; or (y) in any other case, (i) by a majority vote of the disinterested directors, even though less than a quorum; (ii) by a committee of disinterested directors designated by a majority vote of the disinterested directors, even though less than a quorum; or (iii) if there are no disinterested directors or if the disinterested directors so direct, by Independent Counsel in a written opinion to the Board. For purposes hereof, disinterested directors are those members of the Board who are not parties to the action, suit or proceeding in respect of which indemnification is sought. In the case that such determination is made by Independent Counsel, a copy of Independent Counsel’s written opinion shall be delivered to Indemnitee and, if it is so determined that Indemnitee is entitled to indemnification,</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22" w:name="page523"/>
    <w:bookmarkEnd w:id="522"/>
    <w:p>
      <w:pPr>
        <w:ind w:left="1220" w:right="1259"/>
        <w:spacing w:after="0" w:line="234" w:lineRule="auto"/>
        <w:rPr>
          <w:sz w:val="20"/>
          <w:szCs w:val="20"/>
          <w:color w:val="auto"/>
        </w:rPr>
      </w:pPr>
      <w:r>
        <w:rPr>
          <w:rFonts w:ascii="Times New Roman" w:cs="Times New Roman" w:eastAsia="Times New Roman" w:hAnsi="Times New Roman"/>
          <w:sz w:val="17"/>
          <w:szCs w:val="17"/>
          <w:color w:val="auto"/>
        </w:rPr>
        <w:t>payment to Indemnitee shall be made within thirty (30) days after such determination. Indemnitee shall cooperate with the Independent Counsel or the Company, as applicable, in making such determination with respect to Indemnitee’s entitlement to indemnification, including providing to such counsel or the Company, upon reasonable advance request, any documentation or information which is not privileged or otherwise protected from disclosure and which is reasonably available to Indemnitee and reasonably necessary to such determination. The Company shall likewise cooperate with Indemnitee and Independent Counsel, if applicable, in making such determination with respect to Indemnitee’s entitlement to indemnification, including providing to such counsel and Indemnitee, upon reasonable advance request, any documentation or information which is not privileged or otherwise protected from disclosure and which is reasonably available to the Company and reasonably necessary to such determination. Any out-of-pocket costs or expenses (including reasonable attorneys’ fees and disbursements) actually and reasonably incurred by Indemnitee in so cooperating with the Independent Counsel or the Company shall be borne by the Company (irrespective of the determination as to Indemnitee’s entitlement to indemnification) and the Company hereby indemnifies and agrees to hold Indemnitee harmless therefrom.</w:t>
      </w:r>
    </w:p>
    <w:p>
      <w:pPr>
        <w:spacing w:after="0" w:line="146" w:lineRule="exact"/>
        <w:rPr>
          <w:sz w:val="20"/>
          <w:szCs w:val="20"/>
          <w:color w:val="auto"/>
        </w:rPr>
      </w:pPr>
    </w:p>
    <w:p>
      <w:pPr>
        <w:ind w:left="1220" w:right="1239" w:firstLine="1013"/>
        <w:spacing w:after="0" w:line="248" w:lineRule="auto"/>
        <w:tabs>
          <w:tab w:leader="none" w:pos="267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If the determination of entitlement to indemnification is to be made by Independent Counsel pursuant to Section 10(a), the Independent Counsel shall be selected by the Board; </w:t>
      </w:r>
      <w:r>
        <w:rPr>
          <w:rFonts w:ascii="Times New Roman" w:cs="Times New Roman" w:eastAsia="Times New Roman" w:hAnsi="Times New Roman"/>
          <w:sz w:val="16"/>
          <w:szCs w:val="16"/>
          <w:u w:val="single" w:color="auto"/>
          <w:color w:val="auto"/>
        </w:rPr>
        <w:t>provided</w:t>
      </w:r>
      <w:r>
        <w:rPr>
          <w:rFonts w:ascii="Times New Roman" w:cs="Times New Roman" w:eastAsia="Times New Roman" w:hAnsi="Times New Roman"/>
          <w:sz w:val="16"/>
          <w:szCs w:val="16"/>
          <w:color w:val="auto"/>
        </w:rPr>
        <w:t xml:space="preserve"> that, if a Change in Control shall have occurred and indemnification is being requested by Indemnitee hereunder in his or her capacity as a director of the Company, the Independent Counsel shall be selected by Indemnitee. Indemnitee or the Company, as the case may be, may, within ten (10) days after written notice of such selection, deliver to the Company or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the Delaware Court has determined that such objection is without merit. If, within twenty (20) days after the later of (i) submission by Indemnitee of a written request for indemnification pursuant to Section 9(a), and (ii) the final disposition of the Proceeding, including any appeal therein, no Independent Counsel shall have been selected without objection, either Indemnitee or the Company may petition the Delaware Court for resolution of any objection which shall have been made by Indemnitee or the Company to the selection of Independent Counsel and/or for the appointment as Independent Counsel of a Person selected by the court or by such other Person as the court shall designate. The Person with respect to whom all objections are so resolved or the Person so appointed shall act as Independent Counsel under Section 10(a) hereof. Upon the due commencement of any judicial proceeding or arbitration pursuant to Section 12(a) of this Agreement, Independent Counsel shall be discharged and relieved of any further responsibility in such capacity (subject to the applicable standards of professional conduct then prevailing).</w:t>
      </w:r>
    </w:p>
    <w:p>
      <w:pPr>
        <w:spacing w:after="0" w:line="335" w:lineRule="exact"/>
        <w:rPr>
          <w:rFonts w:ascii="Times New Roman" w:cs="Times New Roman" w:eastAsia="Times New Roman" w:hAnsi="Times New Roman"/>
          <w:sz w:val="16"/>
          <w:szCs w:val="16"/>
          <w:color w:val="auto"/>
        </w:rPr>
      </w:pPr>
    </w:p>
    <w:p>
      <w:pPr>
        <w:ind w:left="1220" w:right="1339" w:firstLine="1013"/>
        <w:spacing w:after="0" w:line="261" w:lineRule="auto"/>
        <w:tabs>
          <w:tab w:leader="none" w:pos="2668" w:val="left"/>
        </w:tabs>
        <w:numPr>
          <w:ilvl w:val="0"/>
          <w:numId w:val="4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anything to the contrary contained in this Agreement, the determination of entitlement to indemnification under this Agreement shall be made without regard to the Indemnitee’s entitlement to and availability of insurance coverage, including advancement, payment or reimbursement of defense costs, expenses or covered loss under the</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23" w:name="page524"/>
    <w:bookmarkEnd w:id="523"/>
    <w:p>
      <w:pPr>
        <w:ind w:left="1220" w:right="1359"/>
        <w:spacing w:after="0" w:line="291" w:lineRule="auto"/>
        <w:rPr>
          <w:sz w:val="20"/>
          <w:szCs w:val="20"/>
          <w:color w:val="auto"/>
        </w:rPr>
      </w:pPr>
      <w:r>
        <w:rPr>
          <w:rFonts w:ascii="Times New Roman" w:cs="Times New Roman" w:eastAsia="Times New Roman" w:hAnsi="Times New Roman"/>
          <w:sz w:val="16"/>
          <w:szCs w:val="16"/>
          <w:color w:val="auto"/>
        </w:rPr>
        <w:t>provisions of any applicable insurance policy (including, without limitation, whether such advancement, payment or reimbursement is withheld, conditioned or delayed by the insurer(s)).</w:t>
      </w:r>
    </w:p>
    <w:p>
      <w:pPr>
        <w:spacing w:after="0" w:line="100" w:lineRule="exact"/>
        <w:rPr>
          <w:sz w:val="20"/>
          <w:szCs w:val="20"/>
          <w:color w:val="auto"/>
        </w:rPr>
      </w:pPr>
    </w:p>
    <w:p>
      <w:pPr>
        <w:ind w:left="1720"/>
        <w:spacing w:after="0"/>
        <w:tabs>
          <w:tab w:leader="none" w:pos="2680" w:val="left"/>
        </w:tabs>
        <w:rPr>
          <w:sz w:val="20"/>
          <w:szCs w:val="20"/>
          <w:color w:val="auto"/>
        </w:rPr>
      </w:pPr>
      <w:r>
        <w:rPr>
          <w:rFonts w:ascii="Times New Roman" w:cs="Times New Roman" w:eastAsia="Times New Roman" w:hAnsi="Times New Roman"/>
          <w:sz w:val="17"/>
          <w:szCs w:val="17"/>
          <w:color w:val="auto"/>
        </w:rPr>
        <w:t>Section 11</w:t>
      </w:r>
      <w:r>
        <w:rPr>
          <w:sz w:val="20"/>
          <w:szCs w:val="20"/>
          <w:color w:val="auto"/>
        </w:rPr>
        <w:tab/>
      </w:r>
      <w:r>
        <w:rPr>
          <w:rFonts w:ascii="Times New Roman" w:cs="Times New Roman" w:eastAsia="Times New Roman" w:hAnsi="Times New Roman"/>
          <w:sz w:val="16"/>
          <w:szCs w:val="16"/>
          <w:u w:val="single" w:color="auto"/>
          <w:color w:val="auto"/>
        </w:rPr>
        <w:t>Presumptions and Effect of Certain Proceedings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220" w:right="1319" w:firstLine="1013"/>
        <w:spacing w:after="0" w:line="237" w:lineRule="auto"/>
        <w:tabs>
          <w:tab w:leader="none" w:pos="2668"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in making a determination with respect to entitlement to indemnification hereunder, it shall be presumed that Indemnitee is entitled to indemnification under this Agreement if Indemnitee has submitted a request for indemnification in accordance with Section 9(a) of this Agreement, and the Company shall have the burden of proof and the burden of persuasion by clear and convincing evidence to overcome that presumption in connection with the making of any determination contrary to that presumption.</w:t>
      </w:r>
    </w:p>
    <w:p>
      <w:pPr>
        <w:spacing w:after="0" w:line="141" w:lineRule="exact"/>
        <w:rPr>
          <w:rFonts w:ascii="Times New Roman" w:cs="Times New Roman" w:eastAsia="Times New Roman" w:hAnsi="Times New Roman"/>
          <w:sz w:val="17"/>
          <w:szCs w:val="17"/>
          <w:color w:val="auto"/>
        </w:rPr>
      </w:pPr>
    </w:p>
    <w:p>
      <w:pPr>
        <w:ind w:left="1220" w:right="1299" w:firstLine="1013"/>
        <w:spacing w:after="0" w:line="236" w:lineRule="auto"/>
        <w:tabs>
          <w:tab w:leader="none" w:pos="2678"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termination of any Proceeding or of any claim, issue or matter therein, by judgment, order, settlement or conviction, or upon a plea of guilty, </w:t>
      </w:r>
      <w:r>
        <w:rPr>
          <w:rFonts w:ascii="Times New Roman" w:cs="Times New Roman" w:eastAsia="Times New Roman" w:hAnsi="Times New Roman"/>
          <w:sz w:val="17"/>
          <w:szCs w:val="17"/>
          <w:u w:val="single" w:color="auto"/>
          <w:color w:val="auto"/>
        </w:rPr>
        <w:t>nolo contendere</w:t>
      </w:r>
      <w:r>
        <w:rPr>
          <w:rFonts w:ascii="Times New Roman" w:cs="Times New Roman" w:eastAsia="Times New Roman" w:hAnsi="Times New Roman"/>
          <w:sz w:val="17"/>
          <w:szCs w:val="17"/>
          <w:color w:val="auto"/>
        </w:rPr>
        <w:t xml:space="preserve"> or its equivalent, shall not (except as otherwise expressly provided in this Agreement) of itself adversely affect the right of 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44" w:lineRule="exact"/>
        <w:rPr>
          <w:rFonts w:ascii="Times New Roman" w:cs="Times New Roman" w:eastAsia="Times New Roman" w:hAnsi="Times New Roman"/>
          <w:sz w:val="17"/>
          <w:szCs w:val="17"/>
          <w:color w:val="auto"/>
        </w:rPr>
      </w:pPr>
    </w:p>
    <w:p>
      <w:pPr>
        <w:ind w:left="1220" w:right="1279" w:firstLine="1013"/>
        <w:spacing w:after="0" w:line="234" w:lineRule="auto"/>
        <w:tabs>
          <w:tab w:leader="none" w:pos="2668" w:val="left"/>
        </w:tabs>
        <w:numPr>
          <w:ilvl w:val="0"/>
          <w:numId w:val="4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Indemnitee shall be deemed to have acted in good faith if Indemnitee’s actions were based on the records or books of account of the Company or any other Enterprise, including financial statements, or on information supplied to Indemnitee by the directors, officers, agents or employees of the Company or any other Enterprise in the course of their duties, or on the advice of legal counsel for the Company or any other Enterprise or on information or records given or reports made to the Company or any other Enterprise by an independent certified public accountant or by an appraiser or other expert selected with reasonable care by the Company or any other Enterprise. The provisions of this Section 11(c) shall not be deemed to be exclusive or to limit in any way the other circumstances in which Indemnitee may be deemed to have met the applicable standard of conduct set forth in this Agreement. In addition, the knowledge and/or actions, or failure to act, of any director, manager, partner, officer, employee, agent or trustee of the Company, any subsidiary of the Company, or any Enterprise shall not be imputed to Indemnitee for purposes of determining the right to indemnification under this Agreement. Whether or not the foregoing provisions of this Section 11(c) are satisfied, it shall in any event be presumed that Indemnitee has at all times acted in good faith and in a manner Indemnitee reasonably believed to be in or not opposed to the best interests of the Company. Anyone seeking to overcome this presumption shall have the burden of proof and the burden of persuasion by clear and convincing evidence.</w:t>
      </w:r>
    </w:p>
    <w:p>
      <w:pPr>
        <w:spacing w:after="0" w:line="143" w:lineRule="exact"/>
        <w:rPr>
          <w:sz w:val="20"/>
          <w:szCs w:val="20"/>
          <w:color w:val="auto"/>
        </w:rPr>
      </w:pPr>
    </w:p>
    <w:p>
      <w:pPr>
        <w:ind w:left="1720"/>
        <w:spacing w:after="0"/>
        <w:tabs>
          <w:tab w:leader="none" w:pos="2680" w:val="left"/>
        </w:tabs>
        <w:rPr>
          <w:sz w:val="20"/>
          <w:szCs w:val="20"/>
          <w:color w:val="auto"/>
        </w:rPr>
      </w:pPr>
      <w:r>
        <w:rPr>
          <w:rFonts w:ascii="Times New Roman" w:cs="Times New Roman" w:eastAsia="Times New Roman" w:hAnsi="Times New Roman"/>
          <w:sz w:val="17"/>
          <w:szCs w:val="17"/>
          <w:color w:val="auto"/>
        </w:rPr>
        <w:t>Section 12</w:t>
      </w:r>
      <w:r>
        <w:rPr>
          <w:sz w:val="20"/>
          <w:szCs w:val="20"/>
          <w:color w:val="auto"/>
        </w:rPr>
        <w:tab/>
      </w:r>
      <w:r>
        <w:rPr>
          <w:rFonts w:ascii="Times New Roman" w:cs="Times New Roman" w:eastAsia="Times New Roman" w:hAnsi="Times New Roman"/>
          <w:sz w:val="16"/>
          <w:szCs w:val="16"/>
          <w:u w:val="single" w:color="auto"/>
          <w:color w:val="auto"/>
        </w:rPr>
        <w:t>Remedies of Indemnitee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220" w:right="1279" w:firstLine="1013"/>
        <w:spacing w:after="0" w:line="261" w:lineRule="auto"/>
        <w:tabs>
          <w:tab w:leader="none" w:pos="2668" w:val="left"/>
        </w:tabs>
        <w:numPr>
          <w:ilvl w:val="0"/>
          <w:numId w:val="4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Subject to Section 12(f), in the event that (i) a determination is made pursuant to Section 10 of this Agreement that Indemnitee is not entitled to indemnification under this Agreement, (ii) advancement of Expenses is not timely made pursuant to Section 8 of this Agreement, (iii) no determination of entitlement to indemnification shall have been made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24" w:name="page525"/>
    <w:bookmarkEnd w:id="524"/>
    <w:p>
      <w:pPr>
        <w:ind w:left="1220" w:right="1259"/>
        <w:spacing w:after="0" w:line="252" w:lineRule="auto"/>
        <w:rPr>
          <w:sz w:val="20"/>
          <w:szCs w:val="20"/>
          <w:color w:val="auto"/>
        </w:rPr>
      </w:pPr>
      <w:r>
        <w:rPr>
          <w:rFonts w:ascii="Times New Roman" w:cs="Times New Roman" w:eastAsia="Times New Roman" w:hAnsi="Times New Roman"/>
          <w:sz w:val="16"/>
          <w:szCs w:val="16"/>
          <w:color w:val="auto"/>
        </w:rPr>
        <w:t>pursuant to Section 10(a) of this Agreement within sixty (60) days after receipt by the Company of the request for indemnification for which a determination is to be made other than by Independent Counsel, (iv) payment of indemnification or reimbursement of expenses is not made pursuant to Section 5 or 6 or the last sentence of Section 10(a) of this Agreement within thirty</w:t>
      </w:r>
    </w:p>
    <w:p>
      <w:pPr>
        <w:spacing w:after="0" w:line="2" w:lineRule="exact"/>
        <w:rPr>
          <w:sz w:val="20"/>
          <w:szCs w:val="20"/>
          <w:color w:val="auto"/>
        </w:rPr>
      </w:pPr>
    </w:p>
    <w:p>
      <w:pPr>
        <w:ind w:left="1220" w:right="1239" w:firstLine="4"/>
        <w:spacing w:after="0" w:line="233" w:lineRule="auto"/>
        <w:tabs>
          <w:tab w:leader="none" w:pos="1542" w:val="left"/>
        </w:tabs>
        <w:numPr>
          <w:ilvl w:val="0"/>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after receipt by the Company of a written request therefor (including any invoices received by Indemnitee, which such invoices may be redacted as necessary to avoid the waiver of any privilege accorded by applicable law) or (v) payment of indemnification pursuant to Section 3 or 4 of this Agreement is not made within thirty (30) days after a determination has been made that Indemnitee is entitled to indemnification, Indemnitee shall be entitled to an adjudication by the Delaware Court of his or her entitlement to such indemnification or advancement. Alternatively, Indemnitee, at his or her option, may seek an award in arbitration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provided, however, that the foregoing time limitation shall not apply in respect of a proceeding brought by Indemnitee to enforce his or her rights under Section 5 of this Agreement. The Company shall not oppose Indemnitee’s right to seek any such adjudication or award in arbitration.</w:t>
      </w:r>
    </w:p>
    <w:p>
      <w:pPr>
        <w:spacing w:after="0" w:line="142" w:lineRule="exact"/>
        <w:rPr>
          <w:rFonts w:ascii="Times New Roman" w:cs="Times New Roman" w:eastAsia="Times New Roman" w:hAnsi="Times New Roman"/>
          <w:sz w:val="17"/>
          <w:szCs w:val="17"/>
          <w:color w:val="auto"/>
        </w:rPr>
      </w:pPr>
    </w:p>
    <w:p>
      <w:pPr>
        <w:ind w:left="1220" w:right="1259" w:firstLine="1013"/>
        <w:spacing w:after="0" w:line="237" w:lineRule="auto"/>
        <w:tabs>
          <w:tab w:leader="none" w:pos="2678" w:val="left"/>
        </w:tabs>
        <w:numPr>
          <w:ilvl w:val="1"/>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 determination shall have been made pursuant to Section 10(a) of this Agreement that Indemnitee is not entitled to indemnification, any judicial proceeding or arbitration commenced pursuant to this Section 12 shall be conducted in all respects as a de novo trial, or arbitration, on the merits and Indemnitee shall not be prejudiced by reason of that adverse determination. In any judicial proceeding or arbitration commenced pursuant to this Section 12, the Company shall have the burden of proving Indemnitee is not entitled to indemnification or advancement, as the case may be.</w:t>
      </w:r>
    </w:p>
    <w:p>
      <w:pPr>
        <w:spacing w:after="0" w:line="141" w:lineRule="exact"/>
        <w:rPr>
          <w:rFonts w:ascii="Times New Roman" w:cs="Times New Roman" w:eastAsia="Times New Roman" w:hAnsi="Times New Roman"/>
          <w:sz w:val="17"/>
          <w:szCs w:val="17"/>
          <w:color w:val="auto"/>
        </w:rPr>
      </w:pPr>
    </w:p>
    <w:p>
      <w:pPr>
        <w:ind w:left="1220" w:right="1399" w:firstLine="1013"/>
        <w:spacing w:after="0" w:line="255" w:lineRule="auto"/>
        <w:tabs>
          <w:tab w:leader="none" w:pos="2668" w:val="left"/>
        </w:tabs>
        <w:numPr>
          <w:ilvl w:val="1"/>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 determination shall have been made pursuant to Section 10(a)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130" w:lineRule="exact"/>
        <w:rPr>
          <w:rFonts w:ascii="Times New Roman" w:cs="Times New Roman" w:eastAsia="Times New Roman" w:hAnsi="Times New Roman"/>
          <w:sz w:val="16"/>
          <w:szCs w:val="16"/>
          <w:color w:val="auto"/>
        </w:rPr>
      </w:pPr>
    </w:p>
    <w:p>
      <w:pPr>
        <w:ind w:left="1220" w:right="1319" w:firstLine="1013"/>
        <w:spacing w:after="0" w:line="261" w:lineRule="auto"/>
        <w:tabs>
          <w:tab w:leader="none" w:pos="2678" w:val="left"/>
        </w:tabs>
        <w:numPr>
          <w:ilvl w:val="1"/>
          <w:numId w:val="4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w:t>
      </w:r>
    </w:p>
    <w:p>
      <w:pPr>
        <w:spacing w:after="0" w:line="124" w:lineRule="exact"/>
        <w:rPr>
          <w:rFonts w:ascii="Times New Roman" w:cs="Times New Roman" w:eastAsia="Times New Roman" w:hAnsi="Times New Roman"/>
          <w:sz w:val="16"/>
          <w:szCs w:val="16"/>
          <w:color w:val="auto"/>
        </w:rPr>
      </w:pPr>
    </w:p>
    <w:p>
      <w:pPr>
        <w:ind w:left="1220" w:right="1259" w:firstLine="1013"/>
        <w:spacing w:after="0" w:line="236" w:lineRule="auto"/>
        <w:tabs>
          <w:tab w:leader="none" w:pos="2668" w:val="left"/>
        </w:tabs>
        <w:numPr>
          <w:ilvl w:val="1"/>
          <w:numId w:val="4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shall indemnify Indemnitee to the fullest extent permitted by law against any and all Enforcement Expenses and, if requested by Indemnitee, shall (within thirty (30) days after receipt by the Company of a written request therefor) advance, to the extent not prohibited by law, such Enforcement Expenses to Indemnitee, which are incurred by Indemnitee in connection with any action brought by Indemnitee for indemnification or advancement from the Company under this Agreement or under any directors’ and officers’ liability insurance policies maintained by the Company in the suit for which indemnification or advancement is being sought. Such written request for advancement shall include invoices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525" w:name="page526"/>
    <w:bookmarkEnd w:id="525"/>
    <w:p>
      <w:pPr>
        <w:ind w:left="1220" w:right="1419"/>
        <w:spacing w:after="0" w:line="241" w:lineRule="auto"/>
        <w:rPr>
          <w:sz w:val="20"/>
          <w:szCs w:val="20"/>
          <w:color w:val="auto"/>
        </w:rPr>
      </w:pPr>
      <w:r>
        <w:rPr>
          <w:rFonts w:ascii="Times New Roman" w:cs="Times New Roman" w:eastAsia="Times New Roman" w:hAnsi="Times New Roman"/>
          <w:sz w:val="17"/>
          <w:szCs w:val="17"/>
          <w:color w:val="auto"/>
        </w:rPr>
        <w:t>received by Indemnitee in connection with such Enforcement Expenses but, in the case of invoices in connection with legal services, any references to legal work performed or to expenditures made that would cause Indemnitee to waive any privilege accorded by applicable law need not be included with the invoice.</w:t>
      </w:r>
    </w:p>
    <w:p>
      <w:pPr>
        <w:spacing w:after="0" w:line="140" w:lineRule="exact"/>
        <w:rPr>
          <w:sz w:val="20"/>
          <w:szCs w:val="20"/>
          <w:color w:val="auto"/>
        </w:rPr>
      </w:pPr>
    </w:p>
    <w:p>
      <w:pPr>
        <w:ind w:left="1220" w:right="1399" w:firstLine="1013"/>
        <w:spacing w:after="0" w:line="246" w:lineRule="auto"/>
        <w:tabs>
          <w:tab w:leader="none" w:pos="2649" w:val="left"/>
        </w:tabs>
        <w:numPr>
          <w:ilvl w:val="0"/>
          <w:numId w:val="4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no determination as to entitlement to indemnification under this Agreement shall be required to be made prior to the final disposition of the Proceeding, including any appeal therein.</w:t>
      </w:r>
    </w:p>
    <w:p>
      <w:pPr>
        <w:spacing w:after="0" w:line="135" w:lineRule="exact"/>
        <w:rPr>
          <w:sz w:val="20"/>
          <w:szCs w:val="20"/>
          <w:color w:val="auto"/>
        </w:rPr>
      </w:pPr>
    </w:p>
    <w:p>
      <w:pPr>
        <w:ind w:left="1720"/>
        <w:spacing w:after="0"/>
        <w:tabs>
          <w:tab w:leader="none" w:pos="2680" w:val="left"/>
        </w:tabs>
        <w:rPr>
          <w:sz w:val="20"/>
          <w:szCs w:val="20"/>
          <w:color w:val="auto"/>
        </w:rPr>
      </w:pPr>
      <w:r>
        <w:rPr>
          <w:rFonts w:ascii="Times New Roman" w:cs="Times New Roman" w:eastAsia="Times New Roman" w:hAnsi="Times New Roman"/>
          <w:sz w:val="17"/>
          <w:szCs w:val="17"/>
          <w:color w:val="auto"/>
        </w:rPr>
        <w:t>Section 13</w:t>
      </w:r>
      <w:r>
        <w:rPr>
          <w:sz w:val="20"/>
          <w:szCs w:val="20"/>
          <w:color w:val="auto"/>
        </w:rPr>
        <w:tab/>
      </w:r>
      <w:r>
        <w:rPr>
          <w:rFonts w:ascii="Times New Roman" w:cs="Times New Roman" w:eastAsia="Times New Roman" w:hAnsi="Times New Roman"/>
          <w:sz w:val="16"/>
          <w:szCs w:val="16"/>
          <w:u w:val="single" w:color="auto"/>
          <w:color w:val="auto"/>
        </w:rPr>
        <w:t>Non-exclusivity; Survival of Rights; Insurance; Subrogation</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220" w:right="1239" w:firstLine="1013"/>
        <w:spacing w:after="0" w:line="249" w:lineRule="auto"/>
        <w:tabs>
          <w:tab w:leader="none" w:pos="2668" w:val="left"/>
        </w:tabs>
        <w:numPr>
          <w:ilvl w:val="0"/>
          <w:numId w:val="4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of indemnification and to receive advancement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action taken or omitted by such Indemnitee in his or her Corporate Status prior to such amendment, alteration or repeal. To the extent that a change in Delaware law, whether by statute or judicial decision, permits greater indemnification or advancement than would be afforded currently under the Charter, Bylaws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143" w:lineRule="exact"/>
        <w:rPr>
          <w:rFonts w:ascii="Times New Roman" w:cs="Times New Roman" w:eastAsia="Times New Roman" w:hAnsi="Times New Roman"/>
          <w:sz w:val="16"/>
          <w:szCs w:val="16"/>
          <w:color w:val="auto"/>
        </w:rPr>
      </w:pPr>
    </w:p>
    <w:p>
      <w:pPr>
        <w:ind w:left="1220" w:right="1299" w:firstLine="1013"/>
        <w:spacing w:after="0" w:line="234" w:lineRule="auto"/>
        <w:tabs>
          <w:tab w:leader="none" w:pos="2678"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Company maintains an insurance policy or policies providing liability insurance for directors, managers, partners, officers, employees, agents or trustees of the Company or of any other Enterprise, Indemnitee shall be covered by such policy or policies in accordance with its or their terms to the maximum extent of the coverage available for any such director, manager, partner, officer, employee, agent or trustee under such policy or policies. If, at the time of the receipt of a notice of a claim pursuant to the terms hereof, the Company has director and officer liability insurance in effect, the Company shall give prompt notice of such claim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 Upon request of Indemnitee, the Company shall also promptly provide to Indemnitee: (i) copies of all of the Company’s potentially applicable directors’ and officers’ liability insurance policies, (ii) copies of such notices delivered to the applicable insurers, and (iii) copies of all subsequent communications and correspondence between the Company and such insurers regarding the Proceeding.</w:t>
      </w:r>
    </w:p>
    <w:p>
      <w:pPr>
        <w:spacing w:after="0" w:line="147" w:lineRule="exact"/>
        <w:rPr>
          <w:rFonts w:ascii="Times New Roman" w:cs="Times New Roman" w:eastAsia="Times New Roman" w:hAnsi="Times New Roman"/>
          <w:sz w:val="17"/>
          <w:szCs w:val="17"/>
          <w:color w:val="auto"/>
        </w:rPr>
      </w:pPr>
    </w:p>
    <w:p>
      <w:pPr>
        <w:ind w:left="1220" w:right="1259" w:firstLine="1013"/>
        <w:spacing w:after="0" w:line="246" w:lineRule="auto"/>
        <w:tabs>
          <w:tab w:leader="none" w:pos="2668" w:val="left"/>
        </w:tabs>
        <w:numPr>
          <w:ilvl w:val="0"/>
          <w:numId w:val="4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of any payment under this Agreement, the Company shall be subrogated to the extent of such payment to all of the rights of recovery of Indemnitee, who shall execute all papers required and take all action necessary to secure such rights, including</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526" w:name="page527"/>
    <w:bookmarkEnd w:id="526"/>
    <w:p>
      <w:pPr>
        <w:ind w:left="1220" w:right="1539"/>
        <w:spacing w:after="0" w:line="259" w:lineRule="auto"/>
        <w:rPr>
          <w:sz w:val="20"/>
          <w:szCs w:val="20"/>
          <w:color w:val="auto"/>
        </w:rPr>
      </w:pPr>
      <w:r>
        <w:rPr>
          <w:rFonts w:ascii="Times New Roman" w:cs="Times New Roman" w:eastAsia="Times New Roman" w:hAnsi="Times New Roman"/>
          <w:sz w:val="17"/>
          <w:szCs w:val="17"/>
          <w:color w:val="auto"/>
        </w:rPr>
        <w:t>execution of such documents as are necessary to enable the Company to bring suit to enforce such rights.</w:t>
      </w:r>
    </w:p>
    <w:p>
      <w:pPr>
        <w:spacing w:after="0" w:line="125" w:lineRule="exact"/>
        <w:rPr>
          <w:sz w:val="20"/>
          <w:szCs w:val="20"/>
          <w:color w:val="auto"/>
        </w:rPr>
      </w:pPr>
    </w:p>
    <w:p>
      <w:pPr>
        <w:ind w:left="1220" w:right="1239" w:firstLine="1013"/>
        <w:spacing w:after="0" w:line="239" w:lineRule="auto"/>
        <w:tabs>
          <w:tab w:leader="none" w:pos="2678"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obligation to provide indemnification or advancement hereunder to Indemnitee who is or was serving at the request of the Company as a director, manager, partner, officer, employee, agent or trustee of any other Enterprise shall be reduced by any amount Indemnitee has actually received as indemnification or advancement from such other Enterprise.</w:t>
      </w:r>
    </w:p>
    <w:p>
      <w:pPr>
        <w:spacing w:after="0" w:line="141" w:lineRule="exact"/>
        <w:rPr>
          <w:sz w:val="20"/>
          <w:szCs w:val="20"/>
          <w:color w:val="auto"/>
        </w:rPr>
      </w:pPr>
    </w:p>
    <w:p>
      <w:pPr>
        <w:ind w:left="1220" w:right="1239" w:firstLine="505"/>
        <w:spacing w:after="0" w:line="235"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Duration of Agreement</w:t>
      </w:r>
      <w:r>
        <w:rPr>
          <w:rFonts w:ascii="Times New Roman" w:cs="Times New Roman" w:eastAsia="Times New Roman" w:hAnsi="Times New Roman"/>
          <w:sz w:val="17"/>
          <w:szCs w:val="17"/>
          <w:color w:val="auto"/>
        </w:rPr>
        <w:t>. This Agreement shall continue until and terminate upon the later of: (a) ten (10) years after the date that Indemnitee shall have ceased to serve as [both a director and] an officer of the Company or (b) one (1) year after the final termination of any Proceeding, including any appeal, then pending in respect of which Indemnitee is granted rights of indemnification or advancement hereunder and of any proceeding commenced by Indemnitee pursuant to Section 12 of this Agreement relating thereto. This Agreement shall be binding upon the Company and its successors and assigns and shall inure to the benefit of Indemnitee and his or her heirs, executors and administrators. 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40" w:lineRule="exact"/>
        <w:rPr>
          <w:sz w:val="20"/>
          <w:szCs w:val="20"/>
          <w:color w:val="auto"/>
        </w:rPr>
      </w:pPr>
    </w:p>
    <w:p>
      <w:pPr>
        <w:ind w:left="1220" w:right="1239" w:firstLine="505"/>
        <w:spacing w:after="0" w:line="250" w:lineRule="auto"/>
        <w:rPr>
          <w:sz w:val="20"/>
          <w:szCs w:val="20"/>
          <w:color w:val="auto"/>
        </w:rPr>
      </w:pPr>
      <w:r>
        <w:rPr>
          <w:rFonts w:ascii="Times New Roman" w:cs="Times New Roman" w:eastAsia="Times New Roman" w:hAnsi="Times New Roman"/>
          <w:sz w:val="16"/>
          <w:szCs w:val="16"/>
          <w:color w:val="auto"/>
        </w:rPr>
        <w:t xml:space="preserve">Section 15 </w:t>
      </w:r>
      <w:r>
        <w:rPr>
          <w:rFonts w:ascii="Times New Roman" w:cs="Times New Roman" w:eastAsia="Times New Roman" w:hAnsi="Times New Roman"/>
          <w:sz w:val="16"/>
          <w:szCs w:val="16"/>
          <w:u w:val="single" w:color="auto"/>
          <w:color w:val="auto"/>
        </w:rPr>
        <w:t>Severability</w:t>
      </w:r>
      <w:r>
        <w:rPr>
          <w:rFonts w:ascii="Times New Roman" w:cs="Times New Roman" w:eastAsia="Times New Roman" w:hAnsi="Times New Roman"/>
          <w:sz w:val="16"/>
          <w:szCs w:val="16"/>
          <w:color w:val="auto"/>
        </w:rPr>
        <w:t>. If any provision or provisions of this Agreement shall be held to be invalid, illegal or unenforceable for any reason whatsoever: (a)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w:t>
      </w:r>
    </w:p>
    <w:p>
      <w:pPr>
        <w:spacing w:after="0" w:line="3" w:lineRule="exact"/>
        <w:rPr>
          <w:sz w:val="20"/>
          <w:szCs w:val="20"/>
          <w:color w:val="auto"/>
        </w:rPr>
      </w:pPr>
    </w:p>
    <w:p>
      <w:pPr>
        <w:ind w:left="1220" w:right="1279" w:firstLine="4"/>
        <w:spacing w:after="0" w:line="234" w:lineRule="auto"/>
        <w:tabs>
          <w:tab w:leader="none" w:pos="1458"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42" w:lineRule="exact"/>
        <w:rPr>
          <w:sz w:val="20"/>
          <w:szCs w:val="20"/>
          <w:color w:val="auto"/>
        </w:rPr>
      </w:pPr>
    </w:p>
    <w:p>
      <w:pPr>
        <w:ind w:left="1720"/>
        <w:spacing w:after="0"/>
        <w:tabs>
          <w:tab w:leader="none" w:pos="2680" w:val="left"/>
        </w:tabs>
        <w:rPr>
          <w:sz w:val="20"/>
          <w:szCs w:val="20"/>
          <w:color w:val="auto"/>
        </w:rPr>
      </w:pPr>
      <w:r>
        <w:rPr>
          <w:rFonts w:ascii="Times New Roman" w:cs="Times New Roman" w:eastAsia="Times New Roman" w:hAnsi="Times New Roman"/>
          <w:sz w:val="17"/>
          <w:szCs w:val="17"/>
          <w:color w:val="auto"/>
        </w:rPr>
        <w:t>Section 16</w:t>
      </w:r>
      <w:r>
        <w:rPr>
          <w:sz w:val="20"/>
          <w:szCs w:val="20"/>
          <w:color w:val="auto"/>
        </w:rPr>
        <w:tab/>
      </w:r>
      <w:r>
        <w:rPr>
          <w:rFonts w:ascii="Times New Roman" w:cs="Times New Roman" w:eastAsia="Times New Roman" w:hAnsi="Times New Roman"/>
          <w:sz w:val="16"/>
          <w:szCs w:val="16"/>
          <w:u w:val="single" w:color="auto"/>
          <w:color w:val="auto"/>
        </w:rPr>
        <w:t>Enforcement</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ind w:left="1220" w:right="1379" w:firstLine="1013"/>
        <w:spacing w:after="0" w:line="239" w:lineRule="auto"/>
        <w:tabs>
          <w:tab w:leader="none" w:pos="2668" w:val="left"/>
        </w:tabs>
        <w:numPr>
          <w:ilvl w:val="0"/>
          <w:numId w:val="4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expressly confirms and agrees that it has entered into this Agreement and assumed the obligations imposed on it hereby in order to induce Indemnitee [to serve] [continue to serve] as [a director and] an officer of the Company, and the Company acknowledges that Indemnitee is relying upon this Agreement in serving as [a director and] an officer of the Company.</w:t>
      </w:r>
    </w:p>
    <w:p>
      <w:pPr>
        <w:spacing w:after="0" w:line="140" w:lineRule="exact"/>
        <w:rPr>
          <w:rFonts w:ascii="Times New Roman" w:cs="Times New Roman" w:eastAsia="Times New Roman" w:hAnsi="Times New Roman"/>
          <w:sz w:val="17"/>
          <w:szCs w:val="17"/>
          <w:color w:val="auto"/>
        </w:rPr>
      </w:pPr>
    </w:p>
    <w:p>
      <w:pPr>
        <w:jc w:val="both"/>
        <w:ind w:left="1220" w:right="1259" w:firstLine="1013"/>
        <w:spacing w:after="0" w:line="268" w:lineRule="auto"/>
        <w:tabs>
          <w:tab w:leader="none" w:pos="2678" w:val="left"/>
        </w:tabs>
        <w:numPr>
          <w:ilvl w:val="0"/>
          <w:numId w:val="4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27" w:name="page528"/>
    <w:bookmarkEnd w:id="527"/>
    <w:p>
      <w:pPr>
        <w:ind w:left="1220" w:right="1339"/>
        <w:spacing w:after="0" w:line="246" w:lineRule="auto"/>
        <w:rPr>
          <w:sz w:val="20"/>
          <w:szCs w:val="20"/>
          <w:color w:val="auto"/>
        </w:rPr>
      </w:pPr>
      <w:r>
        <w:rPr>
          <w:rFonts w:ascii="Times New Roman" w:cs="Times New Roman" w:eastAsia="Times New Roman" w:hAnsi="Times New Roman"/>
          <w:sz w:val="17"/>
          <w:szCs w:val="17"/>
          <w:color w:val="auto"/>
        </w:rPr>
        <w:t>provided, however, that this Agreement is a supplement to and in furtherance of the Charter, the Bylaws and applicable law, and shall not be deemed a substitute therefor, nor to diminish or abrogate any rights of Indemnitee thereunder.</w:t>
      </w:r>
    </w:p>
    <w:p>
      <w:pPr>
        <w:spacing w:after="0" w:line="135" w:lineRule="exact"/>
        <w:rPr>
          <w:sz w:val="20"/>
          <w:szCs w:val="20"/>
          <w:color w:val="auto"/>
        </w:rPr>
      </w:pPr>
    </w:p>
    <w:p>
      <w:pPr>
        <w:ind w:left="1220" w:right="1279" w:firstLine="505"/>
        <w:spacing w:after="0" w:line="236" w:lineRule="auto"/>
        <w:rPr>
          <w:sz w:val="20"/>
          <w:szCs w:val="20"/>
          <w:color w:val="auto"/>
        </w:rPr>
      </w:pPr>
      <w:r>
        <w:rPr>
          <w:rFonts w:ascii="Times New Roman" w:cs="Times New Roman" w:eastAsia="Times New Roman" w:hAnsi="Times New Roman"/>
          <w:sz w:val="17"/>
          <w:szCs w:val="17"/>
          <w:color w:val="auto"/>
        </w:rPr>
        <w:t xml:space="preserve">Section 17 </w:t>
      </w:r>
      <w:r>
        <w:rPr>
          <w:rFonts w:ascii="Times New Roman" w:cs="Times New Roman" w:eastAsia="Times New Roman" w:hAnsi="Times New Roman"/>
          <w:sz w:val="17"/>
          <w:szCs w:val="17"/>
          <w:u w:val="single" w:color="auto"/>
          <w:color w:val="auto"/>
        </w:rPr>
        <w:t>Modification and Waiver</w:t>
      </w:r>
      <w:r>
        <w:rPr>
          <w:rFonts w:ascii="Times New Roman" w:cs="Times New Roman" w:eastAsia="Times New Roman" w:hAnsi="Times New Roman"/>
          <w:sz w:val="17"/>
          <w:szCs w:val="17"/>
          <w:color w:val="auto"/>
        </w:rPr>
        <w:t>. No supplement, modification or amendment, or waiver of any provision, of this Agreement shall be binding unless executed in writing by the parties thereto. No waiver of any of the provisions of this Agreement shall be deemed or shall constitute a waiver of any other provisions of this Agreement nor shall any waiver constitute a continuing waiver. No supplement, modification or amendment of this Agreement or of any provision hereof shall limit or restrict any right of Indemnitee under this Agreement in respect of any action taken or omitted by such Indemnitee prior to such supplement, modification or amendment.</w:t>
      </w:r>
    </w:p>
    <w:p>
      <w:pPr>
        <w:spacing w:after="0" w:line="144" w:lineRule="exact"/>
        <w:rPr>
          <w:sz w:val="20"/>
          <w:szCs w:val="20"/>
          <w:color w:val="auto"/>
        </w:rPr>
      </w:pPr>
    </w:p>
    <w:p>
      <w:pPr>
        <w:ind w:left="1220" w:right="1279" w:firstLine="505"/>
        <w:spacing w:after="0" w:line="235" w:lineRule="auto"/>
        <w:rPr>
          <w:sz w:val="20"/>
          <w:szCs w:val="20"/>
          <w:color w:val="auto"/>
        </w:rPr>
      </w:pPr>
      <w:r>
        <w:rPr>
          <w:rFonts w:ascii="Times New Roman" w:cs="Times New Roman" w:eastAsia="Times New Roman" w:hAnsi="Times New Roman"/>
          <w:sz w:val="17"/>
          <w:szCs w:val="17"/>
          <w:color w:val="auto"/>
        </w:rPr>
        <w:t xml:space="preserve">Section 18 </w:t>
      </w:r>
      <w:r>
        <w:rPr>
          <w:rFonts w:ascii="Times New Roman" w:cs="Times New Roman" w:eastAsia="Times New Roman" w:hAnsi="Times New Roman"/>
          <w:sz w:val="17"/>
          <w:szCs w:val="17"/>
          <w:u w:val="single" w:color="auto"/>
          <w:color w:val="auto"/>
        </w:rPr>
        <w:t>Notice by Indemnitee</w:t>
      </w:r>
      <w:r>
        <w:rPr>
          <w:rFonts w:ascii="Times New Roman" w:cs="Times New Roman" w:eastAsia="Times New Roman" w:hAnsi="Times New Roman"/>
          <w:sz w:val="17"/>
          <w:szCs w:val="17"/>
          <w:color w:val="auto"/>
        </w:rPr>
        <w:t>. Indemnitee agrees promptly to notify the Company in writing upon being served with any summons, citation, subpoena, complaint, indictment, information or other document relating to any Proceeding or matter which may be subject to indemnification, reimbursement or advancement as provided hereunder. The failure of Indemnitee to so notify the Company or any delay in notification shall not relieve the Company of any obligation which it may have to Indemnitee under this Agreement or otherwise, unless, and then only to the extent that, the Company did not otherwise learn of the Proceeding and such delay is materially prejudicial to the Company’s ability to defend such Proceeding or matter; and, provided, further, that notice will be deemed to have been given without any action on the part of Indemnitee in the event the Company is a party to the same Proceeding.</w:t>
      </w:r>
    </w:p>
    <w:p>
      <w:pPr>
        <w:spacing w:after="0" w:line="146" w:lineRule="exact"/>
        <w:rPr>
          <w:sz w:val="20"/>
          <w:szCs w:val="20"/>
          <w:color w:val="auto"/>
        </w:rPr>
      </w:pPr>
    </w:p>
    <w:p>
      <w:pPr>
        <w:ind w:left="1220" w:right="1379" w:firstLine="505"/>
        <w:spacing w:after="0" w:line="236" w:lineRule="auto"/>
        <w:rPr>
          <w:sz w:val="20"/>
          <w:szCs w:val="20"/>
          <w:color w:val="auto"/>
        </w:rPr>
      </w:pPr>
      <w:r>
        <w:rPr>
          <w:rFonts w:ascii="Times New Roman" w:cs="Times New Roman" w:eastAsia="Times New Roman" w:hAnsi="Times New Roman"/>
          <w:sz w:val="17"/>
          <w:szCs w:val="17"/>
          <w:color w:val="auto"/>
        </w:rPr>
        <w:t xml:space="preserve">Section 19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demands and other communications under this Agreement shall be in writing and shall be deemed to have been duly given if (i) delivered by hand and receipted for by the party to whom said notice or other communication shall have been directed, (ii) mailed by certified or registered mail with postage prepaid, on the third business day after the date on which it is so mailed, (iii) mailed by reputable overnight courier and receipted for by the party to whom said notice or other communication shall have been directed or (iv) sent by facsimile transmission, with receipt of oral confirmation that such transmission has been received:</w:t>
      </w:r>
    </w:p>
    <w:p>
      <w:pPr>
        <w:spacing w:after="0" w:line="144" w:lineRule="exact"/>
        <w:rPr>
          <w:sz w:val="20"/>
          <w:szCs w:val="20"/>
          <w:color w:val="auto"/>
        </w:rPr>
      </w:pPr>
    </w:p>
    <w:p>
      <w:pPr>
        <w:ind w:left="2680" w:hanging="447"/>
        <w:spacing w:after="0"/>
        <w:tabs>
          <w:tab w:leader="none" w:pos="2680" w:val="left"/>
        </w:tabs>
        <w:numPr>
          <w:ilvl w:val="0"/>
          <w:numId w:val="4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Indemnitee, at such address as Indemnitee shall provide to the</w:t>
      </w:r>
    </w:p>
    <w:p>
      <w:pPr>
        <w:spacing w:after="0" w:line="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Company.</w:t>
      </w:r>
    </w:p>
    <w:p>
      <w:pPr>
        <w:spacing w:after="0" w:line="144" w:lineRule="exact"/>
        <w:rPr>
          <w:sz w:val="20"/>
          <w:szCs w:val="20"/>
          <w:color w:val="auto"/>
        </w:rPr>
      </w:pPr>
    </w:p>
    <w:p>
      <w:pPr>
        <w:jc w:val="both"/>
        <w:ind w:left="2740" w:right="4879" w:hanging="507"/>
        <w:spacing w:after="0" w:line="258" w:lineRule="auto"/>
        <w:tabs>
          <w:tab w:leader="none" w:pos="2684" w:val="left"/>
        </w:tabs>
        <w:numPr>
          <w:ilvl w:val="0"/>
          <w:numId w:val="4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to the Company to: Avalyn Pharma Inc.</w:t>
      </w:r>
    </w:p>
    <w:p>
      <w:pPr>
        <w:ind w:left="2740" w:right="3939"/>
        <w:spacing w:after="0" w:line="23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105 West First Street Boston, MA 02127 USA Attention: Chief Executive Officer</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or to any other address as may have been furnished to Indemnitee by the Company.</w:t>
      </w:r>
    </w:p>
    <w:p>
      <w:pPr>
        <w:spacing w:after="0" w:line="162" w:lineRule="exact"/>
        <w:rPr>
          <w:sz w:val="20"/>
          <w:szCs w:val="20"/>
          <w:color w:val="auto"/>
        </w:rPr>
      </w:pPr>
    </w:p>
    <w:p>
      <w:pPr>
        <w:ind w:left="1220" w:right="1299"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20 </w:t>
      </w:r>
      <w:r>
        <w:rPr>
          <w:rFonts w:ascii="Times New Roman" w:cs="Times New Roman" w:eastAsia="Times New Roman" w:hAnsi="Times New Roman"/>
          <w:sz w:val="17"/>
          <w:szCs w:val="17"/>
          <w:u w:val="single" w:color="auto"/>
          <w:color w:val="auto"/>
        </w:rPr>
        <w:t>Contribution</w:t>
      </w:r>
      <w:r>
        <w:rPr>
          <w:rFonts w:ascii="Times New Roman" w:cs="Times New Roman" w:eastAsia="Times New Roman" w:hAnsi="Times New Roman"/>
          <w:sz w:val="17"/>
          <w:szCs w:val="17"/>
          <w:color w:val="auto"/>
        </w:rPr>
        <w:t>. To the fullest extent permissible under applicable law, if the indemnification provided for in this Agreement is unavailable to Indemnitee for any reason whatsoever, the Company, in lieu of indemnifying Indemnitee, shall contribute to the amount</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28" w:name="page529"/>
    <w:bookmarkEnd w:id="528"/>
    <w:p>
      <w:pPr>
        <w:ind w:left="1220" w:right="1279"/>
        <w:spacing w:after="0" w:line="237" w:lineRule="auto"/>
        <w:rPr>
          <w:sz w:val="20"/>
          <w:szCs w:val="20"/>
          <w:color w:val="auto"/>
        </w:rPr>
      </w:pPr>
      <w:r>
        <w:rPr>
          <w:rFonts w:ascii="Times New Roman" w:cs="Times New Roman" w:eastAsia="Times New Roman" w:hAnsi="Times New Roman"/>
          <w:sz w:val="17"/>
          <w:szCs w:val="17"/>
          <w:color w:val="auto"/>
        </w:rPr>
        <w:t>incurred by Indemnitee, whether for judgments, fines, penalties, excise taxes, amounts paid or to be paid in settlement and/or for Expenses, in connection with any Proceeding in such proportion as is deemed fair and reasonable in light of all of the circumstances in order to reflect (i) the relative benefits received by the Company and Indemnitee in connection with the event(s) and/or transaction(s) giving rise to such Proceeding; and/or (ii) the relative fault of the Company (and its directors, officers, employees and agents) and Indemnitee in connection with such event(s) and/or transactions.</w:t>
      </w:r>
    </w:p>
    <w:p>
      <w:pPr>
        <w:spacing w:after="0" w:line="141" w:lineRule="exact"/>
        <w:rPr>
          <w:sz w:val="20"/>
          <w:szCs w:val="20"/>
          <w:color w:val="auto"/>
        </w:rPr>
      </w:pPr>
    </w:p>
    <w:p>
      <w:pPr>
        <w:ind w:left="1220" w:right="1299" w:firstLine="505"/>
        <w:spacing w:after="0" w:line="252" w:lineRule="auto"/>
        <w:rPr>
          <w:sz w:val="20"/>
          <w:szCs w:val="20"/>
          <w:color w:val="auto"/>
        </w:rPr>
      </w:pPr>
      <w:r>
        <w:rPr>
          <w:rFonts w:ascii="Times New Roman" w:cs="Times New Roman" w:eastAsia="Times New Roman" w:hAnsi="Times New Roman"/>
          <w:sz w:val="16"/>
          <w:szCs w:val="16"/>
          <w:color w:val="auto"/>
        </w:rPr>
        <w:t xml:space="preserve">Section 21 </w:t>
      </w:r>
      <w:r>
        <w:rPr>
          <w:rFonts w:ascii="Times New Roman" w:cs="Times New Roman" w:eastAsia="Times New Roman" w:hAnsi="Times New Roman"/>
          <w:sz w:val="16"/>
          <w:szCs w:val="16"/>
          <w:u w:val="single" w:color="auto"/>
          <w:color w:val="auto"/>
        </w:rPr>
        <w:t>Internal Revenue Code Section 409A</w:t>
      </w:r>
      <w:r>
        <w:rPr>
          <w:rFonts w:ascii="Times New Roman" w:cs="Times New Roman" w:eastAsia="Times New Roman" w:hAnsi="Times New Roman"/>
          <w:sz w:val="16"/>
          <w:szCs w:val="16"/>
          <w:color w:val="auto"/>
        </w:rPr>
        <w:t>. The Company intends for this Agreement to comply with the Indemnification exception under Section 1.409A-1(b)(10) of the regulations promulgated under the Internal Revenue Code of 1986, as amended (the “Code”), which provides that indemnification of, or the purchase of an insurance policy providing for payments of, all or part of the expenses incurred or damages paid or payable by Indemnitee with respect to a bona fide claim against Indemnitee or the Company do not provide for a deferral of compensation, subject to Section 409A of the Code, where such claim is based on actions or failures to act by Indemnitee in his or her capacity as a service provider of the Company. The parties intend that this Agreement be interpreted and construed with such intent.</w:t>
      </w:r>
    </w:p>
    <w:p>
      <w:pPr>
        <w:spacing w:after="0" w:line="133" w:lineRule="exact"/>
        <w:rPr>
          <w:sz w:val="20"/>
          <w:szCs w:val="20"/>
          <w:color w:val="auto"/>
        </w:rPr>
      </w:pPr>
    </w:p>
    <w:p>
      <w:pPr>
        <w:ind w:left="1220" w:right="1239" w:firstLine="505"/>
        <w:spacing w:after="0" w:line="234"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Applicable Law and Consent to Jurisdiction</w:t>
      </w:r>
      <w:r>
        <w:rPr>
          <w:rFonts w:ascii="Times New Roman" w:cs="Times New Roman" w:eastAsia="Times New Roman" w:hAnsi="Times New Roman"/>
          <w:sz w:val="17"/>
          <w:szCs w:val="17"/>
          <w:color w:val="auto"/>
        </w:rPr>
        <w:t>. This Agreement and the legal relations among the parties shall be governed by, and construed 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and not in any other state or federal court in the United States of America or any court in any other country, (ii) consent to submit to the exclusive jurisdiction of the Delaware Court for purposes of any action or proceeding arising out of or in connection with this Agreement, (iii) consent to service of process at the address set forth in Section 19 of this Agreement with the same legal force and validity as if served upon such party personally within the State of Delaware, (iv) waive any objection to the laying of venue of any such action or proceeding in the Delaware Court and (v) waive, and agree not to plead or to make, any claim that any such action or proceeding brought in the Delaware Court has been brought in an improper or inconvenient forum.</w:t>
      </w:r>
    </w:p>
    <w:p>
      <w:pPr>
        <w:spacing w:after="0" w:line="148" w:lineRule="exact"/>
        <w:rPr>
          <w:sz w:val="20"/>
          <w:szCs w:val="20"/>
          <w:color w:val="auto"/>
        </w:rPr>
      </w:pPr>
    </w:p>
    <w:p>
      <w:pPr>
        <w:ind w:left="1220" w:right="1259"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23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headings of the paragraphs of this Agreement are inserted for convenience only and shall not be deemed to constitute part of this Agreement or to affect the construction thereof.</w:t>
      </w:r>
    </w:p>
    <w:p>
      <w:pPr>
        <w:spacing w:after="0" w:line="135" w:lineRule="exact"/>
        <w:rPr>
          <w:sz w:val="20"/>
          <w:szCs w:val="20"/>
          <w:color w:val="auto"/>
        </w:rPr>
      </w:pPr>
    </w:p>
    <w:p>
      <w:pPr>
        <w:ind w:left="1220" w:right="1339" w:firstLine="505"/>
        <w:spacing w:after="0" w:line="239"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Identical Counterparts</w:t>
      </w:r>
      <w:r>
        <w:rPr>
          <w:rFonts w:ascii="Times New Roman" w:cs="Times New Roman" w:eastAsia="Times New Roman" w:hAnsi="Times New Roman"/>
          <w:sz w:val="17"/>
          <w:szCs w:val="17"/>
          <w:color w:val="auto"/>
        </w:rPr>
        <w:t>. This Agreement may be executed in one or more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41" w:lineRule="exact"/>
        <w:rPr>
          <w:sz w:val="20"/>
          <w:szCs w:val="20"/>
          <w:color w:val="auto"/>
        </w:rPr>
      </w:pPr>
    </w:p>
    <w:p>
      <w:pPr>
        <w:ind w:left="1220" w:right="1299" w:firstLine="505"/>
        <w:spacing w:after="0" w:line="246"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Monetary Damages Insufficient/Specific Enforcement</w:t>
      </w:r>
      <w:r>
        <w:rPr>
          <w:rFonts w:ascii="Times New Roman" w:cs="Times New Roman" w:eastAsia="Times New Roman" w:hAnsi="Times New Roman"/>
          <w:sz w:val="17"/>
          <w:szCs w:val="17"/>
          <w:color w:val="auto"/>
        </w:rPr>
        <w:t>. The Company and Indemnitee agree that a monetary remedy for breach of this Agreement may be inadequate, impracticable and difficult of proof, and further agree that such breach may cause Indemnitee</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29" w:name="page530"/>
    <w:bookmarkEnd w:id="529"/>
    <w:p>
      <w:pPr>
        <w:ind w:left="1220" w:right="1299"/>
        <w:spacing w:after="0" w:line="235" w:lineRule="auto"/>
        <w:rPr>
          <w:sz w:val="20"/>
          <w:szCs w:val="20"/>
          <w:color w:val="auto"/>
        </w:rPr>
      </w:pPr>
      <w:r>
        <w:rPr>
          <w:rFonts w:ascii="Times New Roman" w:cs="Times New Roman" w:eastAsia="Times New Roman" w:hAnsi="Times New Roman"/>
          <w:sz w:val="17"/>
          <w:szCs w:val="17"/>
          <w:color w:val="auto"/>
        </w:rPr>
        <w:t>irreparable harm. Accordingly, the parties hereto agree that Indemnitee may enforce this Agreement by seeking injunctive relief and/or specific performance hereof, without any necessity of showing actual damage or irreparable harm (having agreed that actual and irreparable harm will result in not forcing the Company to specifically perform its obligations pursuant to this Agreement) and that by seeking injunctive relief and/or specific performance, Indemnitee shall not be precluded from seeking or obtaining any other relief to which he may be entitled. The Company and Indemnitee further agree that Indemnitee shall be entitled to such specific performance and injunctive relief, including temporary restraining orders, preliminary injunctions and permanent injunctions, without the necessity of posting bonds or other undertakings in connection therewith. The Company acknowledges that in the absence of a waiver, a bond or undertaking may be required of Indemnitee by the Court, and the Company hereby waives any such requirement of a bond or undertaking.</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30" w:name="page531"/>
    <w:bookmarkEnd w:id="530"/>
    <w:p>
      <w:pPr>
        <w:ind w:left="1220" w:right="1359" w:firstLine="454"/>
        <w:spacing w:after="0" w:line="259" w:lineRule="auto"/>
        <w:rPr>
          <w:sz w:val="20"/>
          <w:szCs w:val="20"/>
          <w:color w:val="auto"/>
        </w:rPr>
      </w:pPr>
      <w:r>
        <w:rPr>
          <w:rFonts w:ascii="Times New Roman" w:cs="Times New Roman" w:eastAsia="Times New Roman" w:hAnsi="Times New Roman"/>
          <w:sz w:val="17"/>
          <w:szCs w:val="17"/>
          <w:color w:val="auto"/>
        </w:rPr>
        <w:t>IN WITNESS WHEREOF, the parties have caused this Agreement to be signed as of the day and year first above written.</w:t>
      </w:r>
    </w:p>
    <w:p>
      <w:pPr>
        <w:spacing w:after="0" w:line="142"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2540</wp:posOffset>
            </wp:positionV>
            <wp:extent cx="2075815" cy="698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2075815" cy="6985"/>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17"/>
          <w:szCs w:val="17"/>
          <w:color w:val="auto"/>
        </w:rPr>
        <w:t>Name</w:t>
      </w:r>
    </w:p>
    <w:p>
      <w:pPr>
        <w:ind w:left="4520"/>
        <w:spacing w:after="0" w:line="232" w:lineRule="auto"/>
        <w:rPr>
          <w:sz w:val="20"/>
          <w:szCs w:val="20"/>
          <w:color w:val="auto"/>
        </w:rPr>
      </w:pPr>
      <w:r>
        <w:rPr>
          <w:rFonts w:ascii="Times New Roman" w:cs="Times New Roman" w:eastAsia="Times New Roman" w:hAnsi="Times New Roman"/>
          <w:sz w:val="17"/>
          <w:szCs w:val="17"/>
          <w:color w:val="auto"/>
        </w:rPr>
        <w:t>:</w:t>
      </w:r>
    </w:p>
    <w:p>
      <w:pPr>
        <w:ind w:left="4520"/>
        <w:spacing w:after="0"/>
        <w:rPr>
          <w:sz w:val="20"/>
          <w:szCs w:val="20"/>
          <w:color w:val="auto"/>
        </w:rPr>
      </w:pPr>
      <w:r>
        <w:rPr>
          <w:rFonts w:ascii="Times New Roman" w:cs="Times New Roman" w:eastAsia="Times New Roman" w:hAnsi="Times New Roman"/>
          <w:sz w:val="17"/>
          <w:szCs w:val="17"/>
          <w:color w:val="auto"/>
        </w:rPr>
        <w:t>Title:</w:t>
      </w:r>
    </w:p>
    <w:p>
      <w:pPr>
        <w:spacing w:after="0" w:line="1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[Name of 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-116840</wp:posOffset>
            </wp:positionV>
            <wp:extent cx="2075815" cy="698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2075815" cy="698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31" w:name="page532"/>
    <w:bookmarkEnd w:id="531"/>
    <w:p>
      <w:pPr>
        <w:ind w:left="6920"/>
        <w:spacing w:after="0"/>
        <w:rPr>
          <w:sz w:val="20"/>
          <w:szCs w:val="20"/>
          <w:color w:val="auto"/>
        </w:rPr>
      </w:pPr>
      <w:r>
        <w:rPr>
          <w:rFonts w:ascii="Times New Roman" w:cs="Times New Roman" w:eastAsia="Times New Roman" w:hAnsi="Times New Roman"/>
          <w:sz w:val="16"/>
          <w:szCs w:val="16"/>
          <w:b w:val="1"/>
          <w:bCs w:val="1"/>
          <w:color w:val="auto"/>
        </w:rPr>
        <w:t>Exhibit 10.7</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AVALYN PHARMA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SENIOR EXECUTIVE CASH INCENTIVE BONUS PLAN</w:t>
      </w:r>
    </w:p>
    <w:p>
      <w:pPr>
        <w:spacing w:after="0" w:line="313" w:lineRule="exact"/>
        <w:rPr>
          <w:sz w:val="20"/>
          <w:szCs w:val="20"/>
          <w:color w:val="auto"/>
        </w:rPr>
      </w:pPr>
    </w:p>
    <w:p>
      <w:pPr>
        <w:ind w:left="1720" w:hanging="496"/>
        <w:spacing w:after="0"/>
        <w:tabs>
          <w:tab w:leader="none" w:pos="1720"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Purpose</w:t>
      </w:r>
    </w:p>
    <w:p>
      <w:pPr>
        <w:spacing w:after="0" w:line="162"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This Senior Executive Cash Incentive Bonus Plan (the “Incentive Plan”) is intended to provide an incentive for superior work and to motivate eligible executives of Avalyn Pharma Inc. (the “Company”) and its subsidiaries toward even higher achievement and business results, to tie their goals and interests to those of the Company and its stockholders and to enable the Company to attract and retain highly qualified executives. The Incentive Plan is for the benefit of Covered Executives (as defined below).</w:t>
      </w:r>
    </w:p>
    <w:p>
      <w:pPr>
        <w:spacing w:after="0" w:line="140" w:lineRule="exact"/>
        <w:rPr>
          <w:sz w:val="20"/>
          <w:szCs w:val="20"/>
          <w:color w:val="auto"/>
        </w:rPr>
      </w:pPr>
    </w:p>
    <w:p>
      <w:pPr>
        <w:ind w:left="1720" w:hanging="496"/>
        <w:spacing w:after="0"/>
        <w:tabs>
          <w:tab w:leader="none" w:pos="1720" w:val="left"/>
        </w:tabs>
        <w:numPr>
          <w:ilvl w:val="0"/>
          <w:numId w:val="4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Covered Executives</w:t>
      </w:r>
    </w:p>
    <w:p>
      <w:pPr>
        <w:spacing w:after="0" w:line="162" w:lineRule="exact"/>
        <w:rPr>
          <w:sz w:val="20"/>
          <w:szCs w:val="20"/>
          <w:color w:val="auto"/>
        </w:rPr>
      </w:pPr>
    </w:p>
    <w:p>
      <w:pPr>
        <w:jc w:val="both"/>
        <w:ind w:left="1220" w:right="1239" w:firstLine="505"/>
        <w:spacing w:after="0" w:line="241" w:lineRule="auto"/>
        <w:rPr>
          <w:sz w:val="20"/>
          <w:szCs w:val="20"/>
          <w:color w:val="auto"/>
        </w:rPr>
      </w:pPr>
      <w:r>
        <w:rPr>
          <w:rFonts w:ascii="Times New Roman" w:cs="Times New Roman" w:eastAsia="Times New Roman" w:hAnsi="Times New Roman"/>
          <w:sz w:val="17"/>
          <w:szCs w:val="17"/>
          <w:color w:val="auto"/>
        </w:rPr>
        <w:t>From time to time, the Compensation Committee of the Board of Directors of the Company (the “Compensation Committee”) may select certain key executives (the “Covered Executives”) to be eligible to receive bonuses hereunder. Participation in the Incentive Plan does not change the “at will” nature of a Covered Executive’s employment with the Company.</w:t>
      </w:r>
    </w:p>
    <w:p>
      <w:pPr>
        <w:spacing w:after="0" w:line="140" w:lineRule="exact"/>
        <w:rPr>
          <w:sz w:val="20"/>
          <w:szCs w:val="20"/>
          <w:color w:val="auto"/>
        </w:rPr>
      </w:pPr>
    </w:p>
    <w:p>
      <w:pPr>
        <w:ind w:left="1720" w:hanging="496"/>
        <w:spacing w:after="0"/>
        <w:tabs>
          <w:tab w:leader="none" w:pos="1720" w:val="left"/>
        </w:tabs>
        <w:numPr>
          <w:ilvl w:val="0"/>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Administration</w:t>
      </w:r>
    </w:p>
    <w:p>
      <w:pPr>
        <w:spacing w:after="0" w:line="162" w:lineRule="exact"/>
        <w:rPr>
          <w:sz w:val="20"/>
          <w:szCs w:val="20"/>
          <w:color w:val="auto"/>
        </w:rPr>
      </w:pPr>
    </w:p>
    <w:p>
      <w:pPr>
        <w:ind w:left="1220" w:right="1239" w:firstLine="505"/>
        <w:spacing w:after="0" w:line="259" w:lineRule="auto"/>
        <w:rPr>
          <w:sz w:val="20"/>
          <w:szCs w:val="20"/>
          <w:color w:val="auto"/>
        </w:rPr>
      </w:pPr>
      <w:r>
        <w:rPr>
          <w:rFonts w:ascii="Times New Roman" w:cs="Times New Roman" w:eastAsia="Times New Roman" w:hAnsi="Times New Roman"/>
          <w:sz w:val="17"/>
          <w:szCs w:val="17"/>
          <w:color w:val="auto"/>
        </w:rPr>
        <w:t>The Compensation Committee shall have the sole discretion and authority to administer and interpret the Incentive Plan.</w:t>
      </w:r>
    </w:p>
    <w:p>
      <w:pPr>
        <w:spacing w:after="0" w:line="125" w:lineRule="exact"/>
        <w:rPr>
          <w:sz w:val="20"/>
          <w:szCs w:val="20"/>
          <w:color w:val="auto"/>
        </w:rPr>
      </w:pPr>
    </w:p>
    <w:p>
      <w:pPr>
        <w:ind w:left="1720" w:hanging="496"/>
        <w:spacing w:after="0"/>
        <w:tabs>
          <w:tab w:leader="none" w:pos="1720" w:val="left"/>
        </w:tabs>
        <w:numPr>
          <w:ilvl w:val="0"/>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Bonus Determinations</w:t>
      </w:r>
    </w:p>
    <w:p>
      <w:pPr>
        <w:spacing w:after="0" w:line="161" w:lineRule="exact"/>
        <w:rPr>
          <w:rFonts w:ascii="Times New Roman" w:cs="Times New Roman" w:eastAsia="Times New Roman" w:hAnsi="Times New Roman"/>
          <w:sz w:val="17"/>
          <w:szCs w:val="17"/>
          <w:color w:val="auto"/>
        </w:rPr>
      </w:pPr>
    </w:p>
    <w:p>
      <w:pPr>
        <w:jc w:val="both"/>
        <w:ind w:left="1220" w:right="1239" w:firstLine="509"/>
        <w:spacing w:after="0" w:line="233" w:lineRule="auto"/>
        <w:tabs>
          <w:tab w:leader="none" w:pos="2142" w:val="left"/>
        </w:tabs>
        <w:numPr>
          <w:ilvl w:val="1"/>
          <w:numId w:val="4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Performance Goals</w:t>
      </w:r>
      <w:r>
        <w:rPr>
          <w:rFonts w:ascii="Times New Roman" w:cs="Times New Roman" w:eastAsia="Times New Roman" w:hAnsi="Times New Roman"/>
          <w:sz w:val="17"/>
          <w:szCs w:val="17"/>
          <w:color w:val="auto"/>
        </w:rPr>
        <w:t>. A Covered Executive may receive a bonus payment under the Incentive Plan based upon the attainment of one or more performance objectives that are established by the Compensation Committee in its sole discretion and relate to financial and operational metrics with respect to the Company or any of its subsidiaries (the “Corporate Performance Goals”), including: developmental, publication, clinical or regulatory milestones; cash flow (including, but not limited to, operating cash flow and free cash flow); revenue; corporate revenue; earnings before interest, taxes, depreciation and amortization; net income (loss) (either before or after interest, taxes, depreciation and/or amortization); changes in the market price of the Company’s common stock; economic value-added; commercial, corporate development, acquisitions, licenses, collaborations, strategic partnerships or strategic transactions; financing or other capital raising transactions; operating income (loss); return on capital, assets, equity, or investment; stockholder returns; return on sales; total shareholder return; gross or net profit levels; productivity; operational excellence; expense efficiency; margins; operating efficiency; customer satisfaction; working capital; earnings (loss) per share of the Company’s common stock; bookings, new bookings or renewals; sales or market shares; number of prescriptions or prescribing physicians; coverage decisions; leadership development, culture and people, employee retention and recruiting and other human resources matters; operating income and/or net annual recurring revenue, or any other performance goal selected by the Compensation Committee, any of which may be (A) measured in absolute terms or compared to any incremental increase, (B) measured in terms of growth, (C) compared to another company or companies or to results of a peer group,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687070</wp:posOffset>
            </wp:positionV>
            <wp:extent cx="548576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532" w:name="page533"/>
    <w:bookmarkEnd w:id="532"/>
    <w:p>
      <w:pPr>
        <w:jc w:val="center"/>
        <w:ind w:right="19"/>
        <w:spacing w:after="0"/>
        <w:rPr>
          <w:sz w:val="20"/>
          <w:szCs w:val="20"/>
          <w:color w:val="auto"/>
        </w:rPr>
      </w:pPr>
      <w:r>
        <w:rPr>
          <w:rFonts w:ascii="Times New Roman" w:cs="Times New Roman" w:eastAsia="Times New Roman" w:hAnsi="Times New Roman"/>
          <w:sz w:val="17"/>
          <w:szCs w:val="17"/>
          <w:color w:val="auto"/>
        </w:rPr>
        <w:t>measured against the market as a whole and/or as compared to applicable market indices and/or</w:t>
      </w:r>
    </w:p>
    <w:p>
      <w:pPr>
        <w:spacing w:after="0" w:line="12" w:lineRule="exact"/>
        <w:rPr>
          <w:sz w:val="20"/>
          <w:szCs w:val="20"/>
          <w:color w:val="auto"/>
        </w:rPr>
      </w:pPr>
    </w:p>
    <w:p>
      <w:pPr>
        <w:jc w:val="both"/>
        <w:ind w:left="1220" w:right="1239" w:firstLine="4"/>
        <w:spacing w:after="0" w:line="234" w:lineRule="auto"/>
        <w:tabs>
          <w:tab w:leader="none" w:pos="1484" w:val="left"/>
        </w:tabs>
        <w:numPr>
          <w:ilvl w:val="0"/>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measured on a pre-tax or post-tax basis (if applicable). Further, any Corporate Performance Goals may be used to measure the performance of the Company as a whole or a business unit or other segment of the Company, or one or more product lines or specific markets. The Corporate Performance Goals may differ from Covered Executive to Covered Executive and from performance period to performance period.</w:t>
      </w:r>
    </w:p>
    <w:p>
      <w:pPr>
        <w:spacing w:after="0" w:line="143" w:lineRule="exact"/>
        <w:rPr>
          <w:rFonts w:ascii="Times New Roman" w:cs="Times New Roman" w:eastAsia="Times New Roman" w:hAnsi="Times New Roman"/>
          <w:sz w:val="17"/>
          <w:szCs w:val="17"/>
          <w:color w:val="auto"/>
        </w:rPr>
      </w:pPr>
    </w:p>
    <w:p>
      <w:pPr>
        <w:jc w:val="both"/>
        <w:ind w:left="1220" w:right="1239" w:firstLine="509"/>
        <w:spacing w:after="0" w:line="236" w:lineRule="auto"/>
        <w:tabs>
          <w:tab w:leader="none" w:pos="2162"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Calculation of Corporate Performance Goals</w:t>
      </w:r>
      <w:r>
        <w:rPr>
          <w:rFonts w:ascii="Times New Roman" w:cs="Times New Roman" w:eastAsia="Times New Roman" w:hAnsi="Times New Roman"/>
          <w:sz w:val="17"/>
          <w:szCs w:val="17"/>
          <w:color w:val="auto"/>
        </w:rPr>
        <w:t>. At the beginning of each applicable performance period, the Compensation Committee will determine whether any significant element(s) will be included in or excluded from the calculation of any Corporate Performance Goal with respect to any Covered Executive. In all other respects, Corporate Performance Goals will be calculated in accordance with the Company’s financial statements, generally accepted accounting principles or under a methodology established by the Compensation Committee at the beginning of the performance period and which is consistently applied with respect to a Corporate Performance Goal in the relevant performance period.</w:t>
      </w:r>
    </w:p>
    <w:p>
      <w:pPr>
        <w:spacing w:after="0" w:line="144" w:lineRule="exact"/>
        <w:rPr>
          <w:rFonts w:ascii="Times New Roman" w:cs="Times New Roman" w:eastAsia="Times New Roman" w:hAnsi="Times New Roman"/>
          <w:sz w:val="17"/>
          <w:szCs w:val="17"/>
          <w:color w:val="auto"/>
        </w:rPr>
      </w:pPr>
    </w:p>
    <w:p>
      <w:pPr>
        <w:jc w:val="both"/>
        <w:ind w:left="1220" w:right="1239" w:firstLine="509"/>
        <w:spacing w:after="0" w:line="246" w:lineRule="auto"/>
        <w:tabs>
          <w:tab w:leader="none" w:pos="2195" w:val="left"/>
        </w:tabs>
        <w:numPr>
          <w:ilvl w:val="1"/>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Target; Minimum; Maximum</w:t>
      </w:r>
      <w:r>
        <w:rPr>
          <w:rFonts w:ascii="Times New Roman" w:cs="Times New Roman" w:eastAsia="Times New Roman" w:hAnsi="Times New Roman"/>
          <w:sz w:val="17"/>
          <w:szCs w:val="17"/>
          <w:color w:val="auto"/>
        </w:rPr>
        <w:t>. Each Corporate Performance Goal shall have a “target” (i.e., 100 percent attainment of the Corporate Performance Goal) and may also have a “minimum” hurdle and/or a “maximum” amount.</w:t>
      </w:r>
    </w:p>
    <w:p>
      <w:pPr>
        <w:spacing w:after="0" w:line="135" w:lineRule="exact"/>
        <w:rPr>
          <w:sz w:val="20"/>
          <w:szCs w:val="20"/>
          <w:color w:val="auto"/>
        </w:rPr>
      </w:pPr>
    </w:p>
    <w:p>
      <w:pPr>
        <w:jc w:val="both"/>
        <w:ind w:left="1220" w:right="1239" w:firstLine="505"/>
        <w:spacing w:after="0" w:line="250" w:lineRule="auto"/>
        <w:rPr>
          <w:sz w:val="20"/>
          <w:szCs w:val="20"/>
          <w:color w:val="auto"/>
        </w:rPr>
      </w:pPr>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d) Bonus Requirements; Individual Goals. Except as otherwise set forth in this Section 4(d): (i) any bonuses paid to Covered Executives under the Incentive Plan shall be based upon objectively determinable bonus formulas that tie such bonuses to one or more performance targets relating to the Corporate Performance Goals, (ii) bonus formulas for Covered Executives shall be adopted in each performance period by the Compensation Committee and communicated to each Covered Executive at the beginning of each performance period and (iii) no bonuses shall be paid to Covered Executives unless and until the Compensation Committee makes a determination with respect to the attainment of the performance targets relating to the Corporate Performance Goals. Notwithstanding the foregoing, the Compensation Committee may adjust bonuses payable under the Incentive Plan based on achievement of one or more individual performance objectives or pay bonuses (including, without limitation, discretionary bonuses) to Covered Executives under the Incentive Plan based on individual performance goals and/or upon such other terms and conditions as the Compensation Committee may in its discretion determine.</w:t>
      </w:r>
    </w:p>
    <w:p>
      <w:pPr>
        <w:spacing w:after="0" w:line="137" w:lineRule="exact"/>
        <w:rPr>
          <w:sz w:val="20"/>
          <w:szCs w:val="20"/>
          <w:color w:val="auto"/>
        </w:rPr>
      </w:pPr>
    </w:p>
    <w:p>
      <w:pPr>
        <w:jc w:val="both"/>
        <w:ind w:left="1220" w:right="1239" w:firstLine="509"/>
        <w:spacing w:after="0" w:line="257" w:lineRule="auto"/>
        <w:tabs>
          <w:tab w:leader="none" w:pos="2163" w:val="left"/>
        </w:tabs>
        <w:numPr>
          <w:ilvl w:val="0"/>
          <w:numId w:val="4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Individual Target Bonuses</w:t>
      </w:r>
      <w:r>
        <w:rPr>
          <w:rFonts w:ascii="Times New Roman" w:cs="Times New Roman" w:eastAsia="Times New Roman" w:hAnsi="Times New Roman"/>
          <w:sz w:val="16"/>
          <w:szCs w:val="16"/>
          <w:color w:val="auto"/>
        </w:rPr>
        <w:t>. The Compensation Committee shall establish a target bonus opportunity for each Covered Executive for each performance period. For each Covered Executive, the Compensation Committee shall have the authority to apportion the target award so that a portion of the target award shall be tied to attainment of Corporate Performance Goals and a portion of the target award shall be tied to attainment of individual performance objectives.</w:t>
      </w:r>
    </w:p>
    <w:p>
      <w:pPr>
        <w:spacing w:after="0" w:line="129" w:lineRule="exact"/>
        <w:rPr>
          <w:rFonts w:ascii="Times New Roman" w:cs="Times New Roman" w:eastAsia="Times New Roman" w:hAnsi="Times New Roman"/>
          <w:sz w:val="16"/>
          <w:szCs w:val="16"/>
          <w:color w:val="auto"/>
        </w:rPr>
      </w:pPr>
    </w:p>
    <w:p>
      <w:pPr>
        <w:jc w:val="both"/>
        <w:ind w:left="1220" w:right="1239" w:firstLine="509"/>
        <w:spacing w:after="0" w:line="238" w:lineRule="auto"/>
        <w:tabs>
          <w:tab w:leader="none" w:pos="2155" w:val="left"/>
        </w:tabs>
        <w:numPr>
          <w:ilvl w:val="0"/>
          <w:numId w:val="4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Employment Requirement</w:t>
      </w:r>
      <w:r>
        <w:rPr>
          <w:rFonts w:ascii="Times New Roman" w:cs="Times New Roman" w:eastAsia="Times New Roman" w:hAnsi="Times New Roman"/>
          <w:sz w:val="17"/>
          <w:szCs w:val="17"/>
          <w:color w:val="auto"/>
        </w:rPr>
        <w:t>. Subject to any additional terms contained in a written agreement between the Covered Executive and the Company, the payment of a bonus to a Covered Executive with respect to a performance period shall be conditioned upon the Covered Executive’s employment by the Company on the bonus payment date. If a Covered Executive was not employed for an entire performance period, the Compensation Committee may pro rate the bonus based on the number of days employed during such period.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33" w:name="page534"/>
    <w:bookmarkEnd w:id="533"/>
    <w:p>
      <w:pPr>
        <w:ind w:left="1720" w:hanging="496"/>
        <w:spacing w:after="0"/>
        <w:tabs>
          <w:tab w:leader="none" w:pos="1720"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Timing of Payment</w:t>
      </w:r>
    </w:p>
    <w:p>
      <w:pPr>
        <w:spacing w:after="0" w:line="161" w:lineRule="exact"/>
        <w:rPr>
          <w:rFonts w:ascii="Times New Roman" w:cs="Times New Roman" w:eastAsia="Times New Roman" w:hAnsi="Times New Roman"/>
          <w:sz w:val="17"/>
          <w:szCs w:val="17"/>
          <w:color w:val="auto"/>
        </w:rPr>
      </w:pPr>
    </w:p>
    <w:p>
      <w:pPr>
        <w:jc w:val="both"/>
        <w:ind w:left="1220" w:right="1239" w:firstLine="509"/>
        <w:spacing w:after="0" w:line="237" w:lineRule="auto"/>
        <w:tabs>
          <w:tab w:leader="none" w:pos="2154"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Corporate Performance Goals established and measured on a basis more frequently than annually (e.g., quarterly or semi-annually), the Corporate Performance Goals will be measured at the end of each performance period after the Company’s financial reports with respect to such period(s) have been published, as applicable. If the Corporate Performance Goals and/or individual goals for such period are met, payments will be made as soon as practicable following the end of such period, but not later than two and one-half months after the end of the fiscal year in which such performance period ends.</w:t>
      </w:r>
    </w:p>
    <w:p>
      <w:pPr>
        <w:spacing w:after="0" w:line="141" w:lineRule="exact"/>
        <w:rPr>
          <w:rFonts w:ascii="Times New Roman" w:cs="Times New Roman" w:eastAsia="Times New Roman" w:hAnsi="Times New Roman"/>
          <w:sz w:val="17"/>
          <w:szCs w:val="17"/>
          <w:color w:val="auto"/>
        </w:rPr>
      </w:pPr>
    </w:p>
    <w:p>
      <w:pPr>
        <w:jc w:val="both"/>
        <w:ind w:left="1220" w:right="1239" w:firstLine="509"/>
        <w:spacing w:after="0" w:line="255" w:lineRule="auto"/>
        <w:tabs>
          <w:tab w:leader="none" w:pos="2156" w:val="left"/>
        </w:tabs>
        <w:numPr>
          <w:ilvl w:val="1"/>
          <w:numId w:val="4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Corporate Performance Goals established and measured on an annual or multi-year basis, Corporate Performance Goals will be measured as of the end of each such performance period (e.g., the end of each fiscal year) after the Company’s financial reports with respect to such period(s) have been published, as applicable. If the Corporate Performance Goals and/or individual goals for any such period are met, bonus payments will be made as soon as practicable, but not later than two and one-half months after the end of the relevant fiscal year.</w:t>
      </w:r>
    </w:p>
    <w:p>
      <w:pPr>
        <w:spacing w:after="0" w:line="130" w:lineRule="exact"/>
        <w:rPr>
          <w:rFonts w:ascii="Times New Roman" w:cs="Times New Roman" w:eastAsia="Times New Roman" w:hAnsi="Times New Roman"/>
          <w:sz w:val="16"/>
          <w:szCs w:val="16"/>
          <w:color w:val="auto"/>
        </w:rPr>
      </w:pPr>
    </w:p>
    <w:p>
      <w:pPr>
        <w:ind w:left="1220" w:right="1239" w:firstLine="509"/>
        <w:spacing w:after="0" w:line="259" w:lineRule="auto"/>
        <w:tabs>
          <w:tab w:leader="none" w:pos="2124" w:val="left"/>
        </w:tabs>
        <w:numPr>
          <w:ilvl w:val="1"/>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avoidance of doubt, bonuses earned at any time in a fiscal year must be paid no later than two and one-half months after the last day of such fiscal year.</w:t>
      </w:r>
    </w:p>
    <w:p>
      <w:pPr>
        <w:spacing w:after="0" w:line="124" w:lineRule="exact"/>
        <w:rPr>
          <w:rFonts w:ascii="Times New Roman" w:cs="Times New Roman" w:eastAsia="Times New Roman" w:hAnsi="Times New Roman"/>
          <w:sz w:val="17"/>
          <w:szCs w:val="17"/>
          <w:color w:val="auto"/>
        </w:rPr>
      </w:pPr>
    </w:p>
    <w:p>
      <w:pPr>
        <w:ind w:left="1720" w:hanging="496"/>
        <w:spacing w:after="0"/>
        <w:tabs>
          <w:tab w:leader="none" w:pos="1720" w:val="left"/>
        </w:tabs>
        <w:numPr>
          <w:ilvl w:val="0"/>
          <w:numId w:val="4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 and Termination</w:t>
      </w:r>
    </w:p>
    <w:p>
      <w:pPr>
        <w:spacing w:after="0" w:line="162" w:lineRule="exact"/>
        <w:rPr>
          <w:sz w:val="20"/>
          <w:szCs w:val="20"/>
          <w:color w:val="auto"/>
        </w:rPr>
      </w:pPr>
    </w:p>
    <w:p>
      <w:pPr>
        <w:ind w:left="1220" w:right="1239" w:firstLine="505"/>
        <w:spacing w:after="0" w:line="259" w:lineRule="auto"/>
        <w:rPr>
          <w:sz w:val="20"/>
          <w:szCs w:val="20"/>
          <w:color w:val="auto"/>
        </w:rPr>
      </w:pPr>
      <w:r>
        <w:rPr>
          <w:rFonts w:ascii="Times New Roman" w:cs="Times New Roman" w:eastAsia="Times New Roman" w:hAnsi="Times New Roman"/>
          <w:sz w:val="17"/>
          <w:szCs w:val="17"/>
          <w:color w:val="auto"/>
        </w:rPr>
        <w:t>The Company reserves the right to amend or terminate the Incentive Plan at any time in its sole discretion.</w:t>
      </w:r>
    </w:p>
    <w:p>
      <w:pPr>
        <w:spacing w:after="0" w:line="125" w:lineRule="exact"/>
        <w:rPr>
          <w:sz w:val="20"/>
          <w:szCs w:val="20"/>
          <w:color w:val="auto"/>
        </w:rPr>
      </w:pPr>
    </w:p>
    <w:p>
      <w:pPr>
        <w:ind w:left="1720" w:hanging="496"/>
        <w:spacing w:after="0"/>
        <w:tabs>
          <w:tab w:leader="none" w:pos="1720" w:val="left"/>
        </w:tabs>
        <w:numPr>
          <w:ilvl w:val="0"/>
          <w:numId w:val="4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 Recoupment Rights</w:t>
      </w:r>
    </w:p>
    <w:p>
      <w:pPr>
        <w:spacing w:after="0" w:line="162" w:lineRule="exact"/>
        <w:rPr>
          <w:sz w:val="20"/>
          <w:szCs w:val="20"/>
          <w:color w:val="auto"/>
        </w:rPr>
      </w:pPr>
    </w:p>
    <w:p>
      <w:pPr>
        <w:jc w:val="both"/>
        <w:ind w:left="1220" w:right="1239" w:firstLine="505"/>
        <w:spacing w:after="0" w:line="239" w:lineRule="auto"/>
        <w:rPr>
          <w:sz w:val="20"/>
          <w:szCs w:val="20"/>
          <w:color w:val="auto"/>
        </w:rPr>
      </w:pPr>
      <w:r>
        <w:rPr>
          <w:rFonts w:ascii="Times New Roman" w:cs="Times New Roman" w:eastAsia="Times New Roman" w:hAnsi="Times New Roman"/>
          <w:sz w:val="17"/>
          <w:szCs w:val="17"/>
          <w:color w:val="auto"/>
        </w:rPr>
        <w:t>A Covered Executive’s rights with respect to any award granted pursuant to the Incentive Plan shall in all events be subject to reduction, cancellation, forfeiture or recoupment to the extent necessary to comply with (i) any right that the Company may have under any Company clawback, forfeiture or recoupment policy as in effect from time to time or other agreement or arrangement with a Covered Executive, or (ii) applicable law.</w:t>
      </w:r>
    </w:p>
    <w:p>
      <w:pPr>
        <w:spacing w:after="0" w:line="141"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Adopted April 6, 2026, subject to effectiveness of the Company’s Registration Statement on Form S-1.</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34" w:name="page535"/>
    <w:bookmarkEnd w:id="534"/>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10.9</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AVALYN PHARMA INC.</w:t>
      </w:r>
    </w:p>
    <w:p>
      <w:pPr>
        <w:spacing w:after="0" w:line="1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NON-EMPLOYEE DIRECTOR COMPENSATION POLICY</w:t>
      </w:r>
    </w:p>
    <w:p>
      <w:pPr>
        <w:spacing w:after="0" w:line="171" w:lineRule="exact"/>
        <w:rPr>
          <w:sz w:val="20"/>
          <w:szCs w:val="20"/>
          <w:color w:val="auto"/>
        </w:rPr>
      </w:pPr>
    </w:p>
    <w:p>
      <w:pPr>
        <w:jc w:val="both"/>
        <w:ind w:left="1220" w:right="1239"/>
        <w:spacing w:after="0" w:line="242" w:lineRule="auto"/>
        <w:rPr>
          <w:sz w:val="20"/>
          <w:szCs w:val="20"/>
          <w:color w:val="auto"/>
        </w:rPr>
      </w:pPr>
      <w:r>
        <w:rPr>
          <w:rFonts w:ascii="Times New Roman" w:cs="Times New Roman" w:eastAsia="Times New Roman" w:hAnsi="Times New Roman"/>
          <w:sz w:val="17"/>
          <w:szCs w:val="17"/>
          <w:color w:val="auto"/>
        </w:rPr>
        <w:t xml:space="preserve">The purpose of this Non-Employee Director Compensation Policy (the “Policy”) of Avalyn Pharma Inc.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16"/>
          <w:szCs w:val="16"/>
          <w:color w:val="auto"/>
        </w:rPr>
        <w:t>This Policy will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6"/>
          <w:szCs w:val="16"/>
          <w:color w:val="auto"/>
        </w:rPr>
        <w:t>become effective as of the effective time of the registration statement for the Company’s initial public offering of its equity securities (the “Effective Date”). In furtherance of the purpose stated above, all Outside Directors shall be paid compensation for services provided to the Company as Outside Directors as set forth below:</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Cash Retainers</w:t>
      </w:r>
    </w:p>
    <w:p>
      <w:pPr>
        <w:spacing w:after="0" w:line="162" w:lineRule="exact"/>
        <w:rPr>
          <w:sz w:val="20"/>
          <w:szCs w:val="20"/>
          <w:color w:val="auto"/>
        </w:rPr>
      </w:pPr>
    </w:p>
    <w:p>
      <w:pPr>
        <w:jc w:val="both"/>
        <w:ind w:left="1220" w:right="1239"/>
        <w:spacing w:after="0" w:line="261" w:lineRule="auto"/>
        <w:rPr>
          <w:sz w:val="20"/>
          <w:szCs w:val="20"/>
          <w:color w:val="auto"/>
        </w:rPr>
      </w:pPr>
      <w:r>
        <w:rPr>
          <w:rFonts w:ascii="Times New Roman" w:cs="Times New Roman" w:eastAsia="Times New Roman" w:hAnsi="Times New Roman"/>
          <w:sz w:val="16"/>
          <w:szCs w:val="16"/>
          <w:u w:val="single" w:color="auto"/>
          <w:color w:val="auto"/>
        </w:rPr>
        <w:t>Annual Retainer for Board Membership</w:t>
      </w:r>
      <w:r>
        <w:rPr>
          <w:rFonts w:ascii="Times New Roman" w:cs="Times New Roman" w:eastAsia="Times New Roman" w:hAnsi="Times New Roman"/>
          <w:sz w:val="16"/>
          <w:szCs w:val="16"/>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29" w:lineRule="exact"/>
        <w:rPr>
          <w:sz w:val="20"/>
          <w:szCs w:val="20"/>
          <w:color w:val="auto"/>
        </w:rPr>
      </w:pPr>
    </w:p>
    <w:tbl>
      <w:tblPr>
        <w:tblLayout w:type="fixed"/>
        <w:tblInd w:w="1360" w:type="dxa"/>
        <w:tblCellMar>
          <w:top w:w="0" w:type="dxa"/>
          <w:left w:w="0" w:type="dxa"/>
          <w:bottom w:w="0" w:type="dxa"/>
          <w:right w:w="0" w:type="dxa"/>
        </w:tblCellMar>
      </w:tblPr>
      <w:tr>
        <w:trPr>
          <w:trHeight w:val="195"/>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Additional Annual Retainer for Non-Executive Chairperson</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8"/>
              </w:rPr>
              <w:t>30,000</w:t>
            </w:r>
          </w:p>
        </w:tc>
      </w:tr>
      <w:tr>
        <w:trPr>
          <w:trHeight w:val="358"/>
        </w:trPr>
        <w:tc>
          <w:tcPr>
            <w:tcW w:w="40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auto"/>
              </w:rPr>
              <w:t>Additional Annual Retainers for Committee Membership:</w:t>
            </w: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98"/>
        </w:trPr>
        <w:tc>
          <w:tcPr>
            <w:tcW w:w="3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Audit Committee Chairperson:</w:t>
            </w:r>
          </w:p>
        </w:tc>
        <w:tc>
          <w:tcPr>
            <w:tcW w:w="980" w:type="dxa"/>
            <w:vAlign w:val="bottom"/>
            <w:gridSpan w:val="2"/>
          </w:tcPr>
          <w:p>
            <w:pPr>
              <w:spacing w:after="0"/>
              <w:rPr>
                <w:sz w:val="24"/>
                <w:szCs w:val="24"/>
                <w:color w:val="auto"/>
              </w:rPr>
            </w:pP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8"/>
              </w:rPr>
              <w:t>15,000</w:t>
            </w:r>
          </w:p>
        </w:tc>
      </w:tr>
      <w:tr>
        <w:trPr>
          <w:trHeight w:val="378"/>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Audit Committee member:</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9"/>
              </w:rPr>
              <w:t>7,500</w:t>
            </w:r>
          </w:p>
        </w:tc>
      </w:tr>
      <w:tr>
        <w:trPr>
          <w:trHeight w:val="378"/>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Compensation Committee Chairperson:</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8"/>
              </w:rPr>
              <w:t>12,000</w:t>
            </w:r>
          </w:p>
        </w:tc>
      </w:tr>
      <w:tr>
        <w:trPr>
          <w:trHeight w:val="378"/>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Chairperson:</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9"/>
              </w:rPr>
              <w:t>6,000</w:t>
            </w:r>
          </w:p>
        </w:tc>
      </w:tr>
      <w:tr>
        <w:trPr>
          <w:trHeight w:val="378"/>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Compensation Committee member:</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8"/>
              </w:rPr>
              <w:t>10,000</w:t>
            </w:r>
          </w:p>
        </w:tc>
      </w:tr>
      <w:tr>
        <w:trPr>
          <w:trHeight w:val="378"/>
        </w:trPr>
        <w:tc>
          <w:tcPr>
            <w:tcW w:w="4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Nominating and Corporate Governance Committee member:</w:t>
            </w:r>
          </w:p>
        </w:tc>
        <w:tc>
          <w:tcPr>
            <w:tcW w:w="72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center"/>
              <w:ind w:left="96"/>
              <w:spacing w:after="0"/>
              <w:rPr>
                <w:sz w:val="20"/>
                <w:szCs w:val="20"/>
                <w:color w:val="auto"/>
              </w:rPr>
            </w:pPr>
            <w:r>
              <w:rPr>
                <w:rFonts w:ascii="Times New Roman" w:cs="Times New Roman" w:eastAsia="Times New Roman" w:hAnsi="Times New Roman"/>
                <w:sz w:val="17"/>
                <w:szCs w:val="17"/>
                <w:color w:val="auto"/>
                <w:w w:val="99"/>
              </w:rPr>
              <w:t>5,000</w:t>
            </w:r>
          </w:p>
        </w:tc>
      </w:tr>
    </w:tbl>
    <w:p>
      <w:pPr>
        <w:spacing w:after="0" w:line="16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Equity Retainers</w:t>
      </w:r>
    </w:p>
    <w:p>
      <w:pPr>
        <w:spacing w:after="0" w:line="162" w:lineRule="exact"/>
        <w:rPr>
          <w:sz w:val="20"/>
          <w:szCs w:val="20"/>
          <w:color w:val="auto"/>
        </w:rPr>
      </w:pPr>
    </w:p>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All grants of equity retainer awards to Outside Directors pursuant to this Policy will be automatic and nondiscretionary and will be made in accordance with the following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667385</wp:posOffset>
            </wp:positionV>
            <wp:extent cx="5485765" cy="3873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19" w:right="1440" w:bottom="1440" w:gutter="0" w:footer="0" w:header="0"/>
        </w:sectPr>
      </w:pPr>
    </w:p>
    <w:bookmarkStart w:id="535" w:name="page536"/>
    <w:bookmarkEnd w:id="535"/>
    <w:p>
      <w:pPr>
        <w:jc w:val="both"/>
        <w:ind w:left="1220" w:right="1239"/>
        <w:spacing w:after="0" w:line="251" w:lineRule="auto"/>
        <w:rPr>
          <w:sz w:val="20"/>
          <w:szCs w:val="20"/>
          <w:color w:val="auto"/>
        </w:rPr>
      </w:pPr>
      <w:r>
        <w:rPr>
          <w:rFonts w:ascii="Times New Roman" w:cs="Times New Roman" w:eastAsia="Times New Roman" w:hAnsi="Times New Roman"/>
          <w:sz w:val="16"/>
          <w:szCs w:val="16"/>
          <w:u w:val="single" w:color="auto"/>
          <w:color w:val="auto"/>
        </w:rPr>
        <w:t>Initial Award</w:t>
      </w:r>
      <w:r>
        <w:rPr>
          <w:rFonts w:ascii="Times New Roman" w:cs="Times New Roman" w:eastAsia="Times New Roman" w:hAnsi="Times New Roman"/>
          <w:sz w:val="16"/>
          <w:szCs w:val="16"/>
          <w:color w:val="auto"/>
        </w:rPr>
        <w:t>: Upon his or her initial election to the Board of Directors, each Outside Director will receive an initial, one-time stock option award (the “Initial Award”) to purchase 600,000 shares, which shall vest in equal annual installments over three years from the date of grant; provided, however, that all vesting shall cease if the director resigns from the Board of Directors or otherwise ceases to serve as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2026 Stock Option and Incentive Plan) of the Company’s common stock on the date of grant. This Initial Award applies only to Outside Directors who are first elected to the Board of Directors subsequent to the Effective Date.</w:t>
      </w:r>
    </w:p>
    <w:p>
      <w:pPr>
        <w:spacing w:after="0" w:line="136" w:lineRule="exact"/>
        <w:rPr>
          <w:sz w:val="20"/>
          <w:szCs w:val="20"/>
          <w:color w:val="auto"/>
        </w:rPr>
      </w:pPr>
    </w:p>
    <w:p>
      <w:pPr>
        <w:jc w:val="both"/>
        <w:ind w:left="1220" w:right="1239"/>
        <w:spacing w:after="0" w:line="235" w:lineRule="auto"/>
        <w:rPr>
          <w:sz w:val="20"/>
          <w:szCs w:val="20"/>
          <w:color w:val="auto"/>
        </w:rPr>
      </w:pPr>
      <w:r>
        <w:rPr>
          <w:rFonts w:ascii="Times New Roman" w:cs="Times New Roman" w:eastAsia="Times New Roman" w:hAnsi="Times New Roman"/>
          <w:sz w:val="17"/>
          <w:szCs w:val="17"/>
          <w:u w:val="single" w:color="auto"/>
          <w:color w:val="auto"/>
        </w:rPr>
        <w:t>Annual Award</w:t>
      </w:r>
      <w:r>
        <w:rPr>
          <w:rFonts w:ascii="Times New Roman" w:cs="Times New Roman" w:eastAsia="Times New Roman" w:hAnsi="Times New Roman"/>
          <w:sz w:val="17"/>
          <w:szCs w:val="17"/>
          <w:color w:val="auto"/>
        </w:rPr>
        <w:t>: On each date of each Annual Meeting of Stockholders of the Company following the Effective Date (the “Annual Meeting”), each continuing Outside Director, other than a director receiving an Initial Award, will receive an annual stock option award (the “Annual Award”) to purchase 300,000 shares,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Such Annual Award shall expire ten years from the date of grant, and shall have a per share exercise price equal to the Fair Market Value of the Company’s common stock on the date of grant.</w:t>
      </w:r>
    </w:p>
    <w:p>
      <w:pPr>
        <w:spacing w:after="0" w:line="146"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u w:val="single" w:color="auto"/>
          <w:color w:val="auto"/>
        </w:rPr>
        <w:t>Sale Event Acceleration</w:t>
      </w:r>
      <w:r>
        <w:rPr>
          <w:rFonts w:ascii="Times New Roman" w:cs="Times New Roman" w:eastAsia="Times New Roman" w:hAnsi="Times New Roman"/>
          <w:sz w:val="17"/>
          <w:szCs w:val="17"/>
          <w:color w:val="auto"/>
        </w:rPr>
        <w:t>: All outstanding Initial Awards and Annual Awards held by an Outside Director shall become fully vested and exercisable upon a Sale Event (as defined in the Company’s 2026 Stock Option and Incentive Plan).</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Expenses</w:t>
      </w:r>
    </w:p>
    <w:p>
      <w:pPr>
        <w:spacing w:after="0" w:line="162"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The Company will reimburse all reasonable out-of-pocket expenses incurred by Outside Directors in attending meetings of the Board of Directors or any committee thereof.</w:t>
      </w:r>
    </w:p>
    <w:p>
      <w:pPr>
        <w:spacing w:after="0" w:line="1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u w:val="single" w:color="auto"/>
          <w:color w:val="auto"/>
        </w:rPr>
        <w:t>Maximum Annual Compensation</w:t>
      </w:r>
    </w:p>
    <w:p>
      <w:pPr>
        <w:spacing w:after="0" w:line="162" w:lineRule="exact"/>
        <w:rPr>
          <w:sz w:val="20"/>
          <w:szCs w:val="20"/>
          <w:color w:val="auto"/>
        </w:rPr>
      </w:pPr>
    </w:p>
    <w:p>
      <w:pPr>
        <w:jc w:val="both"/>
        <w:ind w:left="1220" w:right="1239"/>
        <w:spacing w:after="0" w:line="234" w:lineRule="auto"/>
        <w:rPr>
          <w:sz w:val="20"/>
          <w:szCs w:val="20"/>
          <w:color w:val="auto"/>
        </w:rPr>
      </w:pPr>
      <w:r>
        <w:rPr>
          <w:rFonts w:ascii="Times New Roman" w:cs="Times New Roman" w:eastAsia="Times New Roman" w:hAnsi="Times New Roman"/>
          <w:sz w:val="17"/>
          <w:szCs w:val="17"/>
          <w:color w:val="auto"/>
        </w:rPr>
        <w:t>The aggregate amount of compensation, including both equity compensation and cash compensation, paid by the Company to any Outside Director in a calendar year for services as an Outside Director shall not exceed $750,000 (or such other limit as may be set forth in Section 3(b) of the Company’s 2026 Stock Option and Incentive Plan, as amended from time to time, or any similar provision of a successor plan); provided, however, that in the first calendar year in which an individual becomes an Outside Director, the aggregate amount of all equity compensation awarded and all other cash compensation paid by the Company to such Outside Director for services as an Outside Director shall not exceed $1,000,000 (or such other limit as may be set forth in Section 3(b) of the Company’s 2026 Stock Option and Incentive Plan, as amended from time to time,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36" w:name="page537"/>
    <w:bookmarkEnd w:id="536"/>
    <w:p>
      <w:pPr>
        <w:ind w:left="1220"/>
        <w:spacing w:after="0"/>
        <w:rPr>
          <w:sz w:val="20"/>
          <w:szCs w:val="20"/>
          <w:color w:val="auto"/>
        </w:rPr>
      </w:pPr>
      <w:r>
        <w:rPr>
          <w:rFonts w:ascii="Times New Roman" w:cs="Times New Roman" w:eastAsia="Times New Roman" w:hAnsi="Times New Roman"/>
          <w:sz w:val="17"/>
          <w:szCs w:val="17"/>
          <w:color w:val="auto"/>
        </w:rPr>
        <w:t>Adopted April 6, 2026.</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377825</wp:posOffset>
            </wp:positionV>
            <wp:extent cx="54857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537" w:name="page538"/>
    <w:bookmarkEnd w:id="537"/>
    <w:p>
      <w:pPr>
        <w:ind w:left="6880"/>
        <w:spacing w:after="0"/>
        <w:rPr>
          <w:sz w:val="20"/>
          <w:szCs w:val="20"/>
          <w:color w:val="auto"/>
        </w:rPr>
      </w:pPr>
      <w:r>
        <w:rPr>
          <w:rFonts w:ascii="Times New Roman" w:cs="Times New Roman" w:eastAsia="Times New Roman" w:hAnsi="Times New Roman"/>
          <w:sz w:val="16"/>
          <w:szCs w:val="16"/>
          <w:b w:val="1"/>
          <w:bCs w:val="1"/>
          <w:color w:val="auto"/>
        </w:rPr>
        <w:t>Exhibit 10.10</w:t>
      </w:r>
    </w:p>
    <w:p>
      <w:pPr>
        <w:spacing w:after="0" w:line="17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2"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COMPENSATION RECOVERY POLICY</w:t>
      </w:r>
    </w:p>
    <w:p>
      <w:pPr>
        <w:spacing w:after="0" w:line="162"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Adopted as of April 6, 2026, subject to effectiveness of the Company’s Registration</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Statement on Form S-1 for its initial public offering.</w:t>
      </w:r>
    </w:p>
    <w:p>
      <w:pPr>
        <w:spacing w:after="0" w:line="144" w:lineRule="exact"/>
        <w:rPr>
          <w:sz w:val="20"/>
          <w:szCs w:val="20"/>
          <w:color w:val="auto"/>
        </w:rPr>
      </w:pPr>
    </w:p>
    <w:p>
      <w:pPr>
        <w:ind w:left="1220" w:right="1199"/>
        <w:spacing w:after="0" w:line="259" w:lineRule="auto"/>
        <w:rPr>
          <w:sz w:val="20"/>
          <w:szCs w:val="20"/>
          <w:color w:val="auto"/>
        </w:rPr>
      </w:pPr>
      <w:r>
        <w:rPr>
          <w:rFonts w:ascii="Times New Roman" w:cs="Times New Roman" w:eastAsia="Times New Roman" w:hAnsi="Times New Roman"/>
          <w:sz w:val="17"/>
          <w:szCs w:val="17"/>
          <w:color w:val="auto"/>
        </w:rPr>
        <w:t>Avalyn Pharma Inc., a Delaware corporation (the “Company”), has adopted a Compensation Recovery Policy (this “Policy”) as described below.</w:t>
      </w:r>
    </w:p>
    <w:p>
      <w:pPr>
        <w:spacing w:after="0" w:line="121" w:lineRule="exact"/>
        <w:rPr>
          <w:sz w:val="20"/>
          <w:szCs w:val="20"/>
          <w:color w:val="auto"/>
        </w:rPr>
      </w:pPr>
    </w:p>
    <w:p>
      <w:pPr>
        <w:ind w:left="1720" w:hanging="496"/>
        <w:spacing w:after="0"/>
        <w:tabs>
          <w:tab w:leader="none" w:pos="1720" w:val="left"/>
        </w:tabs>
        <w:numPr>
          <w:ilvl w:val="0"/>
          <w:numId w:val="4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Overview</w:t>
      </w:r>
    </w:p>
    <w:p>
      <w:pPr>
        <w:spacing w:after="0" w:line="166" w:lineRule="exact"/>
        <w:rPr>
          <w:sz w:val="20"/>
          <w:szCs w:val="20"/>
          <w:color w:val="auto"/>
        </w:rPr>
      </w:pPr>
    </w:p>
    <w:p>
      <w:pPr>
        <w:jc w:val="both"/>
        <w:ind w:left="1220" w:right="1199"/>
        <w:spacing w:after="0" w:line="238" w:lineRule="auto"/>
        <w:rPr>
          <w:sz w:val="20"/>
          <w:szCs w:val="20"/>
          <w:color w:val="auto"/>
        </w:rPr>
      </w:pPr>
      <w:r>
        <w:rPr>
          <w:rFonts w:ascii="Times New Roman" w:cs="Times New Roman" w:eastAsia="Times New Roman" w:hAnsi="Times New Roman"/>
          <w:sz w:val="17"/>
          <w:szCs w:val="17"/>
          <w:color w:val="auto"/>
        </w:rPr>
        <w:t>The Policy sets forth the circumstances and procedures under which the Company shall recover Erroneously Awarded Compensation from Covered Persons (as defined below) in accordance with rules issued by the United States Securities and Exchange Commission (the “SEC”) under the Securities Exchange Act of 1934, as amended (the “Exchange Act”), and the Nasdaq Global Market. Capitalized terms used and not otherwise defined herein shall have the meanings given in Section 3 below.</w:t>
      </w:r>
    </w:p>
    <w:p>
      <w:pPr>
        <w:spacing w:after="0" w:line="136" w:lineRule="exact"/>
        <w:rPr>
          <w:sz w:val="20"/>
          <w:szCs w:val="20"/>
          <w:color w:val="auto"/>
        </w:rPr>
      </w:pPr>
    </w:p>
    <w:p>
      <w:pPr>
        <w:ind w:left="1720" w:hanging="496"/>
        <w:spacing w:after="0"/>
        <w:tabs>
          <w:tab w:leader="none" w:pos="1720" w:val="left"/>
        </w:tabs>
        <w:numPr>
          <w:ilvl w:val="0"/>
          <w:numId w:val="4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Recovery Requirement</w:t>
      </w:r>
    </w:p>
    <w:p>
      <w:pPr>
        <w:spacing w:after="0" w:line="166" w:lineRule="exact"/>
        <w:rPr>
          <w:sz w:val="20"/>
          <w:szCs w:val="20"/>
          <w:color w:val="auto"/>
        </w:rPr>
      </w:pPr>
    </w:p>
    <w:p>
      <w:pPr>
        <w:jc w:val="both"/>
        <w:ind w:left="1220" w:right="1199"/>
        <w:spacing w:after="0" w:line="246" w:lineRule="auto"/>
        <w:rPr>
          <w:sz w:val="20"/>
          <w:szCs w:val="20"/>
          <w:color w:val="auto"/>
        </w:rPr>
      </w:pPr>
      <w:r>
        <w:rPr>
          <w:rFonts w:ascii="Times New Roman" w:cs="Times New Roman" w:eastAsia="Times New Roman" w:hAnsi="Times New Roman"/>
          <w:sz w:val="17"/>
          <w:szCs w:val="17"/>
          <w:color w:val="auto"/>
        </w:rPr>
        <w:t>In the event the Company is required to prepare a Financial Restatement, the Company shall recover reasonably promptly all Erroneously Awarded Compensation with respect to such Financial Restatement.</w:t>
      </w:r>
    </w:p>
    <w:p>
      <w:pPr>
        <w:spacing w:after="0" w:line="131" w:lineRule="exact"/>
        <w:rPr>
          <w:sz w:val="20"/>
          <w:szCs w:val="20"/>
          <w:color w:val="auto"/>
        </w:rPr>
      </w:pPr>
    </w:p>
    <w:p>
      <w:pPr>
        <w:ind w:left="1720" w:hanging="496"/>
        <w:spacing w:after="0"/>
        <w:tabs>
          <w:tab w:leader="none" w:pos="1720" w:val="left"/>
        </w:tabs>
        <w:numPr>
          <w:ilvl w:val="0"/>
          <w:numId w:val="4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w:t>
      </w:r>
    </w:p>
    <w:p>
      <w:pPr>
        <w:spacing w:after="0" w:line="165" w:lineRule="exact"/>
        <w:rPr>
          <w:rFonts w:ascii="Times New Roman" w:cs="Times New Roman" w:eastAsia="Times New Roman" w:hAnsi="Times New Roman"/>
          <w:sz w:val="17"/>
          <w:szCs w:val="17"/>
          <w:b w:val="1"/>
          <w:bCs w:val="1"/>
          <w:color w:val="auto"/>
        </w:rPr>
      </w:pPr>
    </w:p>
    <w:p>
      <w:pPr>
        <w:jc w:val="both"/>
        <w:ind w:left="1980" w:right="1199" w:hanging="251"/>
        <w:spacing w:after="0" w:line="238" w:lineRule="auto"/>
        <w:tabs>
          <w:tab w:leader="none" w:pos="1980"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Recovery Period” means the three completed fiscal years immediately preceding the Restatement Date for a Financial Restatement. In addition, in the event the Company has changed its fiscal year: (i)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40" w:lineRule="exact"/>
        <w:rPr>
          <w:rFonts w:ascii="Times New Roman" w:cs="Times New Roman" w:eastAsia="Times New Roman" w:hAnsi="Times New Roman"/>
          <w:sz w:val="17"/>
          <w:szCs w:val="17"/>
          <w:color w:val="auto"/>
        </w:rPr>
      </w:pPr>
    </w:p>
    <w:p>
      <w:pPr>
        <w:jc w:val="both"/>
        <w:ind w:left="1980" w:right="1199" w:hanging="251"/>
        <w:spacing w:after="0" w:line="246" w:lineRule="auto"/>
        <w:tabs>
          <w:tab w:leader="none" w:pos="1980"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Rules” means any rules or regulations adopted by the Exchange pursuant to Rule 10D-1 under the Exchange Act and any applicable rules or regulations adopted by the SEC pursuant to Section 10D of the Exchange Act.</w:t>
      </w:r>
    </w:p>
    <w:p>
      <w:pPr>
        <w:spacing w:after="0" w:line="134" w:lineRule="exact"/>
        <w:rPr>
          <w:rFonts w:ascii="Times New Roman" w:cs="Times New Roman" w:eastAsia="Times New Roman" w:hAnsi="Times New Roman"/>
          <w:sz w:val="17"/>
          <w:szCs w:val="17"/>
          <w:color w:val="auto"/>
        </w:rPr>
      </w:pPr>
    </w:p>
    <w:p>
      <w:pPr>
        <w:ind w:left="1980" w:hanging="251"/>
        <w:spacing w:after="0"/>
        <w:tabs>
          <w:tab w:leader="none" w:pos="1980"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61" w:lineRule="exact"/>
        <w:rPr>
          <w:rFonts w:ascii="Times New Roman" w:cs="Times New Roman" w:eastAsia="Times New Roman" w:hAnsi="Times New Roman"/>
          <w:sz w:val="17"/>
          <w:szCs w:val="17"/>
          <w:color w:val="auto"/>
        </w:rPr>
      </w:pPr>
    </w:p>
    <w:p>
      <w:pPr>
        <w:ind w:left="1980" w:right="1199" w:hanging="251"/>
        <w:spacing w:after="0" w:line="259" w:lineRule="auto"/>
        <w:tabs>
          <w:tab w:leader="none" w:pos="1980"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“Committee” means the Compensation Committee of the Board or, in the absence of such committee, a majority of independent directors serving on the Board.</w:t>
      </w:r>
    </w:p>
    <w:p>
      <w:pPr>
        <w:spacing w:after="0" w:line="124" w:lineRule="exact"/>
        <w:rPr>
          <w:rFonts w:ascii="Times New Roman" w:cs="Times New Roman" w:eastAsia="Times New Roman" w:hAnsi="Times New Roman"/>
          <w:sz w:val="17"/>
          <w:szCs w:val="17"/>
          <w:color w:val="auto"/>
        </w:rPr>
      </w:pPr>
    </w:p>
    <w:p>
      <w:pPr>
        <w:jc w:val="both"/>
        <w:ind w:left="1980" w:right="1199" w:hanging="251"/>
        <w:spacing w:after="0" w:line="246" w:lineRule="auto"/>
        <w:tabs>
          <w:tab w:leader="none" w:pos="1980"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“Covered Person” means any Executive Officer. A person’s status as a Covered Person with respect to Erroneously Awarded Compensation shall be determined as of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746760</wp:posOffset>
            </wp:positionV>
            <wp:extent cx="5485765" cy="387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66" w:right="1440" w:bottom="1440" w:gutter="0" w:footer="0" w:header="0"/>
        </w:sectPr>
      </w:pPr>
    </w:p>
    <w:bookmarkStart w:id="538" w:name="page539"/>
    <w:bookmarkEnd w:id="538"/>
    <w:p>
      <w:pPr>
        <w:jc w:val="both"/>
        <w:ind w:left="1980" w:right="1199"/>
        <w:spacing w:after="0" w:line="236" w:lineRule="auto"/>
        <w:rPr>
          <w:sz w:val="20"/>
          <w:szCs w:val="20"/>
          <w:color w:val="auto"/>
        </w:rPr>
      </w:pPr>
      <w:r>
        <w:rPr>
          <w:rFonts w:ascii="Times New Roman" w:cs="Times New Roman" w:eastAsia="Times New Roman" w:hAnsi="Times New Roman"/>
          <w:sz w:val="17"/>
          <w:szCs w:val="17"/>
          <w:color w:val="auto"/>
        </w:rPr>
        <w:t>of receipt of such Erroneously Awarded Compensation regardless of the person’s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41" w:lineRule="exact"/>
        <w:rPr>
          <w:sz w:val="20"/>
          <w:szCs w:val="20"/>
          <w:color w:val="auto"/>
        </w:rPr>
      </w:pPr>
    </w:p>
    <w:p>
      <w:pPr>
        <w:ind w:left="1980" w:right="1199" w:hanging="251"/>
        <w:spacing w:after="0" w:line="259" w:lineRule="auto"/>
        <w:tabs>
          <w:tab w:leader="none" w:pos="1980"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“Effective Date” means the date of effectiveness of the Company’s Registration Statement on Form S-1 for its initial public offering.</w:t>
      </w:r>
    </w:p>
    <w:p>
      <w:pPr>
        <w:spacing w:after="0" w:line="124" w:lineRule="exact"/>
        <w:rPr>
          <w:rFonts w:ascii="Times New Roman" w:cs="Times New Roman" w:eastAsia="Times New Roman" w:hAnsi="Times New Roman"/>
          <w:sz w:val="17"/>
          <w:szCs w:val="17"/>
          <w:color w:val="auto"/>
        </w:rPr>
      </w:pPr>
    </w:p>
    <w:p>
      <w:pPr>
        <w:jc w:val="both"/>
        <w:ind w:left="1980" w:right="1199" w:hanging="251"/>
        <w:spacing w:after="0" w:line="234" w:lineRule="auto"/>
        <w:tabs>
          <w:tab w:leader="none" w:pos="1980"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“Erroneously Awarded Compensation” means the amount of any Incentive-Based Compensation received by a Covered Person on or after the Effective Date and during the Applicable Recovery Period that exceeds the amount that otherwise would have been received by the Covered Person had such compensation been determined based on the restated amounts in a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Financial Restatement, shall be based on a reasonable estimate of the effect of the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 Incentive-Based Compensation is deemed received, earned or vested when the Financial Reporting Measure is attained, not when the actual payment, grant or vesting occurs.</w:t>
      </w:r>
    </w:p>
    <w:p>
      <w:pPr>
        <w:spacing w:after="0" w:line="146" w:lineRule="exact"/>
        <w:rPr>
          <w:rFonts w:ascii="Times New Roman" w:cs="Times New Roman" w:eastAsia="Times New Roman" w:hAnsi="Times New Roman"/>
          <w:sz w:val="17"/>
          <w:szCs w:val="17"/>
          <w:color w:val="auto"/>
        </w:rPr>
      </w:pPr>
    </w:p>
    <w:p>
      <w:pPr>
        <w:ind w:left="1980" w:hanging="251"/>
        <w:spacing w:after="0"/>
        <w:tabs>
          <w:tab w:leader="none" w:pos="1980"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means the Nasdaq Global Market.</w:t>
      </w:r>
    </w:p>
    <w:p>
      <w:pPr>
        <w:spacing w:after="0" w:line="161" w:lineRule="exact"/>
        <w:rPr>
          <w:rFonts w:ascii="Times New Roman" w:cs="Times New Roman" w:eastAsia="Times New Roman" w:hAnsi="Times New Roman"/>
          <w:sz w:val="17"/>
          <w:szCs w:val="17"/>
          <w:color w:val="auto"/>
        </w:rPr>
      </w:pPr>
    </w:p>
    <w:p>
      <w:pPr>
        <w:jc w:val="both"/>
        <w:ind w:left="1980" w:right="1199" w:hanging="251"/>
        <w:spacing w:after="0" w:line="235" w:lineRule="auto"/>
        <w:tabs>
          <w:tab w:leader="none" w:pos="1980" w:val="left"/>
        </w:tabs>
        <w:numPr>
          <w:ilvl w:val="0"/>
          <w:numId w:val="4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“Executive Officer” means any person who served the Company in any of the following roles at any time during the performance period applicable to Incentive-Based Compensation and received Incentive-Based Compensation after beginning service in any such role (regardless of whether such Incentive-Based Compensation was received during or after such person’s service in such role): the president, principal financial officer,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Company. Executive officers of parents or subsidiaries of the Company may be deemed executive officers of the Company if they perform such policy making functions for the Company.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476885</wp:posOffset>
            </wp:positionV>
            <wp:extent cx="5485765" cy="387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39" w:right="1440" w:bottom="1440" w:gutter="0" w:footer="0" w:header="0"/>
        </w:sectPr>
      </w:pPr>
    </w:p>
    <w:bookmarkStart w:id="539" w:name="page540"/>
    <w:bookmarkEnd w:id="539"/>
    <w:p>
      <w:pPr>
        <w:jc w:val="both"/>
        <w:ind w:left="1980" w:right="1199" w:hanging="251"/>
        <w:spacing w:after="0" w:line="239" w:lineRule="auto"/>
        <w:tabs>
          <w:tab w:leader="none" w:pos="1980" w:val="left"/>
        </w:tabs>
        <w:numPr>
          <w:ilvl w:val="0"/>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Reporting Measures”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40" w:lineRule="exact"/>
        <w:rPr>
          <w:rFonts w:ascii="Times New Roman" w:cs="Times New Roman" w:eastAsia="Times New Roman" w:hAnsi="Times New Roman"/>
          <w:sz w:val="17"/>
          <w:szCs w:val="17"/>
          <w:color w:val="auto"/>
        </w:rPr>
      </w:pPr>
    </w:p>
    <w:p>
      <w:pPr>
        <w:jc w:val="both"/>
        <w:ind w:left="1980" w:right="1199" w:hanging="251"/>
        <w:spacing w:after="0" w:line="237" w:lineRule="auto"/>
        <w:tabs>
          <w:tab w:leader="none" w:pos="1980" w:val="left"/>
        </w:tabs>
        <w:numPr>
          <w:ilvl w:val="0"/>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Restatement” means a restatement of previously issued financial statements of the Company due to the material noncompliance of the Company with any financial reporting requirement under the securities laws, including any required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41" w:lineRule="exact"/>
        <w:rPr>
          <w:rFonts w:ascii="Times New Roman" w:cs="Times New Roman" w:eastAsia="Times New Roman" w:hAnsi="Times New Roman"/>
          <w:sz w:val="17"/>
          <w:szCs w:val="17"/>
          <w:color w:val="auto"/>
        </w:rPr>
      </w:pPr>
    </w:p>
    <w:p>
      <w:pPr>
        <w:jc w:val="both"/>
        <w:ind w:left="1980" w:right="1199" w:hanging="251"/>
        <w:spacing w:after="0" w:line="237" w:lineRule="auto"/>
        <w:tabs>
          <w:tab w:leader="none" w:pos="1980" w:val="left"/>
        </w:tabs>
        <w:numPr>
          <w:ilvl w:val="0"/>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“Incentive-Based Compensation” means any compensation provided, directly or indirectly, by the Company or any of its subsidiaries that is granted, earned or vested based, in whole or in part, upon the attainment of a Financial Reporting Measure. For avoidance of doubt, Incentive-Based Compensation is “received” for purposes of this Policy in the fiscal period during which the Financial Reporting Measure specified in the Incentive-Based Compensation award is attained, even if the payment or grant of such Incentive-Based Compensation occurs after the end of that period.</w:t>
      </w:r>
    </w:p>
    <w:p>
      <w:pPr>
        <w:spacing w:after="0" w:line="141" w:lineRule="exact"/>
        <w:rPr>
          <w:rFonts w:ascii="Times New Roman" w:cs="Times New Roman" w:eastAsia="Times New Roman" w:hAnsi="Times New Roman"/>
          <w:sz w:val="17"/>
          <w:szCs w:val="17"/>
          <w:color w:val="auto"/>
        </w:rPr>
      </w:pPr>
    </w:p>
    <w:p>
      <w:pPr>
        <w:jc w:val="both"/>
        <w:ind w:left="1980" w:right="1199" w:hanging="251"/>
        <w:spacing w:after="0" w:line="239" w:lineRule="auto"/>
        <w:tabs>
          <w:tab w:leader="none" w:pos="1980" w:val="left"/>
        </w:tabs>
        <w:numPr>
          <w:ilvl w:val="0"/>
          <w:numId w:val="4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“Restatement Date” means, with respect to a Financial Restatement, the earlier to occur of: (i) the date the Board concludes, or reasonably should have concluded, that the Company is required to prepare the Financial Restatement or (ii) the date a court, regulator or other legally authorized body directs the Company to prepare the Financial Restatement.</w:t>
      </w:r>
    </w:p>
    <w:p>
      <w:pPr>
        <w:spacing w:after="0" w:line="137" w:lineRule="exact"/>
        <w:rPr>
          <w:sz w:val="20"/>
          <w:szCs w:val="20"/>
          <w:color w:val="auto"/>
        </w:rPr>
      </w:pPr>
    </w:p>
    <w:p>
      <w:pPr>
        <w:ind w:left="1720" w:hanging="496"/>
        <w:spacing w:after="0"/>
        <w:tabs>
          <w:tab w:leader="none" w:pos="1720" w:val="left"/>
        </w:tabs>
        <w:numPr>
          <w:ilvl w:val="0"/>
          <w:numId w:val="4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Exception to Compensation Recovery Requirement</w:t>
      </w:r>
    </w:p>
    <w:p>
      <w:pPr>
        <w:spacing w:after="0" w:line="166" w:lineRule="exact"/>
        <w:rPr>
          <w:sz w:val="20"/>
          <w:szCs w:val="20"/>
          <w:color w:val="auto"/>
        </w:rPr>
      </w:pPr>
    </w:p>
    <w:p>
      <w:pPr>
        <w:jc w:val="both"/>
        <w:ind w:left="1220" w:right="1199"/>
        <w:spacing w:after="0" w:line="236" w:lineRule="auto"/>
        <w:rPr>
          <w:sz w:val="20"/>
          <w:szCs w:val="20"/>
          <w:color w:val="auto"/>
        </w:rPr>
      </w:pPr>
      <w:r>
        <w:rPr>
          <w:rFonts w:ascii="Times New Roman" w:cs="Times New Roman" w:eastAsia="Times New Roman" w:hAnsi="Times New Roman"/>
          <w:sz w:val="17"/>
          <w:szCs w:val="17"/>
          <w:color w:val="auto"/>
        </w:rPr>
        <w:t>The Company may elect not to recover Erroneously Awarded Compensation pursuant to this Policy if the Committee determines that recovery would be impracticable, and one or more of the following conditions, together with any further requirements set forth in the Applicable Rules, are met: (i) the direct expense paid to a third party, including outside legal counsel,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40" w:lineRule="exact"/>
        <w:rPr>
          <w:sz w:val="20"/>
          <w:szCs w:val="20"/>
          <w:color w:val="auto"/>
        </w:rPr>
      </w:pPr>
    </w:p>
    <w:p>
      <w:pPr>
        <w:ind w:left="1720" w:hanging="496"/>
        <w:spacing w:after="0"/>
        <w:tabs>
          <w:tab w:leader="none" w:pos="1720" w:val="left"/>
        </w:tabs>
        <w:numPr>
          <w:ilvl w:val="0"/>
          <w:numId w:val="4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Tax Considerations</w:t>
      </w:r>
    </w:p>
    <w:p>
      <w:pPr>
        <w:spacing w:after="0" w:line="166" w:lineRule="exact"/>
        <w:rPr>
          <w:sz w:val="20"/>
          <w:szCs w:val="20"/>
          <w:color w:val="auto"/>
        </w:rPr>
      </w:pPr>
    </w:p>
    <w:p>
      <w:pPr>
        <w:jc w:val="both"/>
        <w:ind w:left="1220" w:right="1199"/>
        <w:spacing w:after="0" w:line="241" w:lineRule="auto"/>
        <w:rPr>
          <w:sz w:val="20"/>
          <w:szCs w:val="20"/>
          <w:color w:val="auto"/>
        </w:rPr>
      </w:pPr>
      <w:r>
        <w:rPr>
          <w:rFonts w:ascii="Times New Roman" w:cs="Times New Roman" w:eastAsia="Times New Roman" w:hAnsi="Times New Roman"/>
          <w:sz w:val="17"/>
          <w:szCs w:val="17"/>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476885</wp:posOffset>
            </wp:positionV>
            <wp:extent cx="5485765"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39" w:right="1440" w:bottom="1440" w:gutter="0" w:footer="0" w:header="0"/>
        </w:sectPr>
      </w:pPr>
    </w:p>
    <w:bookmarkStart w:id="540" w:name="page541"/>
    <w:bookmarkEnd w:id="540"/>
    <w:p>
      <w:pPr>
        <w:ind w:left="1720" w:hanging="496"/>
        <w:spacing w:after="0"/>
        <w:tabs>
          <w:tab w:leader="none" w:pos="1720" w:val="left"/>
        </w:tabs>
        <w:numPr>
          <w:ilvl w:val="0"/>
          <w:numId w:val="47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Method of Compensation Recovery</w:t>
      </w:r>
    </w:p>
    <w:p>
      <w:pPr>
        <w:spacing w:after="0" w:line="166" w:lineRule="exact"/>
        <w:rPr>
          <w:sz w:val="20"/>
          <w:szCs w:val="20"/>
          <w:color w:val="auto"/>
        </w:rPr>
      </w:pPr>
    </w:p>
    <w:p>
      <w:pPr>
        <w:jc w:val="both"/>
        <w:ind w:left="1220" w:right="1199"/>
        <w:spacing w:after="0" w:line="246" w:lineRule="auto"/>
        <w:rPr>
          <w:sz w:val="20"/>
          <w:szCs w:val="20"/>
          <w:color w:val="auto"/>
        </w:rPr>
      </w:pPr>
      <w:r>
        <w:rPr>
          <w:rFonts w:ascii="Times New Roman" w:cs="Times New Roman" w:eastAsia="Times New Roman" w:hAnsi="Times New Roman"/>
          <w:sz w:val="17"/>
          <w:szCs w:val="17"/>
          <w:color w:val="auto"/>
        </w:rPr>
        <w:t>The Committee shall determine, in its sole discretion, the method for recovering Erroneously Awarded Compensation hereunder, which may include, without limitation, any one or more of the following:</w:t>
      </w:r>
    </w:p>
    <w:p>
      <w:pPr>
        <w:spacing w:after="0" w:line="135" w:lineRule="exact"/>
        <w:rPr>
          <w:sz w:val="20"/>
          <w:szCs w:val="20"/>
          <w:color w:val="auto"/>
        </w:rPr>
      </w:pPr>
    </w:p>
    <w:p>
      <w:pPr>
        <w:ind w:left="1980" w:hanging="251"/>
        <w:spacing w:after="0"/>
        <w:tabs>
          <w:tab w:leader="none" w:pos="1980"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requiring reimbursement of cash Incentive-Based Compensation previously paid;</w:t>
      </w:r>
    </w:p>
    <w:p>
      <w:pPr>
        <w:spacing w:after="0" w:line="161" w:lineRule="exact"/>
        <w:rPr>
          <w:rFonts w:ascii="Times New Roman" w:cs="Times New Roman" w:eastAsia="Times New Roman" w:hAnsi="Times New Roman"/>
          <w:sz w:val="17"/>
          <w:szCs w:val="17"/>
          <w:color w:val="auto"/>
        </w:rPr>
      </w:pPr>
    </w:p>
    <w:p>
      <w:pPr>
        <w:ind w:left="1980" w:right="1199" w:hanging="251"/>
        <w:spacing w:after="0" w:line="259" w:lineRule="auto"/>
        <w:tabs>
          <w:tab w:leader="none" w:pos="1980"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seeking recovery of any gain realized on the vesting, exercise, settlement, sale, transfer or other disposition of any equity-based awards;</w:t>
      </w:r>
    </w:p>
    <w:p>
      <w:pPr>
        <w:spacing w:after="0" w:line="124" w:lineRule="exact"/>
        <w:rPr>
          <w:rFonts w:ascii="Times New Roman" w:cs="Times New Roman" w:eastAsia="Times New Roman" w:hAnsi="Times New Roman"/>
          <w:sz w:val="17"/>
          <w:szCs w:val="17"/>
          <w:color w:val="auto"/>
        </w:rPr>
      </w:pPr>
    </w:p>
    <w:p>
      <w:pPr>
        <w:ind w:left="1980" w:right="1199" w:hanging="251"/>
        <w:spacing w:after="0" w:line="259" w:lineRule="auto"/>
        <w:tabs>
          <w:tab w:leader="none" w:pos="1980"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or rescinding some or all outstanding vested or unvested equity-based awards;</w:t>
      </w:r>
    </w:p>
    <w:p>
      <w:pPr>
        <w:spacing w:after="0" w:line="124" w:lineRule="exact"/>
        <w:rPr>
          <w:rFonts w:ascii="Times New Roman" w:cs="Times New Roman" w:eastAsia="Times New Roman" w:hAnsi="Times New Roman"/>
          <w:sz w:val="17"/>
          <w:szCs w:val="17"/>
          <w:color w:val="auto"/>
        </w:rPr>
      </w:pPr>
    </w:p>
    <w:p>
      <w:pPr>
        <w:ind w:left="1980" w:hanging="251"/>
        <w:spacing w:after="0"/>
        <w:tabs>
          <w:tab w:leader="none" w:pos="1980"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adjusting or withholding from unpaid compensation or other set-off;</w:t>
      </w:r>
    </w:p>
    <w:p>
      <w:pPr>
        <w:spacing w:after="0" w:line="161" w:lineRule="exact"/>
        <w:rPr>
          <w:rFonts w:ascii="Times New Roman" w:cs="Times New Roman" w:eastAsia="Times New Roman" w:hAnsi="Times New Roman"/>
          <w:sz w:val="17"/>
          <w:szCs w:val="17"/>
          <w:color w:val="auto"/>
        </w:rPr>
      </w:pPr>
    </w:p>
    <w:p>
      <w:pPr>
        <w:ind w:left="1980" w:hanging="251"/>
        <w:spacing w:after="0"/>
        <w:tabs>
          <w:tab w:leader="none" w:pos="1980"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cancelling or offsetting against planned future grants of equity-based awards; and/or</w:t>
      </w:r>
    </w:p>
    <w:p>
      <w:pPr>
        <w:spacing w:after="0" w:line="161" w:lineRule="exact"/>
        <w:rPr>
          <w:rFonts w:ascii="Times New Roman" w:cs="Times New Roman" w:eastAsia="Times New Roman" w:hAnsi="Times New Roman"/>
          <w:sz w:val="17"/>
          <w:szCs w:val="17"/>
          <w:color w:val="auto"/>
        </w:rPr>
      </w:pPr>
    </w:p>
    <w:p>
      <w:pPr>
        <w:ind w:left="1980" w:hanging="251"/>
        <w:spacing w:after="0"/>
        <w:tabs>
          <w:tab w:leader="none" w:pos="1980" w:val="left"/>
        </w:tabs>
        <w:numPr>
          <w:ilvl w:val="0"/>
          <w:numId w:val="4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by applicable law or contract.</w:t>
      </w:r>
    </w:p>
    <w:p>
      <w:pPr>
        <w:spacing w:after="0" w:line="162" w:lineRule="exact"/>
        <w:rPr>
          <w:sz w:val="20"/>
          <w:szCs w:val="20"/>
          <w:color w:val="auto"/>
        </w:rPr>
      </w:pPr>
    </w:p>
    <w:p>
      <w:pPr>
        <w:jc w:val="both"/>
        <w:ind w:left="1220" w:right="1199"/>
        <w:spacing w:after="0" w:line="259" w:lineRule="auto"/>
        <w:rPr>
          <w:sz w:val="20"/>
          <w:szCs w:val="20"/>
          <w:color w:val="auto"/>
        </w:rPr>
      </w:pPr>
      <w:r>
        <w:rPr>
          <w:rFonts w:ascii="Times New Roman" w:cs="Times New Roman" w:eastAsia="Times New Roman" w:hAnsi="Times New Roman"/>
          <w:sz w:val="17"/>
          <w:szCs w:val="17"/>
          <w:color w:val="auto"/>
        </w:rPr>
        <w:t>The Committee need not utilize the same method of recovery for all Covered Persons or with respect to all types of Erroneously Awarded Compensation.</w:t>
      </w:r>
    </w:p>
    <w:p>
      <w:pPr>
        <w:spacing w:after="0" w:line="125" w:lineRule="exact"/>
        <w:rPr>
          <w:sz w:val="20"/>
          <w:szCs w:val="20"/>
          <w:color w:val="auto"/>
        </w:rPr>
      </w:pPr>
    </w:p>
    <w:p>
      <w:pPr>
        <w:jc w:val="both"/>
        <w:ind w:left="1220" w:right="1199"/>
        <w:spacing w:after="0" w:line="239" w:lineRule="auto"/>
        <w:rPr>
          <w:sz w:val="20"/>
          <w:szCs w:val="20"/>
          <w:color w:val="auto"/>
        </w:rPr>
      </w:pPr>
      <w:r>
        <w:rPr>
          <w:rFonts w:ascii="Times New Roman" w:cs="Times New Roman" w:eastAsia="Times New Roman" w:hAnsi="Times New Roman"/>
          <w:sz w:val="17"/>
          <w:szCs w:val="17"/>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41" w:lineRule="exact"/>
        <w:rPr>
          <w:sz w:val="20"/>
          <w:szCs w:val="20"/>
          <w:color w:val="auto"/>
        </w:rPr>
      </w:pPr>
    </w:p>
    <w:p>
      <w:pPr>
        <w:jc w:val="both"/>
        <w:ind w:left="1220" w:right="1199"/>
        <w:spacing w:after="0" w:line="241" w:lineRule="auto"/>
        <w:rPr>
          <w:sz w:val="20"/>
          <w:szCs w:val="20"/>
          <w:color w:val="auto"/>
        </w:rPr>
      </w:pPr>
      <w:r>
        <w:rPr>
          <w:rFonts w:ascii="Times New Roman" w:cs="Times New Roman" w:eastAsia="Times New Roman" w:hAnsi="Times New Roman"/>
          <w:sz w:val="17"/>
          <w:szCs w:val="17"/>
          <w:color w:val="auto"/>
        </w:rPr>
        <w:t>In the event the Company is required to recover Erroneously Awarded Compensation from a Covered Person who is no longer an employee, the Company is entitled to seek such recovery in order to comply with applicable law, regardless of the terms of any release of claims or separation agreement such individual may have signed.</w:t>
      </w:r>
    </w:p>
    <w:p>
      <w:pPr>
        <w:spacing w:after="0" w:line="136" w:lineRule="exact"/>
        <w:rPr>
          <w:sz w:val="20"/>
          <w:szCs w:val="20"/>
          <w:color w:val="auto"/>
        </w:rPr>
      </w:pPr>
    </w:p>
    <w:p>
      <w:pPr>
        <w:ind w:left="1720" w:hanging="496"/>
        <w:spacing w:after="0"/>
        <w:tabs>
          <w:tab w:leader="none" w:pos="1720" w:val="left"/>
        </w:tabs>
        <w:numPr>
          <w:ilvl w:val="0"/>
          <w:numId w:val="4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Policy Interpretation</w:t>
      </w:r>
    </w:p>
    <w:p>
      <w:pPr>
        <w:spacing w:after="0" w:line="166" w:lineRule="exact"/>
        <w:rPr>
          <w:sz w:val="20"/>
          <w:szCs w:val="20"/>
          <w:color w:val="auto"/>
        </w:rPr>
      </w:pPr>
    </w:p>
    <w:p>
      <w:pPr>
        <w:jc w:val="both"/>
        <w:ind w:left="1220" w:right="1199"/>
        <w:spacing w:after="0" w:line="236" w:lineRule="auto"/>
        <w:rPr>
          <w:sz w:val="20"/>
          <w:szCs w:val="20"/>
          <w:color w:val="auto"/>
        </w:rPr>
      </w:pPr>
      <w:r>
        <w:rPr>
          <w:rFonts w:ascii="Times New Roman" w:cs="Times New Roman" w:eastAsia="Times New Roman" w:hAnsi="Times New Roman"/>
          <w:sz w:val="17"/>
          <w:szCs w:val="17"/>
          <w:color w:val="auto"/>
        </w:rPr>
        <w:t>This Policy shall be interpreted in a manner that is consistent with the Applicable Rules and any other applicable law. The Committee shall take into consideration any applicable interpretations and guidance of the SEC in interpreting this Policy, including, for example, in determining whether a financial restatement qualifies as a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w:t>
      </w: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476885</wp:posOffset>
            </wp:positionV>
            <wp:extent cx="5485765" cy="387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541" w:name="page542"/>
    <w:bookmarkEnd w:id="541"/>
    <w:p>
      <w:pPr>
        <w:ind w:left="1720" w:hanging="496"/>
        <w:spacing w:after="0"/>
        <w:tabs>
          <w:tab w:leader="none" w:pos="1720" w:val="left"/>
        </w:tabs>
        <w:numPr>
          <w:ilvl w:val="0"/>
          <w:numId w:val="47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Policy Administration</w:t>
      </w:r>
    </w:p>
    <w:p>
      <w:pPr>
        <w:spacing w:after="0" w:line="166" w:lineRule="exact"/>
        <w:rPr>
          <w:sz w:val="20"/>
          <w:szCs w:val="20"/>
          <w:color w:val="auto"/>
        </w:rPr>
      </w:pPr>
    </w:p>
    <w:p>
      <w:pPr>
        <w:jc w:val="both"/>
        <w:ind w:left="1220" w:right="1199"/>
        <w:spacing w:after="0" w:line="235" w:lineRule="auto"/>
        <w:rPr>
          <w:sz w:val="20"/>
          <w:szCs w:val="20"/>
          <w:color w:val="auto"/>
        </w:rPr>
      </w:pPr>
      <w:r>
        <w:rPr>
          <w:rFonts w:ascii="Times New Roman" w:cs="Times New Roman" w:eastAsia="Times New Roman" w:hAnsi="Times New Roman"/>
          <w:sz w:val="17"/>
          <w:szCs w:val="17"/>
          <w:color w:val="auto"/>
        </w:rPr>
        <w:t>This Policy shall be administered by the Committee; provided, however, that the Board shall have exclusive authority to authorize the Company to prepare a Financial Restatement. In doing so, the Board may rely on a recommendation of the Audit Committee of the Board.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 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38" w:lineRule="exact"/>
        <w:rPr>
          <w:sz w:val="20"/>
          <w:szCs w:val="20"/>
          <w:color w:val="auto"/>
        </w:rPr>
      </w:pPr>
    </w:p>
    <w:p>
      <w:pPr>
        <w:ind w:left="1720" w:hanging="496"/>
        <w:spacing w:after="0"/>
        <w:tabs>
          <w:tab w:leader="none" w:pos="1720" w:val="left"/>
        </w:tabs>
        <w:numPr>
          <w:ilvl w:val="0"/>
          <w:numId w:val="4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Compensation Recovery Repayments not Subject to Indemnification</w:t>
      </w:r>
    </w:p>
    <w:p>
      <w:pPr>
        <w:spacing w:after="0" w:line="166" w:lineRule="exact"/>
        <w:rPr>
          <w:sz w:val="20"/>
          <w:szCs w:val="20"/>
          <w:color w:val="auto"/>
        </w:rPr>
      </w:pPr>
    </w:p>
    <w:p>
      <w:pPr>
        <w:jc w:val="both"/>
        <w:ind w:left="1220" w:right="1199"/>
        <w:spacing w:after="0" w:line="241" w:lineRule="auto"/>
        <w:rPr>
          <w:sz w:val="20"/>
          <w:szCs w:val="20"/>
          <w:color w:val="auto"/>
        </w:rPr>
      </w:pPr>
      <w:r>
        <w:rPr>
          <w:rFonts w:ascii="Times New Roman" w:cs="Times New Roman" w:eastAsia="Times New Roman" w:hAnsi="Times New Roman"/>
          <w:sz w:val="17"/>
          <w:szCs w:val="17"/>
          <w:color w:val="auto"/>
        </w:rPr>
        <w:t>Notwithstanding anything to the contrary set forth in any agreement with, or the organizational documents of, the Company or any of its subsidiaries, Covered Persons are not entitled to indemnification for Erroneously Awarded Compensation or for any losses arising out of or in any way related to Erroneously Awarded Compensation recovered under this Policy.</w:t>
      </w:r>
    </w:p>
    <w:p>
      <w:pPr>
        <w:spacing w:after="0" w:line="136" w:lineRule="exact"/>
        <w:rPr>
          <w:sz w:val="20"/>
          <w:szCs w:val="20"/>
          <w:color w:val="auto"/>
        </w:rPr>
      </w:pPr>
    </w:p>
    <w:p>
      <w:pPr>
        <w:ind w:left="1720" w:hanging="496"/>
        <w:spacing w:after="0"/>
        <w:tabs>
          <w:tab w:leader="none" w:pos="1720" w:val="left"/>
        </w:tabs>
        <w:numPr>
          <w:ilvl w:val="0"/>
          <w:numId w:val="4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No Impairment of Other Remedies</w:t>
      </w:r>
    </w:p>
    <w:p>
      <w:pPr>
        <w:spacing w:after="0" w:line="166" w:lineRule="exact"/>
        <w:rPr>
          <w:sz w:val="20"/>
          <w:szCs w:val="20"/>
          <w:color w:val="auto"/>
        </w:rPr>
      </w:pPr>
    </w:p>
    <w:p>
      <w:pPr>
        <w:jc w:val="both"/>
        <w:ind w:left="1220" w:right="1199"/>
        <w:spacing w:after="0" w:line="250" w:lineRule="auto"/>
        <w:rPr>
          <w:sz w:val="20"/>
          <w:szCs w:val="20"/>
          <w:color w:val="auto"/>
        </w:rPr>
      </w:pPr>
      <w:r>
        <w:rPr>
          <w:rFonts w:ascii="Times New Roman" w:cs="Times New Roman" w:eastAsia="Times New Roman" w:hAnsi="Times New Roman"/>
          <w:sz w:val="16"/>
          <w:szCs w:val="16"/>
          <w:color w:val="auto"/>
        </w:rPr>
        <w:t>Nothing contained in this Policy, and no recoupment or recovery as contemplated herein, shall limit any claims, damages or other legal remedies the Company or any of its affiliates may have against a Covered Person arising out of or resulting from any actions or omissions by the Covered Person. This Policy does not preclude the Company from taking any other action to enforce a Covered Person’s obligations to the Company, including, without limitation, termination of employment and/or institution of civil proceedings. This Policy is in addition to the requirements of Section 304 of the Sarbanes-Oxley Act of 2002 (“SOX 304”)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spacing w:after="0" w:line="130" w:lineRule="exact"/>
        <w:rPr>
          <w:sz w:val="20"/>
          <w:szCs w:val="20"/>
          <w:color w:val="auto"/>
        </w:rPr>
      </w:pPr>
    </w:p>
    <w:p>
      <w:pPr>
        <w:ind w:left="1720" w:right="1319" w:hanging="496"/>
        <w:spacing w:after="0" w:line="264" w:lineRule="auto"/>
        <w:tabs>
          <w:tab w:leader="none" w:pos="1720" w:val="left"/>
        </w:tabs>
        <w:numPr>
          <w:ilvl w:val="0"/>
          <w:numId w:val="4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Recovery Requirement Shall not Constitute “Good Reason” Under Employment or Other Compensation Agreements</w:t>
      </w:r>
    </w:p>
    <w:p>
      <w:pPr>
        <w:spacing w:after="0" w:line="121" w:lineRule="exact"/>
        <w:rPr>
          <w:sz w:val="20"/>
          <w:szCs w:val="20"/>
          <w:color w:val="auto"/>
        </w:rPr>
      </w:pPr>
    </w:p>
    <w:p>
      <w:pPr>
        <w:jc w:val="both"/>
        <w:ind w:left="1220" w:right="1199"/>
        <w:spacing w:after="0" w:line="261" w:lineRule="auto"/>
        <w:rPr>
          <w:sz w:val="20"/>
          <w:szCs w:val="20"/>
          <w:color w:val="auto"/>
        </w:rPr>
      </w:pPr>
      <w:r>
        <w:rPr>
          <w:rFonts w:ascii="Times New Roman" w:cs="Times New Roman" w:eastAsia="Times New Roman" w:hAnsi="Times New Roman"/>
          <w:sz w:val="16"/>
          <w:szCs w:val="16"/>
          <w:color w:val="auto"/>
        </w:rPr>
        <w:t>Any action by the Company to recoup or any recoupment of Erroneously Awarded Compensation under this Policy from a Covered Person shall not be deemed (i) “good reason” for such Covered Person’s resignation or to serve as a basis for a claim of constructive termination under any employment or severance agreement with the Company or under the terms of any benefits or</w:t>
      </w: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476885</wp:posOffset>
            </wp:positionV>
            <wp:extent cx="5485765" cy="387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34" w:right="1440" w:bottom="1440" w:gutter="0" w:footer="0" w:header="0"/>
        </w:sectPr>
      </w:pPr>
    </w:p>
    <w:bookmarkStart w:id="542" w:name="page543"/>
    <w:bookmarkEnd w:id="542"/>
    <w:p>
      <w:pPr>
        <w:ind w:left="1220" w:right="1199"/>
        <w:spacing w:after="0" w:line="259" w:lineRule="auto"/>
        <w:rPr>
          <w:sz w:val="20"/>
          <w:szCs w:val="20"/>
          <w:color w:val="auto"/>
        </w:rPr>
      </w:pPr>
      <w:r>
        <w:rPr>
          <w:rFonts w:ascii="Times New Roman" w:cs="Times New Roman" w:eastAsia="Times New Roman" w:hAnsi="Times New Roman"/>
          <w:sz w:val="17"/>
          <w:szCs w:val="17"/>
          <w:color w:val="auto"/>
        </w:rPr>
        <w:t>compensation arrangement applicable to such Covered Person, or (ii) to constitute a breach of a contract or other arrangement to which such Covered Person is party.</w:t>
      </w:r>
    </w:p>
    <w:p>
      <w:pPr>
        <w:spacing w:after="0" w:line="121" w:lineRule="exact"/>
        <w:rPr>
          <w:sz w:val="20"/>
          <w:szCs w:val="20"/>
          <w:color w:val="auto"/>
        </w:rPr>
      </w:pPr>
    </w:p>
    <w:p>
      <w:pPr>
        <w:ind w:left="1720" w:hanging="496"/>
        <w:spacing w:after="0"/>
        <w:tabs>
          <w:tab w:leader="none" w:pos="1720" w:val="left"/>
        </w:tabs>
        <w:numPr>
          <w:ilvl w:val="0"/>
          <w:numId w:val="4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Amendment; Termination</w:t>
      </w:r>
    </w:p>
    <w:p>
      <w:pPr>
        <w:spacing w:after="0" w:line="166" w:lineRule="exact"/>
        <w:rPr>
          <w:sz w:val="20"/>
          <w:szCs w:val="20"/>
          <w:color w:val="auto"/>
        </w:rPr>
      </w:pPr>
    </w:p>
    <w:p>
      <w:pPr>
        <w:jc w:val="both"/>
        <w:ind w:left="1220" w:right="1199"/>
        <w:spacing w:after="0" w:line="236" w:lineRule="auto"/>
        <w:rPr>
          <w:sz w:val="20"/>
          <w:szCs w:val="20"/>
          <w:color w:val="auto"/>
        </w:rPr>
      </w:pPr>
      <w:r>
        <w:rPr>
          <w:rFonts w:ascii="Times New Roman" w:cs="Times New Roman" w:eastAsia="Times New Roman" w:hAnsi="Times New Roman"/>
          <w:sz w:val="17"/>
          <w:szCs w:val="17"/>
          <w:color w:val="auto"/>
        </w:rPr>
        <w:t>The Committee may amend this Policy in its discretion, including as it deems necessary to comply with the regulations adopted by the SEC under Rule 10D-1 and the rules of any national securities exchange or national securities association on which the Company’s securities are listed. The Committee may terminate this Policy at any time. Notwithstanding anything herein to the contrary, no amendment or termination of this Policy shall be effective if that amendment or termination would cause the Company to violate any federal securities laws, SEC rules or the rules of any national securities exchange or national securities association on which the Company’s securities are listed.</w:t>
      </w:r>
    </w:p>
    <w:p>
      <w:pPr>
        <w:spacing w:after="0" w:line="140" w:lineRule="exact"/>
        <w:rPr>
          <w:sz w:val="20"/>
          <w:szCs w:val="20"/>
          <w:color w:val="auto"/>
        </w:rPr>
      </w:pPr>
    </w:p>
    <w:p>
      <w:pPr>
        <w:ind w:left="1720" w:hanging="496"/>
        <w:spacing w:after="0"/>
        <w:tabs>
          <w:tab w:leader="none" w:pos="1720" w:val="left"/>
        </w:tabs>
        <w:numPr>
          <w:ilvl w:val="0"/>
          <w:numId w:val="4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Successors</w:t>
      </w:r>
    </w:p>
    <w:p>
      <w:pPr>
        <w:spacing w:after="0" w:line="166" w:lineRule="exact"/>
        <w:rPr>
          <w:sz w:val="20"/>
          <w:szCs w:val="20"/>
          <w:color w:val="auto"/>
        </w:rPr>
      </w:pPr>
    </w:p>
    <w:p>
      <w:pPr>
        <w:ind w:left="1220" w:right="1199"/>
        <w:spacing w:after="0" w:line="259" w:lineRule="auto"/>
        <w:rPr>
          <w:sz w:val="20"/>
          <w:szCs w:val="20"/>
          <w:color w:val="auto"/>
        </w:rPr>
      </w:pPr>
      <w:r>
        <w:rPr>
          <w:rFonts w:ascii="Times New Roman" w:cs="Times New Roman" w:eastAsia="Times New Roman" w:hAnsi="Times New Roman"/>
          <w:sz w:val="17"/>
          <w:szCs w:val="17"/>
          <w:color w:val="auto"/>
        </w:rPr>
        <w:t>This Policy shall be binding and enforceable against all Covered Executives and their successors, beneficiaries, heirs, executors, administrators, or other legal representatives.</w:t>
      </w:r>
    </w:p>
    <w:p>
      <w:pPr>
        <w:spacing w:after="0" w:line="125" w:lineRule="exact"/>
        <w:rPr>
          <w:sz w:val="20"/>
          <w:szCs w:val="20"/>
          <w:color w:val="auto"/>
        </w:rPr>
      </w:pPr>
    </w:p>
    <w:p>
      <w:pPr>
        <w:jc w:val="center"/>
        <w:ind w:right="59"/>
        <w:spacing w:after="0"/>
        <w:tabs>
          <w:tab w:leader="none" w:pos="200" w:val="left"/>
          <w:tab w:leader="none" w:pos="200" w:val="left"/>
        </w:tabs>
        <w:rPr>
          <w:sz w:val="20"/>
          <w:szCs w:val="20"/>
          <w:color w:val="auto"/>
        </w:rPr>
      </w:pPr>
      <w:r>
        <w:rPr>
          <w:rFonts w:ascii="Times New Roman" w:cs="Times New Roman" w:eastAsia="Times New Roman" w:hAnsi="Times New Roman"/>
          <w:sz w:val="17"/>
          <w:szCs w:val="17"/>
          <w:color w:val="auto"/>
        </w:rPr>
        <w:t>*</w:t>
        <w:tab/>
        <w:t>*</w:t>
      </w:r>
      <w:r>
        <w:rPr>
          <w:sz w:val="20"/>
          <w:szCs w:val="20"/>
          <w:color w:val="auto"/>
        </w:rPr>
        <w:tab/>
      </w:r>
      <w:r>
        <w:rPr>
          <w:rFonts w:ascii="Times New Roman" w:cs="Times New Roman" w:eastAsia="Times New Roman" w:hAnsi="Times New Roman"/>
          <w:sz w:val="16"/>
          <w:szCs w:val="16"/>
          <w:color w:val="auto"/>
        </w:rPr>
        <w:t>*</w:t>
      </w: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476885</wp:posOffset>
            </wp:positionV>
            <wp:extent cx="5485765" cy="3873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38" w:right="1440" w:bottom="1440" w:gutter="0" w:footer="0" w:header="0"/>
        </w:sectPr>
      </w:pPr>
    </w:p>
    <w:bookmarkStart w:id="543" w:name="page544"/>
    <w:bookmarkEnd w:id="543"/>
    <w:p>
      <w:pPr>
        <w:jc w:val="center"/>
        <w:ind w:right="19"/>
        <w:spacing w:after="0"/>
        <w:rPr>
          <w:sz w:val="20"/>
          <w:szCs w:val="20"/>
          <w:color w:val="auto"/>
        </w:rPr>
      </w:pPr>
      <w:r>
        <w:rPr>
          <w:rFonts w:ascii="Times New Roman" w:cs="Times New Roman" w:eastAsia="Times New Roman" w:hAnsi="Times New Roman"/>
          <w:sz w:val="17"/>
          <w:szCs w:val="17"/>
          <w:color w:val="auto"/>
        </w:rPr>
        <w:t>ACKNOWLEDGMENT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(to be signed by all Covered Persons)</w:t>
      </w:r>
    </w:p>
    <w:p>
      <w:pPr>
        <w:spacing w:after="0" w:line="166" w:lineRule="exact"/>
        <w:rPr>
          <w:sz w:val="20"/>
          <w:szCs w:val="20"/>
          <w:color w:val="auto"/>
        </w:rPr>
      </w:pPr>
    </w:p>
    <w:p>
      <w:pPr>
        <w:jc w:val="both"/>
        <w:ind w:left="1220" w:right="1219"/>
        <w:spacing w:after="0" w:line="235" w:lineRule="auto"/>
        <w:rPr>
          <w:sz w:val="20"/>
          <w:szCs w:val="20"/>
          <w:color w:val="auto"/>
        </w:rPr>
      </w:pPr>
      <w:r>
        <w:rPr>
          <w:rFonts w:ascii="Times New Roman" w:cs="Times New Roman" w:eastAsia="Times New Roman" w:hAnsi="Times New Roman"/>
          <w:sz w:val="17"/>
          <w:szCs w:val="17"/>
          <w:color w:val="auto"/>
        </w:rPr>
        <w:t>I, the undersigned, agree and acknowledge that I am fully bound by, and subject to, all of the terms and conditions of the Avalyn Pharma Inc. Compensation Recovery Policy (as may be amended, restated, supplemented or otherwise modified from time to time, the “Policy”) and that I have been provided a copy of the Policy. In the event of any inconsistency between the Policy and the terms of any employment or similar agreement to which I am a party, or the terms of any compensation plan, program or agreement under which any compensation has been granted, awarded, earned or paid, the terms of the Policy shall govern. If the Committee determines that any amounts granted, awarded, earned or paid to me must be forfeited or reimbursed to the Company, I will promptly take any action necessary to effectuate such forfeiture and/or reimbursement.</w:t>
      </w:r>
    </w:p>
    <w:p>
      <w:pPr>
        <w:spacing w:after="0" w:line="34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2876550</wp:posOffset>
            </wp:positionH>
            <wp:positionV relativeFrom="paragraph">
              <wp:posOffset>-116840</wp:posOffset>
            </wp:positionV>
            <wp:extent cx="2089150" cy="698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2089150" cy="698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476885</wp:posOffset>
            </wp:positionV>
            <wp:extent cx="5485765" cy="3873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38" w:right="1440" w:bottom="1440" w:gutter="0" w:footer="0" w:header="0"/>
        </w:sectPr>
      </w:pPr>
    </w:p>
    <w:bookmarkStart w:id="544" w:name="page545"/>
    <w:bookmarkEnd w:id="544"/>
    <w:p>
      <w:pPr>
        <w:jc w:val="center"/>
        <w:ind w:right="480"/>
        <w:spacing w:after="0" w:line="264"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wp:posOffset>
            </wp:positionH>
            <wp:positionV relativeFrom="paragraph">
              <wp:posOffset>169545</wp:posOffset>
            </wp:positionV>
            <wp:extent cx="7162800" cy="20320"/>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7162800" cy="20320"/>
                    </a:xfrm>
                    <a:prstGeom prst="rect">
                      <a:avLst/>
                    </a:prstGeom>
                    <a:noFill/>
                  </pic:spPr>
                </pic:pic>
              </a:graphicData>
            </a:graphic>
          </wp:anchor>
        </w:drawing>
      </w:r>
    </w:p>
    <w:p>
      <w:pPr>
        <w:spacing w:after="0" w:line="2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b w:val="1"/>
          <w:bCs w:val="1"/>
          <w:color w:val="auto"/>
        </w:rPr>
        <w:t>Exhibit 10.16</w:t>
      </w:r>
    </w:p>
    <w:p>
      <w:pPr>
        <w:spacing w:after="0" w:line="16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1"/>
          <w:szCs w:val="11"/>
          <w:b w:val="1"/>
          <w:bCs w:val="1"/>
          <w:color w:val="auto"/>
        </w:rPr>
        <w:t>icense</w:t>
      </w:r>
      <w:r>
        <w:rPr>
          <w:rFonts w:ascii="Times New Roman" w:cs="Times New Roman" w:eastAsia="Times New Roman" w:hAnsi="Times New Roman"/>
          <w:sz w:val="17"/>
          <w:szCs w:val="17"/>
          <w:b w:val="1"/>
          <w:bCs w:val="1"/>
          <w:color w:val="auto"/>
        </w:rPr>
        <w:t xml:space="preserve"> A</w:t>
      </w:r>
      <w:r>
        <w:rPr>
          <w:rFonts w:ascii="Times New Roman" w:cs="Times New Roman" w:eastAsia="Times New Roman" w:hAnsi="Times New Roman"/>
          <w:sz w:val="11"/>
          <w:szCs w:val="11"/>
          <w:b w:val="1"/>
          <w:bCs w:val="1"/>
          <w:color w:val="auto"/>
        </w:rPr>
        <w:t>greement</w:t>
      </w: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by and between</w:t>
      </w: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PARI PHARMA GmbH</w:t>
      </w: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G</w:t>
      </w:r>
      <w:r>
        <w:rPr>
          <w:rFonts w:ascii="Times New Roman" w:cs="Times New Roman" w:eastAsia="Times New Roman" w:hAnsi="Times New Roman"/>
          <w:sz w:val="11"/>
          <w:szCs w:val="11"/>
          <w:b w:val="1"/>
          <w:bCs w:val="1"/>
          <w:color w:val="auto"/>
        </w:rPr>
        <w:t>enoa</w:t>
      </w:r>
      <w:r>
        <w:rPr>
          <w:rFonts w:ascii="Times New Roman" w:cs="Times New Roman" w:eastAsia="Times New Roman" w:hAnsi="Times New Roman"/>
          <w:sz w:val="17"/>
          <w:szCs w:val="17"/>
          <w:b w:val="1"/>
          <w:bCs w:val="1"/>
          <w:color w:val="auto"/>
        </w:rPr>
        <w:t xml:space="preserve"> P</w:t>
      </w:r>
      <w:r>
        <w:rPr>
          <w:rFonts w:ascii="Times New Roman" w:cs="Times New Roman" w:eastAsia="Times New Roman" w:hAnsi="Times New Roman"/>
          <w:sz w:val="11"/>
          <w:szCs w:val="11"/>
          <w:b w:val="1"/>
          <w:bCs w:val="1"/>
          <w:color w:val="auto"/>
        </w:rPr>
        <w:t>harmaceuticals</w:t>
      </w:r>
      <w:r>
        <w:rPr>
          <w:rFonts w:ascii="Times New Roman" w:cs="Times New Roman" w:eastAsia="Times New Roman" w:hAnsi="Times New Roman"/>
          <w:sz w:val="17"/>
          <w:szCs w:val="17"/>
          <w:b w:val="1"/>
          <w:bCs w:val="1"/>
          <w:color w:val="auto"/>
        </w:rPr>
        <w:t>, I</w:t>
      </w:r>
      <w:r>
        <w:rPr>
          <w:rFonts w:ascii="Times New Roman" w:cs="Times New Roman" w:eastAsia="Times New Roman" w:hAnsi="Times New Roman"/>
          <w:sz w:val="11"/>
          <w:szCs w:val="11"/>
          <w:b w:val="1"/>
          <w:bCs w:val="1"/>
          <w:color w:val="auto"/>
        </w:rPr>
        <w:t>nc</w:t>
      </w:r>
      <w:r>
        <w:rPr>
          <w:rFonts w:ascii="Times New Roman" w:cs="Times New Roman" w:eastAsia="Times New Roman" w:hAnsi="Times New Roman"/>
          <w:sz w:val="17"/>
          <w:szCs w:val="17"/>
          <w:b w:val="1"/>
          <w:bCs w:val="1"/>
          <w:color w:val="auto"/>
        </w:rPr>
        <w:t>.</w:t>
      </w:r>
    </w:p>
    <w:p>
      <w:pPr>
        <w:spacing w:after="0" w:line="24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7"/>
          <w:szCs w:val="17"/>
          <w:b w:val="1"/>
          <w:bCs w:val="1"/>
          <w:color w:val="auto"/>
        </w:rPr>
        <w:t>A</w:t>
      </w:r>
      <w:r>
        <w:rPr>
          <w:rFonts w:ascii="Times New Roman" w:cs="Times New Roman" w:eastAsia="Times New Roman" w:hAnsi="Times New Roman"/>
          <w:sz w:val="11"/>
          <w:szCs w:val="11"/>
          <w:b w:val="1"/>
          <w:bCs w:val="1"/>
          <w:color w:val="auto"/>
        </w:rPr>
        <w:t>pril</w:t>
      </w:r>
      <w:r>
        <w:rPr>
          <w:rFonts w:ascii="Times New Roman" w:cs="Times New Roman" w:eastAsia="Times New Roman" w:hAnsi="Times New Roman"/>
          <w:sz w:val="17"/>
          <w:szCs w:val="17"/>
          <w:b w:val="1"/>
          <w:bCs w:val="1"/>
          <w:color w:val="auto"/>
        </w:rPr>
        <w:t xml:space="preserve"> 3, 2017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-288925</wp:posOffset>
            </wp:positionH>
            <wp:positionV relativeFrom="paragraph">
              <wp:posOffset>1047115</wp:posOffset>
            </wp:positionV>
            <wp:extent cx="7188200" cy="3873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7188200" cy="38735"/>
                    </a:xfrm>
                    <a:prstGeom prst="rect">
                      <a:avLst/>
                    </a:prstGeom>
                    <a:noFill/>
                  </pic:spPr>
                </pic:pic>
              </a:graphicData>
            </a:graphic>
          </wp:anchor>
        </w:drawing>
        <w:drawing>
          <wp:anchor simplePos="0" relativeHeight="251657728" behindDoc="1" locked="0" layoutInCell="0" allowOverlap="1">
            <wp:simplePos x="0" y="0"/>
            <wp:positionH relativeFrom="column">
              <wp:posOffset>-276225</wp:posOffset>
            </wp:positionH>
            <wp:positionV relativeFrom="paragraph">
              <wp:posOffset>238760</wp:posOffset>
            </wp:positionV>
            <wp:extent cx="7162800" cy="20320"/>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7162800" cy="20320"/>
                    </a:xfrm>
                    <a:prstGeom prst="rect">
                      <a:avLst/>
                    </a:prstGeom>
                    <a:noFill/>
                  </pic:spPr>
                </pic:pic>
              </a:graphicData>
            </a:graphic>
          </wp:anchor>
        </w:drawing>
      </w:r>
    </w:p>
    <w:p>
      <w:pPr>
        <w:sectPr>
          <w:pgSz w:w="11900" w:h="16838" w:orient="portrait"/>
          <w:cols w:equalWidth="0" w:num="1">
            <w:col w:w="10840"/>
          </w:cols>
          <w:pgMar w:left="740" w:top="620" w:right="319" w:bottom="1440" w:gutter="0" w:footer="0" w:header="0"/>
        </w:sectPr>
      </w:pPr>
    </w:p>
    <w:bookmarkStart w:id="545" w:name="page546"/>
    <w:bookmarkEnd w:id="54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LICENSE AGREEMENT</w:t>
      </w:r>
    </w:p>
    <w:p>
      <w:pPr>
        <w:spacing w:after="0" w:line="162" w:lineRule="exact"/>
        <w:rPr>
          <w:sz w:val="20"/>
          <w:szCs w:val="20"/>
          <w:color w:val="auto"/>
        </w:rPr>
      </w:pPr>
    </w:p>
    <w:p>
      <w:pPr>
        <w:jc w:val="both"/>
        <w:ind w:firstLine="752"/>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THIS LICENSE AGREEMENT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effective as of April 3, 2017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and is by and between</w:t>
      </w:r>
      <w:r>
        <w:rPr>
          <w:rFonts w:ascii="Times New Roman" w:cs="Times New Roman" w:eastAsia="Times New Roman" w:hAnsi="Times New Roman"/>
          <w:sz w:val="17"/>
          <w:szCs w:val="17"/>
          <w:b w:val="1"/>
          <w:bCs w:val="1"/>
          <w:color w:val="auto"/>
        </w:rPr>
        <w:t xml:space="preserve"> GENOA PHARMACEUTICALS, INC.</w:t>
      </w:r>
      <w:r>
        <w:rPr>
          <w:rFonts w:ascii="Times New Roman" w:cs="Times New Roman" w:eastAsia="Times New Roman" w:hAnsi="Times New Roman"/>
          <w:sz w:val="17"/>
          <w:szCs w:val="17"/>
          <w:color w:val="auto"/>
        </w:rPr>
        <w:t>, a Delaware corporation having its principal place of business at 12670 High Bluff Drive, San Diego, CA 92130, USA (“</w:t>
      </w:r>
      <w:r>
        <w:rPr>
          <w:rFonts w:ascii="Times New Roman" w:cs="Times New Roman" w:eastAsia="Times New Roman" w:hAnsi="Times New Roman"/>
          <w:sz w:val="17"/>
          <w:szCs w:val="17"/>
          <w:u w:val="single" w:color="auto"/>
          <w:color w:val="auto"/>
        </w:rPr>
        <w:t>Genoa</w:t>
      </w:r>
      <w:r>
        <w:rPr>
          <w:rFonts w:ascii="Times New Roman" w:cs="Times New Roman" w:eastAsia="Times New Roman" w:hAnsi="Times New Roman"/>
          <w:sz w:val="17"/>
          <w:szCs w:val="17"/>
          <w:color w:val="auto"/>
        </w:rPr>
        <w:t>”), and</w:t>
      </w:r>
      <w:r>
        <w:rPr>
          <w:rFonts w:ascii="Times New Roman" w:cs="Times New Roman" w:eastAsia="Times New Roman" w:hAnsi="Times New Roman"/>
          <w:sz w:val="17"/>
          <w:szCs w:val="17"/>
          <w:b w:val="1"/>
          <w:bCs w:val="1"/>
          <w:color w:val="auto"/>
        </w:rPr>
        <w:t xml:space="preserve"> PARI PHARMA GmbH</w:t>
      </w:r>
      <w:r>
        <w:rPr>
          <w:rFonts w:ascii="Times New Roman" w:cs="Times New Roman" w:eastAsia="Times New Roman" w:hAnsi="Times New Roman"/>
          <w:sz w:val="17"/>
          <w:szCs w:val="17"/>
          <w:color w:val="auto"/>
        </w:rPr>
        <w:t>, a German corporation having its principal place of business at Moosstrasse 3, D-82319 Starnberg, Germany (“</w:t>
      </w:r>
      <w:r>
        <w:rPr>
          <w:rFonts w:ascii="Times New Roman" w:cs="Times New Roman" w:eastAsia="Times New Roman" w:hAnsi="Times New Roman"/>
          <w:sz w:val="17"/>
          <w:szCs w:val="17"/>
          <w:u w:val="single" w:color="auto"/>
          <w:color w:val="auto"/>
        </w:rPr>
        <w:t>PARI”</w:t>
      </w:r>
      <w:r>
        <w:rPr>
          <w:rFonts w:ascii="Times New Roman" w:cs="Times New Roman" w:eastAsia="Times New Roman" w:hAnsi="Times New Roman"/>
          <w:sz w:val="17"/>
          <w:szCs w:val="17"/>
          <w:color w:val="auto"/>
        </w:rPr>
        <w:t>). Genoa and PARI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individually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or collectively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2" w:lineRule="exact"/>
        <w:rPr>
          <w:sz w:val="20"/>
          <w:szCs w:val="20"/>
          <w:color w:val="auto"/>
        </w:rPr>
      </w:pPr>
    </w:p>
    <w:p>
      <w:pPr>
        <w:jc w:val="both"/>
        <w:ind w:firstLine="752"/>
        <w:spacing w:after="0" w:line="264"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color w:val="auto"/>
        </w:rPr>
        <w:t>, PARI is the owner of all right, title and interest in or otherwise has the right to license certain Patents and Information (including Know-How)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related to the Device and any Accessory (each as hereinafter defined);</w:t>
      </w:r>
    </w:p>
    <w:p>
      <w:pPr>
        <w:spacing w:after="0" w:line="117" w:lineRule="exact"/>
        <w:rPr>
          <w:sz w:val="20"/>
          <w:szCs w:val="20"/>
          <w:color w:val="auto"/>
        </w:rPr>
      </w:pPr>
    </w:p>
    <w:p>
      <w:pPr>
        <w:jc w:val="both"/>
        <w:ind w:firstLine="752"/>
        <w:spacing w:after="0" w:line="264"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color w:val="auto"/>
        </w:rPr>
        <w:t>, the Parties wish to collaborate in the development of the Drug Product(s) for delivery using the Device in the Field in the Territory (each as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hereinafter defined); and</w:t>
      </w:r>
    </w:p>
    <w:p>
      <w:pPr>
        <w:spacing w:after="0" w:line="117" w:lineRule="exact"/>
        <w:rPr>
          <w:sz w:val="20"/>
          <w:szCs w:val="20"/>
          <w:color w:val="auto"/>
        </w:rPr>
      </w:pPr>
    </w:p>
    <w:p>
      <w:pPr>
        <w:jc w:val="both"/>
        <w:ind w:firstLine="752"/>
        <w:spacing w:after="0" w:line="264" w:lineRule="auto"/>
        <w:rPr>
          <w:sz w:val="20"/>
          <w:szCs w:val="20"/>
          <w:color w:val="auto"/>
        </w:rPr>
      </w:pPr>
      <w:r>
        <w:rPr>
          <w:rFonts w:ascii="Times New Roman" w:cs="Times New Roman" w:eastAsia="Times New Roman" w:hAnsi="Times New Roman"/>
          <w:sz w:val="17"/>
          <w:szCs w:val="17"/>
          <w:b w:val="1"/>
          <w:bCs w:val="1"/>
          <w:color w:val="auto"/>
        </w:rPr>
        <w:t>W</w:t>
      </w:r>
      <w:r>
        <w:rPr>
          <w:rFonts w:ascii="Times New Roman" w:cs="Times New Roman" w:eastAsia="Times New Roman" w:hAnsi="Times New Roman"/>
          <w:sz w:val="11"/>
          <w:szCs w:val="11"/>
          <w:b w:val="1"/>
          <w:bCs w:val="1"/>
          <w:color w:val="auto"/>
        </w:rPr>
        <w:t>hereas</w:t>
      </w:r>
      <w:r>
        <w:rPr>
          <w:rFonts w:ascii="Times New Roman" w:cs="Times New Roman" w:eastAsia="Times New Roman" w:hAnsi="Times New Roman"/>
          <w:sz w:val="17"/>
          <w:szCs w:val="17"/>
          <w:color w:val="auto"/>
        </w:rPr>
        <w:t>, PARI desires to grant, and Genoa desires to accept, the License (as hereinafter defined) to develop and commercialize the Drug Product(s)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delivery exclusively using the Device in the Field in the Territory on the terms and conditions set forth herein.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62"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7"/>
          <w:szCs w:val="17"/>
          <w:b w:val="1"/>
          <w:bCs w:val="1"/>
          <w:color w:val="auto"/>
        </w:rPr>
        <w:t>N</w:t>
      </w:r>
      <w:r>
        <w:rPr>
          <w:rFonts w:ascii="Times New Roman" w:cs="Times New Roman" w:eastAsia="Times New Roman" w:hAnsi="Times New Roman"/>
          <w:sz w:val="11"/>
          <w:szCs w:val="11"/>
          <w:b w:val="1"/>
          <w:bCs w:val="1"/>
          <w:color w:val="auto"/>
        </w:rPr>
        <w:t>ow</w:t>
      </w:r>
      <w:r>
        <w:rPr>
          <w:rFonts w:ascii="Times New Roman" w:cs="Times New Roman" w:eastAsia="Times New Roman" w:hAnsi="Times New Roman"/>
          <w:sz w:val="17"/>
          <w:szCs w:val="17"/>
          <w:b w:val="1"/>
          <w:bCs w:val="1"/>
          <w:color w:val="auto"/>
        </w:rPr>
        <w:t>, T</w:t>
      </w:r>
      <w:r>
        <w:rPr>
          <w:rFonts w:ascii="Times New Roman" w:cs="Times New Roman" w:eastAsia="Times New Roman" w:hAnsi="Times New Roman"/>
          <w:sz w:val="11"/>
          <w:szCs w:val="11"/>
          <w:b w:val="1"/>
          <w:bCs w:val="1"/>
          <w:color w:val="auto"/>
        </w:rPr>
        <w:t>herefore</w:t>
      </w:r>
      <w:r>
        <w:rPr>
          <w:rFonts w:ascii="Times New Roman" w:cs="Times New Roman" w:eastAsia="Times New Roman" w:hAnsi="Times New Roman"/>
          <w:sz w:val="17"/>
          <w:szCs w:val="17"/>
          <w:color w:val="auto"/>
        </w:rPr>
        <w:t>, for and in consideration of the above-described recitals, the mutual covenants of the Parties hereinafter contained and other good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valuable consideration, the receipt and sufficiency of which is hereby acknowledged by the Parties, the Parties hereto, intending to be legally bound, enter into the agreements contained herein.</w:t>
      </w:r>
    </w:p>
    <w:p>
      <w:pPr>
        <w:spacing w:after="0" w:line="130" w:lineRule="exact"/>
        <w:rPr>
          <w:sz w:val="20"/>
          <w:szCs w:val="20"/>
          <w:color w:val="auto"/>
        </w:rPr>
      </w:pPr>
    </w:p>
    <w:p>
      <w:pPr>
        <w:ind w:left="760" w:hanging="756"/>
        <w:spacing w:after="0"/>
        <w:tabs>
          <w:tab w:leader="none" w:pos="760" w:val="left"/>
        </w:tabs>
        <w:numPr>
          <w:ilvl w:val="0"/>
          <w:numId w:val="4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DEFINITIONS</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b w:val="1"/>
          <w:bCs w:val="1"/>
          <w:color w:val="auto"/>
        </w:rPr>
      </w:pPr>
    </w:p>
    <w:p>
      <w:pPr>
        <w:ind w:left="760" w:right="4240"/>
        <w:spacing w:after="0" w:line="438"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purposes of this Agreement, the following terms shall have the meanings set forth below: “</w:t>
      </w:r>
      <w:r>
        <w:rPr>
          <w:rFonts w:ascii="Times New Roman" w:cs="Times New Roman" w:eastAsia="Times New Roman" w:hAnsi="Times New Roman"/>
          <w:sz w:val="17"/>
          <w:szCs w:val="17"/>
          <w:u w:val="single" w:color="auto"/>
          <w:color w:val="auto"/>
        </w:rPr>
        <w:t>AAA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13.2 (Arbitration)</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Accessor(y)/(ies)</w:t>
      </w:r>
      <w:r>
        <w:rPr>
          <w:rFonts w:ascii="Times New Roman" w:cs="Times New Roman" w:eastAsia="Times New Roman" w:hAnsi="Times New Roman"/>
          <w:sz w:val="17"/>
          <w:szCs w:val="17"/>
          <w:color w:val="auto"/>
        </w:rPr>
        <w:t>” shall mean any proprietary accessory owned or controlled by PARI and that is provided to patients separately from, but intended to be utilized with, the Device as listed in Schedule F. For the avoidance of doubt, Accessor(y)/(ies) do not include Drug Product(s).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Accessory Know-How</w:t>
      </w:r>
      <w:r>
        <w:rPr>
          <w:rFonts w:ascii="Times New Roman" w:cs="Times New Roman" w:eastAsia="Times New Roman" w:hAnsi="Times New Roman"/>
          <w:sz w:val="17"/>
          <w:szCs w:val="17"/>
          <w:color w:val="auto"/>
        </w:rPr>
        <w:t>” shall mean [***].</w:t>
      </w:r>
    </w:p>
    <w:p>
      <w:pPr>
        <w:spacing w:after="0" w:line="162"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Accessory Patent(s)</w:t>
      </w:r>
      <w:r>
        <w:rPr>
          <w:rFonts w:ascii="Times New Roman" w:cs="Times New Roman" w:eastAsia="Times New Roman" w:hAnsi="Times New Roman"/>
          <w:sz w:val="17"/>
          <w:szCs w:val="17"/>
          <w:color w:val="auto"/>
        </w:rPr>
        <w:t>” shall mean any Patent which is owned, licensed or otherwise controlled by PARI or any of its Affiliates as of the Effective Date or during the Term and is necessary or useful to Exploit any Accessory in the Territory.</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4" w:right="319" w:bottom="1440" w:gutter="0" w:footer="0" w:header="0"/>
        </w:sectPr>
      </w:pPr>
    </w:p>
    <w:bookmarkStart w:id="546" w:name="page547"/>
    <w:bookmarkEnd w:id="546"/>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w:t>
      </w:r>
      <w:r>
        <w:rPr>
          <w:rFonts w:ascii="Times New Roman" w:cs="Times New Roman" w:eastAsia="Times New Roman" w:hAnsi="Times New Roman"/>
          <w:sz w:val="17"/>
          <w:szCs w:val="17"/>
          <w:color w:val="auto"/>
        </w:rPr>
        <w:t>” means the United States Food, Drug and Cosmetic Act and applicable regulations promulgated thereunder, as they may be amended or supplemented from time to time, or an equivalent application under any successor laws or regulations.</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shall have the meaning as set forth in </w:t>
      </w:r>
      <w:r>
        <w:rPr>
          <w:rFonts w:ascii="Times New Roman" w:cs="Times New Roman" w:eastAsia="Times New Roman" w:hAnsi="Times New Roman"/>
          <w:sz w:val="17"/>
          <w:szCs w:val="17"/>
          <w:u w:val="single" w:color="auto"/>
          <w:color w:val="auto"/>
        </w:rPr>
        <w:t>Section 10.3 (Indemnification Procedures)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Additional Specifications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9.4 (Commercial Specifications)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Affiliate</w:t>
      </w:r>
      <w:r>
        <w:rPr>
          <w:rFonts w:ascii="Times New Roman" w:cs="Times New Roman" w:eastAsia="Times New Roman" w:hAnsi="Times New Roman"/>
          <w:sz w:val="17"/>
          <w:szCs w:val="17"/>
          <w:color w:val="auto"/>
        </w:rPr>
        <w:t>” means, with respect to either Party or any third party, any person or entity which, directly or indirectly, controls, is controlled by, or is under common control with, the specified Party or such third party. For the purposes of this definition, the term “</w:t>
      </w:r>
      <w:r>
        <w:rPr>
          <w:rFonts w:ascii="Times New Roman" w:cs="Times New Roman" w:eastAsia="Times New Roman" w:hAnsi="Times New Roman"/>
          <w:sz w:val="17"/>
          <w:szCs w:val="17"/>
          <w:u w:val="single" w:color="auto"/>
          <w:color w:val="auto"/>
        </w:rPr>
        <w:t>control</w:t>
      </w:r>
      <w:r>
        <w:rPr>
          <w:rFonts w:ascii="Times New Roman" w:cs="Times New Roman" w:eastAsia="Times New Roman" w:hAnsi="Times New Roman"/>
          <w:sz w:val="17"/>
          <w:szCs w:val="17"/>
          <w:color w:val="auto"/>
        </w:rPr>
        <w:t xml:space="preserve">,” as applied to any person or entity, means the ownership or control, directly or indirectly, of 50% or more of all of the voting power of the shares (or other securities or rights) entitled to vote for the election of directors or other governing authority;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entity shall be considered an “Affiliate” only during the time that such “control” exists. For clarity, venture investors of Genoa and their portfolio companies (unless such portfolio companies independently meet the Affiliate definition) shall not be considered Affiliates of Genoa regardless of the capital structure of Genoa.</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Annual Minimum Royalties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5.5 (Annual Minimum Royalties)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Bankruptcy Code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11.6 (Section 365(n) of the Bankruptcy Code)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Baseline Exchange Rate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9.3.3 (Exchange Rate)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8.3.1 (Intellectual Property)</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means each day of the week other than Saturday, Sunday or a federal or state holiday in the United States or Germany.</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CAC</w:t>
      </w:r>
      <w:r>
        <w:rPr>
          <w:rFonts w:ascii="Times New Roman" w:cs="Times New Roman" w:eastAsia="Times New Roman" w:hAnsi="Times New Roman"/>
          <w:sz w:val="17"/>
          <w:szCs w:val="17"/>
          <w:color w:val="auto"/>
        </w:rPr>
        <w:t xml:space="preserve">” means the Change Advisory Committee referred to in </w:t>
      </w:r>
      <w:r>
        <w:rPr>
          <w:rFonts w:ascii="Times New Roman" w:cs="Times New Roman" w:eastAsia="Times New Roman" w:hAnsi="Times New Roman"/>
          <w:sz w:val="17"/>
          <w:szCs w:val="17"/>
          <w:u w:val="single" w:color="auto"/>
          <w:color w:val="auto"/>
        </w:rPr>
        <w:t>Section 3.1.2 (New Features and Design Improvements)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 Transaction</w:t>
      </w:r>
      <w:r>
        <w:rPr>
          <w:rFonts w:ascii="Times New Roman" w:cs="Times New Roman" w:eastAsia="Times New Roman" w:hAnsi="Times New Roman"/>
          <w:sz w:val="17"/>
          <w:szCs w:val="17"/>
          <w:color w:val="auto"/>
        </w:rPr>
        <w:t>” shall mean the consolidation or merger of Genoa with or into any other corporation, corporations, or other entities, or a sale, conveyance, or a sublicense of a majority of its rights and obligations under this Agreement to a third party, or disposition of all or substantially all of the assets of Genoa, or the effectuation by Genoa of a transaction or series of transactions in which at least [***] of the voting power of Genoa is sold in connection with such transaction(s). For clarity, a financing transaction by Genoa, either as a private equity financing or public offering, shall not be deemed a Change of Control Transaction, unless as part of such financing, a pharmaceutical or other strategic buyer company purchases more than [***] of Genoa’s voting power.</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47" w:name="page548"/>
    <w:bookmarkEnd w:id="547"/>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means any charge, allegation, notice, civil, criminal or administrative claim, demand, complaint, cause of action, or Proceeding.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Combination Product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3.1.1 (General Development and Commercialization Responsibilities)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shall mean any Product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Commercially Reasonable Efforts</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Committee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4.1 (Formation; General Authority)</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means all confidential and/or proprietary Information of a Party that is disclosed to the other Party under this Agreement, which may include specifications, Know-How, trade secrets, legal information, technical information, drawings, designs, models, prices and pricing policies, marketing practices, customer lists, business information, regulatory strategies, inventions, discoveries, methods, procedures, source code, object code, databases, data structures, pseudocode, protocols, techniques, data, and unpublished patent applications, whether disclosed in oral, written, graphic, or electronic form.</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CS Device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2.8 (Option for Closed System)</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CDA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14.9 (Entire Agreement)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Development Work Plan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3.3.1 (Development Work Plan)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Device</w:t>
      </w:r>
      <w:r>
        <w:rPr>
          <w:rFonts w:ascii="Times New Roman" w:cs="Times New Roman" w:eastAsia="Times New Roman" w:hAnsi="Times New Roman"/>
          <w:sz w:val="17"/>
          <w:szCs w:val="17"/>
          <w:color w:val="auto"/>
        </w:rPr>
        <w:t xml:space="preserve">” shall mean the Nebulizer currently known as the PARI eFlow Technology Nebulizer System that is optimized and/or customized and intended for use with the Drug Product, the specifications for which Device are described in more detail in </w:t>
      </w:r>
      <w:r>
        <w:rPr>
          <w:rFonts w:ascii="Times New Roman" w:cs="Times New Roman" w:eastAsia="Times New Roman" w:hAnsi="Times New Roman"/>
          <w:sz w:val="17"/>
          <w:szCs w:val="17"/>
          <w:u w:val="single" w:color="auto"/>
          <w:color w:val="auto"/>
        </w:rPr>
        <w:t>Schedule A1</w:t>
      </w:r>
      <w:r>
        <w:rPr>
          <w:rFonts w:ascii="Times New Roman" w:cs="Times New Roman" w:eastAsia="Times New Roman" w:hAnsi="Times New Roman"/>
          <w:sz w:val="17"/>
          <w:szCs w:val="17"/>
          <w:color w:val="auto"/>
        </w:rPr>
        <w:t xml:space="preserve"> attached hereto. “Device” shall also include the CS Device upon Genoa’s exercise of the option in accordance with </w:t>
      </w:r>
      <w:r>
        <w:rPr>
          <w:rFonts w:ascii="Times New Roman" w:cs="Times New Roman" w:eastAsia="Times New Roman" w:hAnsi="Times New Roman"/>
          <w:sz w:val="17"/>
          <w:szCs w:val="17"/>
          <w:u w:val="single" w:color="auto"/>
          <w:color w:val="auto"/>
        </w:rPr>
        <w:t>Section 2.8 (Option for Closed System)</w:t>
      </w:r>
      <w:r>
        <w:rPr>
          <w:rFonts w:ascii="Times New Roman" w:cs="Times New Roman" w:eastAsia="Times New Roman" w:hAnsi="Times New Roman"/>
          <w:sz w:val="17"/>
          <w:szCs w:val="17"/>
          <w:color w:val="auto"/>
        </w:rPr>
        <w:t xml:space="preserve">. For the avoidance of doubt, the term “Device” shall (i) include all components of the Device including those set forth on </w:t>
      </w:r>
      <w:r>
        <w:rPr>
          <w:rFonts w:ascii="Times New Roman" w:cs="Times New Roman" w:eastAsia="Times New Roman" w:hAnsi="Times New Roman"/>
          <w:sz w:val="17"/>
          <w:szCs w:val="17"/>
          <w:u w:val="single" w:color="auto"/>
          <w:color w:val="auto"/>
        </w:rPr>
        <w:t>Schedule A2</w:t>
      </w:r>
      <w:r>
        <w:rPr>
          <w:rFonts w:ascii="Times New Roman" w:cs="Times New Roman" w:eastAsia="Times New Roman" w:hAnsi="Times New Roman"/>
          <w:sz w:val="17"/>
          <w:szCs w:val="17"/>
          <w:color w:val="auto"/>
        </w:rPr>
        <w:t xml:space="preserve"> attached hereto and incorporated by reference herein, and (ii) meet the specifications, performance characteristics, parameters and requirements for the Device set forth in the Development Work Plan. The Parties acknowledge and agree that the Device is currently intended to be used with [***]. If Genoa exercises the option set forth in </w:t>
      </w:r>
      <w:r>
        <w:rPr>
          <w:rFonts w:ascii="Times New Roman" w:cs="Times New Roman" w:eastAsia="Times New Roman" w:hAnsi="Times New Roman"/>
          <w:sz w:val="17"/>
          <w:szCs w:val="17"/>
          <w:u w:val="single" w:color="auto"/>
          <w:color w:val="auto"/>
        </w:rPr>
        <w:t>Section 2.8 (Option for Closed System)</w:t>
      </w:r>
      <w:r>
        <w:rPr>
          <w:rFonts w:ascii="Times New Roman" w:cs="Times New Roman" w:eastAsia="Times New Roman" w:hAnsi="Times New Roman"/>
          <w:sz w:val="17"/>
          <w:szCs w:val="17"/>
          <w:color w:val="auto"/>
        </w:rPr>
        <w:t>, the final performance specification features and acceptance criteria for the CS Device shall be determined by the Parties and set forth in the Development Work Plan and, when complete, shall be attached as an exhibit to this Agreement.</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Dispute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13.1 (Informal Resolution)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Drug Product(s)</w:t>
      </w:r>
      <w:r>
        <w:rPr>
          <w:rFonts w:ascii="Times New Roman" w:cs="Times New Roman" w:eastAsia="Times New Roman" w:hAnsi="Times New Roman"/>
          <w:sz w:val="17"/>
          <w:szCs w:val="17"/>
          <w:color w:val="auto"/>
        </w:rPr>
        <w:t>” means any liquid formulation of pirfenidone, N-aryl-pyridones, including N-phenyl-pyridones, and combinations of pirfenidone and N-aryl-pyridones, [***].</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Drug Vial</w:t>
      </w:r>
      <w:r>
        <w:rPr>
          <w:rFonts w:ascii="Times New Roman" w:cs="Times New Roman" w:eastAsia="Times New Roman" w:hAnsi="Times New Roman"/>
          <w:sz w:val="17"/>
          <w:szCs w:val="17"/>
          <w:color w:val="auto"/>
        </w:rPr>
        <w:t>” shall mean any [***].</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48" w:name="page549"/>
    <w:bookmarkEnd w:id="548"/>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shall have the meaning set forth in the introduction.</w:t>
      </w:r>
    </w:p>
    <w:p>
      <w:pPr>
        <w:spacing w:after="0" w:line="162"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eFlow Technology Nebulizer</w:t>
      </w:r>
      <w:r>
        <w:rPr>
          <w:rFonts w:ascii="Times New Roman" w:cs="Times New Roman" w:eastAsia="Times New Roman" w:hAnsi="Times New Roman"/>
          <w:sz w:val="17"/>
          <w:szCs w:val="17"/>
          <w:color w:val="auto"/>
        </w:rPr>
        <w:t>” shall mean a Nebulizer proprietary to PARI or its Affiliates that is based on a perforated vibrating membrane technology and includes the mixing chamber and valve system.</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EMA</w:t>
      </w:r>
      <w:r>
        <w:rPr>
          <w:rFonts w:ascii="Times New Roman" w:cs="Times New Roman" w:eastAsia="Times New Roman" w:hAnsi="Times New Roman"/>
          <w:sz w:val="17"/>
          <w:szCs w:val="17"/>
          <w:color w:val="auto"/>
        </w:rPr>
        <w:t>” means the European Medicines Agency and any successor agencies.</w:t>
      </w:r>
    </w:p>
    <w:p>
      <w:pPr>
        <w:spacing w:after="0" w:line="162"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Encumbrance</w:t>
      </w:r>
      <w:r>
        <w:rPr>
          <w:rFonts w:ascii="Times New Roman" w:cs="Times New Roman" w:eastAsia="Times New Roman" w:hAnsi="Times New Roman"/>
          <w:sz w:val="17"/>
          <w:szCs w:val="17"/>
          <w:color w:val="auto"/>
        </w:rPr>
        <w:t>” means with respect to [***] within the Territory any lien, pledge, security interest, right of first refusal, option, title defect, Claim, license, restriction, or other adverse claim or interest or encumbrance of any kind or nature whatsoever, whether or not perfected, including any restriction on use, transfer, receipt of income or exercise of any other attribute of ownership.</w:t>
      </w:r>
    </w:p>
    <w:p>
      <w:pPr>
        <w:spacing w:after="0" w:line="13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Europe</w:t>
      </w:r>
      <w:r>
        <w:rPr>
          <w:rFonts w:ascii="Times New Roman" w:cs="Times New Roman" w:eastAsia="Times New Roman" w:hAnsi="Times New Roman"/>
          <w:sz w:val="17"/>
          <w:szCs w:val="17"/>
          <w:color w:val="auto"/>
        </w:rPr>
        <w:t>” means all countries that are members of the European Union during the Term plus Iceland, Liechtenstein, Norway, Switzerland and Turkey, and any country that leaves the European Union.</w:t>
      </w:r>
    </w:p>
    <w:p>
      <w:pPr>
        <w:spacing w:after="0" w:line="12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Exclusive</w:t>
      </w:r>
      <w:r>
        <w:rPr>
          <w:rFonts w:ascii="Times New Roman" w:cs="Times New Roman" w:eastAsia="Times New Roman" w:hAnsi="Times New Roman"/>
          <w:sz w:val="17"/>
          <w:szCs w:val="17"/>
          <w:color w:val="auto"/>
        </w:rPr>
        <w:t>” means that, subject to the terms and conditions of this Agreement, neither PARI nor any of its Affiliates shall itself Exploit or license or grant rights to or otherwise affirmatively facilitate any third party to Exploit, directly or indirectly, the Drug Product(s) for use with the Device in the Field in the Territory.</w:t>
      </w:r>
    </w:p>
    <w:p>
      <w:pPr>
        <w:spacing w:after="0" w:line="12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Exploit,</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u w:val="single" w:color="auto"/>
          <w:color w:val="auto"/>
        </w:rPr>
        <w:t>Exploiting</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u w:val="single" w:color="auto"/>
          <w:color w:val="auto"/>
        </w:rPr>
        <w:t>Exploitation</w:t>
      </w:r>
      <w:r>
        <w:rPr>
          <w:rFonts w:ascii="Times New Roman" w:cs="Times New Roman" w:eastAsia="Times New Roman" w:hAnsi="Times New Roman"/>
          <w:sz w:val="17"/>
          <w:szCs w:val="17"/>
          <w:color w:val="auto"/>
        </w:rPr>
        <w:t>” means to formulate, develop, seek Regulatory Approval for, make, have made, use, sell, have sold, offer for sale, market, promote, import, export, display, make derivative works of, copy, distribute, perform or otherwise commercialize or dispose of.</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means the U.S. Food and Drug Administration of the U.S. Department of Health and Human Services and any successor agencies.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Field</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jc w:val="both"/>
        <w:ind w:firstLine="752"/>
        <w:spacing w:after="0" w:line="291"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First Commercial Sale</w:t>
      </w:r>
      <w:r>
        <w:rPr>
          <w:rFonts w:ascii="Times New Roman" w:cs="Times New Roman" w:eastAsia="Times New Roman" w:hAnsi="Times New Roman"/>
          <w:sz w:val="16"/>
          <w:szCs w:val="16"/>
          <w:color w:val="auto"/>
        </w:rPr>
        <w:t>” means, on a country-by-country and on a Drug Product by Drug Product basis, the date of the first commercial sale of each of the Drug Product(s), for which Regulatory Approval has been obtained, in the Territory by Genoa, its Affiliate, or Permitted Sublicensee to an unaffiliated third party.</w:t>
      </w:r>
    </w:p>
    <w:p>
      <w:pPr>
        <w:spacing w:after="0" w:line="100" w:lineRule="exact"/>
        <w:rPr>
          <w:sz w:val="20"/>
          <w:szCs w:val="20"/>
          <w:color w:val="auto"/>
        </w:rPr>
      </w:pPr>
    </w:p>
    <w:p>
      <w:pPr>
        <w:jc w:val="both"/>
        <w:ind w:firstLine="752"/>
        <w:spacing w:after="0" w:line="24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means (i) with respect to Genoa and calculations to be performed by Genoa, generally accepted accounting principles in the United States, (ii) with respect to PARI and calculations to be performed by PARI, generally accepted accounting principles in Germany or the International Accounting Standard, and</w:t>
      </w:r>
    </w:p>
    <w:p>
      <w:pPr>
        <w:spacing w:after="0" w:line="1" w:lineRule="exact"/>
        <w:rPr>
          <w:sz w:val="20"/>
          <w:szCs w:val="20"/>
          <w:color w:val="auto"/>
        </w:rPr>
      </w:pPr>
    </w:p>
    <w:p>
      <w:pPr>
        <w:jc w:val="both"/>
        <w:ind w:firstLine="4"/>
        <w:spacing w:after="0" w:line="236" w:lineRule="auto"/>
        <w:tabs>
          <w:tab w:leader="none" w:pos="302" w:val="left"/>
        </w:tabs>
        <w:numPr>
          <w:ilvl w:val="0"/>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 Permitted Sublicensee and calculations to be performed by such Permitted Sublicensee, generally accepted accounting principles in the country where such Permitted Sublicensee has its principal place of business or the International Account Standard, in each case of (i), (ii) and (iii) consistently applied by such Party throughout its enterprise.</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49" w:name="page550"/>
    <w:bookmarkEnd w:id="549"/>
    <w:p>
      <w:pPr>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General Purpose eFlow Technology Nebulizer</w:t>
      </w:r>
      <w:r>
        <w:rPr>
          <w:rFonts w:ascii="Times New Roman" w:cs="Times New Roman" w:eastAsia="Times New Roman" w:hAnsi="Times New Roman"/>
          <w:sz w:val="17"/>
          <w:szCs w:val="17"/>
          <w:color w:val="auto"/>
        </w:rPr>
        <w:t>” means any nebulizer proprietary to PARI or its Affiliates that is based on a perforated vibrating membrane technology which meets the performance characteristics of a General Purpose Nebulizer.</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General Purpose Nebulizer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8.8.1 (Non-Compete in Territory and Exclusivity)</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Genoa Data</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3.4.1 (Improvements)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Genoa Patent(s)</w:t>
      </w:r>
      <w:r>
        <w:rPr>
          <w:rFonts w:ascii="Times New Roman" w:cs="Times New Roman" w:eastAsia="Times New Roman" w:hAnsi="Times New Roman"/>
          <w:sz w:val="17"/>
          <w:szCs w:val="17"/>
          <w:color w:val="auto"/>
        </w:rPr>
        <w:t>” means any Patent which is owned, licensed (excluding the PARI Patents) or otherwise controlled by Genoa or any of its Affiliates as of the Effective Date or during the Term and is necessary or useful to Exploit the Drug Product(s) for use exclusively with the Device in the Field in the Territory.</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Genoa Requirements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3.1.2 (New Features and Design Improvements)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Genoa Representatives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9.7 (Restrictions on Use)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Genoa Specific Activities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3.3.3 (Development Work Plan)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Genoa Technology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3.4.1 (Improvements)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Handset</w:t>
      </w:r>
      <w:r>
        <w:rPr>
          <w:rFonts w:ascii="Times New Roman" w:cs="Times New Roman" w:eastAsia="Times New Roman" w:hAnsi="Times New Roman"/>
          <w:sz w:val="17"/>
          <w:szCs w:val="17"/>
          <w:color w:val="auto"/>
        </w:rPr>
        <w:t>” means that individual component of the Device consisting of the handset with aerosol head, including all outer packaging and instructions for use accompanying the Handset and any other elements necessary for delivery to the patient.</w:t>
      </w:r>
    </w:p>
    <w:p>
      <w:pPr>
        <w:spacing w:after="0" w:line="125"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Improvements</w:t>
      </w:r>
      <w:r>
        <w:rPr>
          <w:rFonts w:ascii="Times New Roman" w:cs="Times New Roman" w:eastAsia="Times New Roman" w:hAnsi="Times New Roman"/>
          <w:sz w:val="17"/>
          <w:szCs w:val="17"/>
          <w:color w:val="auto"/>
        </w:rPr>
        <w:t>” means any improvements, discoveries, inventions, developments, enhancements, derivative works, technology, Know-How and other intellectual property, whether or not patentable or protectable, discovered and/or reduced to practice by a Party after the Effective Date.</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Incremental Improvement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3.1.2 (New Features and Design Improvements)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w:t>
      </w:r>
      <w:r>
        <w:rPr>
          <w:rFonts w:ascii="Times New Roman" w:cs="Times New Roman" w:eastAsia="Times New Roman" w:hAnsi="Times New Roman"/>
          <w:sz w:val="17"/>
          <w:szCs w:val="17"/>
          <w:color w:val="auto"/>
        </w:rPr>
        <w:t>” means Investigational New Drug Application as defined under the Act, or an equivalent application under any successor laws or regulations.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Indemnifying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10.3 (Indemnification Procedures)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10.3 (Indemnification Procedures)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Initial Payment Amount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5.1 (Initial Payments)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0" w:name="page551"/>
    <w:bookmarkEnd w:id="550"/>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Information</w:t>
      </w:r>
      <w:r>
        <w:rPr>
          <w:rFonts w:ascii="Times New Roman" w:cs="Times New Roman" w:eastAsia="Times New Roman" w:hAnsi="Times New Roman"/>
          <w:sz w:val="17"/>
          <w:szCs w:val="17"/>
          <w:color w:val="auto"/>
        </w:rPr>
        <w:t>” means information of any type whatsoever, in any tangible or intangible form, including Know-How (including PARI Know How, Accessory Know-How, and Genoa Know-How, as the case may be), trade secrets, specifications, instructions, or compositions of matter of any type or kind (whether patentable or not patentable), software, algorithms, marketing reports, test data (including preclinical and clinical test data), analytical and quality control data, other study data, and procedures, in all cases that is owned or controlled by a Party. For the avoidance of doubt, Information includes a Party’s Confidential Information.</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Know-How</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Law</w:t>
      </w:r>
      <w:r>
        <w:rPr>
          <w:rFonts w:ascii="Times New Roman" w:cs="Times New Roman" w:eastAsia="Times New Roman" w:hAnsi="Times New Roman"/>
          <w:sz w:val="17"/>
          <w:szCs w:val="17"/>
          <w:color w:val="auto"/>
        </w:rPr>
        <w:t>” means any federal, state or local law, statute or ordinance, or any rule, regulation, or published guidelines promulgated by any governmental or Regulatory Authority, including the Act.</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w:t>
      </w:r>
      <w:r>
        <w:rPr>
          <w:rFonts w:ascii="Times New Roman" w:cs="Times New Roman" w:eastAsia="Times New Roman" w:hAnsi="Times New Roman"/>
          <w:sz w:val="17"/>
          <w:szCs w:val="17"/>
          <w:color w:val="auto"/>
        </w:rPr>
        <w:t xml:space="preserve">” means the licenses set forth in </w:t>
      </w:r>
      <w:r>
        <w:rPr>
          <w:rFonts w:ascii="Times New Roman" w:cs="Times New Roman" w:eastAsia="Times New Roman" w:hAnsi="Times New Roman"/>
          <w:sz w:val="17"/>
          <w:szCs w:val="17"/>
          <w:u w:val="single" w:color="auto"/>
          <w:color w:val="auto"/>
        </w:rPr>
        <w:t>Sections 2.1 (License)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 (Right to Sublicense)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2.6 (Trademark License)</w:t>
      </w:r>
      <w:r>
        <w:rPr>
          <w:rFonts w:ascii="Times New Roman" w:cs="Times New Roman" w:eastAsia="Times New Roman" w:hAnsi="Times New Roman"/>
          <w:sz w:val="17"/>
          <w:szCs w:val="17"/>
          <w:color w:val="auto"/>
        </w:rPr>
        <w:t xml:space="preserve"> of this Agreement.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Licensed Intellectual Property</w:t>
      </w:r>
      <w:r>
        <w:rPr>
          <w:rFonts w:ascii="Times New Roman" w:cs="Times New Roman" w:eastAsia="Times New Roman" w:hAnsi="Times New Roman"/>
          <w:sz w:val="17"/>
          <w:szCs w:val="17"/>
          <w:color w:val="auto"/>
        </w:rPr>
        <w:t>” means the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MAA</w:t>
      </w:r>
      <w:r>
        <w:rPr>
          <w:rFonts w:ascii="Times New Roman" w:cs="Times New Roman" w:eastAsia="Times New Roman" w:hAnsi="Times New Roman"/>
          <w:sz w:val="16"/>
          <w:szCs w:val="16"/>
          <w:color w:val="auto"/>
        </w:rPr>
        <w:t>” means a marketing authorization application filed with the European Medicines Agency or any applicable Regulatory Authority of a country within</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Europe.</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 Improvement</w:t>
      </w:r>
      <w:r>
        <w:rPr>
          <w:rFonts w:ascii="Times New Roman" w:cs="Times New Roman" w:eastAsia="Times New Roman" w:hAnsi="Times New Roman"/>
          <w:sz w:val="17"/>
          <w:szCs w:val="17"/>
          <w:color w:val="auto"/>
        </w:rPr>
        <w:t xml:space="preserve">” shall have the meaning given in </w:t>
      </w:r>
      <w:r>
        <w:rPr>
          <w:rFonts w:ascii="Times New Roman" w:cs="Times New Roman" w:eastAsia="Times New Roman" w:hAnsi="Times New Roman"/>
          <w:sz w:val="17"/>
          <w:szCs w:val="17"/>
          <w:u w:val="single" w:color="auto"/>
          <w:color w:val="auto"/>
        </w:rPr>
        <w:t>Section 3.1.2(a)(iii)</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 Market</w:t>
      </w:r>
      <w:r>
        <w:rPr>
          <w:rFonts w:ascii="Times New Roman" w:cs="Times New Roman" w:eastAsia="Times New Roman" w:hAnsi="Times New Roman"/>
          <w:sz w:val="17"/>
          <w:szCs w:val="17"/>
          <w:color w:val="auto"/>
        </w:rPr>
        <w:t>” means any one of the following: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Major EU Countries</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NDA</w:t>
      </w:r>
      <w:r>
        <w:rPr>
          <w:rFonts w:ascii="Times New Roman" w:cs="Times New Roman" w:eastAsia="Times New Roman" w:hAnsi="Times New Roman"/>
          <w:sz w:val="17"/>
          <w:szCs w:val="17"/>
          <w:color w:val="auto"/>
        </w:rPr>
        <w:t>” means a New Drug Application filed with the FDA as defined under the Act and applicable regulations promulgated thereunder, as amended or supplemented from time to time, or an equivalent application under any successor law or regulations.</w:t>
      </w:r>
    </w:p>
    <w:p>
      <w:pPr>
        <w:spacing w:after="0" w:line="12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Nebulizer</w:t>
      </w:r>
      <w:r>
        <w:rPr>
          <w:rFonts w:ascii="Times New Roman" w:cs="Times New Roman" w:eastAsia="Times New Roman" w:hAnsi="Times New Roman"/>
          <w:sz w:val="17"/>
          <w:szCs w:val="17"/>
          <w:color w:val="auto"/>
        </w:rPr>
        <w:t>” means any nebulizer or other device that delivers a formulation in the form of droplets to the airways, including the Device and eFlow Technology Nebulizer. For the avoidance of doubt, the term “Nebulizer” shall not include any device that delivers a formulation solely or primarily via the nose.</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Net Sales</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Original Competitors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Schedule B</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 Competitor</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2.3 (Right to Sublicense)</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1" w:name="page552"/>
    <w:bookmarkEnd w:id="551"/>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 Know-How</w:t>
      </w:r>
      <w:r>
        <w:rPr>
          <w:rFonts w:ascii="Times New Roman" w:cs="Times New Roman" w:eastAsia="Times New Roman" w:hAnsi="Times New Roman"/>
          <w:sz w:val="17"/>
          <w:szCs w:val="17"/>
          <w:color w:val="auto"/>
        </w:rPr>
        <w:t>” means any Know-How, other than the Accessory Know-How, which is necessary or useful to Exploit the Device in the Field in the Territory and is owned, licensed or otherwise controlled by PARI or any of its Affiliates as of the Effective Date or during the Term, including the PARI Technology, if any.</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 Patent(s)</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PARI Technology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3.4.1 (Improvements)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Patent(s)</w:t>
      </w:r>
      <w:r>
        <w:rPr>
          <w:rFonts w:ascii="Times New Roman" w:cs="Times New Roman" w:eastAsia="Times New Roman" w:hAnsi="Times New Roman"/>
          <w:sz w:val="17"/>
          <w:szCs w:val="17"/>
          <w:color w:val="auto"/>
        </w:rPr>
        <w:t>” means:</w:t>
      </w:r>
    </w:p>
    <w:p>
      <w:pPr>
        <w:spacing w:after="0" w:line="162" w:lineRule="exact"/>
        <w:rPr>
          <w:sz w:val="20"/>
          <w:szCs w:val="20"/>
          <w:color w:val="auto"/>
        </w:rPr>
      </w:pPr>
    </w:p>
    <w:p>
      <w:pPr>
        <w:ind w:left="1840" w:hanging="332"/>
        <w:spacing w:after="0"/>
        <w:tabs>
          <w:tab w:leader="none" w:pos="184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patents or patent applications;</w:t>
      </w:r>
    </w:p>
    <w:p>
      <w:pPr>
        <w:spacing w:after="0" w:line="161" w:lineRule="exact"/>
        <w:rPr>
          <w:rFonts w:ascii="Times New Roman" w:cs="Times New Roman" w:eastAsia="Times New Roman" w:hAnsi="Times New Roman"/>
          <w:sz w:val="17"/>
          <w:szCs w:val="17"/>
          <w:color w:val="auto"/>
        </w:rPr>
      </w:pPr>
    </w:p>
    <w:p>
      <w:pPr>
        <w:ind w:firstLine="1508"/>
        <w:spacing w:after="0" w:line="259" w:lineRule="auto"/>
        <w:tabs>
          <w:tab w:leader="none" w:pos="184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divisionals, continuations, RCEs, substitutions, continuations-in-part, extensions, renewals, re-examinations, or reissues of such patents or applications, as applicable; and</w:t>
      </w:r>
    </w:p>
    <w:p>
      <w:pPr>
        <w:spacing w:after="0" w:line="124" w:lineRule="exact"/>
        <w:rPr>
          <w:rFonts w:ascii="Times New Roman" w:cs="Times New Roman" w:eastAsia="Times New Roman" w:hAnsi="Times New Roman"/>
          <w:sz w:val="17"/>
          <w:szCs w:val="17"/>
          <w:color w:val="auto"/>
        </w:rPr>
      </w:pPr>
    </w:p>
    <w:p>
      <w:pPr>
        <w:ind w:left="1840" w:hanging="332"/>
        <w:spacing w:after="0"/>
        <w:tabs>
          <w:tab w:leader="none" w:pos="1840" w:val="left"/>
        </w:tabs>
        <w:numPr>
          <w:ilvl w:val="0"/>
          <w:numId w:val="4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foreign counterparts of any of the foregoing.</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Patient Connection Services</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9.3.1 (Manufacture and Supply of the Device)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Sublicensee</w:t>
      </w:r>
      <w:r>
        <w:rPr>
          <w:rFonts w:ascii="Times New Roman" w:cs="Times New Roman" w:eastAsia="Times New Roman" w:hAnsi="Times New Roman"/>
          <w:sz w:val="17"/>
          <w:szCs w:val="17"/>
          <w:color w:val="auto"/>
        </w:rPr>
        <w:t>” means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Phase 1 Clinical Trial</w:t>
      </w:r>
      <w:r>
        <w:rPr>
          <w:rFonts w:ascii="Times New Roman" w:cs="Times New Roman" w:eastAsia="Times New Roman" w:hAnsi="Times New Roman"/>
          <w:sz w:val="17"/>
          <w:szCs w:val="17"/>
          <w:color w:val="auto"/>
        </w:rPr>
        <w:t>” means any human clinical trial of any of the Drug Product(s) delivered via the Device to humans, as described in 21 C.F.R.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§312.21(a).</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Phase 2 Clinical Trial</w:t>
      </w:r>
      <w:r>
        <w:rPr>
          <w:rFonts w:ascii="Times New Roman" w:cs="Times New Roman" w:eastAsia="Times New Roman" w:hAnsi="Times New Roman"/>
          <w:sz w:val="17"/>
          <w:szCs w:val="17"/>
          <w:color w:val="auto"/>
        </w:rPr>
        <w:t>” means any human clinical trial of any of the Drug Product(s) delivered via the Device to humans, as described in 21 C.F.R.</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§312.21(b).</w:t>
      </w:r>
    </w:p>
    <w:p>
      <w:pPr>
        <w:spacing w:after="0" w:line="14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Phase 3 Clinical Trial</w:t>
      </w:r>
      <w:r>
        <w:rPr>
          <w:rFonts w:ascii="Times New Roman" w:cs="Times New Roman" w:eastAsia="Times New Roman" w:hAnsi="Times New Roman"/>
          <w:sz w:val="17"/>
          <w:szCs w:val="17"/>
          <w:color w:val="auto"/>
        </w:rPr>
        <w:t>” means any human clinical trial of the Drug Product(s) delivered via the Device to humans, as described in 21 C.F.R. 312.21(c).</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Priority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6.2.3 (Enforcement)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Probable Infringement or Misappropriation</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5.6 (Permitted Reductions in Royalty)</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Proceeding</w:t>
      </w:r>
      <w:r>
        <w:rPr>
          <w:rFonts w:ascii="Times New Roman" w:cs="Times New Roman" w:eastAsia="Times New Roman" w:hAnsi="Times New Roman"/>
          <w:sz w:val="17"/>
          <w:szCs w:val="17"/>
          <w:color w:val="auto"/>
        </w:rPr>
        <w:t>” means any action, arbitration, audit (to the knowledge of such Party), hearing, investigation (to the knowledge of such Party), litigation or suit (whether civil, criminal, administrative, investigative or informal) commenced, brought, conducted or heard by or before, or otherwise involving any governmental entity or arbitrator.</w:t>
      </w:r>
    </w:p>
    <w:p>
      <w:pPr>
        <w:spacing w:after="0" w:line="13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Products</w:t>
      </w:r>
      <w:r>
        <w:rPr>
          <w:rFonts w:ascii="Times New Roman" w:cs="Times New Roman" w:eastAsia="Times New Roman" w:hAnsi="Times New Roman"/>
          <w:sz w:val="17"/>
          <w:szCs w:val="17"/>
          <w:color w:val="auto"/>
        </w:rPr>
        <w:t>” shall mean: (i) the Drug Product(s); (ii) the Device; (iii) any Accessory; and (iv) any Improvement to the Drug Product(s), the Device, or any Accessory during the Term. Genoa, its Affiliates and Permitted Sublicensees may in their discretion develop multiple Products consistent with the scope of the foregoing definition.</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2" w:name="page553"/>
    <w:bookmarkEnd w:id="552"/>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Product-Specific Infringement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6.2.1 (Enforcement)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PTO</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6.1.4 (Patent Prosecution and Maintenance)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Activities</w:t>
      </w:r>
      <w:r>
        <w:rPr>
          <w:rFonts w:ascii="Times New Roman" w:cs="Times New Roman" w:eastAsia="Times New Roman" w:hAnsi="Times New Roman"/>
          <w:sz w:val="17"/>
          <w:szCs w:val="17"/>
          <w:color w:val="auto"/>
        </w:rPr>
        <w:t>” means any and all actions reasonably necessary or required to obtain or maintain the Regulatory Approvals, including the design and conduct of clinical trials as necessary.</w:t>
      </w:r>
    </w:p>
    <w:p>
      <w:pPr>
        <w:spacing w:after="0" w:line="12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Approval</w:t>
      </w:r>
      <w:r>
        <w:rPr>
          <w:rFonts w:ascii="Times New Roman" w:cs="Times New Roman" w:eastAsia="Times New Roman" w:hAnsi="Times New Roman"/>
          <w:sz w:val="17"/>
          <w:szCs w:val="17"/>
          <w:color w:val="auto"/>
        </w:rPr>
        <w:t>” means with respect to the Device, any Accessory, the Drug Product(s) or any Improvements to the foregoing, any approval required under the Act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approval of the 510(k) or NDA, as applicable) and any similar governmental approvals required in any jurisdiction in the Territory to Exploit such Device, Accessory, Drug Product(s) or Improvements to the foregoing, but excluding, for the avoidance of doubt, reimbursement approvals.</w:t>
      </w:r>
    </w:p>
    <w:p>
      <w:pPr>
        <w:spacing w:after="0" w:line="13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Regulatory Authority</w:t>
      </w:r>
      <w:r>
        <w:rPr>
          <w:rFonts w:ascii="Times New Roman" w:cs="Times New Roman" w:eastAsia="Times New Roman" w:hAnsi="Times New Roman"/>
          <w:sz w:val="17"/>
          <w:szCs w:val="17"/>
          <w:color w:val="auto"/>
        </w:rPr>
        <w:t>” shall mean the FDA and any similar governmental authority, administrative agency or commission of any country, state, county, city or other political subdivision in the Territory.</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Requesting Party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6.2.3 (Enforcement)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RCE</w:t>
      </w:r>
      <w:r>
        <w:rPr>
          <w:rFonts w:ascii="Times New Roman" w:cs="Times New Roman" w:eastAsia="Times New Roman" w:hAnsi="Times New Roman"/>
          <w:sz w:val="17"/>
          <w:szCs w:val="17"/>
          <w:color w:val="auto"/>
        </w:rPr>
        <w:t>” shall mean request for continued examination.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Royalty</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5.4.1 (Royalty Rate)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Royalty Term</w:t>
      </w:r>
      <w:r>
        <w:rPr>
          <w:rFonts w:ascii="Times New Roman" w:cs="Times New Roman" w:eastAsia="Times New Roman" w:hAnsi="Times New Roman"/>
          <w:sz w:val="17"/>
          <w:szCs w:val="17"/>
          <w:color w:val="auto"/>
        </w:rPr>
        <w:t>” means, on a country-by-country and Drug Product-by-Drug Product basis in the Territory, the period of time from the Effective Date through the later of (i) the date of the expiration of the last Valid Claim included in the PARI Patents claiming the Device; or (ii) [***] after the First Commercial Sale of such Drug Product respectively; provided, however, that the Royalty Term shall remain in effect for a country even though there is no such Valid Claim for such country as long as there remains a Valid Claim in (x) each of Brazil and Mexico as to the countries in Latin America, (y) each of the Major EU Countries as to the countries in Europe, and (z) each of China, India, Australia and Japan as to the countries in the Pacific Rim.</w:t>
      </w:r>
    </w:p>
    <w:p>
      <w:pPr>
        <w:spacing w:after="0" w:line="141"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Significant Improvement</w:t>
      </w:r>
      <w:r>
        <w:rPr>
          <w:rFonts w:ascii="Times New Roman" w:cs="Times New Roman" w:eastAsia="Times New Roman" w:hAnsi="Times New Roman"/>
          <w:sz w:val="17"/>
          <w:szCs w:val="17"/>
          <w:color w:val="auto"/>
        </w:rPr>
        <w:t>” shall mean an Improvement to a Device or Accessory that does not constitute an Incremental Improvement or a Major Improvement.</w:t>
      </w:r>
    </w:p>
    <w:p>
      <w:pPr>
        <w:spacing w:after="0" w:line="1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Study Protocol</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9.7 (Restrictions on Use)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Sublicense</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2.3 (Right to Sublicense)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Supply Agreement</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9.1 (Supply Agreement)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shall have the meaning set forth in </w:t>
      </w:r>
      <w:r>
        <w:rPr>
          <w:rFonts w:ascii="Times New Roman" w:cs="Times New Roman" w:eastAsia="Times New Roman" w:hAnsi="Times New Roman"/>
          <w:sz w:val="17"/>
          <w:szCs w:val="17"/>
          <w:u w:val="single" w:color="auto"/>
          <w:color w:val="auto"/>
        </w:rPr>
        <w:t>Section 11.1 (Term)</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Territory</w:t>
      </w:r>
      <w:r>
        <w:rPr>
          <w:rFonts w:ascii="Times New Roman" w:cs="Times New Roman" w:eastAsia="Times New Roman" w:hAnsi="Times New Roman"/>
          <w:sz w:val="17"/>
          <w:szCs w:val="17"/>
          <w:color w:val="auto"/>
        </w:rPr>
        <w:t>” means all countries of the world.</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3" w:name="page554"/>
    <w:bookmarkEnd w:id="553"/>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Trademarks</w:t>
      </w:r>
      <w:r>
        <w:rPr>
          <w:rFonts w:ascii="Times New Roman" w:cs="Times New Roman" w:eastAsia="Times New Roman" w:hAnsi="Times New Roman"/>
          <w:sz w:val="17"/>
          <w:szCs w:val="17"/>
          <w:color w:val="auto"/>
        </w:rPr>
        <w:t>” means the trademarks or service marks of PARI, Genoa or a Permitted Sublicensee, as applicable, appropriate for use on or in connection with the Device which are owned, licensed or otherwise controlled by PARI, Genoa or a Permitted Sublicensee, as applicable, or any of their Affiliates as of the Effective Date or during the Term, which trademarks or service marks shall be agreed to, identified and set forth in the license thereto contained in the Supply Agreement.</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shall mean [***].</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United States</w:t>
      </w:r>
      <w:r>
        <w:rPr>
          <w:rFonts w:ascii="Times New Roman" w:cs="Times New Roman" w:eastAsia="Times New Roman" w:hAnsi="Times New Roman"/>
          <w:sz w:val="17"/>
          <w:szCs w:val="17"/>
          <w:color w:val="auto"/>
        </w:rPr>
        <w:t>” mean the United States of America.</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USPTO</w:t>
      </w:r>
      <w:r>
        <w:rPr>
          <w:rFonts w:ascii="Times New Roman" w:cs="Times New Roman" w:eastAsia="Times New Roman" w:hAnsi="Times New Roman"/>
          <w:sz w:val="17"/>
          <w:szCs w:val="17"/>
          <w:color w:val="auto"/>
        </w:rPr>
        <w:t>” means the United States Patent and Trademark Office.</w:t>
      </w:r>
    </w:p>
    <w:p>
      <w:pPr>
        <w:spacing w:after="0" w:line="162" w:lineRule="exact"/>
        <w:rPr>
          <w:sz w:val="20"/>
          <w:szCs w:val="20"/>
          <w:color w:val="auto"/>
        </w:rPr>
      </w:pPr>
    </w:p>
    <w:p>
      <w:pPr>
        <w:jc w:val="both"/>
        <w:ind w:firstLine="752"/>
        <w:spacing w:after="0" w:line="23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Valid Claim</w:t>
      </w:r>
      <w:r>
        <w:rPr>
          <w:rFonts w:ascii="Times New Roman" w:cs="Times New Roman" w:eastAsia="Times New Roman" w:hAnsi="Times New Roman"/>
          <w:sz w:val="17"/>
          <w:szCs w:val="17"/>
          <w:color w:val="auto"/>
        </w:rPr>
        <w:t xml:space="preserve">” means an issued claim of an unexpired Patent that shall not have been held invalid or unenforceable by a court of competent jurisdiction in an unappealed or unappealable decision; or a claim of a pending Patent application filed at any time prior to the [***] of the date on which the first Regulatory Approval was obtained by Genoa of the Drug Product with the Device, on a country-by-country basis, that shall not have been withdrawn, canceled or disclaimed. On a country-by-country basis, a Patent application pending for more than [***] shall not be considered to have any Valid Claim for the purposes of this Agreement unless thereafter a Patent with respect to such Patent application issues with such claim;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if in such [***] the applicable governmental agencies have not completed their review of the claims of the pending Patent application, then such [***] shall be extended for a further [***] and if after [***] such Patent application is still pending then such Patent application shall not be considered to have any Valid Claim for the purposes of this Agreement unless thereafter a Patent with respect to such Patent application issues with such claim. For purposes of clarification, a continuation, RCE or similar application shall not be considered a new application for time of pendency and shall be combined with the respective priority application(s).</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Wholesale Acquisition Cost (WAC)</w:t>
      </w:r>
      <w:r>
        <w:rPr>
          <w:rFonts w:ascii="Times New Roman" w:cs="Times New Roman" w:eastAsia="Times New Roman" w:hAnsi="Times New Roman"/>
          <w:sz w:val="17"/>
          <w:szCs w:val="17"/>
          <w:color w:val="auto"/>
        </w:rPr>
        <w:t>” means the manufacturer’s published catalogue or list price for a drug product to wholesalers.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Year of Sales</w:t>
      </w:r>
      <w:r>
        <w:rPr>
          <w:rFonts w:ascii="Times New Roman" w:cs="Times New Roman" w:eastAsia="Times New Roman" w:hAnsi="Times New Roman"/>
          <w:sz w:val="17"/>
          <w:szCs w:val="17"/>
          <w:color w:val="auto"/>
        </w:rPr>
        <w:t>” means any [***], commencing with [***].</w:t>
      </w:r>
    </w:p>
    <w:p>
      <w:pPr>
        <w:spacing w:after="0" w:line="162" w:lineRule="exact"/>
        <w:rPr>
          <w:sz w:val="20"/>
          <w:szCs w:val="20"/>
          <w:color w:val="auto"/>
        </w:rPr>
      </w:pPr>
    </w:p>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Unless the context of this Agreement otherwise requires: (a) words of any gender include each other gender; (b) words using the singular or plural number also include the plural or singular number, respectively; (c) the terms “hereof,” “herein,” “hereby,” and derivative or similar towards refer to this entire Agreement; (d) the terms “Section” or “Schedule” refer to the specified Section or Schedule of this Agreement; (e) the term “or” has, except where otherwise indicated, the inclusive meaning represented by the phrase, “and/or”; (f) the term “including” means “including, without limitation”; and (g) “days” refers to calendar days. All accounting terms used but not otherwise defined herein shall have the meanings ascribed to such terms under GAAP. All references to “$” amounts hereunder shall be deemed to be U.S. Dollars, and all payments due hereunder shall be made in U.S. Dollars unless otherwise specified.</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4" w:name="page555"/>
    <w:bookmarkEnd w:id="554"/>
    <w:p>
      <w:pPr>
        <w:ind w:left="760" w:hanging="756"/>
        <w:spacing w:after="0"/>
        <w:tabs>
          <w:tab w:leader="none" w:pos="760" w:val="left"/>
        </w:tabs>
        <w:numPr>
          <w:ilvl w:val="0"/>
          <w:numId w:val="4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GRANT OF RIGHTS</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License</w:t>
      </w:r>
      <w:r>
        <w:rPr>
          <w:rFonts w:ascii="Times New Roman" w:cs="Times New Roman" w:eastAsia="Times New Roman" w:hAnsi="Times New Roman"/>
          <w:sz w:val="17"/>
          <w:szCs w:val="17"/>
          <w:color w:val="auto"/>
        </w:rPr>
        <w:t>. Subject to the terms and conditions of this Agreement and compliance with the foregoing:</w:t>
      </w:r>
    </w:p>
    <w:p>
      <w:pPr>
        <w:spacing w:after="0" w:line="162" w:lineRule="exact"/>
        <w:rPr>
          <w:sz w:val="20"/>
          <w:szCs w:val="20"/>
          <w:color w:val="auto"/>
        </w:rPr>
      </w:pPr>
    </w:p>
    <w:p>
      <w:pPr>
        <w:jc w:val="both"/>
        <w:ind w:left="760" w:firstLine="752"/>
        <w:spacing w:after="0" w:line="238" w:lineRule="auto"/>
        <w:rPr>
          <w:sz w:val="20"/>
          <w:szCs w:val="20"/>
          <w:color w:val="auto"/>
        </w:rPr>
      </w:pPr>
      <w:r>
        <w:rPr>
          <w:rFonts w:ascii="Times New Roman" w:cs="Times New Roman" w:eastAsia="Times New Roman" w:hAnsi="Times New Roman"/>
          <w:sz w:val="17"/>
          <w:szCs w:val="17"/>
          <w:color w:val="auto"/>
        </w:rPr>
        <w:t xml:space="preserve">2.1.1 PARI hereby grants to Genoa an Exclusive, sublicensable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 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(Right to Sublicense), as applicable), transferable (in accordance with </w:t>
      </w:r>
      <w:r>
        <w:rPr>
          <w:rFonts w:ascii="Times New Roman" w:cs="Times New Roman" w:eastAsia="Times New Roman" w:hAnsi="Times New Roman"/>
          <w:sz w:val="17"/>
          <w:szCs w:val="17"/>
          <w:u w:val="single" w:color="auto"/>
          <w:color w:val="auto"/>
        </w:rPr>
        <w:t>Section 14.6</w:t>
      </w:r>
      <w:r>
        <w:rPr>
          <w:rFonts w:ascii="Times New Roman" w:cs="Times New Roman" w:eastAsia="Times New Roman" w:hAnsi="Times New Roman"/>
          <w:sz w:val="17"/>
          <w:szCs w:val="17"/>
          <w:color w:val="auto"/>
        </w:rPr>
        <w:t xml:space="preserve"> (Assignment)), Royalty-bearing license under the Licensed Intellectual Property, to Exploit the Device for exclusive use with the Drug Product(s) in the Field in the Territory; provided, however, that Genoa shall not have the right to develop, copy, make or have made, make derivative works of, or seek Regulatory Approvals for the Device (subject to </w:t>
      </w:r>
      <w:r>
        <w:rPr>
          <w:rFonts w:ascii="Times New Roman" w:cs="Times New Roman" w:eastAsia="Times New Roman" w:hAnsi="Times New Roman"/>
          <w:sz w:val="17"/>
          <w:szCs w:val="17"/>
          <w:u w:val="single" w:color="auto"/>
          <w:color w:val="auto"/>
        </w:rPr>
        <w:t>Section 3.1.1(b)</w:t>
      </w:r>
      <w:r>
        <w:rPr>
          <w:rFonts w:ascii="Times New Roman" w:cs="Times New Roman" w:eastAsia="Times New Roman" w:hAnsi="Times New Roman"/>
          <w:sz w:val="17"/>
          <w:szCs w:val="17"/>
          <w:color w:val="auto"/>
        </w:rPr>
        <w:t xml:space="preserve">) or any component of any of the foregoing, as long as PARI fulfills its manufacture, supply and related regulatory obligations as set forth in the Supply Agreement (which will be consistent with the provisions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of this Agreement, unless otherwise agreed to by the Parties in the Supply Agreement).</w:t>
      </w:r>
    </w:p>
    <w:p>
      <w:pPr>
        <w:spacing w:after="0" w:line="140" w:lineRule="exact"/>
        <w:rPr>
          <w:sz w:val="20"/>
          <w:szCs w:val="20"/>
          <w:color w:val="auto"/>
        </w:rPr>
      </w:pPr>
    </w:p>
    <w:p>
      <w:pPr>
        <w:jc w:val="both"/>
        <w:ind w:left="760" w:firstLine="752"/>
        <w:spacing w:after="0" w:line="238" w:lineRule="auto"/>
        <w:rPr>
          <w:sz w:val="20"/>
          <w:szCs w:val="20"/>
          <w:color w:val="auto"/>
        </w:rPr>
      </w:pPr>
      <w:r>
        <w:rPr>
          <w:rFonts w:ascii="Times New Roman" w:cs="Times New Roman" w:eastAsia="Times New Roman" w:hAnsi="Times New Roman"/>
          <w:sz w:val="17"/>
          <w:szCs w:val="17"/>
          <w:color w:val="auto"/>
        </w:rPr>
        <w:t xml:space="preserve">2.1.2 PARI hereby grants to Genoa a non-exclusive, sublicensable (in accordance with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 and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(Right to Sublicense), as applicable), transferable (in accordance with </w:t>
      </w:r>
      <w:r>
        <w:rPr>
          <w:rFonts w:ascii="Times New Roman" w:cs="Times New Roman" w:eastAsia="Times New Roman" w:hAnsi="Times New Roman"/>
          <w:sz w:val="17"/>
          <w:szCs w:val="17"/>
          <w:u w:val="single" w:color="auto"/>
          <w:color w:val="auto"/>
        </w:rPr>
        <w:t>Section 14.6</w:t>
      </w:r>
      <w:r>
        <w:rPr>
          <w:rFonts w:ascii="Times New Roman" w:cs="Times New Roman" w:eastAsia="Times New Roman" w:hAnsi="Times New Roman"/>
          <w:sz w:val="17"/>
          <w:szCs w:val="17"/>
          <w:color w:val="auto"/>
        </w:rPr>
        <w:t xml:space="preserve"> (Assignment)), Royalty-free license under the Licensed Intellectual Property to Exploit any Accessory for exclusive use with the Device solely for use with the Drug Product(s) in the Field in the Territory; provided, however, that Genoa shall not have the right to develop, copy, make or have made, make derivative works of, or seek Regulatory Approvals for Accessories or any component of any of the foregoing, as long as PARI fulfills its manufacture, supply and regulatory obligations as set forth in the Supply Agreement (which will be consistent with the provisions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of this Agreement, unless otherwise agreed to by the Parties in the Supply Agreement).</w:t>
      </w:r>
    </w:p>
    <w:p>
      <w:pPr>
        <w:spacing w:after="0" w:line="14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6"/>
          <w:szCs w:val="16"/>
          <w:color w:val="auto"/>
        </w:rPr>
        <w:t>The foregoing licenses shall be [***].</w:t>
      </w:r>
    </w:p>
    <w:p>
      <w:pPr>
        <w:spacing w:after="0" w:line="162" w:lineRule="exact"/>
        <w:rPr>
          <w:sz w:val="20"/>
          <w:szCs w:val="20"/>
          <w:color w:val="auto"/>
        </w:rPr>
      </w:pPr>
    </w:p>
    <w:p>
      <w:pPr>
        <w:jc w:val="both"/>
        <w:ind w:firstLine="752"/>
        <w:spacing w:after="0" w:line="236" w:lineRule="auto"/>
        <w:rPr>
          <w:sz w:val="20"/>
          <w:szCs w:val="20"/>
          <w:color w:val="auto"/>
        </w:rPr>
      </w:pPr>
      <w:r>
        <w:rPr>
          <w:rFonts w:ascii="Times New Roman" w:cs="Times New Roman" w:eastAsia="Times New Roman" w:hAnsi="Times New Roman"/>
          <w:sz w:val="17"/>
          <w:szCs w:val="17"/>
          <w:color w:val="auto"/>
        </w:rPr>
        <w:t xml:space="preserve">2.2 [***]. During the Term, PARI hereby grants to Genoa, on a non-sublicensable (except as allowed pursuant to this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and non-transferable basis, (i) an Exclusive sublicense under the [***], and (ii) an Exclusive sublicense under the [***] identified and set forth on Schedule C attached hereto and referred to therein as the [***], in each case to Exploit the Device for exclusive use with the Drug Product(s) in the Field in the Territory; provided, however, that Genoa shall not have the right to develop, copy, make or have made, make derivative works of, or seek Regulatory Approvals for the Device, any Accessory, or any component of any of the foregoing, as long as PARI fulfills its manufacture, supply and regulatory obligations as set forth in the Supply Agreement (which will be consistent with the provisions of </w:t>
      </w:r>
      <w:r>
        <w:rPr>
          <w:rFonts w:ascii="Times New Roman" w:cs="Times New Roman" w:eastAsia="Times New Roman" w:hAnsi="Times New Roman"/>
          <w:sz w:val="17"/>
          <w:szCs w:val="17"/>
          <w:u w:val="single" w:color="auto"/>
          <w:color w:val="auto"/>
        </w:rPr>
        <w:t>Section 9</w:t>
      </w:r>
      <w:r>
        <w:rPr>
          <w:rFonts w:ascii="Times New Roman" w:cs="Times New Roman" w:eastAsia="Times New Roman" w:hAnsi="Times New Roman"/>
          <w:sz w:val="17"/>
          <w:szCs w:val="17"/>
          <w:color w:val="auto"/>
        </w:rPr>
        <w:t xml:space="preserve"> of this Agreement, unless otherwise agreed to by the Parties in the Supply Agreement). In the event Genoa transfers or Sublicenses the License granted in </w:t>
      </w:r>
      <w:r>
        <w:rPr>
          <w:rFonts w:ascii="Times New Roman" w:cs="Times New Roman" w:eastAsia="Times New Roman" w:hAnsi="Times New Roman"/>
          <w:sz w:val="17"/>
          <w:szCs w:val="17"/>
          <w:u w:val="single" w:color="auto"/>
          <w:color w:val="auto"/>
        </w:rPr>
        <w:t>Section 2.1 (License)</w:t>
      </w:r>
      <w:r>
        <w:rPr>
          <w:rFonts w:ascii="Times New Roman" w:cs="Times New Roman" w:eastAsia="Times New Roman" w:hAnsi="Times New Roman"/>
          <w:sz w:val="17"/>
          <w:szCs w:val="17"/>
          <w:color w:val="auto"/>
        </w:rPr>
        <w:t xml:space="preserve"> to a third party, PARI shall upon Genoa’s request directly grant a Sublicense of PARI’s rights under the [***] to the transferee or Permitted Sublicensee for no additional consideration other than that already due to PARI under this Agreement. Such additional grant of a Sublicense shall be subject to the terms and conditions of this Agreement.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5" w:right="319" w:bottom="1440" w:gutter="0" w:footer="0" w:header="0"/>
        </w:sectPr>
      </w:pPr>
    </w:p>
    <w:bookmarkStart w:id="555" w:name="page556"/>
    <w:bookmarkEnd w:id="555"/>
    <w:p>
      <w:pPr>
        <w:jc w:val="both"/>
        <w:ind w:firstLine="752"/>
        <w:spacing w:after="0" w:line="234"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Right to Sublicense</w:t>
      </w:r>
      <w:r>
        <w:rPr>
          <w:rFonts w:ascii="Times New Roman" w:cs="Times New Roman" w:eastAsia="Times New Roman" w:hAnsi="Times New Roman"/>
          <w:sz w:val="17"/>
          <w:szCs w:val="17"/>
          <w:color w:val="auto"/>
        </w:rPr>
        <w:t xml:space="preserve">. Subject to the terms and conditions of this Agreement including </w:t>
      </w:r>
      <w:r>
        <w:rPr>
          <w:rFonts w:ascii="Times New Roman" w:cs="Times New Roman" w:eastAsia="Times New Roman" w:hAnsi="Times New Roman"/>
          <w:sz w:val="17"/>
          <w:szCs w:val="17"/>
          <w:u w:val="single" w:color="auto"/>
          <w:color w:val="auto"/>
        </w:rPr>
        <w:t>Section 2.2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above, and compliance therewith, Genoa shall have the right to grant sublicenses (individually, a “Sublicense”) under the License to third parties; provided, however, such Sublicenses shall (i) comply and be consistent, in all respects, with all the terms of this Agreement, (ii) be for the Drug Product(s) for exclusive use with the Device, (iii) impose on the Permitted Sublicensee the same obligations and restrictions as are imposed on Genoa under this Agreement appropriate for the territory sublicensed, as stipulated elsewhere in this Agreement, (iv) not impose any obligations on PARI that are more stringent or different from those obligations on PARI set forth in this Agreement, and (v) name PARI as a third party beneficiary under the sublicense agreement solely with respect to obligations of the Sublicensee which are equal to the obligations of Genoa under this Agreement or imposed on the Sublicensee due to provisions under this Agreement. Genoa shall [***] provide PARI with a copy of any agreement governing such Sublicense to be granted by Genoa prior to its execution, with terms unrelated to the License or this Agreement redacted, and provide PARI with an opportunity to comment thereon (PARI shall provide such comments [***] but in no event later than [***] after receiving such copy) and Genoa shall consider such comments by PARI in good faith and incorporate such comments when appropriate, acting in good faith. Genoa shall deliver to PARI a copy of any and all executed sublicense agreements [***] after their execution (with terms unrelated to the License or this Agreement redacted). Any Sublicense shall not relieve Genoa of its obligations to PARI under this Agreement and Genoa shall remain fully responsible for performance of this Agreement notwithstanding any Sublicenses granted by Genoa, and shall cause any Permitted Sublicensee to comply with the applicable terms and conditions of this Agreement. In the event of any breach of the Sublicense, Genoa shall [***] notify PARI of such breach as well as Genoa’s intended response thereto. Genoa shall take all steps, at its own expense, to enforce the terms of such Sublicense against the Permitted Sublicensee, including termination if such breach is not cured within the applicable cure period in the Sublicense agreement. Notwithstanding anything to the contrary contained in this Agreement, Genoa shall not grant such Sublicense to a PARI Competitor without PARI’s consent. For such purposes a “PARI Competitor” shall mean an entity identified in Schedule B attached hereto.</w:t>
      </w:r>
    </w:p>
    <w:p>
      <w:pPr>
        <w:spacing w:after="0" w:line="145"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Unbundling of Sales</w:t>
      </w:r>
      <w:r>
        <w:rPr>
          <w:rFonts w:ascii="Times New Roman" w:cs="Times New Roman" w:eastAsia="Times New Roman" w:hAnsi="Times New Roman"/>
          <w:sz w:val="17"/>
          <w:szCs w:val="17"/>
          <w:color w:val="auto"/>
        </w:rPr>
        <w:t>. PARI understands that the Device and any Accessory may be sold separately by Genoa or its Permitted Sublicensees for use with the Drug Product(s) in the Field in the Territory, and the License permits such sales. By way of example, but not limitation, Genoa may sell the Device or Accessories alone with respect to a prescription for the Device for use with the Drug Product(s), and it may sell the Drug Product(s) separately with respect to a separate prescription for the Drug Product(s) for use with the Device for single or multiple uses, including refills. Notwithstanding anything to the contrary contained in this Agreement, Genoa acknowledges and agrees that all Drug Product(s) and/or Accessories shall be sold for exclusive use with the Device.</w:t>
      </w:r>
    </w:p>
    <w:p>
      <w:pPr>
        <w:spacing w:after="0" w:line="141"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Disclosure of Licensed Intellectual Property</w:t>
      </w:r>
      <w:r>
        <w:rPr>
          <w:rFonts w:ascii="Times New Roman" w:cs="Times New Roman" w:eastAsia="Times New Roman" w:hAnsi="Times New Roman"/>
          <w:sz w:val="17"/>
          <w:szCs w:val="17"/>
          <w:color w:val="auto"/>
        </w:rPr>
        <w:t xml:space="preserve">. Following the receipt of the Initial Payment Amount in accordance with </w:t>
      </w:r>
      <w:r>
        <w:rPr>
          <w:rFonts w:ascii="Times New Roman" w:cs="Times New Roman" w:eastAsia="Times New Roman" w:hAnsi="Times New Roman"/>
          <w:sz w:val="17"/>
          <w:szCs w:val="17"/>
          <w:u w:val="single" w:color="auto"/>
          <w:color w:val="auto"/>
        </w:rPr>
        <w:t>Section 5.1 (Initial Payments)</w:t>
      </w:r>
      <w:r>
        <w:rPr>
          <w:rFonts w:ascii="Times New Roman" w:cs="Times New Roman" w:eastAsia="Times New Roman" w:hAnsi="Times New Roman"/>
          <w:sz w:val="17"/>
          <w:szCs w:val="17"/>
          <w:color w:val="auto"/>
        </w:rPr>
        <w:t>, PARI shall (a) [***] deliver to Genoa, or provide Genoa with copies of: (i) upon the reasonable request of Genoa, any and all publicly available PARI Patents and Accessory Patents so requested and (ii) upon the reasonable request of Genoa and agreed to in good faith by PARI, any and all material PARI Know-How so requested in sufficient detail in order for a reasonably-skilled person to practice and Exploit such PARI Know-How included in the Licensed Intellectual Property as contemplated in this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6" w:name="page557"/>
    <w:bookmarkEnd w:id="556"/>
    <w:p>
      <w:pPr>
        <w:jc w:val="both"/>
        <w:spacing w:after="0" w:line="259" w:lineRule="auto"/>
        <w:rPr>
          <w:sz w:val="20"/>
          <w:szCs w:val="20"/>
          <w:color w:val="auto"/>
        </w:rPr>
      </w:pPr>
      <w:r>
        <w:rPr>
          <w:rFonts w:ascii="Times New Roman" w:cs="Times New Roman" w:eastAsia="Times New Roman" w:hAnsi="Times New Roman"/>
          <w:sz w:val="17"/>
          <w:szCs w:val="17"/>
          <w:color w:val="auto"/>
        </w:rPr>
        <w:t>Agreement; and (b) upon the reasonable request of Genoa, discuss with Genoa the substance of any non-publicly available PARI Patents and Accessory Patents and provide a demonstration to the extent practical.</w:t>
      </w:r>
    </w:p>
    <w:p>
      <w:pPr>
        <w:spacing w:after="0" w:line="125"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2.6 </w:t>
      </w:r>
      <w:r>
        <w:rPr>
          <w:rFonts w:ascii="Times New Roman" w:cs="Times New Roman" w:eastAsia="Times New Roman" w:hAnsi="Times New Roman"/>
          <w:sz w:val="17"/>
          <w:szCs w:val="17"/>
          <w:u w:val="single" w:color="auto"/>
          <w:color w:val="auto"/>
        </w:rPr>
        <w:t>Trademark Licenses</w:t>
      </w:r>
      <w:r>
        <w:rPr>
          <w:rFonts w:ascii="Times New Roman" w:cs="Times New Roman" w:eastAsia="Times New Roman" w:hAnsi="Times New Roman"/>
          <w:sz w:val="17"/>
          <w:szCs w:val="17"/>
          <w:color w:val="auto"/>
        </w:rPr>
        <w:t>. PARI agrees to grant Genoa, its Affiliates and Permitted Sublicensees a license to certain Trademarks controlled by PARI and related to the Device for no additional consideration as agreed to by the Parties and set forth in the Supply Agreement. Genoa agrees and shall cause its Permitted Sublicensee, in each case if required by any Regulatory Authority or by applicable Law, to grant PARI and its Affiliates a license to certain Trademarks for no additional consideration as agreed to by the Parties and set forth in the Supply Agreement.</w:t>
      </w:r>
    </w:p>
    <w:p>
      <w:pPr>
        <w:spacing w:after="0" w:line="10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Right of Reference</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760" w:firstLine="752"/>
        <w:spacing w:after="0" w:line="234" w:lineRule="auto"/>
        <w:rPr>
          <w:sz w:val="20"/>
          <w:szCs w:val="20"/>
          <w:color w:val="auto"/>
        </w:rPr>
      </w:pPr>
      <w:r>
        <w:rPr>
          <w:rFonts w:ascii="Times New Roman" w:cs="Times New Roman" w:eastAsia="Times New Roman" w:hAnsi="Times New Roman"/>
          <w:sz w:val="17"/>
          <w:szCs w:val="17"/>
          <w:color w:val="auto"/>
        </w:rPr>
        <w:t xml:space="preserve">2.7.1 Genoa, its Affiliates and Permitted Sublicensees shall have the right to reference PARI’s 510(k) applications, CE mark documentation and other related or corresponding filings with Regulatory Authorities pertaining to the Device or any Accessory, as filed by PARI or its Affiliates with Regulatory Authorities from time to time, to the extent necessary or useful for Genoa, its Affiliates and/or its Permitted Sublicensees to obtain Regulatory Approval for the Drug Product(s) for exclusive use with the Device in the Field in the Territory. PARI shall provide Genoa, its Affiliates and its Permitted Sublicensees with reasonable access to the design history file and any risk analysis materials pertaining to any such Device, eFlow Technology Nebulizer or Accessory and shall, from time to time, at Genoa’s expense but with the prior approval of PARI (such approval not to be unreasonably withheld, conditioned or delayed), make available to Genoa, its Affiliates or its Permitted Sublicensees copies of such selected portions of such design history file and risk analysis materials as they may request, in each case to the extent necessary for Genoa, its Affiliates and/or its Permitted Sublicensees to obtain Regulatory Approval for the Drug Product(s) for exclusive use with the Device in the Field in the Territory. Notwithstanding anything to the contrary contained in this </w:t>
      </w:r>
      <w:r>
        <w:rPr>
          <w:rFonts w:ascii="Times New Roman" w:cs="Times New Roman" w:eastAsia="Times New Roman" w:hAnsi="Times New Roman"/>
          <w:sz w:val="17"/>
          <w:szCs w:val="17"/>
          <w:u w:val="single" w:color="auto"/>
          <w:color w:val="auto"/>
        </w:rPr>
        <w:t>Section 2.7</w:t>
      </w:r>
      <w:r>
        <w:rPr>
          <w:rFonts w:ascii="Times New Roman" w:cs="Times New Roman" w:eastAsia="Times New Roman" w:hAnsi="Times New Roman"/>
          <w:sz w:val="17"/>
          <w:szCs w:val="17"/>
          <w:color w:val="auto"/>
        </w:rPr>
        <w:t xml:space="preserve">, PARI shall at no time be required to provide any Information or access to Genoa, its Affiliates, and its Permitted Sublicensees that may violate PARI’s confidentiality obligations with third parties or that would disclose to Genoa, its Affiliates and Permitted Sublicensees any proprietary or Confidential Information of such third party;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in the event such Information or access is reasonably necessary for Genoa to practice the license granted to it under this Agreement or perform its obligation under this Agreement, then PARI shall, at Genoa’s request, use best efforts to obtain consent from such third parties to allow the provision of such Information or access to Genoa.</w:t>
      </w:r>
    </w:p>
    <w:p>
      <w:pPr>
        <w:spacing w:after="0" w:line="117" w:lineRule="exact"/>
        <w:rPr>
          <w:sz w:val="20"/>
          <w:szCs w:val="20"/>
          <w:color w:val="auto"/>
        </w:rPr>
      </w:pPr>
    </w:p>
    <w:p>
      <w:pPr>
        <w:jc w:val="both"/>
        <w:ind w:left="760" w:firstLine="752"/>
        <w:spacing w:after="0" w:line="238" w:lineRule="auto"/>
        <w:rPr>
          <w:sz w:val="20"/>
          <w:szCs w:val="20"/>
          <w:color w:val="auto"/>
        </w:rPr>
      </w:pPr>
      <w:r>
        <w:rPr>
          <w:rFonts w:ascii="Times New Roman" w:cs="Times New Roman" w:eastAsia="Times New Roman" w:hAnsi="Times New Roman"/>
          <w:sz w:val="17"/>
          <w:szCs w:val="17"/>
          <w:color w:val="auto"/>
        </w:rPr>
        <w:t>2.7.2 Subject to Section 8.8 (Non-Compete in Territory and Exclusivity), PARI and its Affiliates shall from time to time have the right to reference and to obtain copies of Device-related portions of Genoa’s, its Affiliates’ and its Permitted Sublicensees’ IND and NDA and other related or corresponding filings with Regulatory Authorities pertaining to the Product(s), as filed by Genoa, its Affiliates or its Permitted Sublicensees with Regulatory Authorities, to the extent (i) it is necessary or useful for Regulatory Approval of the Product(s) in the Field in the Territory; or (ii) with the prior approval of Genoa (such approval not to be unreasonably withheld, conditioned or delayed), for PARI and/or its Affiliates to obtain Regulatory Approval for any Nebulizer proprietary to PARI or its Affiliates outside the Field.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7" w:name="page558"/>
    <w:bookmarkEnd w:id="557"/>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 xml:space="preserve">2.8 </w:t>
      </w:r>
      <w:r>
        <w:rPr>
          <w:rFonts w:ascii="Times New Roman" w:cs="Times New Roman" w:eastAsia="Times New Roman" w:hAnsi="Times New Roman"/>
          <w:sz w:val="17"/>
          <w:szCs w:val="17"/>
          <w:u w:val="single" w:color="auto"/>
          <w:color w:val="auto"/>
        </w:rPr>
        <w:t>Option for Closed System</w:t>
      </w:r>
      <w:r>
        <w:rPr>
          <w:rFonts w:ascii="Times New Roman" w:cs="Times New Roman" w:eastAsia="Times New Roman" w:hAnsi="Times New Roman"/>
          <w:sz w:val="17"/>
          <w:szCs w:val="17"/>
          <w:color w:val="auto"/>
        </w:rPr>
        <w:t xml:space="preserve">. PARI hereby grants to Genoa an option to expand the Licenses set forth in </w:t>
      </w:r>
      <w:r>
        <w:rPr>
          <w:rFonts w:ascii="Times New Roman" w:cs="Times New Roman" w:eastAsia="Times New Roman" w:hAnsi="Times New Roman"/>
          <w:sz w:val="17"/>
          <w:szCs w:val="17"/>
          <w:u w:val="single" w:color="auto"/>
          <w:color w:val="auto"/>
        </w:rPr>
        <w:t>Section 2 (Grant of Rights)</w:t>
      </w:r>
      <w:r>
        <w:rPr>
          <w:rFonts w:ascii="Times New Roman" w:cs="Times New Roman" w:eastAsia="Times New Roman" w:hAnsi="Times New Roman"/>
          <w:sz w:val="17"/>
          <w:szCs w:val="17"/>
          <w:color w:val="auto"/>
        </w:rPr>
        <w:t xml:space="preserve"> to include a closed system eFlow Technology Nebulizer (“</w:t>
      </w:r>
      <w:r>
        <w:rPr>
          <w:rFonts w:ascii="Times New Roman" w:cs="Times New Roman" w:eastAsia="Times New Roman" w:hAnsi="Times New Roman"/>
          <w:sz w:val="17"/>
          <w:szCs w:val="17"/>
          <w:u w:val="single" w:color="auto"/>
          <w:color w:val="auto"/>
        </w:rPr>
        <w:t>CS Device</w:t>
      </w:r>
      <w:r>
        <w:rPr>
          <w:rFonts w:ascii="Times New Roman" w:cs="Times New Roman" w:eastAsia="Times New Roman" w:hAnsi="Times New Roman"/>
          <w:sz w:val="17"/>
          <w:szCs w:val="17"/>
          <w:color w:val="auto"/>
        </w:rPr>
        <w:t xml:space="preserve">”) for exclusive use with the Drug Product(s) in the Field in the Territory. Genoa may exercise such option by providing written notice to PARI referencing this </w:t>
      </w:r>
      <w:r>
        <w:rPr>
          <w:rFonts w:ascii="Times New Roman" w:cs="Times New Roman" w:eastAsia="Times New Roman" w:hAnsi="Times New Roman"/>
          <w:sz w:val="17"/>
          <w:szCs w:val="17"/>
          <w:u w:val="single" w:color="auto"/>
          <w:color w:val="auto"/>
        </w:rPr>
        <w:t>Section 2.8</w:t>
      </w:r>
      <w:r>
        <w:rPr>
          <w:rFonts w:ascii="Times New Roman" w:cs="Times New Roman" w:eastAsia="Times New Roman" w:hAnsi="Times New Roman"/>
          <w:sz w:val="17"/>
          <w:szCs w:val="17"/>
          <w:color w:val="auto"/>
        </w:rPr>
        <w:t xml:space="preserve">. Promptly following the exercise of such option by Genoa, the Parties shall negotiate in good faith any amendment to this Agreement as may be necessary in order to incorporate the CS Device and the Drug Vial (e.g., incorporate any patents owned or licensed by PARI covering the CS Device and the Drug Vial), it being understood that the milestone payments set forth in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xml:space="preserve"> and the Royalties set forth in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for a CS Device shall apply.</w:t>
      </w:r>
    </w:p>
    <w:p>
      <w:pPr>
        <w:spacing w:after="0" w:line="140"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2.9 </w:t>
      </w:r>
      <w:r>
        <w:rPr>
          <w:rFonts w:ascii="Times New Roman" w:cs="Times New Roman" w:eastAsia="Times New Roman" w:hAnsi="Times New Roman"/>
          <w:sz w:val="17"/>
          <w:szCs w:val="17"/>
          <w:u w:val="single" w:color="auto"/>
          <w:color w:val="auto"/>
        </w:rPr>
        <w:t>Additional Active Pharmaceutical Ingredient</w:t>
      </w:r>
      <w:r>
        <w:rPr>
          <w:rFonts w:ascii="Times New Roman" w:cs="Times New Roman" w:eastAsia="Times New Roman" w:hAnsi="Times New Roman"/>
          <w:sz w:val="17"/>
          <w:szCs w:val="17"/>
          <w:color w:val="auto"/>
        </w:rPr>
        <w:t xml:space="preserve">. If Genoa identifies a business opportunity for a drug product comprising any of the Drug Products and another active pharmaceutical ingredient and Genoa wishes to include such drug product under the License, as set for in </w:t>
      </w:r>
      <w:r>
        <w:rPr>
          <w:rFonts w:ascii="Times New Roman" w:cs="Times New Roman" w:eastAsia="Times New Roman" w:hAnsi="Times New Roman"/>
          <w:sz w:val="17"/>
          <w:szCs w:val="17"/>
          <w:u w:val="single" w:color="auto"/>
          <w:color w:val="auto"/>
        </w:rPr>
        <w:t>Section 2.1 (License)</w:t>
      </w:r>
      <w:r>
        <w:rPr>
          <w:rFonts w:ascii="Times New Roman" w:cs="Times New Roman" w:eastAsia="Times New Roman" w:hAnsi="Times New Roman"/>
          <w:sz w:val="17"/>
          <w:szCs w:val="17"/>
          <w:color w:val="auto"/>
        </w:rPr>
        <w:t>, then Genoa shall approach PARI in writing. PARI shall consider such request and discuss in good faith with Genoa the related business opportunity.</w:t>
      </w:r>
    </w:p>
    <w:p>
      <w:pPr>
        <w:spacing w:after="0" w:line="131" w:lineRule="exact"/>
        <w:rPr>
          <w:sz w:val="20"/>
          <w:szCs w:val="20"/>
          <w:color w:val="auto"/>
        </w:rPr>
      </w:pPr>
    </w:p>
    <w:p>
      <w:pPr>
        <w:ind w:left="760" w:right="5880" w:hanging="756"/>
        <w:spacing w:after="0" w:line="468" w:lineRule="auto"/>
        <w:tabs>
          <w:tab w:leader="none" w:pos="760" w:val="left"/>
        </w:tabs>
        <w:numPr>
          <w:ilvl w:val="0"/>
          <w:numId w:val="4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DEVELOPMENT AND COMMERCIALIZATION MATTERS</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3.1 </w:t>
      </w:r>
      <w:r>
        <w:rPr>
          <w:rFonts w:ascii="Times New Roman" w:cs="Times New Roman" w:eastAsia="Times New Roman" w:hAnsi="Times New Roman"/>
          <w:sz w:val="16"/>
          <w:szCs w:val="16"/>
          <w:u w:val="single" w:color="auto"/>
          <w:color w:val="auto"/>
        </w:rPr>
        <w:t>General Development and Commercialization Responsibilities</w:t>
      </w:r>
      <w:r>
        <w:rPr>
          <w:rFonts w:ascii="Times New Roman" w:cs="Times New Roman" w:eastAsia="Times New Roman" w:hAnsi="Times New Roman"/>
          <w:sz w:val="16"/>
          <w:szCs w:val="16"/>
          <w:color w:val="auto"/>
        </w:rPr>
        <w:t>.</w:t>
      </w:r>
    </w:p>
    <w:p>
      <w:pPr>
        <w:spacing w:after="0" w:line="1" w:lineRule="exact"/>
        <w:rPr>
          <w:sz w:val="20"/>
          <w:szCs w:val="20"/>
          <w:color w:val="auto"/>
        </w:rPr>
      </w:pPr>
    </w:p>
    <w:p>
      <w:pPr>
        <w:jc w:val="both"/>
        <w:ind w:left="760" w:firstLine="752"/>
        <w:spacing w:after="0" w:line="236" w:lineRule="auto"/>
        <w:rPr>
          <w:sz w:val="20"/>
          <w:szCs w:val="20"/>
          <w:color w:val="auto"/>
        </w:rPr>
      </w:pPr>
      <w:r>
        <w:rPr>
          <w:rFonts w:ascii="Times New Roman" w:cs="Times New Roman" w:eastAsia="Times New Roman" w:hAnsi="Times New Roman"/>
          <w:sz w:val="17"/>
          <w:szCs w:val="17"/>
          <w:color w:val="auto"/>
        </w:rPr>
        <w:t xml:space="preserve">3.1.1 </w:t>
      </w:r>
      <w:r>
        <w:rPr>
          <w:rFonts w:ascii="Times New Roman" w:cs="Times New Roman" w:eastAsia="Times New Roman" w:hAnsi="Times New Roman"/>
          <w:sz w:val="17"/>
          <w:szCs w:val="17"/>
          <w:u w:val="single" w:color="auto"/>
          <w:color w:val="auto"/>
        </w:rPr>
        <w:t>General Development and Commercialization Responsibilities</w:t>
      </w:r>
      <w:r>
        <w:rPr>
          <w:rFonts w:ascii="Times New Roman" w:cs="Times New Roman" w:eastAsia="Times New Roman" w:hAnsi="Times New Roman"/>
          <w:sz w:val="17"/>
          <w:szCs w:val="17"/>
          <w:color w:val="auto"/>
        </w:rPr>
        <w:t>. It is currently anticipated by the Parties that, with respect to the United States, the Device regulatory path shall not include a separate 510(k) submission to the Center for Devices and Radiological Health for clearance of the Device. Instead, the Parties currently anticipate proceeding with a single marketing application for the combination product of the Drug Product and the Device (a “</w:t>
      </w:r>
      <w:r>
        <w:rPr>
          <w:rFonts w:ascii="Times New Roman" w:cs="Times New Roman" w:eastAsia="Times New Roman" w:hAnsi="Times New Roman"/>
          <w:sz w:val="17"/>
          <w:szCs w:val="17"/>
          <w:u w:val="single" w:color="auto"/>
          <w:color w:val="auto"/>
        </w:rPr>
        <w:t>Combination Product</w:t>
      </w:r>
      <w:r>
        <w:rPr>
          <w:rFonts w:ascii="Times New Roman" w:cs="Times New Roman" w:eastAsia="Times New Roman" w:hAnsi="Times New Roman"/>
          <w:sz w:val="17"/>
          <w:szCs w:val="17"/>
          <w:color w:val="auto"/>
        </w:rPr>
        <w:t xml:space="preserve">”) in the form of a NDA for the Drug Product, which single marketing application will contain a Device module similar in format and content to a 510(k) application. In such case the Parties agree that Genoa shall be responsible for the submission, corresponding with the FDA or the foreign Regulatory Authority equivalent thereof, as applicable, and managing the regulatory filings and the Regulatory Activities with respect to such single application for a Combination Product, subject to the requirements in </w:t>
      </w:r>
      <w:r>
        <w:rPr>
          <w:rFonts w:ascii="Times New Roman" w:cs="Times New Roman" w:eastAsia="Times New Roman" w:hAnsi="Times New Roman"/>
          <w:sz w:val="17"/>
          <w:szCs w:val="17"/>
          <w:u w:val="single" w:color="auto"/>
          <w:color w:val="auto"/>
        </w:rPr>
        <w:t>Section 3.1.1(a)(i)-(vi)</w:t>
      </w:r>
      <w:r>
        <w:rPr>
          <w:rFonts w:ascii="Times New Roman" w:cs="Times New Roman" w:eastAsia="Times New Roman" w:hAnsi="Times New Roman"/>
          <w:sz w:val="17"/>
          <w:szCs w:val="17"/>
          <w:color w:val="auto"/>
        </w:rPr>
        <w:t xml:space="preserve"> and provided that PARI shall at all times control the marking, labeling, CE conformity declaration and technical documentation with respect to the Device, subject to the following:</w:t>
      </w:r>
    </w:p>
    <w:p>
      <w:pPr>
        <w:spacing w:after="0" w:line="144" w:lineRule="exact"/>
        <w:rPr>
          <w:sz w:val="20"/>
          <w:szCs w:val="20"/>
          <w:color w:val="auto"/>
        </w:rPr>
      </w:pPr>
    </w:p>
    <w:p>
      <w:pPr>
        <w:jc w:val="both"/>
        <w:ind w:left="760" w:firstLine="1500"/>
        <w:spacing w:after="0" w:line="237" w:lineRule="auto"/>
        <w:tabs>
          <w:tab w:leader="none" w:pos="2565" w:val="left"/>
        </w:tabs>
        <w:numPr>
          <w:ilvl w:val="0"/>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the Drug Product(s), Genoa shall control all Regulatory Activities in accordance with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3.2 (Specific Development Matters)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Genoa shall (i) consult with PARI with respect to the regulatory strategy related to any Device component or any Accessory component and otherwise keep PARI reasonably involved in good faith discussions with respect to such activities, (ii) upon PARI’s request and Genoa’s consent (such consent not to be unreasonably withheld, conditioned or delayed), provide PARI with copies of correspondence received from and to be provided to, Regulatory Authorities concerning any Device component or any Accessory component, (iii) subject to </w:t>
      </w:r>
      <w:r>
        <w:rPr>
          <w:rFonts w:ascii="Times New Roman" w:cs="Times New Roman" w:eastAsia="Times New Roman" w:hAnsi="Times New Roman"/>
          <w:sz w:val="17"/>
          <w:szCs w:val="17"/>
          <w:u w:val="single" w:color="auto"/>
          <w:color w:val="auto"/>
        </w:rPr>
        <w:t>Section 3.1.1(b)(i) (General Development and Commercialization Responsibilities)</w:t>
      </w:r>
      <w:r>
        <w:rPr>
          <w:rFonts w:ascii="Times New Roman" w:cs="Times New Roman" w:eastAsia="Times New Roman" w:hAnsi="Times New Roman"/>
          <w:sz w:val="17"/>
          <w:szCs w:val="17"/>
          <w:color w:val="auto"/>
        </w:rPr>
        <w:t xml:space="preserve"> consider in good faith all reasonable suggestions and comments provided by PARI with respect to such correspondence and other communications with Regulatory Authorities, and specifically,</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58" w:name="page559"/>
    <w:bookmarkEnd w:id="558"/>
    <w:p>
      <w:pPr>
        <w:jc w:val="both"/>
        <w:spacing w:after="0" w:line="237" w:lineRule="auto"/>
        <w:rPr>
          <w:sz w:val="20"/>
          <w:szCs w:val="20"/>
          <w:color w:val="auto"/>
        </w:rPr>
      </w:pPr>
      <w:r>
        <w:rPr>
          <w:rFonts w:ascii="Times New Roman" w:cs="Times New Roman" w:eastAsia="Times New Roman" w:hAnsi="Times New Roman"/>
          <w:sz w:val="17"/>
          <w:szCs w:val="17"/>
          <w:color w:val="auto"/>
        </w:rPr>
        <w:t>use Commercially Reasonable Efforts to allow PARI reasonable advance opportunity to comment on those portions of the initial submissions and subsequent amendments with respect to the Regulatory Approvals related to any Device component or Accessory component, (iv) use Commercially Reasonable Efforts to respond to all requests for information received from Regulatory Authorities with respect to any Device component or any Accessory component in a timely and complete manner, (v) allow a representative from PARI at their own expense to participate in any meeting, including face to face meetings, with Regulatory Authorities if the Device will be subject matter of such meeting, and (vi) not voluntarily take any action or fail to take any action which would be reasonably likely to have an adverse effect on the development of the Products and related Regulatory Approvals, including with respect to the timelines set forth in the Development Work Plan.</w:t>
      </w:r>
    </w:p>
    <w:p>
      <w:pPr>
        <w:spacing w:after="0" w:line="141" w:lineRule="exact"/>
        <w:rPr>
          <w:sz w:val="20"/>
          <w:szCs w:val="20"/>
          <w:color w:val="auto"/>
        </w:rPr>
      </w:pPr>
    </w:p>
    <w:p>
      <w:pPr>
        <w:jc w:val="both"/>
        <w:ind w:firstLine="1500"/>
        <w:spacing w:after="0" w:line="234" w:lineRule="auto"/>
        <w:tabs>
          <w:tab w:leader="none" w:pos="1805"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PARI shall control all Regulatory Activities relating to the Device and any Accessory and shall own all Regulatory Approvals relating to the forgoing;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(i) in the event that a Regulatory Authority determines to only accept regulatory approval for the Device via the Drug Product as a </w:t>
      </w:r>
      <w:r>
        <w:rPr>
          <w:rFonts w:ascii="Times New Roman" w:cs="Times New Roman" w:eastAsia="Times New Roman" w:hAnsi="Times New Roman"/>
          <w:sz w:val="17"/>
          <w:szCs w:val="17"/>
          <w:u w:val="single" w:color="auto"/>
          <w:color w:val="auto"/>
        </w:rPr>
        <w:t>Combination Product</w:t>
      </w:r>
      <w:r>
        <w:rPr>
          <w:rFonts w:ascii="Times New Roman" w:cs="Times New Roman" w:eastAsia="Times New Roman" w:hAnsi="Times New Roman"/>
          <w:sz w:val="17"/>
          <w:szCs w:val="17"/>
          <w:color w:val="auto"/>
        </w:rPr>
        <w:t>, as opposed to a Device-only application by PARI, Genoa shall have final decision-making authority regarding the regulatory filings and related Regulatory Activities for such Combination Products; subject to PARI’s right at all times to reasonably revise any documentation on the Device or any Accessory submitted to any Regulatory Authority and to approve such documentation (such approval not to be unreasonably withheld, conditioned or delayed), and (ii) PARI shall (1) consult with Genoa with respect to the regulatory strategy related to the Device or any Accessory and otherwise keep Genoa reasonably involved in good faith discussions with respect to such activities, (2) upon Genoa’s request and PARI’s consent (such consent not to be unreasonably withheld, conditioned or delayed), provide Genoa with copies of correspondence received from and to be provided to, Regulatory Authorities concerning the Device or any Accessory, (3) consider in good faith all reasonable suggestions and comments provided by Genoa with respect to such correspondence and other communications with Regulatory Authorities, and specifically, use Commercially Reasonable Efforts to allow Genoa reasonable advance opportunity to comment on initial submissions and subsequent amendments with respect to the Regulatory Approvals, (4) use Commercially Reasonable Efforts to respond to all requests for information received from Regulatory Authorities with respect to the Device or any Accessory in a timely and complete manner and (5) not voluntarily take any action or fail to take any action which would be reasonably likely to have an adverse effect on the development of the Product and related Regulatory Approvals, including with respect to the timelines set forth in the Development Work Plan.</w:t>
      </w:r>
    </w:p>
    <w:p>
      <w:pPr>
        <w:spacing w:after="0" w:line="147" w:lineRule="exact"/>
        <w:rPr>
          <w:rFonts w:ascii="Times New Roman" w:cs="Times New Roman" w:eastAsia="Times New Roman" w:hAnsi="Times New Roman"/>
          <w:sz w:val="17"/>
          <w:szCs w:val="17"/>
          <w:color w:val="auto"/>
        </w:rPr>
      </w:pPr>
    </w:p>
    <w:p>
      <w:pPr>
        <w:jc w:val="both"/>
        <w:ind w:firstLine="1500"/>
        <w:spacing w:after="0" w:line="239" w:lineRule="auto"/>
        <w:tabs>
          <w:tab w:leader="none" w:pos="1805"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PARI shall control all manufacturing activities relating to the Device or any Accessory;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PARI shall (i) keep Genoa reasonably informed with respect to such activities, (ii) consider in good faith all reasonable suggestions and comments provided by Genoa with respect to such activities, and (iii) not take any action or fail to take any action which would be reasonably likely to have a material adverse effect on the development of the Product or manufacture thereof, including the quality, reliability, robustness or user interface of the Device or any Accessory or which would otherwise have an adverse effect on the Drug Product(s) when used with the Device or any Accessory.</w:t>
      </w:r>
    </w:p>
    <w:p>
      <w:pPr>
        <w:spacing w:after="0" w:line="200" w:lineRule="exact"/>
        <w:rPr>
          <w:sz w:val="20"/>
          <w:szCs w:val="20"/>
          <w:color w:val="auto"/>
        </w:rPr>
      </w:pPr>
    </w:p>
    <w:p>
      <w:pPr>
        <w:spacing w:after="0" w:line="25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59" w:name="page560"/>
    <w:bookmarkEnd w:id="559"/>
    <w:p>
      <w:pPr>
        <w:jc w:val="both"/>
        <w:ind w:left="-380" w:firstLine="1500"/>
        <w:spacing w:after="0" w:line="235" w:lineRule="auto"/>
        <w:tabs>
          <w:tab w:leader="none" w:pos="1425"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responsible Regulatory Authority determines not to only accept regulatory approval for the Device via the Drug Product as a Combination Product and to accept different approval pathways for the Drug Product and the Device, the Parties shall cooperate in good faith to obtain any Regulatory Approvals for the [***] via the Device. PARI shall provide or make available to Regulatory Authorities regulatory and technical information relating to the Device and/or components thereof as reasonably requested by Genoa to the extent required by a Regulatory Authority or that the Parties mutually agree will be helpful for a filing with a Regulatory Authority. Genoa shall provide regulatory and technical information and data relating to the Drug Product as reasonably requested by PARI to the extent required by a Regulatory Authority or that the Parties mutually agree will be helpful for a filing with a Regulatory Authority or in order for PARI to submit similar Device-specific filings with any appropriate Regulatory Authority. PARI shall cooperate with any inspection of its facilities (including facilities of its Affiliates) by any Regulatory Authority relating to the Device. Genoa shall cooperate with any inspection of its facilities (including facilities of its Affiliates) by any Regulatory Authority relating to the Drug Product. Each Party shall notify the other Party, [***] but in any event within [***] via telephone, followed by a notice in writing in the event any action is taken or threatened by a Regulatory Authority relating to the Device and the Drug Product(s), as applicable.</w:t>
      </w:r>
    </w:p>
    <w:p>
      <w:pPr>
        <w:spacing w:after="0" w:line="144" w:lineRule="exact"/>
        <w:rPr>
          <w:rFonts w:ascii="Times New Roman" w:cs="Times New Roman" w:eastAsia="Times New Roman" w:hAnsi="Times New Roman"/>
          <w:sz w:val="17"/>
          <w:szCs w:val="17"/>
          <w:color w:val="auto"/>
        </w:rPr>
      </w:pPr>
    </w:p>
    <w:p>
      <w:pPr>
        <w:jc w:val="both"/>
        <w:ind w:left="-380" w:firstLine="1500"/>
        <w:spacing w:after="0" w:line="246" w:lineRule="auto"/>
        <w:tabs>
          <w:tab w:leader="none" w:pos="1425"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Device is required to be covered by the NDA filed for a Drug Product, the Parties shall cooperate to implement necessary changes to the Device arising from requirements of manufacturing scale-up, corrective and preventive actions and market feedback during the commercial phase (subject to </w:t>
      </w:r>
      <w:r>
        <w:rPr>
          <w:rFonts w:ascii="Times New Roman" w:cs="Times New Roman" w:eastAsia="Times New Roman" w:hAnsi="Times New Roman"/>
          <w:sz w:val="17"/>
          <w:szCs w:val="17"/>
          <w:u w:val="single" w:color="auto"/>
          <w:color w:val="auto"/>
        </w:rPr>
        <w:t>Section 3.1.2 a) (New Features and Design Improvement)</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ind w:left="360"/>
        <w:spacing w:after="0"/>
        <w:tabs>
          <w:tab w:leader="none" w:pos="880" w:val="left"/>
        </w:tabs>
        <w:rPr>
          <w:sz w:val="20"/>
          <w:szCs w:val="20"/>
          <w:color w:val="auto"/>
        </w:rPr>
      </w:pPr>
      <w:r>
        <w:rPr>
          <w:rFonts w:ascii="Times New Roman" w:cs="Times New Roman" w:eastAsia="Times New Roman" w:hAnsi="Times New Roman"/>
          <w:sz w:val="17"/>
          <w:szCs w:val="17"/>
          <w:color w:val="auto"/>
        </w:rPr>
        <w:t>3.1.2</w:t>
      </w:r>
      <w:r>
        <w:rPr>
          <w:sz w:val="20"/>
          <w:szCs w:val="20"/>
          <w:color w:val="auto"/>
        </w:rPr>
        <w:tab/>
      </w:r>
      <w:r>
        <w:rPr>
          <w:rFonts w:ascii="Times New Roman" w:cs="Times New Roman" w:eastAsia="Times New Roman" w:hAnsi="Times New Roman"/>
          <w:sz w:val="16"/>
          <w:szCs w:val="16"/>
          <w:u w:val="single" w:color="auto"/>
          <w:color w:val="auto"/>
        </w:rPr>
        <w:t>New Features and Design Improvements</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380" w:firstLine="1500"/>
        <w:spacing w:after="0" w:line="238" w:lineRule="auto"/>
        <w:tabs>
          <w:tab w:leader="none" w:pos="1425"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The Parties acknowledge that Improvements to the Device and/or Accessory will likely be necessary even after the Parties will have initially developed and identified the Device. Reasons for the implementation of Improvements include but are not limited to (i) feedback from the market or clinical trials, (ii) corrective and preventive actions, (iii) feedback from Regulatory Authorities, or (iv) scale-up of manufacturing capacities. The Parties further acknowledge that such Improvements to the Device and/or Accessory may interfere with Genoa’s ability to develop the Drug Product. Accordingly, the Parties have carefully agreed to the terms set forth in this Section 3.1.2 and will work in good faith to give effect to the terms set forth in this Section 3.1.2.</w:t>
      </w:r>
    </w:p>
    <w:p>
      <w:pPr>
        <w:spacing w:after="0" w:line="140" w:lineRule="exact"/>
        <w:rPr>
          <w:sz w:val="20"/>
          <w:szCs w:val="20"/>
          <w:color w:val="auto"/>
        </w:rPr>
      </w:pPr>
    </w:p>
    <w:p>
      <w:pPr>
        <w:jc w:val="both"/>
        <w:ind w:left="1880" w:hanging="760"/>
        <w:spacing w:after="0" w:line="239" w:lineRule="auto"/>
        <w:tabs>
          <w:tab w:leader="none" w:pos="1880" w:val="left"/>
        </w:tabs>
        <w:numPr>
          <w:ilvl w:val="0"/>
          <w:numId w:val="4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Incremental Improvements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3.4 (Improvements)</w:t>
      </w:r>
      <w:r>
        <w:rPr>
          <w:rFonts w:ascii="Times New Roman" w:cs="Times New Roman" w:eastAsia="Times New Roman" w:hAnsi="Times New Roman"/>
          <w:sz w:val="17"/>
          <w:szCs w:val="17"/>
          <w:color w:val="auto"/>
        </w:rPr>
        <w:t>, if PARI develops an Incremental Improvement (as defined below) to the Device or any Accessory, then PARI shall give written notice to Genoa [***] prior to the implementation of any such Improvement and shall incorporate such Improvement to the Device or the applicable Accessory, but only if (i) such Improvement does not have the potential to change the functional technology, performance specifications, drug/air path-contact materials, software design, labeling or regulatory approval</w:t>
      </w:r>
    </w:p>
    <w:p>
      <w:pPr>
        <w:spacing w:after="0" w:line="200" w:lineRule="exact"/>
        <w:rPr>
          <w:sz w:val="20"/>
          <w:szCs w:val="20"/>
          <w:color w:val="auto"/>
        </w:rPr>
      </w:pPr>
    </w:p>
    <w:p>
      <w:pPr>
        <w:spacing w:after="0" w:line="25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370205</wp:posOffset>
            </wp:positionV>
            <wp:extent cx="7188200" cy="3873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40"/>
          </w:cols>
          <w:pgMar w:left="1440" w:top="1128" w:right="319" w:bottom="1440" w:gutter="0" w:footer="0" w:header="0"/>
        </w:sectPr>
      </w:pPr>
    </w:p>
    <w:bookmarkStart w:id="560" w:name="page561"/>
    <w:bookmarkEnd w:id="560"/>
    <w:p>
      <w:pPr>
        <w:jc w:val="both"/>
        <w:ind w:left="1880"/>
        <w:spacing w:after="0" w:line="236" w:lineRule="auto"/>
        <w:rPr>
          <w:sz w:val="20"/>
          <w:szCs w:val="20"/>
          <w:color w:val="auto"/>
        </w:rPr>
      </w:pPr>
      <w:r>
        <w:rPr>
          <w:rFonts w:ascii="Times New Roman" w:cs="Times New Roman" w:eastAsia="Times New Roman" w:hAnsi="Times New Roman"/>
          <w:sz w:val="17"/>
          <w:szCs w:val="17"/>
          <w:color w:val="auto"/>
        </w:rPr>
        <w:t>requirements of the Device, (ii) PARI is not contractually prohibited from doing so by the agreement under which such Improvement was developed, (iii) PARI generally incorporates such Improvement into the eFlow Technology Nebulizer and/or the Accessory, as applicable, or (iv) it is consistent with the specifications agreed to by the Parties and the applicable regulatory requirements, and (v) it is consistent with the terms of the Supply Agreement to the extent already in effect (each such Improvement meeting the criteria described in (i)-(v) above, referred to herein as an “Incremental Improvement”). If Genoa has a good faith belief that such Improvement is not an Incremental Improvement, Genoa shall notify PARI thereof in writing within [***] of receipt of PARI’s written notice. Upon receipt of Genoa’s notice by PARI, the Parties will establish a CAC and resolve the matter in accordance with the process described in subparagraph (iv) below.</w:t>
      </w:r>
    </w:p>
    <w:p>
      <w:pPr>
        <w:spacing w:after="0" w:line="141" w:lineRule="exact"/>
        <w:rPr>
          <w:sz w:val="20"/>
          <w:szCs w:val="20"/>
          <w:color w:val="auto"/>
        </w:rPr>
      </w:pPr>
    </w:p>
    <w:p>
      <w:pPr>
        <w:jc w:val="both"/>
        <w:ind w:left="1880" w:hanging="760"/>
        <w:spacing w:after="0" w:line="253" w:lineRule="auto"/>
        <w:tabs>
          <w:tab w:leader="none" w:pos="1880" w:val="left"/>
        </w:tabs>
        <w:numPr>
          <w:ilvl w:val="0"/>
          <w:numId w:val="49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Significant Improvement</w:t>
      </w:r>
      <w:r>
        <w:rPr>
          <w:rFonts w:ascii="Times New Roman" w:cs="Times New Roman" w:eastAsia="Times New Roman" w:hAnsi="Times New Roman"/>
          <w:sz w:val="16"/>
          <w:szCs w:val="16"/>
          <w:color w:val="auto"/>
        </w:rPr>
        <w:t>. PARI shall provide, to Genoa and to each Genoa member of the Joint Steering Committee, written notice of each proposed Significant Improvement and shall not implement any Significant Improvement without the prior written consent of Genoa, such consent not to be unreasonably withheld or conditioned. PARI shall make reasonable attempts to confirm receipt, by Genoa and by each Genoa member of the Joint Steering Committee, of PARI’s notification of a Significant Improvement. If no response is received from Genoa within [***] of PARI’s notification to Genoa of a Significant Improvement, then the Significant Improvement shall be considered to have been approved by Genoa. In the event Genoa does not consent to such Significant Improvement, PARI may, at its discretion, request the matter be referred to a CAC for resolution in accordance with the process described in subparagraph (iv) below.</w:t>
      </w:r>
    </w:p>
    <w:p>
      <w:pPr>
        <w:spacing w:after="0" w:line="130" w:lineRule="exact"/>
        <w:rPr>
          <w:rFonts w:ascii="Times New Roman" w:cs="Times New Roman" w:eastAsia="Times New Roman" w:hAnsi="Times New Roman"/>
          <w:sz w:val="16"/>
          <w:szCs w:val="16"/>
          <w:color w:val="auto"/>
        </w:rPr>
      </w:pPr>
    </w:p>
    <w:p>
      <w:pPr>
        <w:jc w:val="both"/>
        <w:ind w:left="1880" w:hanging="760"/>
        <w:spacing w:after="0" w:line="236" w:lineRule="auto"/>
        <w:tabs>
          <w:tab w:leader="none" w:pos="1880" w:val="left"/>
        </w:tabs>
        <w:numPr>
          <w:ilvl w:val="0"/>
          <w:numId w:val="4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Major Improvement</w:t>
      </w:r>
      <w:r>
        <w:rPr>
          <w:rFonts w:ascii="Times New Roman" w:cs="Times New Roman" w:eastAsia="Times New Roman" w:hAnsi="Times New Roman"/>
          <w:sz w:val="17"/>
          <w:szCs w:val="17"/>
          <w:color w:val="auto"/>
        </w:rPr>
        <w:t>. If PARI develops a new generation of the Device or new features or functionalities which may be incorporated into the Device (such as adherence monitoring features), (a “</w:t>
      </w:r>
      <w:r>
        <w:rPr>
          <w:rFonts w:ascii="Times New Roman" w:cs="Times New Roman" w:eastAsia="Times New Roman" w:hAnsi="Times New Roman"/>
          <w:sz w:val="17"/>
          <w:szCs w:val="17"/>
          <w:u w:val="single" w:color="auto"/>
          <w:color w:val="auto"/>
        </w:rPr>
        <w:t>Major Improvement</w:t>
      </w:r>
      <w:r>
        <w:rPr>
          <w:rFonts w:ascii="Times New Roman" w:cs="Times New Roman" w:eastAsia="Times New Roman" w:hAnsi="Times New Roman"/>
          <w:sz w:val="17"/>
          <w:szCs w:val="17"/>
          <w:color w:val="auto"/>
        </w:rPr>
        <w:t xml:space="preserve">”), then PARI shall, to the extent it has the right to do so, offer Genoa an opportunity to review such Major Improvement for a period of [***] from receipt of a detailed description of such Major Improvement and a plan for development of such Major Improvement and possible incorporation into the Device or any Accessory for Genoa to determine whether it wishes to have such Major Improvement incorporated in the Device or Accessory, as applicable, and thereby be incorporated into the Licenses granted pursuant to </w:t>
      </w:r>
      <w:r>
        <w:rPr>
          <w:rFonts w:ascii="Times New Roman" w:cs="Times New Roman" w:eastAsia="Times New Roman" w:hAnsi="Times New Roman"/>
          <w:sz w:val="17"/>
          <w:szCs w:val="17"/>
          <w:u w:val="single" w:color="auto"/>
          <w:color w:val="auto"/>
        </w:rPr>
        <w:t>Section 2.1.1 (License)</w:t>
      </w:r>
      <w:r>
        <w:rPr>
          <w:rFonts w:ascii="Times New Roman" w:cs="Times New Roman" w:eastAsia="Times New Roman" w:hAnsi="Times New Roman"/>
          <w:sz w:val="17"/>
          <w:szCs w:val="17"/>
          <w:color w:val="auto"/>
        </w:rPr>
        <w:t xml:space="preserve"> (with respect to any Major Improvement to the Device) or </w:t>
      </w:r>
      <w:r>
        <w:rPr>
          <w:rFonts w:ascii="Times New Roman" w:cs="Times New Roman" w:eastAsia="Times New Roman" w:hAnsi="Times New Roman"/>
          <w:sz w:val="17"/>
          <w:szCs w:val="17"/>
          <w:u w:val="single" w:color="auto"/>
          <w:color w:val="auto"/>
        </w:rPr>
        <w:t>Section 2.1.2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(License)</w:t>
      </w:r>
      <w:r>
        <w:rPr>
          <w:rFonts w:ascii="Times New Roman" w:cs="Times New Roman" w:eastAsia="Times New Roman" w:hAnsi="Times New Roman"/>
          <w:sz w:val="17"/>
          <w:szCs w:val="17"/>
          <w:color w:val="auto"/>
        </w:rPr>
        <w:t xml:space="preserve"> (with respect to any improvement to an Accessory), as applicable, and shall be included in the PARI Patents and as such shall extend the Royalty</w:t>
      </w:r>
    </w:p>
    <w:p>
      <w:pPr>
        <w:spacing w:after="0" w:line="200" w:lineRule="exact"/>
        <w:rPr>
          <w:sz w:val="20"/>
          <w:szCs w:val="20"/>
          <w:color w:val="auto"/>
        </w:rPr>
      </w:pPr>
    </w:p>
    <w:p>
      <w:pPr>
        <w:spacing w:after="0" w:line="257"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370205</wp:posOffset>
            </wp:positionV>
            <wp:extent cx="7188200" cy="3873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40"/>
          </w:cols>
          <w:pgMar w:left="1440" w:top="1128" w:right="319" w:bottom="1440" w:gutter="0" w:footer="0" w:header="0"/>
        </w:sectPr>
      </w:pPr>
    </w:p>
    <w:bookmarkStart w:id="561" w:name="page562"/>
    <w:bookmarkEnd w:id="561"/>
    <w:p>
      <w:pPr>
        <w:jc w:val="both"/>
        <w:ind w:left="1880"/>
        <w:spacing w:after="0" w:line="237" w:lineRule="auto"/>
        <w:rPr>
          <w:sz w:val="20"/>
          <w:szCs w:val="20"/>
          <w:color w:val="auto"/>
        </w:rPr>
      </w:pPr>
      <w:r>
        <w:rPr>
          <w:rFonts w:ascii="Times New Roman" w:cs="Times New Roman" w:eastAsia="Times New Roman" w:hAnsi="Times New Roman"/>
          <w:sz w:val="17"/>
          <w:szCs w:val="17"/>
          <w:color w:val="auto"/>
        </w:rPr>
        <w:t>Term accordingly. If Genoa determines (by giving written notice to PARI) within such [***] that it desires to benefit from the Major Improvement and include the Major Improvement in the Device or any Accessory, such Major Improvement shall be automatically included in PARI Know-How and PARI Patents, as applicable, and with respect to any such Major Improvement to an Accessory, such Accessory shall be automatically included in the Accessory Know-How and Accessory Patents. If Genoa does not give written notice to PARI within the [***] of its desire to benefit from the Major Improvement, Genoa shall be deemed to have rejected the Major Improvement and PARI shall not include the Major Improvement in the Device or Accessory, as applicable.</w:t>
      </w:r>
    </w:p>
    <w:p>
      <w:pPr>
        <w:spacing w:after="0" w:line="141" w:lineRule="exact"/>
        <w:rPr>
          <w:sz w:val="20"/>
          <w:szCs w:val="20"/>
          <w:color w:val="auto"/>
        </w:rPr>
      </w:pPr>
    </w:p>
    <w:p>
      <w:pPr>
        <w:jc w:val="both"/>
        <w:ind w:left="1880" w:hanging="760"/>
        <w:spacing w:after="0" w:line="236" w:lineRule="auto"/>
        <w:tabs>
          <w:tab w:leader="none" w:pos="1880" w:val="left"/>
        </w:tabs>
        <w:numPr>
          <w:ilvl w:val="0"/>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Parties will establish a CAC with [***] from both Parties and evaluate any Significant Improvement and any Incremental Improvement to which Genoa has raised a written concern pursuant to </w:t>
      </w:r>
      <w:r>
        <w:rPr>
          <w:rFonts w:ascii="Times New Roman" w:cs="Times New Roman" w:eastAsia="Times New Roman" w:hAnsi="Times New Roman"/>
          <w:sz w:val="17"/>
          <w:szCs w:val="17"/>
          <w:u w:val="single" w:color="auto"/>
          <w:color w:val="auto"/>
        </w:rPr>
        <w:t>Section 3.1.2(a)(i)</w:t>
      </w:r>
      <w:r>
        <w:rPr>
          <w:rFonts w:ascii="Times New Roman" w:cs="Times New Roman" w:eastAsia="Times New Roman" w:hAnsi="Times New Roman"/>
          <w:sz w:val="17"/>
          <w:szCs w:val="17"/>
          <w:color w:val="auto"/>
        </w:rPr>
        <w:t xml:space="preserve">, other than Improvements related to the overall facility of PARI. Within the group of CAC members, each Party will identify a person who shall be the first point of contact for the other Party to facilitate the work of the CAC. The CAC will report to the Committee and, before reporting to the Committee, the members of the CAC from each Party will mutually agree on the classification of such Improvement according to applicable guidelines. If the Improvement is referred pursuant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3.1.2(a)(i)</w:t>
      </w:r>
      <w:r>
        <w:rPr>
          <w:rFonts w:ascii="Times New Roman" w:cs="Times New Roman" w:eastAsia="Times New Roman" w:hAnsi="Times New Roman"/>
          <w:sz w:val="17"/>
          <w:szCs w:val="17"/>
          <w:color w:val="auto"/>
        </w:rPr>
        <w:t xml:space="preserve"> and the CAC and the Committee are in final agreement that the Improvement is an Incremental Improvement, then PARI shall be allowed to proceed with such Incremental Improvement.</w:t>
      </w:r>
    </w:p>
    <w:p>
      <w:pPr>
        <w:spacing w:after="0" w:line="144" w:lineRule="exact"/>
        <w:rPr>
          <w:rFonts w:ascii="Times New Roman" w:cs="Times New Roman" w:eastAsia="Times New Roman" w:hAnsi="Times New Roman"/>
          <w:sz w:val="17"/>
          <w:szCs w:val="17"/>
          <w:color w:val="auto"/>
        </w:rPr>
      </w:pPr>
    </w:p>
    <w:p>
      <w:pPr>
        <w:jc w:val="both"/>
        <w:ind w:left="1880"/>
        <w:spacing w:after="0" w:line="23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each of the following scenarios: i) if the Improvement is referred to the CAC pursuant to </w:t>
      </w:r>
      <w:r>
        <w:rPr>
          <w:rFonts w:ascii="Times New Roman" w:cs="Times New Roman" w:eastAsia="Times New Roman" w:hAnsi="Times New Roman"/>
          <w:sz w:val="17"/>
          <w:szCs w:val="17"/>
          <w:u w:val="single" w:color="auto"/>
          <w:color w:val="auto"/>
        </w:rPr>
        <w:t>Section 3.1.2(a)(i)</w:t>
      </w:r>
      <w:r>
        <w:rPr>
          <w:rFonts w:ascii="Times New Roman" w:cs="Times New Roman" w:eastAsia="Times New Roman" w:hAnsi="Times New Roman"/>
          <w:sz w:val="17"/>
          <w:szCs w:val="17"/>
          <w:color w:val="auto"/>
        </w:rPr>
        <w:t xml:space="preserve"> and the CAC and the Committee are in agreement that the Improvement is a Significant Improvement, or ii) if the Significant Improvement is referred to the CAC pursuant to </w:t>
      </w:r>
      <w:r>
        <w:rPr>
          <w:rFonts w:ascii="Times New Roman" w:cs="Times New Roman" w:eastAsia="Times New Roman" w:hAnsi="Times New Roman"/>
          <w:sz w:val="17"/>
          <w:szCs w:val="17"/>
          <w:u w:val="single" w:color="auto"/>
          <w:color w:val="auto"/>
        </w:rPr>
        <w:t>Section 3.1.2(a)(i)</w:t>
      </w:r>
      <w:r>
        <w:rPr>
          <w:rFonts w:ascii="Times New Roman" w:cs="Times New Roman" w:eastAsia="Times New Roman" w:hAnsi="Times New Roman"/>
          <w:sz w:val="17"/>
          <w:szCs w:val="17"/>
          <w:color w:val="auto"/>
        </w:rPr>
        <w:t>, then the Significant Improvement shall not proceed unless the members of the CAC from each Party mutually agree to implement such Significant Improvement. If the members of the CAC from each Party mutually agree to implement such Significant Improvement, then the Committee shall discuss in good faith the coverage of the costs related with such Significant Improvement. A schedule shall be attached to this Agreement and/or the Supply Agreement (if and when applicable) that shall specify how these CAC agreed recommendations will be applied to the Device / Product. If the members of the CAC from each Party mutually agree to implement such Significant Improvement, the Parties will use their best efforts, as applicable, to, at the appropriate time, obtain approval for the implementation of such Significant Improvement by the applicable Regulatory Authorities, to the extent required. A document</w:t>
      </w:r>
    </w:p>
    <w:p>
      <w:pPr>
        <w:spacing w:after="0" w:line="200" w:lineRule="exact"/>
        <w:rPr>
          <w:sz w:val="20"/>
          <w:szCs w:val="20"/>
          <w:color w:val="auto"/>
        </w:rPr>
      </w:pPr>
    </w:p>
    <w:p>
      <w:pPr>
        <w:spacing w:after="0" w:line="26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370205</wp:posOffset>
            </wp:positionV>
            <wp:extent cx="7188200" cy="3873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140"/>
          </w:cols>
          <w:pgMar w:left="1440" w:top="1128" w:right="319" w:bottom="1440" w:gutter="0" w:footer="0" w:header="0"/>
        </w:sectPr>
      </w:pPr>
    </w:p>
    <w:bookmarkStart w:id="562" w:name="page563"/>
    <w:bookmarkEnd w:id="562"/>
    <w:p>
      <w:pPr>
        <w:jc w:val="both"/>
        <w:ind w:left="2260"/>
        <w:spacing w:after="0" w:line="241" w:lineRule="auto"/>
        <w:rPr>
          <w:sz w:val="20"/>
          <w:szCs w:val="20"/>
          <w:color w:val="auto"/>
        </w:rPr>
      </w:pPr>
      <w:r>
        <w:rPr>
          <w:rFonts w:ascii="Times New Roman" w:cs="Times New Roman" w:eastAsia="Times New Roman" w:hAnsi="Times New Roman"/>
          <w:sz w:val="17"/>
          <w:szCs w:val="17"/>
          <w:color w:val="auto"/>
        </w:rPr>
        <w:t>containing collaboratively derived Device performance requirements, to be approved by both Parties and released within PARI’s quality system, will be used to support such Significant Improvements as appropriate. The CAC will not discuss those Significant Improvements for which PARI is contractually prohibited from implementing by the agreement under which such Significant Improvement was developed.</w:t>
      </w:r>
    </w:p>
    <w:p>
      <w:pPr>
        <w:spacing w:after="0" w:line="140" w:lineRule="exact"/>
        <w:rPr>
          <w:sz w:val="20"/>
          <w:szCs w:val="20"/>
          <w:color w:val="auto"/>
        </w:rPr>
      </w:pPr>
    </w:p>
    <w:p>
      <w:pPr>
        <w:jc w:val="both"/>
        <w:ind w:firstLine="1500"/>
        <w:spacing w:after="0" w:line="236" w:lineRule="auto"/>
        <w:tabs>
          <w:tab w:leader="none" w:pos="1805" w:val="left"/>
        </w:tabs>
        <w:numPr>
          <w:ilvl w:val="0"/>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Closed System</w:t>
      </w:r>
      <w:r>
        <w:rPr>
          <w:rFonts w:ascii="Times New Roman" w:cs="Times New Roman" w:eastAsia="Times New Roman" w:hAnsi="Times New Roman"/>
          <w:sz w:val="17"/>
          <w:szCs w:val="17"/>
          <w:color w:val="auto"/>
        </w:rPr>
        <w:t xml:space="preserve">. If the option in </w:t>
      </w:r>
      <w:r>
        <w:rPr>
          <w:rFonts w:ascii="Times New Roman" w:cs="Times New Roman" w:eastAsia="Times New Roman" w:hAnsi="Times New Roman"/>
          <w:sz w:val="17"/>
          <w:szCs w:val="17"/>
          <w:u w:val="single" w:color="auto"/>
          <w:color w:val="auto"/>
        </w:rPr>
        <w:t>Section 2.8 (Option for Closed System)</w:t>
      </w:r>
      <w:r>
        <w:rPr>
          <w:rFonts w:ascii="Times New Roman" w:cs="Times New Roman" w:eastAsia="Times New Roman" w:hAnsi="Times New Roman"/>
          <w:sz w:val="17"/>
          <w:szCs w:val="17"/>
          <w:color w:val="auto"/>
        </w:rPr>
        <w:t xml:space="preserve"> is exercised by Genoa, the Parties will work together in good faith to develop for clinical trials and commercialization the CS Device consistent with Genoa Requirements. For purposes of this Agreement, “</w:t>
      </w:r>
      <w:r>
        <w:rPr>
          <w:rFonts w:ascii="Times New Roman" w:cs="Times New Roman" w:eastAsia="Times New Roman" w:hAnsi="Times New Roman"/>
          <w:sz w:val="17"/>
          <w:szCs w:val="17"/>
          <w:u w:val="single" w:color="auto"/>
          <w:color w:val="auto"/>
        </w:rPr>
        <w:t>Genoa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Requirements</w:t>
      </w:r>
      <w:r>
        <w:rPr>
          <w:rFonts w:ascii="Times New Roman" w:cs="Times New Roman" w:eastAsia="Times New Roman" w:hAnsi="Times New Roman"/>
          <w:sz w:val="17"/>
          <w:szCs w:val="17"/>
          <w:color w:val="auto"/>
        </w:rPr>
        <w:t xml:space="preserve">” shall mean the product requirements determined by Genoa and subject to agreement by PARI after good faith discussions, which shall be set forth in an exhibit to the Development Work Plan (defined below), including with respect to timeline, delivery requirements, user interface (including user interface testing), manufacturing, regulatory, intellectual property, commercial and reimbursement factors. Subject to </w:t>
      </w:r>
      <w:r>
        <w:rPr>
          <w:rFonts w:ascii="Times New Roman" w:cs="Times New Roman" w:eastAsia="Times New Roman" w:hAnsi="Times New Roman"/>
          <w:sz w:val="17"/>
          <w:szCs w:val="17"/>
          <w:u w:val="single" w:color="auto"/>
          <w:color w:val="auto"/>
        </w:rPr>
        <w:t>Section 3.1.1 (General Development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and Commercialization Responsibilities)</w:t>
      </w:r>
      <w:r>
        <w:rPr>
          <w:rFonts w:ascii="Times New Roman" w:cs="Times New Roman" w:eastAsia="Times New Roman" w:hAnsi="Times New Roman"/>
          <w:sz w:val="17"/>
          <w:szCs w:val="17"/>
          <w:color w:val="auto"/>
        </w:rPr>
        <w:t xml:space="preserve">, PARI shall own and be responsible for the design, development, testing, scale-up and regulatory aspects of the CS Device and the platform closed system described herein, including a portion of the development costs associated therewith, subject to </w:t>
      </w:r>
      <w:r>
        <w:rPr>
          <w:rFonts w:ascii="Times New Roman" w:cs="Times New Roman" w:eastAsia="Times New Roman" w:hAnsi="Times New Roman"/>
          <w:sz w:val="17"/>
          <w:szCs w:val="17"/>
          <w:u w:val="single" w:color="auto"/>
          <w:color w:val="auto"/>
        </w:rPr>
        <w:t>Section 3.3.4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(Development Work Plan)</w:t>
      </w:r>
      <w:r>
        <w:rPr>
          <w:rFonts w:ascii="Times New Roman" w:cs="Times New Roman" w:eastAsia="Times New Roman" w:hAnsi="Times New Roman"/>
          <w:sz w:val="17"/>
          <w:szCs w:val="17"/>
          <w:color w:val="auto"/>
        </w:rPr>
        <w:t>; provided, however, that Genoa will be responsible for the primary packaging of the Drug Product including the costs associated therewith.</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Specific Development Matters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48" w:lineRule="auto"/>
        <w:rPr>
          <w:sz w:val="20"/>
          <w:szCs w:val="20"/>
          <w:color w:val="auto"/>
        </w:rPr>
      </w:pPr>
      <w:r>
        <w:rPr>
          <w:rFonts w:ascii="Times New Roman" w:cs="Times New Roman" w:eastAsia="Times New Roman" w:hAnsi="Times New Roman"/>
          <w:sz w:val="17"/>
          <w:szCs w:val="17"/>
          <w:color w:val="auto"/>
        </w:rPr>
        <w:t xml:space="preserve">3.2.1 Subject to </w:t>
      </w:r>
      <w:r>
        <w:rPr>
          <w:rFonts w:ascii="Times New Roman" w:cs="Times New Roman" w:eastAsia="Times New Roman" w:hAnsi="Times New Roman"/>
          <w:sz w:val="17"/>
          <w:szCs w:val="17"/>
          <w:u w:val="single" w:color="auto"/>
          <w:color w:val="auto"/>
        </w:rPr>
        <w:t>Section 3.3.2 (Development Work Plan</w:t>
      </w:r>
      <w:r>
        <w:rPr>
          <w:rFonts w:ascii="Times New Roman" w:cs="Times New Roman" w:eastAsia="Times New Roman" w:hAnsi="Times New Roman"/>
          <w:sz w:val="17"/>
          <w:szCs w:val="17"/>
          <w:color w:val="auto"/>
        </w:rPr>
        <w:t>), Genoa shall, at its own expense, be solely responsible for conducting all development activities (including Regulatory Activities) in the Territory for the Drug Product(s), including formulation optimization, and pre-clinical studies.</w:t>
      </w:r>
    </w:p>
    <w:p>
      <w:pPr>
        <w:spacing w:after="0" w:line="332"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3.2.2 Subject to </w:t>
      </w:r>
      <w:r>
        <w:rPr>
          <w:rFonts w:ascii="Times New Roman" w:cs="Times New Roman" w:eastAsia="Times New Roman" w:hAnsi="Times New Roman"/>
          <w:sz w:val="17"/>
          <w:szCs w:val="17"/>
          <w:u w:val="single" w:color="auto"/>
          <w:color w:val="auto"/>
        </w:rPr>
        <w:t>Section 3.1.1 (General Development and Commercialization Responsibilities</w:t>
      </w:r>
      <w:r>
        <w:rPr>
          <w:rFonts w:ascii="Times New Roman" w:cs="Times New Roman" w:eastAsia="Times New Roman" w:hAnsi="Times New Roman"/>
          <w:sz w:val="17"/>
          <w:szCs w:val="17"/>
          <w:color w:val="auto"/>
        </w:rPr>
        <w:t xml:space="preserve">), and without limiting the generality of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 (Improvements)</w:t>
      </w:r>
      <w:r>
        <w:rPr>
          <w:rFonts w:ascii="Times New Roman" w:cs="Times New Roman" w:eastAsia="Times New Roman" w:hAnsi="Times New Roman"/>
          <w:sz w:val="17"/>
          <w:szCs w:val="17"/>
          <w:color w:val="auto"/>
        </w:rPr>
        <w:t xml:space="preserve"> below, Genoa shall, at its own expense, be solely responsible in the Territory for obtaining and maintaining all Regulatory Approvals and interactions, and all IND, NDA, and other similar foreign regulatory filings, related to the Drug Product(s), and such Regulatory Approvals and filings shall be submitted and obtained solely in the name of, and exclusively owned by, Genoa.</w:t>
      </w:r>
    </w:p>
    <w:p>
      <w:pPr>
        <w:spacing w:after="0" w:line="140"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3.2.3 Subject to </w:t>
      </w:r>
      <w:r>
        <w:rPr>
          <w:rFonts w:ascii="Times New Roman" w:cs="Times New Roman" w:eastAsia="Times New Roman" w:hAnsi="Times New Roman"/>
          <w:sz w:val="17"/>
          <w:szCs w:val="17"/>
          <w:u w:val="single" w:color="auto"/>
          <w:color w:val="auto"/>
        </w:rPr>
        <w:t>Section 3.1.1 (General Development and Commercialization Responsibilities</w:t>
      </w:r>
      <w:r>
        <w:rPr>
          <w:rFonts w:ascii="Times New Roman" w:cs="Times New Roman" w:eastAsia="Times New Roman" w:hAnsi="Times New Roman"/>
          <w:sz w:val="17"/>
          <w:szCs w:val="17"/>
          <w:color w:val="auto"/>
        </w:rPr>
        <w:t xml:space="preserve">), and without limiting the generality of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 (Improvements)</w:t>
      </w:r>
      <w:r>
        <w:rPr>
          <w:rFonts w:ascii="Times New Roman" w:cs="Times New Roman" w:eastAsia="Times New Roman" w:hAnsi="Times New Roman"/>
          <w:sz w:val="17"/>
          <w:szCs w:val="17"/>
          <w:color w:val="auto"/>
        </w:rPr>
        <w:t xml:space="preserve"> below, Genoa shall exclusively own all clinical and non-clinical data generated and collected in connection with: (i) the Development Work Plan, (ii) any Statement of Work, or (iii) the Parties’ other activities in furtherance of the development and commercialization of the Drug Product(s). Notwithstanding anything in this Agreement to the contrary, PARI shall not have the right to reference any data generated or collected by or for Genoa related to the Drug Product(s), except for the purpose of conducting the Regulatory Activities</w:t>
      </w:r>
    </w:p>
    <w:p>
      <w:pPr>
        <w:spacing w:after="0" w:line="200" w:lineRule="exact"/>
        <w:rPr>
          <w:sz w:val="20"/>
          <w:szCs w:val="20"/>
          <w:color w:val="auto"/>
        </w:rPr>
      </w:pPr>
    </w:p>
    <w:p>
      <w:pPr>
        <w:spacing w:after="0" w:line="25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63" w:name="page564"/>
    <w:bookmarkEnd w:id="563"/>
    <w:p>
      <w:pPr>
        <w:spacing w:after="0"/>
        <w:rPr>
          <w:sz w:val="20"/>
          <w:szCs w:val="20"/>
          <w:color w:val="auto"/>
        </w:rPr>
      </w:pPr>
      <w:r>
        <w:rPr>
          <w:rFonts w:ascii="Times New Roman" w:cs="Times New Roman" w:eastAsia="Times New Roman" w:hAnsi="Times New Roman"/>
          <w:sz w:val="17"/>
          <w:szCs w:val="17"/>
          <w:color w:val="auto"/>
        </w:rPr>
        <w:t xml:space="preserve">contemplated in </w:t>
      </w:r>
      <w:r>
        <w:rPr>
          <w:rFonts w:ascii="Times New Roman" w:cs="Times New Roman" w:eastAsia="Times New Roman" w:hAnsi="Times New Roman"/>
          <w:sz w:val="17"/>
          <w:szCs w:val="17"/>
          <w:u w:val="single" w:color="auto"/>
          <w:color w:val="auto"/>
        </w:rPr>
        <w:t>Section 3.1.1 (General Development and Commercialization Responsibilities)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Development Work Plan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37" w:lineRule="auto"/>
        <w:rPr>
          <w:sz w:val="20"/>
          <w:szCs w:val="20"/>
          <w:color w:val="auto"/>
        </w:rPr>
      </w:pPr>
      <w:r>
        <w:rPr>
          <w:rFonts w:ascii="Times New Roman" w:cs="Times New Roman" w:eastAsia="Times New Roman" w:hAnsi="Times New Roman"/>
          <w:sz w:val="17"/>
          <w:szCs w:val="17"/>
          <w:color w:val="auto"/>
        </w:rPr>
        <w:t>3.3.1 The Parties acknowledge and agree that, prior to the Effective Date, PARI has performed, and shall continue to perform, certain feasibility and development services in accordance with mutually agreed to work plans, which are incorporated herein and will be deemed to be a Development Work Plan (as defined below) for purposes of this Agreement. In addition, the Committee shall prepare additional work plans setting forth the Product requirements and the general development activities for the Products in the Territory (collectively, the “</w:t>
      </w:r>
      <w:r>
        <w:rPr>
          <w:rFonts w:ascii="Times New Roman" w:cs="Times New Roman" w:eastAsia="Times New Roman" w:hAnsi="Times New Roman"/>
          <w:sz w:val="17"/>
          <w:szCs w:val="17"/>
          <w:u w:val="single" w:color="auto"/>
          <w:color w:val="auto"/>
        </w:rPr>
        <w:t>Development Work Plan</w:t>
      </w:r>
      <w:r>
        <w:rPr>
          <w:rFonts w:ascii="Times New Roman" w:cs="Times New Roman" w:eastAsia="Times New Roman" w:hAnsi="Times New Roman"/>
          <w:sz w:val="17"/>
          <w:szCs w:val="17"/>
          <w:color w:val="auto"/>
        </w:rPr>
        <w:t xml:space="preserve">”), including the testing to be performed by PARI and the acceptance criteria to be achieved to Genoa’s reasonable satisfaction pursuant to the applicable Development Work Plan;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the Parties acknowledge that Genoa shall retain the control and final decision-making authority with respect to the Development Work Plan except as set forth in </w:t>
      </w:r>
      <w:r>
        <w:rPr>
          <w:rFonts w:ascii="Times New Roman" w:cs="Times New Roman" w:eastAsia="Times New Roman" w:hAnsi="Times New Roman"/>
          <w:sz w:val="17"/>
          <w:szCs w:val="17"/>
          <w:u w:val="single" w:color="auto"/>
          <w:color w:val="auto"/>
        </w:rPr>
        <w:t>Sections 3.1.1 (General Development and Commercialization Responsibilities)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3.3.2 As part of the Development Work Plan, Genoa may from time to time submit to PARI a written request for modification(s) to the Device or any Accessory. PARI shall consider in good faith such request and respond to Genoa based on the costs involved, including costs for the development of such modification and costs which impact the manufacturing of the modified Device, contractual obligations and other business factors. Any such modification(s) shall be subject to discussion in good faith between the Parties; and in the event the Parties cannot agree on how to proceed such matter shall be referred to the Committee for final resolution pursuant to </w:t>
      </w:r>
      <w:r>
        <w:rPr>
          <w:rFonts w:ascii="Times New Roman" w:cs="Times New Roman" w:eastAsia="Times New Roman" w:hAnsi="Times New Roman"/>
          <w:sz w:val="17"/>
          <w:szCs w:val="17"/>
          <w:u w:val="single" w:color="auto"/>
          <w:color w:val="auto"/>
        </w:rPr>
        <w:t>Section 4.6 (Operation)</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firstLine="752"/>
        <w:spacing w:after="0" w:line="235" w:lineRule="auto"/>
        <w:rPr>
          <w:sz w:val="20"/>
          <w:szCs w:val="20"/>
          <w:color w:val="auto"/>
        </w:rPr>
      </w:pPr>
      <w:r>
        <w:rPr>
          <w:rFonts w:ascii="Times New Roman" w:cs="Times New Roman" w:eastAsia="Times New Roman" w:hAnsi="Times New Roman"/>
          <w:sz w:val="17"/>
          <w:szCs w:val="17"/>
          <w:color w:val="auto"/>
        </w:rPr>
        <w:t>3.3.3 Genoa shall have the option, but not the obligation, from time to time to request that PARI perform services in furtherance of the Development Work Plan programs or otherwise pursuant to a statement of work prepared and submitted by Genoa to PARI, setting forth the requirements and the general development activities requested for such additional services (each, a “</w:t>
      </w:r>
      <w:r>
        <w:rPr>
          <w:rFonts w:ascii="Times New Roman" w:cs="Times New Roman" w:eastAsia="Times New Roman" w:hAnsi="Times New Roman"/>
          <w:sz w:val="17"/>
          <w:szCs w:val="17"/>
          <w:u w:val="single" w:color="auto"/>
          <w:color w:val="auto"/>
        </w:rPr>
        <w:t>Statement of Work</w:t>
      </w:r>
      <w:r>
        <w:rPr>
          <w:rFonts w:ascii="Times New Roman" w:cs="Times New Roman" w:eastAsia="Times New Roman" w:hAnsi="Times New Roman"/>
          <w:sz w:val="17"/>
          <w:szCs w:val="17"/>
          <w:color w:val="auto"/>
        </w:rPr>
        <w:t>”). Genoa shall obtain the approval of PARI with respect to such services, such approval not to be unreasonably withheld. In such event, PARI shall [***] prepare and submit to Genoa a work schedule, including a budget, setting forth in reasonable detail the services to be performed, time expected to be expended and out-of-pocket costs expected to be incurred. Genoa shall bear all costs incurred in connection with activities under such Statement of Work to the extent such activities relate specifically to the Drug Product(s) (including the formulation thereof) or the development of the Device, Accessories or their components specifically for use with the Drug Product(s) and not generally applicable for other products (such activities collectively, the “</w:t>
      </w:r>
      <w:r>
        <w:rPr>
          <w:rFonts w:ascii="Times New Roman" w:cs="Times New Roman" w:eastAsia="Times New Roman" w:hAnsi="Times New Roman"/>
          <w:sz w:val="17"/>
          <w:szCs w:val="17"/>
          <w:u w:val="single" w:color="auto"/>
          <w:color w:val="auto"/>
        </w:rPr>
        <w:t>Genoa Specific Activities</w:t>
      </w:r>
      <w:r>
        <w:rPr>
          <w:rFonts w:ascii="Times New Roman" w:cs="Times New Roman" w:eastAsia="Times New Roman" w:hAnsi="Times New Roman"/>
          <w:sz w:val="17"/>
          <w:szCs w:val="17"/>
          <w:color w:val="auto"/>
        </w:rPr>
        <w:t>”). To the extent such activities relate to the improvement of Devices, Accessories or their components in [***]. For Genoa Specific Activities, Genoa shall reimburse PARI at the hourly rate of [***] per billable hour unless otherwise set forth in the applicable Statement of Work. PARI shall undertake any requested services only after Genoa’s written approval thereof. PARI shall use Commercially Reasonable Efforts to complete such agreed-upon services in accordance with the timeline(s) set forth in the applicable Statement of Work. Genoa shall pay PARI for such services on a time and materials basis. Genoa shall make payment of such service fees and costs to PARI within</w:t>
      </w:r>
    </w:p>
    <w:p>
      <w:pPr>
        <w:spacing w:after="0" w:line="200" w:lineRule="exact"/>
        <w:rPr>
          <w:sz w:val="20"/>
          <w:szCs w:val="20"/>
          <w:color w:val="auto"/>
        </w:rPr>
      </w:pPr>
    </w:p>
    <w:p>
      <w:pPr>
        <w:spacing w:after="0" w:line="255"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64" w:name="page565"/>
    <w:bookmarkEnd w:id="564"/>
    <w:p>
      <w:pPr>
        <w:jc w:val="both"/>
        <w:ind w:left="4" w:hanging="4"/>
        <w:spacing w:after="0" w:line="237" w:lineRule="auto"/>
        <w:tabs>
          <w:tab w:leader="none" w:pos="413" w:val="left"/>
        </w:tabs>
        <w:numPr>
          <w:ilvl w:val="0"/>
          <w:numId w:val="4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of receipt from PARI of a reasonably detailed invoice summarizing the work performed and expenses incurred. Any undisputed payments or portions thereof due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which are not paid when due, shall bear interest equal to the [***]. If such unpaid, undisputed payment is a material default, taking into account the total amounts paid or to be paid over all of the Statements of Work, then PARI may request reasonable assurances that Genoa shall continue to pay ongoing fees and if not received, PARI may suspend further performance of such Statements of Work and Development Work Plan until such assurances are received or such default is paid. This </w:t>
      </w:r>
      <w:r>
        <w:rPr>
          <w:rFonts w:ascii="Times New Roman" w:cs="Times New Roman" w:eastAsia="Times New Roman" w:hAnsi="Times New Roman"/>
          <w:sz w:val="17"/>
          <w:szCs w:val="17"/>
          <w:u w:val="single" w:color="auto"/>
          <w:color w:val="auto"/>
        </w:rPr>
        <w:t>Section 3.3.3</w:t>
      </w:r>
      <w:r>
        <w:rPr>
          <w:rFonts w:ascii="Times New Roman" w:cs="Times New Roman" w:eastAsia="Times New Roman" w:hAnsi="Times New Roman"/>
          <w:sz w:val="17"/>
          <w:szCs w:val="17"/>
          <w:color w:val="auto"/>
        </w:rPr>
        <w:t xml:space="preserve"> shall not limit other remedies available to PARI under this Agreement. In the event of any conflict between the terms of this Agreement and the Development Work Plan and a Statement of Work, the terms of this Agreement shall control.</w:t>
      </w:r>
    </w:p>
    <w:p>
      <w:pPr>
        <w:spacing w:after="0" w:line="141" w:lineRule="exact"/>
        <w:rPr>
          <w:sz w:val="20"/>
          <w:szCs w:val="20"/>
          <w:color w:val="auto"/>
        </w:rPr>
      </w:pPr>
    </w:p>
    <w:p>
      <w:pPr>
        <w:jc w:val="both"/>
        <w:ind w:left="4" w:firstLine="752"/>
        <w:spacing w:after="0" w:line="237" w:lineRule="auto"/>
        <w:rPr>
          <w:sz w:val="20"/>
          <w:szCs w:val="20"/>
          <w:color w:val="auto"/>
        </w:rPr>
      </w:pPr>
      <w:r>
        <w:rPr>
          <w:rFonts w:ascii="Times New Roman" w:cs="Times New Roman" w:eastAsia="Times New Roman" w:hAnsi="Times New Roman"/>
          <w:sz w:val="17"/>
          <w:szCs w:val="17"/>
          <w:color w:val="auto"/>
        </w:rPr>
        <w:t>3.3.4 Genoa will cover the costs for (i) the in-vitro characterization of the Device with the Drug Product(s), and (ii) human factor studies specific for the intended patient target group of the Product(s), as specified in any Statement of Work or otherwise requested by Genoa in writing. The Parties agree that Statement of Works for all project management and technical support tasks at PARI which are specifically related to the collaboration between Genoa and PARI will be established. For the avoidance of doubt, Genoa shall not be obligated to cover costs, including project management costs, for PARI’s general development of the eFlow Technology platform. If Genoa or its Permitted Sublicensee request the scale-up of the Device manufacturing capacities prior to the Regulatory Approval of the Product, then Genoa or its Permitted Sublicensee, as applicable, shall cover those costs to the extent necessary for the Device. Such scale-up costs are creditable against future Royalties and Annual Minimum Royalty payments.</w:t>
      </w:r>
    </w:p>
    <w:p>
      <w:pPr>
        <w:spacing w:after="0" w:line="11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Improvements</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4" w:firstLine="752"/>
        <w:spacing w:after="0" w:line="241" w:lineRule="auto"/>
        <w:rPr>
          <w:sz w:val="20"/>
          <w:szCs w:val="20"/>
          <w:color w:val="auto"/>
        </w:rPr>
      </w:pPr>
      <w:r>
        <w:rPr>
          <w:rFonts w:ascii="Times New Roman" w:cs="Times New Roman" w:eastAsia="Times New Roman" w:hAnsi="Times New Roman"/>
          <w:sz w:val="17"/>
          <w:szCs w:val="17"/>
          <w:color w:val="auto"/>
        </w:rPr>
        <w:t xml:space="preserve">3.4.1 The Parties acknowledge that commencing on the Effective Date Genoa and PARI shall collaborate in the development and commercialization of the Drug Product(s) (including any manufacturing processes) exclusively for use with the Device, and that such collaboration may generate Improvements whether or not patentable in accordance with </w:t>
      </w:r>
      <w:r>
        <w:rPr>
          <w:rFonts w:ascii="Times New Roman" w:cs="Times New Roman" w:eastAsia="Times New Roman" w:hAnsi="Times New Roman"/>
          <w:sz w:val="17"/>
          <w:szCs w:val="17"/>
          <w:u w:val="single" w:color="auto"/>
          <w:color w:val="auto"/>
        </w:rPr>
        <w:t>Section 3.1.2(a) (General)</w:t>
      </w:r>
      <w:r>
        <w:rPr>
          <w:rFonts w:ascii="Times New Roman" w:cs="Times New Roman" w:eastAsia="Times New Roman" w:hAnsi="Times New Roman"/>
          <w:sz w:val="17"/>
          <w:szCs w:val="17"/>
          <w:color w:val="auto"/>
        </w:rPr>
        <w:t>. In order to permit and encourage a successful collaboration and protect the key business interests of both Parties, the Parties agree that:</w:t>
      </w:r>
    </w:p>
    <w:p>
      <w:pPr>
        <w:spacing w:after="0" w:line="108" w:lineRule="exact"/>
        <w:rPr>
          <w:sz w:val="20"/>
          <w:szCs w:val="20"/>
          <w:color w:val="auto"/>
        </w:rPr>
      </w:pPr>
    </w:p>
    <w:p>
      <w:pPr>
        <w:jc w:val="both"/>
        <w:ind w:left="4" w:firstLine="1500"/>
        <w:spacing w:after="0" w:line="241" w:lineRule="auto"/>
        <w:tabs>
          <w:tab w:leader="none" w:pos="1809" w:val="left"/>
        </w:tabs>
        <w:numPr>
          <w:ilvl w:val="0"/>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PARI shall exclusively own all rights and interest in and to the eFlow Technology Nebulizer, the Device, any Accessory and all Improvements relating to the eFlow Technology Nebulizer, the Device, or to any Accessory, developed by Genoa, its Affiliates or Permitted Sublicensees or by PARI or its Affiliates, pursuant to activities conducted under this Agreement, any Development Work Plan or any Statement of Work, but at all times specifically excluding Genoa Technology (the “</w:t>
      </w:r>
      <w:r>
        <w:rPr>
          <w:rFonts w:ascii="Times New Roman" w:cs="Times New Roman" w:eastAsia="Times New Roman" w:hAnsi="Times New Roman"/>
          <w:sz w:val="17"/>
          <w:szCs w:val="17"/>
          <w:u w:val="single" w:color="auto"/>
          <w:color w:val="auto"/>
        </w:rPr>
        <w:t>PARI Technology</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24" w:lineRule="exact"/>
        <w:rPr>
          <w:sz w:val="20"/>
          <w:szCs w:val="20"/>
          <w:color w:val="auto"/>
        </w:rPr>
      </w:pPr>
    </w:p>
    <w:p>
      <w:pPr>
        <w:ind w:left="4804"/>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370205</wp:posOffset>
            </wp:positionV>
            <wp:extent cx="7188200" cy="387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4"/>
          </w:cols>
          <w:pgMar w:left="1056" w:top="1128" w:right="319" w:bottom="1440" w:gutter="0" w:footer="0" w:header="0"/>
        </w:sectPr>
      </w:pPr>
    </w:p>
    <w:bookmarkStart w:id="565" w:name="page566"/>
    <w:bookmarkEnd w:id="565"/>
    <w:p>
      <w:pPr>
        <w:jc w:val="both"/>
        <w:ind w:firstLine="1500"/>
        <w:spacing w:after="0" w:line="241" w:lineRule="auto"/>
        <w:tabs>
          <w:tab w:leader="none" w:pos="1805"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Genoa shall exclusively own all rights and interest in and to the Drug Product(s) and all Improvements relating to any Drug Product, developed by Genoa, its Affiliates or Permitted Sublicensees or by PARI or its Affiliates, pursuant to activities conducted under this Agreement, any Development Work Plan or any Statement of Work, but at all times specifically excluding PARI Technology (the “</w:t>
      </w:r>
      <w:r>
        <w:rPr>
          <w:rFonts w:ascii="Times New Roman" w:cs="Times New Roman" w:eastAsia="Times New Roman" w:hAnsi="Times New Roman"/>
          <w:sz w:val="17"/>
          <w:szCs w:val="17"/>
          <w:u w:val="single" w:color="auto"/>
          <w:color w:val="auto"/>
        </w:rPr>
        <w:t>Genoa Technology</w:t>
      </w:r>
      <w:r>
        <w:rPr>
          <w:rFonts w:ascii="Times New Roman" w:cs="Times New Roman" w:eastAsia="Times New Roman" w:hAnsi="Times New Roman"/>
          <w:sz w:val="17"/>
          <w:szCs w:val="17"/>
          <w:color w:val="auto"/>
        </w:rPr>
        <w:t>”). Genoa Technology shall include:</w:t>
      </w:r>
    </w:p>
    <w:p>
      <w:pPr>
        <w:spacing w:after="0" w:line="140" w:lineRule="exact"/>
        <w:rPr>
          <w:sz w:val="20"/>
          <w:szCs w:val="20"/>
          <w:color w:val="auto"/>
        </w:rPr>
      </w:pPr>
    </w:p>
    <w:p>
      <w:pPr>
        <w:ind w:left="2260" w:hanging="760"/>
        <w:spacing w:after="0"/>
        <w:tabs>
          <w:tab w:leader="none" w:pos="226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Improvements specifically related to the Drug Product(s);</w:t>
      </w:r>
    </w:p>
    <w:p>
      <w:pPr>
        <w:spacing w:after="0" w:line="161" w:lineRule="exact"/>
        <w:rPr>
          <w:rFonts w:ascii="Times New Roman" w:cs="Times New Roman" w:eastAsia="Times New Roman" w:hAnsi="Times New Roman"/>
          <w:sz w:val="17"/>
          <w:szCs w:val="17"/>
          <w:color w:val="auto"/>
        </w:rPr>
      </w:pPr>
    </w:p>
    <w:p>
      <w:pPr>
        <w:jc w:val="both"/>
        <w:ind w:left="2260" w:hanging="760"/>
        <w:spacing w:after="0" w:line="246" w:lineRule="auto"/>
        <w:tabs>
          <w:tab w:leader="none" w:pos="226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Improvements developed in connection with the services provided by PARI or its Affiliates pursuant to the Development Work Plan and related to the Drug Product(s) or pursuant to any Statement of Work and related to the Drug Product(s), excluding any Improvement set forth in clause (a) above;</w:t>
      </w:r>
    </w:p>
    <w:p>
      <w:pPr>
        <w:spacing w:after="0" w:line="134" w:lineRule="exact"/>
        <w:rPr>
          <w:rFonts w:ascii="Times New Roman" w:cs="Times New Roman" w:eastAsia="Times New Roman" w:hAnsi="Times New Roman"/>
          <w:sz w:val="17"/>
          <w:szCs w:val="17"/>
          <w:color w:val="auto"/>
        </w:rPr>
      </w:pPr>
    </w:p>
    <w:p>
      <w:pPr>
        <w:ind w:left="2260" w:hanging="760"/>
        <w:spacing w:after="0" w:line="259" w:lineRule="auto"/>
        <w:tabs>
          <w:tab w:leader="none" w:pos="226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Improvements and other intellectual property related to, or derived from, the Genoa Data referred to in clause (vi) below, excluding any Improvement set forth in clause (a) above;</w:t>
      </w:r>
    </w:p>
    <w:p>
      <w:pPr>
        <w:spacing w:after="0" w:line="124" w:lineRule="exact"/>
        <w:rPr>
          <w:rFonts w:ascii="Times New Roman" w:cs="Times New Roman" w:eastAsia="Times New Roman" w:hAnsi="Times New Roman"/>
          <w:sz w:val="17"/>
          <w:szCs w:val="17"/>
          <w:color w:val="auto"/>
        </w:rPr>
      </w:pPr>
    </w:p>
    <w:p>
      <w:pPr>
        <w:ind w:left="2260" w:hanging="760"/>
        <w:spacing w:after="0" w:line="259" w:lineRule="auto"/>
        <w:tabs>
          <w:tab w:leader="none" w:pos="226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clinical and non-clinical data generated in connection with the Product, but only such data related to the Drug Product, [***];</w:t>
      </w:r>
    </w:p>
    <w:p>
      <w:pPr>
        <w:spacing w:after="0" w:line="124" w:lineRule="exact"/>
        <w:rPr>
          <w:rFonts w:ascii="Times New Roman" w:cs="Times New Roman" w:eastAsia="Times New Roman" w:hAnsi="Times New Roman"/>
          <w:sz w:val="17"/>
          <w:szCs w:val="17"/>
          <w:color w:val="auto"/>
        </w:rPr>
      </w:pPr>
    </w:p>
    <w:p>
      <w:pPr>
        <w:ind w:left="2260" w:hanging="760"/>
        <w:spacing w:after="0" w:line="259" w:lineRule="auto"/>
        <w:tabs>
          <w:tab w:leader="none" w:pos="226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INDs, NDAs, and other similar Regulatory Approvals filed or awarded in any jurisdiction in the Territory and related to the Drug Product(s); and</w:t>
      </w:r>
    </w:p>
    <w:p>
      <w:pPr>
        <w:spacing w:after="0" w:line="124" w:lineRule="exact"/>
        <w:rPr>
          <w:rFonts w:ascii="Times New Roman" w:cs="Times New Roman" w:eastAsia="Times New Roman" w:hAnsi="Times New Roman"/>
          <w:sz w:val="17"/>
          <w:szCs w:val="17"/>
          <w:color w:val="auto"/>
        </w:rPr>
      </w:pPr>
    </w:p>
    <w:p>
      <w:pPr>
        <w:jc w:val="both"/>
        <w:ind w:left="2260" w:hanging="760"/>
        <w:spacing w:after="0" w:line="246" w:lineRule="auto"/>
        <w:tabs>
          <w:tab w:leader="none" w:pos="2260" w:val="left"/>
        </w:tabs>
        <w:numPr>
          <w:ilvl w:val="0"/>
          <w:numId w:val="4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Confidential Information of Genoa (in accordance with </w:t>
      </w:r>
      <w:r>
        <w:rPr>
          <w:rFonts w:ascii="Times New Roman" w:cs="Times New Roman" w:eastAsia="Times New Roman" w:hAnsi="Times New Roman"/>
          <w:sz w:val="17"/>
          <w:szCs w:val="17"/>
          <w:u w:val="single" w:color="auto"/>
          <w:color w:val="auto"/>
        </w:rPr>
        <w:t>Section 7 (Confidential Information))</w:t>
      </w:r>
      <w:r>
        <w:rPr>
          <w:rFonts w:ascii="Times New Roman" w:cs="Times New Roman" w:eastAsia="Times New Roman" w:hAnsi="Times New Roman"/>
          <w:sz w:val="17"/>
          <w:szCs w:val="17"/>
          <w:color w:val="auto"/>
        </w:rPr>
        <w:t>. The data, Regulatory Approvals and Confidential Information described in clauses (i), (ii), (iii), (iv) and (v)) are referred to herein as the “</w:t>
      </w:r>
      <w:r>
        <w:rPr>
          <w:rFonts w:ascii="Times New Roman" w:cs="Times New Roman" w:eastAsia="Times New Roman" w:hAnsi="Times New Roman"/>
          <w:sz w:val="17"/>
          <w:szCs w:val="17"/>
          <w:u w:val="single" w:color="auto"/>
          <w:color w:val="auto"/>
        </w:rPr>
        <w:t>Genoa Data</w:t>
      </w:r>
      <w:r>
        <w:rPr>
          <w:rFonts w:ascii="Times New Roman" w:cs="Times New Roman" w:eastAsia="Times New Roman" w:hAnsi="Times New Roman"/>
          <w:sz w:val="17"/>
          <w:szCs w:val="17"/>
          <w:color w:val="auto"/>
        </w:rPr>
        <w:t>.”</w:t>
      </w:r>
    </w:p>
    <w:p>
      <w:pPr>
        <w:spacing w:after="0" w:line="135" w:lineRule="exact"/>
        <w:rPr>
          <w:sz w:val="20"/>
          <w:szCs w:val="20"/>
          <w:color w:val="auto"/>
        </w:rPr>
      </w:pPr>
    </w:p>
    <w:p>
      <w:pPr>
        <w:jc w:val="both"/>
        <w:ind w:firstLine="752"/>
        <w:spacing w:after="0" w:line="235" w:lineRule="auto"/>
        <w:rPr>
          <w:sz w:val="20"/>
          <w:szCs w:val="20"/>
          <w:color w:val="auto"/>
        </w:rPr>
      </w:pPr>
      <w:r>
        <w:rPr>
          <w:rFonts w:ascii="Times New Roman" w:cs="Times New Roman" w:eastAsia="Times New Roman" w:hAnsi="Times New Roman"/>
          <w:sz w:val="17"/>
          <w:szCs w:val="17"/>
          <w:color w:val="auto"/>
        </w:rPr>
        <w:t>3.4.2 PARI shall [***] disclose to Genoa any Genoa Technology generated by PARI in connection with its performance of this Agreement, including under the Development Work Plan or any Statement of Work, and all such Genoa Technology shall be deemed to the fullest extent possible to be works made for hire exclusively for Genoa, with Genoa having sole ownership of such Genoa Technology and the sole right to obtain and to hold in its own name patents, copyrights, or such other protection as Genoa may deem appropriate to the subject matter, and any extensions or renewals thereof (though Genoa is under no obligation to file any patent application, secure or maintain any patent or register any copyright). To the extent PARI or its Affiliates nonetheless maintain any rights in and to any Genoa Technology, PARI and its Affiliates hereby assign, cede and grant to Genoa all rights to possession of, and all right, title, and interest, including all patents and copyrights and the right to prepare and exploit derivative works, in such Genoa Technology. PARI agrees to give Genoa or any person designated by Genoa at Genoa’s expense, all assistance reasonably required to perfect the rights hereinabove defined, including the execution of documents and assistance or cooperation in legal proceedings. For the avoidance of doubt, PARI and Genoa acknowledge and agree that each Party shall</w:t>
      </w:r>
    </w:p>
    <w:p>
      <w:pPr>
        <w:spacing w:after="0" w:line="200" w:lineRule="exact"/>
        <w:rPr>
          <w:sz w:val="20"/>
          <w:szCs w:val="20"/>
          <w:color w:val="auto"/>
        </w:rPr>
      </w:pPr>
    </w:p>
    <w:p>
      <w:pPr>
        <w:spacing w:after="0" w:line="262"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66" w:name="page567"/>
    <w:bookmarkEnd w:id="566"/>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have the right to protect, whether by way of a patent filing or other intellectual property filing, any work conducted by such Party and kept separate from and not related to the work performed under or in connection with this Agreement.</w:t>
      </w:r>
    </w:p>
    <w:p>
      <w:pPr>
        <w:spacing w:after="0" w:line="125" w:lineRule="exact"/>
        <w:rPr>
          <w:sz w:val="20"/>
          <w:szCs w:val="20"/>
          <w:color w:val="auto"/>
        </w:rPr>
      </w:pPr>
    </w:p>
    <w:p>
      <w:pPr>
        <w:jc w:val="both"/>
        <w:ind w:left="760" w:firstLine="752"/>
        <w:spacing w:after="0" w:line="251" w:lineRule="auto"/>
        <w:rPr>
          <w:sz w:val="20"/>
          <w:szCs w:val="20"/>
          <w:color w:val="auto"/>
        </w:rPr>
      </w:pPr>
      <w:r>
        <w:rPr>
          <w:rFonts w:ascii="Times New Roman" w:cs="Times New Roman" w:eastAsia="Times New Roman" w:hAnsi="Times New Roman"/>
          <w:sz w:val="16"/>
          <w:szCs w:val="16"/>
          <w:color w:val="auto"/>
        </w:rPr>
        <w:t>3.4.3 Genoa shall, and shall cause its Affiliates and its Permitted Sublicensees to, [***] disclose to PARI any PARI Technology generated by Genoa, its Affiliates and/or Permitted Sublicensees if any, in connection with its performance of this Agreement, including under the Development Work Plan or any Statement of Work, and all such PARI Technology shall be owned exclusively by PARI, and PARI shall have the sole right to obtain and to hold in its own name patents, copyrights, or such other protection therefore as PARI may deem appropriate, and any extensions or renewals thereof (though PARI is under no obligation to file any patent application, secure or maintain any patent or register any copyright). To the extent Genoa or its Affiliates nonetheless maintain any rights in and to any PARI Technology, Genoa and its Affiliates hereby assign, cede and grant to PARI all rights to possession of, and all right, title, and interest, including all patents and copyrights and the right to prepare and exploit derivative works, in such PARI Technology. To the extent Genoa’s Permitted Sublicensees nonetheless maintain any rights in and to any PARI Technology, Genoa shall cause such Permitted Sublicensee to assign, cede and grant to PARI all rights to possession of, and all right, title, and interest, including all patents and copyrights and the right to prepare and exploit derivative works, in such PARI Technology. Genoa agrees to give PARI or any person designated by PARI at PARI’s expense, all assistance reasonably required to perfect the rights hereinabove defined, including the execution of documents and assistance or cooperation in legal proceedings.</w:t>
      </w:r>
    </w:p>
    <w:p>
      <w:pPr>
        <w:spacing w:after="0" w:line="133" w:lineRule="exact"/>
        <w:rPr>
          <w:sz w:val="20"/>
          <w:szCs w:val="20"/>
          <w:color w:val="auto"/>
        </w:rPr>
      </w:pPr>
    </w:p>
    <w:p>
      <w:pPr>
        <w:jc w:val="both"/>
        <w:ind w:left="760" w:firstLine="752"/>
        <w:spacing w:after="0" w:line="238" w:lineRule="auto"/>
        <w:rPr>
          <w:sz w:val="20"/>
          <w:szCs w:val="20"/>
          <w:color w:val="auto"/>
        </w:rPr>
      </w:pPr>
      <w:r>
        <w:rPr>
          <w:rFonts w:ascii="Times New Roman" w:cs="Times New Roman" w:eastAsia="Times New Roman" w:hAnsi="Times New Roman"/>
          <w:sz w:val="17"/>
          <w:szCs w:val="17"/>
          <w:color w:val="auto"/>
        </w:rPr>
        <w:t xml:space="preserve">3.4.4 Any and all Improvements arising under the Parties’ collaboration described in the first paragraph of </w:t>
      </w:r>
      <w:r>
        <w:rPr>
          <w:rFonts w:ascii="Times New Roman" w:cs="Times New Roman" w:eastAsia="Times New Roman" w:hAnsi="Times New Roman"/>
          <w:sz w:val="17"/>
          <w:szCs w:val="17"/>
          <w:u w:val="single" w:color="auto"/>
          <w:color w:val="auto"/>
        </w:rPr>
        <w:t>Section 3.4.1</w:t>
      </w:r>
      <w:r>
        <w:rPr>
          <w:rFonts w:ascii="Times New Roman" w:cs="Times New Roman" w:eastAsia="Times New Roman" w:hAnsi="Times New Roman"/>
          <w:sz w:val="17"/>
          <w:szCs w:val="17"/>
          <w:color w:val="auto"/>
        </w:rPr>
        <w:t xml:space="preserve">, other than those specified in </w:t>
      </w:r>
      <w:r>
        <w:rPr>
          <w:rFonts w:ascii="Times New Roman" w:cs="Times New Roman" w:eastAsia="Times New Roman" w:hAnsi="Times New Roman"/>
          <w:sz w:val="17"/>
          <w:szCs w:val="17"/>
          <w:u w:val="single" w:color="auto"/>
          <w:color w:val="auto"/>
        </w:rPr>
        <w:t>Sections 3.4.1(a) (Improvements) and 3.4.1(b) (Improvements)</w:t>
      </w:r>
      <w:r>
        <w:rPr>
          <w:rFonts w:ascii="Times New Roman" w:cs="Times New Roman" w:eastAsia="Times New Roman" w:hAnsi="Times New Roman"/>
          <w:sz w:val="17"/>
          <w:szCs w:val="17"/>
          <w:color w:val="auto"/>
        </w:rPr>
        <w:t>, shall be jointly owned by both Parties (“</w:t>
      </w:r>
      <w:r>
        <w:rPr>
          <w:rFonts w:ascii="Times New Roman" w:cs="Times New Roman" w:eastAsia="Times New Roman" w:hAnsi="Times New Roman"/>
          <w:sz w:val="17"/>
          <w:szCs w:val="17"/>
          <w:u w:val="single" w:color="auto"/>
          <w:color w:val="auto"/>
        </w:rPr>
        <w:t>Joint Intellectual Property</w:t>
      </w:r>
      <w:r>
        <w:rPr>
          <w:rFonts w:ascii="Times New Roman" w:cs="Times New Roman" w:eastAsia="Times New Roman" w:hAnsi="Times New Roman"/>
          <w:sz w:val="17"/>
          <w:szCs w:val="17"/>
          <w:color w:val="auto"/>
        </w:rPr>
        <w:t xml:space="preserve">”) subject to this </w:t>
      </w:r>
      <w:r>
        <w:rPr>
          <w:rFonts w:ascii="Times New Roman" w:cs="Times New Roman" w:eastAsia="Times New Roman" w:hAnsi="Times New Roman"/>
          <w:sz w:val="17"/>
          <w:szCs w:val="17"/>
          <w:u w:val="single" w:color="auto"/>
          <w:color w:val="auto"/>
        </w:rPr>
        <w:t>Section 3.4.4</w:t>
      </w:r>
      <w:r>
        <w:rPr>
          <w:rFonts w:ascii="Times New Roman" w:cs="Times New Roman" w:eastAsia="Times New Roman" w:hAnsi="Times New Roman"/>
          <w:sz w:val="17"/>
          <w:szCs w:val="17"/>
          <w:color w:val="auto"/>
        </w:rPr>
        <w:t>. Genoa and PARI will in good faith discuss and decide whether a joint Patent application or similar protection will be filed for each specific proprietary right arising as Joint Intellectual Property, and if so, negotiate an agreement governing joint ownership, enforcement, protection and licensing of such rights within the Joint Intellectual Property. During the Term, to avoid loss of Patent rights as a result of premature public disclosure of patentable information, neither Party may use or disclose any Joint Intellectual Property without the prior written consent of the other Party.</w:t>
      </w:r>
    </w:p>
    <w:p>
      <w:pPr>
        <w:spacing w:after="0" w:line="140"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6"/>
          <w:szCs w:val="16"/>
          <w:color w:val="auto"/>
        </w:rPr>
        <w:t xml:space="preserve">3.5 </w:t>
      </w:r>
      <w:r>
        <w:rPr>
          <w:rFonts w:ascii="Times New Roman" w:cs="Times New Roman" w:eastAsia="Times New Roman" w:hAnsi="Times New Roman"/>
          <w:sz w:val="16"/>
          <w:szCs w:val="16"/>
          <w:u w:val="single" w:color="auto"/>
          <w:color w:val="auto"/>
        </w:rPr>
        <w:t>License Back</w:t>
      </w:r>
      <w:r>
        <w:rPr>
          <w:rFonts w:ascii="Times New Roman" w:cs="Times New Roman" w:eastAsia="Times New Roman" w:hAnsi="Times New Roman"/>
          <w:sz w:val="16"/>
          <w:szCs w:val="16"/>
          <w:color w:val="auto"/>
        </w:rPr>
        <w:t xml:space="preserve">. Subject to </w:t>
      </w:r>
      <w:r>
        <w:rPr>
          <w:rFonts w:ascii="Times New Roman" w:cs="Times New Roman" w:eastAsia="Times New Roman" w:hAnsi="Times New Roman"/>
          <w:sz w:val="16"/>
          <w:szCs w:val="16"/>
          <w:u w:val="single" w:color="auto"/>
          <w:color w:val="auto"/>
        </w:rPr>
        <w:t>Section 8.8 (Non-Compete in Territory and Exclusivity)</w:t>
      </w:r>
      <w:r>
        <w:rPr>
          <w:rFonts w:ascii="Times New Roman" w:cs="Times New Roman" w:eastAsia="Times New Roman" w:hAnsi="Times New Roman"/>
          <w:sz w:val="16"/>
          <w:szCs w:val="16"/>
          <w:color w:val="auto"/>
        </w:rPr>
        <w:t xml:space="preserve">, Genoa hereby grants to PARI a perpetual, worldwide, non-exclusive, sublicensable, transferable, fully paid-up, royalty-free license to the Genoa Technology to formulate, develop, make, have made, use, sell, have sold, offer for sale, market, promote, import, export or otherwise commercialize the Genoa Technology as it relates to the use of any PARI Nebulizer or any PARI Accessory (i) for any use or purpose outside the Field in the Territory during the Term of the Agreement, and (ii) for any use or purpose after the Term of the Agreement, including without limitation inside the Field and/or inside the Territory. Solely to the extent such licensed rights set forth above in (i) and/or (ii) are within the Field, such licensed rights shall terminate automatically in the event of the termination of this Agreement by Genoa under </w:t>
      </w:r>
      <w:r>
        <w:rPr>
          <w:rFonts w:ascii="Times New Roman" w:cs="Times New Roman" w:eastAsia="Times New Roman" w:hAnsi="Times New Roman"/>
          <w:sz w:val="16"/>
          <w:szCs w:val="16"/>
          <w:u w:val="single" w:color="auto"/>
          <w:color w:val="auto"/>
        </w:rPr>
        <w:t>Section 11.2 (Termination of Agreement for Material Breach).</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67" w:name="page568"/>
    <w:bookmarkEnd w:id="567"/>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Specific Commercial Matters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3.1.1 (General Development and Commercialization Responsibilities)</w:t>
      </w:r>
      <w:r>
        <w:rPr>
          <w:rFonts w:ascii="Times New Roman" w:cs="Times New Roman" w:eastAsia="Times New Roman" w:hAnsi="Times New Roman"/>
          <w:sz w:val="17"/>
          <w:szCs w:val="17"/>
          <w:color w:val="auto"/>
        </w:rPr>
        <w:t xml:space="preserve">, Genoa shall, at its own expense, be solely responsible for conducting all commercialization activities for the Territory relating to the Products, including any activities relating to the Sublicense of the Product, as well as the Exploitation of the Products. Subject to </w:t>
      </w:r>
      <w:r>
        <w:rPr>
          <w:rFonts w:ascii="Times New Roman" w:cs="Times New Roman" w:eastAsia="Times New Roman" w:hAnsi="Times New Roman"/>
          <w:sz w:val="17"/>
          <w:szCs w:val="17"/>
          <w:u w:val="single" w:color="auto"/>
          <w:color w:val="auto"/>
        </w:rPr>
        <w:t>Section 3.1.1</w:t>
      </w:r>
      <w:r>
        <w:rPr>
          <w:rFonts w:ascii="Times New Roman" w:cs="Times New Roman" w:eastAsia="Times New Roman" w:hAnsi="Times New Roman"/>
          <w:sz w:val="17"/>
          <w:szCs w:val="17"/>
          <w:color w:val="auto"/>
        </w:rPr>
        <w:t xml:space="preserve"> (General Development and Commercialization Responsibilities) and except as may otherwise be set forth in the Supply Agreement, in the event Regulatory Authorities allow [***], and Genoa determines that it would like to do so, it will notify PARI and the Parties will discuss [***] whether or not to Exploit the Product in such manner; provided, however, Genoa shall retain final decision-making authority with respect thereto.</w:t>
      </w:r>
    </w:p>
    <w:p>
      <w:pPr>
        <w:spacing w:after="0" w:line="14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Diligence Obligations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60" w:firstLine="752"/>
        <w:spacing w:after="0" w:line="239" w:lineRule="auto"/>
        <w:rPr>
          <w:sz w:val="20"/>
          <w:szCs w:val="20"/>
          <w:color w:val="auto"/>
        </w:rPr>
      </w:pPr>
      <w:r>
        <w:rPr>
          <w:rFonts w:ascii="Times New Roman" w:cs="Times New Roman" w:eastAsia="Times New Roman" w:hAnsi="Times New Roman"/>
          <w:sz w:val="17"/>
          <w:szCs w:val="17"/>
          <w:color w:val="auto"/>
        </w:rPr>
        <w:t xml:space="preserve">3.7.1 </w:t>
      </w:r>
      <w:r>
        <w:rPr>
          <w:rFonts w:ascii="Times New Roman" w:cs="Times New Roman" w:eastAsia="Times New Roman" w:hAnsi="Times New Roman"/>
          <w:sz w:val="17"/>
          <w:szCs w:val="17"/>
          <w:u w:val="single" w:color="auto"/>
          <w:color w:val="auto"/>
        </w:rPr>
        <w:t>Commercially Reasonable Efforts</w:t>
      </w:r>
      <w:r>
        <w:rPr>
          <w:rFonts w:ascii="Times New Roman" w:cs="Times New Roman" w:eastAsia="Times New Roman" w:hAnsi="Times New Roman"/>
          <w:sz w:val="17"/>
          <w:szCs w:val="17"/>
          <w:color w:val="auto"/>
        </w:rPr>
        <w:t>. Genoa shall, and shall cause its Permitted Sublicensees to, use Commercially Reasonable Efforts, at a minimum in [***], (i) to pursue the development of at least [***] Drug Product, (ii) to obtain Regulatory Approval for at least [***] Drug Product, and (iii) to commercialize at least [***] Drug Product, in all cases in the Field and for exclusive use with the Device. Notwithstanding the foregoing, with respect to [***], Genoa’s achievement, by itself or through its Affiliates or Permitted Sublicensees, of the following diligence milestones with respect to the Drug Product(s) shall be deemed sufficient to satisfy the requirement to use Commercially Reasonable Efforts under (i) and (ii) above:</w:t>
      </w:r>
    </w:p>
    <w:p>
      <w:pPr>
        <w:spacing w:after="0" w:line="14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60"/>
        <w:spacing w:after="0" w:line="241" w:lineRule="auto"/>
        <w:rPr>
          <w:sz w:val="20"/>
          <w:szCs w:val="20"/>
          <w:color w:val="auto"/>
        </w:rPr>
      </w:pPr>
      <w:r>
        <w:rPr>
          <w:rFonts w:ascii="Times New Roman" w:cs="Times New Roman" w:eastAsia="Times New Roman" w:hAnsi="Times New Roman"/>
          <w:sz w:val="17"/>
          <w:szCs w:val="17"/>
          <w:color w:val="auto"/>
        </w:rPr>
        <w:t xml:space="preserve">The timelines set forth in </w:t>
      </w:r>
      <w:r>
        <w:rPr>
          <w:rFonts w:ascii="Times New Roman" w:cs="Times New Roman" w:eastAsia="Times New Roman" w:hAnsi="Times New Roman"/>
          <w:sz w:val="17"/>
          <w:szCs w:val="17"/>
          <w:u w:val="single" w:color="auto"/>
          <w:color w:val="auto"/>
        </w:rPr>
        <w:t>Sections 3.7.1(a) – (e)</w:t>
      </w:r>
      <w:r>
        <w:rPr>
          <w:rFonts w:ascii="Times New Roman" w:cs="Times New Roman" w:eastAsia="Times New Roman" w:hAnsi="Times New Roman"/>
          <w:sz w:val="17"/>
          <w:szCs w:val="17"/>
          <w:color w:val="auto"/>
        </w:rPr>
        <w:t xml:space="preserve"> above shall automatically be extended for a Drug Product if any delay in PARI’s performance under this Agreement is responsible for a failure to meet a diligence milestone for that Drug Product and such extension shall be equal to the length of the delay or if circumstances unexpectedly caused solely by Regulatory Authorities are responsible for a failure to meet a diligence milestone for that Drug Product the Committee will discuss the situation in good faith.</w:t>
      </w:r>
    </w:p>
    <w:p>
      <w:pPr>
        <w:spacing w:after="0" w:line="140" w:lineRule="exact"/>
        <w:rPr>
          <w:sz w:val="20"/>
          <w:szCs w:val="20"/>
          <w:color w:val="auto"/>
        </w:rPr>
      </w:pPr>
    </w:p>
    <w:p>
      <w:pPr>
        <w:jc w:val="both"/>
        <w:ind w:left="760"/>
        <w:spacing w:after="0" w:line="259" w:lineRule="auto"/>
        <w:rPr>
          <w:sz w:val="20"/>
          <w:szCs w:val="20"/>
          <w:color w:val="auto"/>
        </w:rPr>
      </w:pPr>
      <w:r>
        <w:rPr>
          <w:rFonts w:ascii="Times New Roman" w:cs="Times New Roman" w:eastAsia="Times New Roman" w:hAnsi="Times New Roman"/>
          <w:sz w:val="17"/>
          <w:szCs w:val="17"/>
          <w:color w:val="auto"/>
        </w:rPr>
        <w:t>All Sublicense agreements shall contain diligence obligations consistent with the terms and conditions of this Agreement applicable to the countries and/or territories covered by such Sublicense.</w:t>
      </w:r>
    </w:p>
    <w:p>
      <w:pPr>
        <w:spacing w:after="0" w:line="125" w:lineRule="exact"/>
        <w:rPr>
          <w:sz w:val="20"/>
          <w:szCs w:val="20"/>
          <w:color w:val="auto"/>
        </w:rPr>
      </w:pPr>
    </w:p>
    <w:p>
      <w:pPr>
        <w:jc w:val="both"/>
        <w:ind w:left="760" w:firstLine="752"/>
        <w:spacing w:after="0" w:line="246" w:lineRule="auto"/>
        <w:rPr>
          <w:sz w:val="20"/>
          <w:szCs w:val="20"/>
          <w:color w:val="auto"/>
        </w:rPr>
      </w:pPr>
      <w:r>
        <w:rPr>
          <w:rFonts w:ascii="Times New Roman" w:cs="Times New Roman" w:eastAsia="Times New Roman" w:hAnsi="Times New Roman"/>
          <w:sz w:val="17"/>
          <w:szCs w:val="17"/>
          <w:color w:val="auto"/>
        </w:rPr>
        <w:t xml:space="preserve">3.7.2 </w:t>
      </w:r>
      <w:r>
        <w:rPr>
          <w:rFonts w:ascii="Times New Roman" w:cs="Times New Roman" w:eastAsia="Times New Roman" w:hAnsi="Times New Roman"/>
          <w:sz w:val="17"/>
          <w:szCs w:val="17"/>
          <w:u w:val="single" w:color="auto"/>
          <w:color w:val="auto"/>
        </w:rPr>
        <w:t>Reports</w:t>
      </w:r>
      <w:r>
        <w:rPr>
          <w:rFonts w:ascii="Times New Roman" w:cs="Times New Roman" w:eastAsia="Times New Roman" w:hAnsi="Times New Roman"/>
          <w:sz w:val="17"/>
          <w:szCs w:val="17"/>
          <w:color w:val="auto"/>
        </w:rPr>
        <w:t>. Unless otherwise determined by the Committee Genoa shall provide PARI, at least [***] through the Committee, with reports of the progress of its development of the Drug Product(s), including interactions with Regulatory Authorities and plans for the development and commercialization of the Drug Product(s) in the [***].</w:t>
      </w:r>
    </w:p>
    <w:p>
      <w:pPr>
        <w:spacing w:after="0" w:line="135" w:lineRule="exact"/>
        <w:rPr>
          <w:sz w:val="20"/>
          <w:szCs w:val="20"/>
          <w:color w:val="auto"/>
        </w:rPr>
      </w:pPr>
    </w:p>
    <w:p>
      <w:pPr>
        <w:jc w:val="both"/>
        <w:ind w:left="760" w:firstLine="752"/>
        <w:spacing w:after="0" w:line="241" w:lineRule="auto"/>
        <w:rPr>
          <w:sz w:val="20"/>
          <w:szCs w:val="20"/>
          <w:color w:val="auto"/>
        </w:rPr>
      </w:pPr>
      <w:r>
        <w:rPr>
          <w:rFonts w:ascii="Times New Roman" w:cs="Times New Roman" w:eastAsia="Times New Roman" w:hAnsi="Times New Roman"/>
          <w:sz w:val="17"/>
          <w:szCs w:val="17"/>
          <w:color w:val="auto"/>
        </w:rPr>
        <w:t xml:space="preserve">3.7.3 </w:t>
      </w:r>
      <w:r>
        <w:rPr>
          <w:rFonts w:ascii="Times New Roman" w:cs="Times New Roman" w:eastAsia="Times New Roman" w:hAnsi="Times New Roman"/>
          <w:sz w:val="17"/>
          <w:szCs w:val="17"/>
          <w:u w:val="single" w:color="auto"/>
          <w:color w:val="auto"/>
        </w:rPr>
        <w:t>Permitted Sublicensees</w:t>
      </w:r>
      <w:r>
        <w:rPr>
          <w:rFonts w:ascii="Times New Roman" w:cs="Times New Roman" w:eastAsia="Times New Roman" w:hAnsi="Times New Roman"/>
          <w:sz w:val="17"/>
          <w:szCs w:val="17"/>
          <w:color w:val="auto"/>
        </w:rPr>
        <w:t xml:space="preserve">. For clarity, it is understood that the obligation to use Commercially Reasonable Efforts as set forth in this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shall apply to any Permitted Sublicensees of Genoa, and Genoa shall obtain reports and plans from such Permitted Sublicensees with respect thereto and Genoa shall share such reports and plans with PARI at least [***] through the Committee in the same manner as for reports and plans of its own development. This </w:t>
      </w:r>
      <w:r>
        <w:rPr>
          <w:rFonts w:ascii="Times New Roman" w:cs="Times New Roman" w:eastAsia="Times New Roman" w:hAnsi="Times New Roman"/>
          <w:sz w:val="17"/>
          <w:szCs w:val="17"/>
          <w:u w:val="single" w:color="auto"/>
          <w:color w:val="auto"/>
        </w:rPr>
        <w:t>Section 3.7</w:t>
      </w:r>
      <w:r>
        <w:rPr>
          <w:rFonts w:ascii="Times New Roman" w:cs="Times New Roman" w:eastAsia="Times New Roman" w:hAnsi="Times New Roman"/>
          <w:sz w:val="17"/>
          <w:szCs w:val="17"/>
          <w:color w:val="auto"/>
        </w:rPr>
        <w:t xml:space="preserve"> shall also apply to any permitted successors or assigns of Genoa under this Agreement.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68" w:name="page569"/>
    <w:bookmarkEnd w:id="568"/>
    <w:p>
      <w:pPr>
        <w:jc w:val="both"/>
        <w:ind w:left="760" w:firstLine="752"/>
        <w:spacing w:after="0" w:line="246" w:lineRule="auto"/>
        <w:rPr>
          <w:sz w:val="20"/>
          <w:szCs w:val="20"/>
          <w:color w:val="auto"/>
        </w:rPr>
      </w:pPr>
      <w:r>
        <w:rPr>
          <w:rFonts w:ascii="Times New Roman" w:cs="Times New Roman" w:eastAsia="Times New Roman" w:hAnsi="Times New Roman"/>
          <w:sz w:val="17"/>
          <w:szCs w:val="17"/>
          <w:color w:val="auto"/>
        </w:rPr>
        <w:t xml:space="preserve">3.7.4 </w:t>
      </w:r>
      <w:r>
        <w:rPr>
          <w:rFonts w:ascii="Times New Roman" w:cs="Times New Roman" w:eastAsia="Times New Roman" w:hAnsi="Times New Roman"/>
          <w:sz w:val="17"/>
          <w:szCs w:val="17"/>
          <w:u w:val="single" w:color="auto"/>
          <w:color w:val="auto"/>
        </w:rPr>
        <w:t>Notice and Cure</w:t>
      </w:r>
      <w:r>
        <w:rPr>
          <w:rFonts w:ascii="Times New Roman" w:cs="Times New Roman" w:eastAsia="Times New Roman" w:hAnsi="Times New Roman"/>
          <w:sz w:val="17"/>
          <w:szCs w:val="17"/>
          <w:color w:val="auto"/>
        </w:rPr>
        <w:t>. In the event PARI believes Genoa or a Permitted Sublicensee, as applicable, has failed to use such Commercially Reasonable Efforts, PARI shall notify Genoa. Genoa shall have a [***] thereafter to resume, or cause the Permitted Sublicensee to resume, using such Commercially Reasonable Efforts.</w:t>
      </w:r>
    </w:p>
    <w:p>
      <w:pPr>
        <w:spacing w:after="0" w:line="135" w:lineRule="exact"/>
        <w:rPr>
          <w:sz w:val="20"/>
          <w:szCs w:val="20"/>
          <w:color w:val="auto"/>
        </w:rPr>
      </w:pPr>
    </w:p>
    <w:p>
      <w:pPr>
        <w:jc w:val="both"/>
        <w:ind w:left="760" w:firstLine="752"/>
        <w:spacing w:after="0" w:line="241" w:lineRule="auto"/>
        <w:rPr>
          <w:sz w:val="20"/>
          <w:szCs w:val="20"/>
          <w:color w:val="auto"/>
        </w:rPr>
      </w:pPr>
      <w:r>
        <w:rPr>
          <w:rFonts w:ascii="Times New Roman" w:cs="Times New Roman" w:eastAsia="Times New Roman" w:hAnsi="Times New Roman"/>
          <w:sz w:val="17"/>
          <w:szCs w:val="17"/>
          <w:color w:val="auto"/>
        </w:rPr>
        <w:t xml:space="preserve">3.7.5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If prior to the First Commercial Sale of any of the Drug Product(s), Genoa, an Affiliate, or Permitted Sublicensee makes a final determination to cease the development and/or commercialization of any of the Drug Product(s) hereunder, then Genoa shall provide prompt written notice to PARI confirming such final determination. In such event, PARI may elect to terminate this Agreement with respect to that Drug Product consistent with </w:t>
      </w:r>
      <w:r>
        <w:rPr>
          <w:rFonts w:ascii="Times New Roman" w:cs="Times New Roman" w:eastAsia="Times New Roman" w:hAnsi="Times New Roman"/>
          <w:sz w:val="17"/>
          <w:szCs w:val="17"/>
          <w:u w:val="single" w:color="auto"/>
          <w:color w:val="auto"/>
        </w:rPr>
        <w:t>Section 11.3.1 (Termination of Agreement by PARI)</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ind w:left="760" w:hanging="756"/>
        <w:spacing w:after="0"/>
        <w:tabs>
          <w:tab w:leader="none" w:pos="760" w:val="left"/>
        </w:tabs>
        <w:numPr>
          <w:ilvl w:val="0"/>
          <w:numId w:val="4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JOINT STEERING COMMITTEE</w:t>
      </w:r>
    </w:p>
    <w:p>
      <w:pPr>
        <w:spacing w:after="0" w:line="166"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Formation; General Authority</w:t>
      </w:r>
      <w:r>
        <w:rPr>
          <w:rFonts w:ascii="Times New Roman" w:cs="Times New Roman" w:eastAsia="Times New Roman" w:hAnsi="Times New Roman"/>
          <w:sz w:val="17"/>
          <w:szCs w:val="17"/>
          <w:color w:val="auto"/>
        </w:rPr>
        <w:t>. The Parties will establish a joint steering committee (“Committee”) to oversee the collaboration between the Parties under this Agreement. The Committee shall have only the powers expressly assigned to it under this Agreement. The Committee shall not have any power to amend, modify, or waive compliance with this Agreement.</w:t>
      </w:r>
    </w:p>
    <w:p>
      <w:pPr>
        <w:spacing w:after="0" w:line="13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Role of Committee</w:t>
      </w:r>
      <w:r>
        <w:rPr>
          <w:rFonts w:ascii="Times New Roman" w:cs="Times New Roman" w:eastAsia="Times New Roman" w:hAnsi="Times New Roman"/>
          <w:sz w:val="17"/>
          <w:szCs w:val="17"/>
          <w:color w:val="auto"/>
        </w:rPr>
        <w:t>. The Committee will oversee the collaboration between the Parties under this Agreement. In particular, the Committee will:</w:t>
      </w:r>
    </w:p>
    <w:p>
      <w:pPr>
        <w:spacing w:after="0" w:line="162" w:lineRule="exact"/>
        <w:rPr>
          <w:sz w:val="20"/>
          <w:szCs w:val="20"/>
          <w:color w:val="auto"/>
        </w:rPr>
      </w:pPr>
    </w:p>
    <w:p>
      <w:pPr>
        <w:ind w:left="1500" w:hanging="744"/>
        <w:spacing w:after="0"/>
        <w:tabs>
          <w:tab w:leader="none" w:pos="150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facilitate the exchange of information between the Parties and keep both Parties informed of any material issues under this Agreement;</w:t>
      </w:r>
    </w:p>
    <w:p>
      <w:pPr>
        <w:spacing w:after="0" w:line="161" w:lineRule="exact"/>
        <w:rPr>
          <w:rFonts w:ascii="Times New Roman" w:cs="Times New Roman" w:eastAsia="Times New Roman" w:hAnsi="Times New Roman"/>
          <w:sz w:val="17"/>
          <w:szCs w:val="17"/>
          <w:color w:val="auto"/>
        </w:rPr>
      </w:pPr>
    </w:p>
    <w:p>
      <w:pPr>
        <w:ind w:left="1500" w:hanging="744"/>
        <w:spacing w:after="0"/>
        <w:tabs>
          <w:tab w:leader="none" w:pos="150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the progress of the Parties’ respective activities under this Agreement;</w:t>
      </w:r>
    </w:p>
    <w:p>
      <w:pPr>
        <w:spacing w:after="0" w:line="161" w:lineRule="exact"/>
        <w:rPr>
          <w:rFonts w:ascii="Times New Roman" w:cs="Times New Roman" w:eastAsia="Times New Roman" w:hAnsi="Times New Roman"/>
          <w:sz w:val="17"/>
          <w:szCs w:val="17"/>
          <w:color w:val="auto"/>
        </w:rPr>
      </w:pPr>
    </w:p>
    <w:p>
      <w:pPr>
        <w:ind w:left="1500" w:hanging="744"/>
        <w:spacing w:after="0" w:line="259" w:lineRule="auto"/>
        <w:tabs>
          <w:tab w:leader="none" w:pos="150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discuss [***] (unless otherwise determined by the Committee) reports of Genoa’s progress regarding the development of the Drug Product(s);</w:t>
      </w:r>
    </w:p>
    <w:p>
      <w:pPr>
        <w:spacing w:after="0" w:line="124" w:lineRule="exact"/>
        <w:rPr>
          <w:rFonts w:ascii="Times New Roman" w:cs="Times New Roman" w:eastAsia="Times New Roman" w:hAnsi="Times New Roman"/>
          <w:sz w:val="17"/>
          <w:szCs w:val="17"/>
          <w:color w:val="auto"/>
        </w:rPr>
      </w:pPr>
    </w:p>
    <w:p>
      <w:pPr>
        <w:ind w:left="1500" w:hanging="744"/>
        <w:spacing w:after="0"/>
        <w:tabs>
          <w:tab w:leader="none" w:pos="150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review progress under and prepare Development Work Plans pursuant to </w:t>
      </w:r>
      <w:r>
        <w:rPr>
          <w:rFonts w:ascii="Times New Roman" w:cs="Times New Roman" w:eastAsia="Times New Roman" w:hAnsi="Times New Roman"/>
          <w:sz w:val="17"/>
          <w:szCs w:val="17"/>
          <w:u w:val="single" w:color="auto"/>
          <w:color w:val="auto"/>
        </w:rPr>
        <w:t>Section 3 (Development and Commercialization Matters)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1500" w:hanging="744"/>
        <w:spacing w:after="0"/>
        <w:tabs>
          <w:tab w:leader="none" w:pos="150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the terms and conditions herein, coordinate regulatory filings; and</w:t>
      </w:r>
    </w:p>
    <w:p>
      <w:pPr>
        <w:spacing w:after="0" w:line="161" w:lineRule="exact"/>
        <w:rPr>
          <w:rFonts w:ascii="Times New Roman" w:cs="Times New Roman" w:eastAsia="Times New Roman" w:hAnsi="Times New Roman"/>
          <w:sz w:val="17"/>
          <w:szCs w:val="17"/>
          <w:color w:val="auto"/>
        </w:rPr>
      </w:pPr>
    </w:p>
    <w:p>
      <w:pPr>
        <w:ind w:left="1500" w:hanging="744"/>
        <w:spacing w:after="0"/>
        <w:tabs>
          <w:tab w:leader="none" w:pos="1500" w:val="left"/>
        </w:tabs>
        <w:numPr>
          <w:ilvl w:val="0"/>
          <w:numId w:val="5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such other functions as appropriate to further the purposes of this Agreement.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69" w:name="page570"/>
    <w:bookmarkEnd w:id="569"/>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Composition</w:t>
      </w:r>
      <w:r>
        <w:rPr>
          <w:rFonts w:ascii="Times New Roman" w:cs="Times New Roman" w:eastAsia="Times New Roman" w:hAnsi="Times New Roman"/>
          <w:sz w:val="17"/>
          <w:szCs w:val="17"/>
          <w:color w:val="auto"/>
        </w:rPr>
        <w:t>. The Committee will consist of up to [***] representatives officially designated by each Party. The Committee may change its size from time to time by mutual consent of its members; provided, 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the Committee shall at all times consist of an equal number of representatives from each Party. Each Party may change its Committee representative(s) upon written notice to the other Party.</w:t>
      </w:r>
    </w:p>
    <w:p>
      <w:pPr>
        <w:spacing w:after="0" w:line="13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Chair</w:t>
      </w:r>
      <w:r>
        <w:rPr>
          <w:rFonts w:ascii="Times New Roman" w:cs="Times New Roman" w:eastAsia="Times New Roman" w:hAnsi="Times New Roman"/>
          <w:sz w:val="17"/>
          <w:szCs w:val="17"/>
          <w:color w:val="auto"/>
        </w:rPr>
        <w:t>. The Committee will be chaired by a representative of Genoa. The role of the chairperson shall be to convene and preside at meetings of the Committee, but the chairperson shall have no additional powers or rights beyond those held by the other Committee representatives.</w:t>
      </w:r>
    </w:p>
    <w:p>
      <w:pPr>
        <w:spacing w:after="0" w:line="125" w:lineRule="exact"/>
        <w:rPr>
          <w:sz w:val="20"/>
          <w:szCs w:val="20"/>
          <w:color w:val="auto"/>
        </w:rPr>
      </w:pPr>
    </w:p>
    <w:p>
      <w:pPr>
        <w:jc w:val="both"/>
        <w:ind w:firstLine="752"/>
        <w:spacing w:after="0" w:line="236"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Meetings</w:t>
      </w:r>
      <w:r>
        <w:rPr>
          <w:rFonts w:ascii="Times New Roman" w:cs="Times New Roman" w:eastAsia="Times New Roman" w:hAnsi="Times New Roman"/>
          <w:sz w:val="17"/>
          <w:szCs w:val="17"/>
          <w:color w:val="auto"/>
        </w:rPr>
        <w:t>. The Committee shall hold telephone conferences or meet in person at least [***], unless the Parties mutually agree in writing to a different frequency for such meetings. In addition, in the event a Party reasonably believes that a significant matter must be addressed prior to the next scheduled meeting either Party may also call a special meeting of the Committee by providing at least [***] prior written notice to the other Party. Meetings of the Committee shall be effective only if at least [***] representative of each Party is present or participating in such meeting. Each Party will bear its own expenses relating to the meetings and activities of the Committee. Subject to the approval of the Committee, which shall not be unreasonably withheld, each Party may request the attendance of subject matter experts, who may or may not be employees of either Party, at Committee meetings as non-voting, unofficial, ad-hoc members; provided, however</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any such subject matter expert who is not an employee of a Party enters into a confidentiality agreement with the Parties obligating such subject matter expert to retain all information disclosed to it during Committee meetings in confidence in accordance with the provisions set forth in </w:t>
      </w:r>
      <w:r>
        <w:rPr>
          <w:rFonts w:ascii="Times New Roman" w:cs="Times New Roman" w:eastAsia="Times New Roman" w:hAnsi="Times New Roman"/>
          <w:sz w:val="17"/>
          <w:szCs w:val="17"/>
          <w:u w:val="single" w:color="auto"/>
          <w:color w:val="auto"/>
        </w:rPr>
        <w:t>Section 7 (Confidential Information)</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Operation</w:t>
      </w:r>
      <w:r>
        <w:rPr>
          <w:rFonts w:ascii="Times New Roman" w:cs="Times New Roman" w:eastAsia="Times New Roman" w:hAnsi="Times New Roman"/>
          <w:sz w:val="17"/>
          <w:szCs w:val="17"/>
          <w:color w:val="auto"/>
        </w:rPr>
        <w:t xml:space="preserve">. Each official member of the Committee will have one (1) vote. Except as otherwise provided herein, Committee decisions will be made by unanimous vote. If a Committee member is unable to participate in a meeting, such Committee member may delegate his/her voting powers to a delegate from the applicable Party. In the event the Parties’ representatives on the Committee are unable to come to a consensus regarding the Drug Product(s), Genoa shall have the right to make the final decision regarding such matters, and all other matters will be handled in accordance with </w:t>
      </w:r>
      <w:r>
        <w:rPr>
          <w:rFonts w:ascii="Times New Roman" w:cs="Times New Roman" w:eastAsia="Times New Roman" w:hAnsi="Times New Roman"/>
          <w:sz w:val="17"/>
          <w:szCs w:val="17"/>
          <w:u w:val="single" w:color="auto"/>
          <w:color w:val="auto"/>
        </w:rPr>
        <w:t>Section 13 (Dispute Resolution)</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Minutes</w:t>
      </w:r>
      <w:r>
        <w:rPr>
          <w:rFonts w:ascii="Times New Roman" w:cs="Times New Roman" w:eastAsia="Times New Roman" w:hAnsi="Times New Roman"/>
          <w:sz w:val="17"/>
          <w:szCs w:val="17"/>
          <w:color w:val="auto"/>
        </w:rPr>
        <w:t>. Within [***] following each Committee meeting, the chairperson shall prepare and deliver to the members of the Committee the minutes of such meeting for review and approval by both Parties. The minutes shall reflect, without limitation, all material decisions made at such meetings. Such minutes will be deemed approved unless one or more members of the Committee object to the accuracy of such minutes within [***] of receipt thereof.</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70" w:name="page571"/>
    <w:bookmarkEnd w:id="570"/>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Alternative Device</w:t>
      </w:r>
      <w:r>
        <w:rPr>
          <w:rFonts w:ascii="Times New Roman" w:cs="Times New Roman" w:eastAsia="Times New Roman" w:hAnsi="Times New Roman"/>
          <w:sz w:val="17"/>
          <w:szCs w:val="17"/>
          <w:color w:val="auto"/>
        </w:rPr>
        <w:t xml:space="preserve">. In the event Genoa, following the First Commercial Sale in the first Major Market, decides to no longer exclusively use the Device but instead uses an alternative device, either alone or in addition to the Device, then, in Genoa’s discretion, Genoa shall either (x) continue to pay Royalties and Annual Minimum Royalties, or (y) terminate this Agreement and the License pursuant to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and remit a [***] payment to PARI within [***] of the amount corresponding to the time of such termination as set forth below (the “Compensatory Payment Amount”):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373"/>
        </w:trPr>
        <w:tc>
          <w:tcPr>
            <w:tcW w:w="880" w:type="dxa"/>
            <w:vAlign w:val="bottom"/>
            <w:tcBorders>
              <w:right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020" w:type="dxa"/>
            <w:vAlign w:val="bottom"/>
            <w:tcBorders>
              <w:top w:val="single" w:sz="8" w:color="auto"/>
              <w:right w:val="single" w:sz="8" w:color="auto"/>
            </w:tcBorders>
            <w:gridSpan w:val="9"/>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Point in time when Genoa terminates this Agreement according to</w:t>
            </w:r>
          </w:p>
        </w:tc>
        <w:tc>
          <w:tcPr>
            <w:tcW w:w="940" w:type="dxa"/>
            <w:vAlign w:val="bottom"/>
            <w:tcBorders>
              <w:top w:val="single" w:sz="8" w:color="auto"/>
            </w:tcBorders>
          </w:tcPr>
          <w:p>
            <w:pPr>
              <w:spacing w:after="0"/>
              <w:rPr>
                <w:sz w:val="24"/>
                <w:szCs w:val="24"/>
                <w:color w:val="auto"/>
              </w:rPr>
            </w:pPr>
          </w:p>
        </w:tc>
        <w:tc>
          <w:tcPr>
            <w:tcW w:w="2740" w:type="dxa"/>
            <w:vAlign w:val="bottom"/>
            <w:tcBorders>
              <w:top w:val="single" w:sz="8" w:color="auto"/>
              <w:right w:val="single" w:sz="8" w:color="auto"/>
            </w:tcBorders>
            <w:gridSpan w:val="2"/>
            <w:vMerge w:val="restart"/>
          </w:tcPr>
          <w:p>
            <w:pPr>
              <w:jc w:val="center"/>
              <w:ind w:right="1000"/>
              <w:spacing w:after="0"/>
              <w:rPr>
                <w:sz w:val="20"/>
                <w:szCs w:val="20"/>
                <w:color w:val="auto"/>
              </w:rPr>
            </w:pPr>
            <w:r>
              <w:rPr>
                <w:rFonts w:ascii="Times New Roman" w:cs="Times New Roman" w:eastAsia="Times New Roman" w:hAnsi="Times New Roman"/>
                <w:sz w:val="17"/>
                <w:szCs w:val="17"/>
                <w:b w:val="1"/>
                <w:bCs w:val="1"/>
                <w:color w:val="auto"/>
                <w:w w:val="99"/>
              </w:rPr>
              <w:t>Compensatory Payment</w:t>
            </w: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40" w:type="dxa"/>
            <w:vAlign w:val="bottom"/>
            <w:vMerge w:val="restart"/>
          </w:tcPr>
          <w:p>
            <w:pPr>
              <w:spacing w:after="0" w:line="20" w:lineRule="exact"/>
              <w:rPr>
                <w:sz w:val="1"/>
                <w:szCs w:val="1"/>
                <w:color w:val="auto"/>
              </w:rPr>
            </w:pPr>
          </w:p>
        </w:tc>
        <w:tc>
          <w:tcPr>
            <w:tcW w:w="2740" w:type="dxa"/>
            <w:vAlign w:val="bottom"/>
            <w:tcBorders>
              <w:right w:val="single" w:sz="8" w:color="auto"/>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8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060" w:type="dxa"/>
            <w:vAlign w:val="bottom"/>
            <w:tcBorders>
              <w:right w:val="single" w:sz="8" w:color="auto"/>
            </w:tcBorders>
            <w:gridSpan w:val="7"/>
            <w:vMerge w:val="restart"/>
          </w:tcPr>
          <w:p>
            <w:pPr>
              <w:jc w:val="center"/>
              <w:ind w:right="2200"/>
              <w:spacing w:after="0" w:line="169" w:lineRule="exact"/>
              <w:rPr>
                <w:sz w:val="20"/>
                <w:szCs w:val="20"/>
                <w:color w:val="auto"/>
              </w:rPr>
            </w:pPr>
            <w:r>
              <w:rPr>
                <w:rFonts w:ascii="Times New Roman" w:cs="Times New Roman" w:eastAsia="Times New Roman" w:hAnsi="Times New Roman"/>
                <w:sz w:val="17"/>
                <w:szCs w:val="17"/>
                <w:b w:val="1"/>
                <w:bCs w:val="1"/>
                <w:color w:val="auto"/>
                <w:w w:val="98"/>
              </w:rPr>
              <w:t>Section 11.4</w:t>
            </w:r>
          </w:p>
        </w:tc>
        <w:tc>
          <w:tcPr>
            <w:tcW w:w="940" w:type="dxa"/>
            <w:vAlign w:val="bottom"/>
            <w:vMerge w:val="continue"/>
          </w:tcPr>
          <w:p>
            <w:pPr>
              <w:spacing w:after="0"/>
              <w:rPr>
                <w:sz w:val="6"/>
                <w:szCs w:val="6"/>
                <w:color w:val="auto"/>
              </w:rPr>
            </w:pPr>
          </w:p>
        </w:tc>
        <w:tc>
          <w:tcPr>
            <w:tcW w:w="2740" w:type="dxa"/>
            <w:vAlign w:val="bottom"/>
            <w:tcBorders>
              <w:right w:val="single" w:sz="8" w:color="auto"/>
            </w:tcBorders>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5"/>
        </w:trPr>
        <w:tc>
          <w:tcPr>
            <w:tcW w:w="880" w:type="dxa"/>
            <w:vAlign w:val="bottom"/>
            <w:tcBorders>
              <w:right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3060" w:type="dxa"/>
            <w:vAlign w:val="bottom"/>
            <w:tcBorders>
              <w:right w:val="single" w:sz="8" w:color="auto"/>
            </w:tcBorders>
            <w:gridSpan w:val="7"/>
            <w:vMerge w:val="continue"/>
          </w:tcPr>
          <w:p>
            <w:pPr>
              <w:spacing w:after="0"/>
              <w:rPr>
                <w:sz w:val="6"/>
                <w:szCs w:val="6"/>
                <w:color w:val="auto"/>
              </w:rPr>
            </w:pPr>
          </w:p>
        </w:tc>
        <w:tc>
          <w:tcPr>
            <w:tcW w:w="940" w:type="dxa"/>
            <w:vAlign w:val="bottom"/>
          </w:tcPr>
          <w:p>
            <w:pPr>
              <w:spacing w:after="0"/>
              <w:rPr>
                <w:sz w:val="6"/>
                <w:szCs w:val="6"/>
                <w:color w:val="auto"/>
              </w:rPr>
            </w:pPr>
          </w:p>
        </w:tc>
        <w:tc>
          <w:tcPr>
            <w:tcW w:w="1740" w:type="dxa"/>
            <w:vAlign w:val="bottom"/>
            <w:tcBorders>
              <w:top w:val="single" w:sz="8" w:color="auto"/>
            </w:tcBorders>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880" w:type="dxa"/>
            <w:vAlign w:val="bottom"/>
            <w:tcBorders>
              <w:right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880" w:type="dxa"/>
            <w:vAlign w:val="bottom"/>
            <w:tcBorders>
              <w:right w:val="single" w:sz="8" w:color="auto"/>
            </w:tcBorders>
          </w:tcPr>
          <w:p>
            <w:pPr>
              <w:spacing w:after="0"/>
              <w:rPr>
                <w:sz w:val="24"/>
                <w:szCs w:val="24"/>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80" w:type="dxa"/>
            <w:vAlign w:val="bottom"/>
            <w:tcBorders>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880" w:type="dxa"/>
            <w:vAlign w:val="bottom"/>
            <w:tcBorders>
              <w:right w:val="single" w:sz="8" w:color="auto"/>
            </w:tcBorders>
          </w:tcPr>
          <w:p>
            <w:pPr>
              <w:spacing w:after="0"/>
              <w:rPr>
                <w:sz w:val="24"/>
                <w:szCs w:val="24"/>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880" w:type="dxa"/>
            <w:vAlign w:val="bottom"/>
            <w:tcBorders>
              <w:right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960" w:type="dxa"/>
            <w:vAlign w:val="bottom"/>
            <w:tcBorders>
              <w:bottom w:val="single" w:sz="8" w:color="auto"/>
            </w:tcBorders>
          </w:tcPr>
          <w:p>
            <w:pPr>
              <w:spacing w:after="0"/>
              <w:rPr>
                <w:sz w:val="8"/>
                <w:szCs w:val="8"/>
                <w:color w:val="auto"/>
              </w:rPr>
            </w:pPr>
          </w:p>
        </w:tc>
        <w:tc>
          <w:tcPr>
            <w:tcW w:w="240" w:type="dxa"/>
            <w:vAlign w:val="bottom"/>
            <w:tcBorders>
              <w:bottom w:val="single" w:sz="8" w:color="auto"/>
              <w:right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740" w:type="dxa"/>
            <w:vAlign w:val="bottom"/>
            <w:tcBorders>
              <w:bottom w:val="single" w:sz="8" w:color="auto"/>
            </w:tcBorders>
          </w:tcPr>
          <w:p>
            <w:pPr>
              <w:spacing w:after="0"/>
              <w:rPr>
                <w:sz w:val="8"/>
                <w:szCs w:val="8"/>
                <w:color w:val="auto"/>
              </w:rPr>
            </w:pPr>
          </w:p>
        </w:tc>
        <w:tc>
          <w:tcPr>
            <w:tcW w:w="10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880" w:type="dxa"/>
            <w:vAlign w:val="bottom"/>
            <w:tcBorders>
              <w:right w:val="single" w:sz="8" w:color="auto"/>
            </w:tcBorders>
          </w:tcPr>
          <w:p>
            <w:pPr>
              <w:spacing w:after="0"/>
              <w:rPr>
                <w:sz w:val="18"/>
                <w:szCs w:val="18"/>
                <w:color w:val="auto"/>
              </w:rPr>
            </w:pPr>
          </w:p>
        </w:tc>
        <w:tc>
          <w:tcPr>
            <w:tcW w:w="820" w:type="dxa"/>
            <w:vAlign w:val="bottom"/>
            <w:gridSpan w:val="2"/>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40" w:type="dxa"/>
            <w:vAlign w:val="bottom"/>
            <w:tcBorders>
              <w:right w:val="single" w:sz="8" w:color="auto"/>
            </w:tcBorders>
          </w:tcPr>
          <w:p>
            <w:pPr>
              <w:spacing w:after="0"/>
              <w:rPr>
                <w:sz w:val="18"/>
                <w:szCs w:val="18"/>
                <w:color w:val="auto"/>
              </w:rPr>
            </w:pPr>
          </w:p>
        </w:tc>
        <w:tc>
          <w:tcPr>
            <w:tcW w:w="2680" w:type="dxa"/>
            <w:vAlign w:val="bottom"/>
            <w:gridSpan w:val="2"/>
          </w:tcPr>
          <w:p>
            <w:pPr>
              <w:jc w:val="center"/>
              <w:ind w:left="8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880" w:type="dxa"/>
            <w:vAlign w:val="bottom"/>
            <w:tcBorders>
              <w:right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40" w:type="dxa"/>
            <w:vAlign w:val="bottom"/>
            <w:tcBorders>
              <w:bottom w:val="single" w:sz="8" w:color="auto"/>
              <w:right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7"/>
        </w:trPr>
        <w:tc>
          <w:tcPr>
            <w:tcW w:w="880" w:type="dxa"/>
            <w:vAlign w:val="bottom"/>
          </w:tcPr>
          <w:p>
            <w:pPr>
              <w:jc w:val="right"/>
              <w:ind w:right="656"/>
              <w:spacing w:after="0"/>
              <w:rPr>
                <w:sz w:val="20"/>
                <w:szCs w:val="20"/>
                <w:color w:val="auto"/>
              </w:rPr>
            </w:pPr>
            <w:r>
              <w:rPr>
                <w:rFonts w:ascii="Times New Roman" w:cs="Times New Roman" w:eastAsia="Times New Roman" w:hAnsi="Times New Roman"/>
                <w:sz w:val="17"/>
                <w:szCs w:val="17"/>
                <w:b w:val="1"/>
                <w:bCs w:val="1"/>
                <w:color w:val="auto"/>
                <w:w w:val="93"/>
              </w:rPr>
              <w:t>5.</w:t>
            </w:r>
          </w:p>
        </w:tc>
        <w:tc>
          <w:tcPr>
            <w:tcW w:w="5180" w:type="dxa"/>
            <w:vAlign w:val="bottom"/>
            <w:gridSpan w:val="10"/>
          </w:tcPr>
          <w:p>
            <w:pPr>
              <w:spacing w:after="0"/>
              <w:rPr>
                <w:sz w:val="20"/>
                <w:szCs w:val="20"/>
                <w:color w:val="auto"/>
              </w:rPr>
            </w:pPr>
            <w:r>
              <w:rPr>
                <w:rFonts w:ascii="Times New Roman" w:cs="Times New Roman" w:eastAsia="Times New Roman" w:hAnsi="Times New Roman"/>
                <w:sz w:val="17"/>
                <w:szCs w:val="17"/>
                <w:b w:val="1"/>
                <w:bCs w:val="1"/>
                <w:color w:val="auto"/>
              </w:rPr>
              <w:t>PAYMENTS</w:t>
            </w:r>
            <w:r>
              <w:rPr>
                <w:rFonts w:ascii="Times New Roman" w:cs="Times New Roman" w:eastAsia="Times New Roman" w:hAnsi="Times New Roman"/>
                <w:sz w:val="17"/>
                <w:szCs w:val="17"/>
                <w:color w:val="auto"/>
              </w:rPr>
              <w:t>.</w:t>
            </w:r>
          </w:p>
        </w:tc>
        <w:tc>
          <w:tcPr>
            <w:tcW w:w="9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8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firstLine="752"/>
        <w:spacing w:after="0" w:line="259"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Initial Payments</w:t>
      </w:r>
      <w:r>
        <w:rPr>
          <w:rFonts w:ascii="Times New Roman" w:cs="Times New Roman" w:eastAsia="Times New Roman" w:hAnsi="Times New Roman"/>
          <w:sz w:val="17"/>
          <w:szCs w:val="17"/>
          <w:color w:val="auto"/>
        </w:rPr>
        <w:t>. Genoa shall pay to PARI a non-refundable up-front payment of Four Hundred Thousand Euros (€400,000) within [***] after the Effective Date (the “Initial Payment Amount”).</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71" w:name="page572"/>
    <w:bookmarkEnd w:id="571"/>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Milestone Payments</w:t>
      </w:r>
      <w:r>
        <w:rPr>
          <w:rFonts w:ascii="Times New Roman" w:cs="Times New Roman" w:eastAsia="Times New Roman" w:hAnsi="Times New Roman"/>
          <w:sz w:val="17"/>
          <w:szCs w:val="17"/>
          <w:color w:val="auto"/>
        </w:rPr>
        <w:t>. In partial consideration of the License granted under this Agreement and subject to the terms and conditions of this Agreement, Genoa (or a designated Genoa Affiliate or Permitted Sublicensee) shall make the following payments to PARI subject to the occurrence of the corresponding milestone events specified below with respect to the Drug Product(s):</w:t>
      </w:r>
    </w:p>
    <w:p>
      <w:pPr>
        <w:spacing w:after="0" w:line="131" w:lineRule="exact"/>
        <w:rPr>
          <w:sz w:val="20"/>
          <w:szCs w:val="20"/>
          <w:color w:val="auto"/>
        </w:rPr>
      </w:pPr>
    </w:p>
    <w:tbl>
      <w:tblPr>
        <w:tblLayout w:type="fixed"/>
        <w:tblInd w:w="850" w:type="dxa"/>
        <w:tblCellMar>
          <w:top w:w="0" w:type="dxa"/>
          <w:left w:w="0" w:type="dxa"/>
          <w:bottom w:w="0" w:type="dxa"/>
          <w:right w:w="0" w:type="dxa"/>
        </w:tblCellMar>
      </w:tblPr>
      <w:tr>
        <w:trPr>
          <w:trHeight w:val="173"/>
        </w:trPr>
        <w:tc>
          <w:tcPr>
            <w:tcW w:w="4480" w:type="dxa"/>
            <w:vAlign w:val="bottom"/>
            <w:tcBorders>
              <w:top w:val="single" w:sz="8" w:color="auto"/>
              <w:left w:val="single" w:sz="8" w:color="auto"/>
              <w:right w:val="single" w:sz="8" w:color="auto"/>
            </w:tcBorders>
            <w:gridSpan w:val="3"/>
            <w:vMerge w:val="restart"/>
          </w:tcPr>
          <w:p>
            <w:pPr>
              <w:ind w:left="1900"/>
              <w:spacing w:after="0"/>
              <w:rPr>
                <w:sz w:val="20"/>
                <w:szCs w:val="20"/>
                <w:color w:val="auto"/>
              </w:rPr>
            </w:pPr>
            <w:r>
              <w:rPr>
                <w:rFonts w:ascii="Times New Roman" w:cs="Times New Roman" w:eastAsia="Times New Roman" w:hAnsi="Times New Roman"/>
                <w:sz w:val="17"/>
                <w:szCs w:val="17"/>
                <w:b w:val="1"/>
                <w:bCs w:val="1"/>
                <w:color w:val="auto"/>
              </w:rPr>
              <w:t>Milestone</w:t>
            </w:r>
          </w:p>
        </w:tc>
        <w:tc>
          <w:tcPr>
            <w:tcW w:w="200" w:type="dxa"/>
            <w:vAlign w:val="bottom"/>
            <w:tcBorders>
              <w:top w:val="single" w:sz="8" w:color="auto"/>
            </w:tcBorders>
          </w:tcPr>
          <w:p>
            <w:pPr>
              <w:spacing w:after="0"/>
              <w:rPr>
                <w:sz w:val="15"/>
                <w:szCs w:val="15"/>
                <w:color w:val="auto"/>
              </w:rPr>
            </w:pPr>
          </w:p>
        </w:tc>
        <w:tc>
          <w:tcPr>
            <w:tcW w:w="2740" w:type="dxa"/>
            <w:vAlign w:val="bottom"/>
            <w:tcBorders>
              <w:top w:val="single" w:sz="8" w:color="auto"/>
              <w:right w:val="single" w:sz="8" w:color="auto"/>
            </w:tcBorders>
            <w:gridSpan w:val="7"/>
          </w:tcPr>
          <w:p>
            <w:pPr>
              <w:jc w:val="center"/>
              <w:ind w:right="2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Payment for the eFlow Technology</w:t>
            </w:r>
          </w:p>
        </w:tc>
        <w:tc>
          <w:tcPr>
            <w:tcW w:w="2860" w:type="dxa"/>
            <w:vAlign w:val="bottom"/>
            <w:tcBorders>
              <w:top w:val="single" w:sz="8" w:color="auto"/>
              <w:right w:val="single" w:sz="8" w:color="auto"/>
            </w:tcBorders>
            <w:gridSpan w:val="5"/>
          </w:tcPr>
          <w:p>
            <w:pPr>
              <w:jc w:val="center"/>
              <w:ind w:right="40"/>
              <w:spacing w:after="0" w:line="173" w:lineRule="exact"/>
              <w:rPr>
                <w:sz w:val="20"/>
                <w:szCs w:val="20"/>
                <w:color w:val="auto"/>
              </w:rPr>
            </w:pPr>
            <w:r>
              <w:rPr>
                <w:rFonts w:ascii="Times New Roman" w:cs="Times New Roman" w:eastAsia="Times New Roman" w:hAnsi="Times New Roman"/>
                <w:sz w:val="17"/>
                <w:szCs w:val="17"/>
                <w:b w:val="1"/>
                <w:bCs w:val="1"/>
                <w:color w:val="auto"/>
                <w:w w:val="98"/>
              </w:rPr>
              <w:t>Payment for the CS Device used with</w:t>
            </w:r>
          </w:p>
        </w:tc>
        <w:tc>
          <w:tcPr>
            <w:tcW w:w="0" w:type="dxa"/>
            <w:vAlign w:val="bottom"/>
          </w:tcPr>
          <w:p>
            <w:pPr>
              <w:spacing w:after="0"/>
              <w:rPr>
                <w:sz w:val="1"/>
                <w:szCs w:val="1"/>
                <w:color w:val="auto"/>
              </w:rPr>
            </w:pPr>
          </w:p>
        </w:tc>
      </w:tr>
      <w:tr>
        <w:trPr>
          <w:trHeight w:val="20"/>
        </w:trPr>
        <w:tc>
          <w:tcPr>
            <w:tcW w:w="4480" w:type="dxa"/>
            <w:vAlign w:val="bottom"/>
            <w:tcBorders>
              <w:left w:val="single" w:sz="8" w:color="auto"/>
              <w:right w:val="single" w:sz="8" w:color="auto"/>
            </w:tcBorders>
            <w:gridSpan w:val="3"/>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480" w:type="dxa"/>
            <w:vAlign w:val="bottom"/>
            <w:tcBorders>
              <w:left w:val="single" w:sz="8" w:color="auto"/>
              <w:right w:val="single" w:sz="8" w:color="auto"/>
            </w:tcBorders>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spacing w:after="0" w:line="169" w:lineRule="exact"/>
              <w:rPr>
                <w:sz w:val="20"/>
                <w:szCs w:val="20"/>
                <w:color w:val="auto"/>
              </w:rPr>
            </w:pPr>
            <w:r>
              <w:rPr>
                <w:rFonts w:ascii="Times New Roman" w:cs="Times New Roman" w:eastAsia="Times New Roman" w:hAnsi="Times New Roman"/>
                <w:sz w:val="17"/>
                <w:szCs w:val="17"/>
                <w:b w:val="1"/>
                <w:bCs w:val="1"/>
                <w:color w:val="auto"/>
              </w:rPr>
              <w:t>Nebulizer used</w:t>
            </w:r>
          </w:p>
        </w:tc>
        <w:tc>
          <w:tcPr>
            <w:tcW w:w="1360" w:type="dxa"/>
            <w:vAlign w:val="bottom"/>
            <w:gridSpan w:val="4"/>
          </w:tcPr>
          <w:p>
            <w:pPr>
              <w:spacing w:after="0" w:line="169" w:lineRule="exact"/>
              <w:rPr>
                <w:sz w:val="20"/>
                <w:szCs w:val="20"/>
                <w:color w:val="auto"/>
              </w:rPr>
            </w:pPr>
            <w:r>
              <w:rPr>
                <w:rFonts w:ascii="Times New Roman" w:cs="Times New Roman" w:eastAsia="Times New Roman" w:hAnsi="Times New Roman"/>
                <w:sz w:val="17"/>
                <w:szCs w:val="17"/>
                <w:b w:val="1"/>
                <w:bCs w:val="1"/>
                <w:color w:val="auto"/>
                <w:w w:val="93"/>
              </w:rPr>
              <w:t>with Drug Products</w:t>
            </w:r>
          </w:p>
        </w:tc>
        <w:tc>
          <w:tcPr>
            <w:tcW w:w="2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Borders>
              <w:right w:val="single" w:sz="8" w:color="auto"/>
            </w:tcBorders>
            <w:gridSpan w:val="4"/>
          </w:tcPr>
          <w:p>
            <w:pPr>
              <w:jc w:val="center"/>
              <w:ind w:right="120"/>
              <w:spacing w:after="0" w:line="169" w:lineRule="exact"/>
              <w:rPr>
                <w:sz w:val="20"/>
                <w:szCs w:val="20"/>
                <w:color w:val="auto"/>
              </w:rPr>
            </w:pPr>
            <w:r>
              <w:rPr>
                <w:rFonts w:ascii="Times New Roman" w:cs="Times New Roman" w:eastAsia="Times New Roman" w:hAnsi="Times New Roman"/>
                <w:sz w:val="17"/>
                <w:szCs w:val="17"/>
                <w:b w:val="1"/>
                <w:bCs w:val="1"/>
                <w:color w:val="auto"/>
                <w:w w:val="98"/>
              </w:rPr>
              <w:t>Drug Products</w:t>
            </w:r>
          </w:p>
        </w:tc>
        <w:tc>
          <w:tcPr>
            <w:tcW w:w="0" w:type="dxa"/>
            <w:vAlign w:val="bottom"/>
          </w:tcPr>
          <w:p>
            <w:pPr>
              <w:spacing w:after="0"/>
              <w:rPr>
                <w:sz w:val="1"/>
                <w:szCs w:val="1"/>
                <w:color w:val="auto"/>
              </w:rPr>
            </w:pPr>
          </w:p>
        </w:tc>
      </w:tr>
      <w:tr>
        <w:trPr>
          <w:trHeight w:val="215"/>
        </w:trPr>
        <w:tc>
          <w:tcPr>
            <w:tcW w:w="1900" w:type="dxa"/>
            <w:vAlign w:val="bottom"/>
            <w:tcBorders>
              <w:left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1900" w:type="dxa"/>
            <w:vAlign w:val="bottom"/>
          </w:tcPr>
          <w:p>
            <w:pPr>
              <w:jc w:val="right"/>
              <w:ind w:right="1356"/>
              <w:spacing w:after="0" w:line="178" w:lineRule="exact"/>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5"/>
                <w:szCs w:val="15"/>
                <w:color w:val="auto"/>
              </w:rPr>
            </w:pPr>
          </w:p>
        </w:tc>
        <w:tc>
          <w:tcPr>
            <w:tcW w:w="1880" w:type="dxa"/>
            <w:vAlign w:val="bottom"/>
            <w:tcBorders>
              <w:right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tcBorders>
              <w:right w:val="single" w:sz="8" w:color="auto"/>
            </w:tcBorders>
            <w:gridSpan w:val="7"/>
          </w:tcPr>
          <w:p>
            <w:pPr>
              <w:jc w:val="center"/>
              <w:ind w:right="220"/>
              <w:spacing w:after="0" w:line="178" w:lineRule="exact"/>
              <w:rPr>
                <w:sz w:val="20"/>
                <w:szCs w:val="20"/>
                <w:color w:val="auto"/>
              </w:rPr>
            </w:pPr>
            <w:r>
              <w:rPr>
                <w:rFonts w:ascii="Times New Roman" w:cs="Times New Roman" w:eastAsia="Times New Roman" w:hAnsi="Times New Roman"/>
                <w:sz w:val="17"/>
                <w:szCs w:val="17"/>
                <w:color w:val="auto"/>
                <w:w w:val="96"/>
              </w:rPr>
              <w:t>€[***]</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80" w:type="dxa"/>
            <w:vAlign w:val="bottom"/>
            <w:tcBorders>
              <w:right w:val="single" w:sz="8" w:color="auto"/>
            </w:tcBorders>
            <w:gridSpan w:val="3"/>
          </w:tcPr>
          <w:p>
            <w:pPr>
              <w:jc w:val="center"/>
              <w:ind w:right="900"/>
              <w:spacing w:after="0" w:line="178" w:lineRule="exact"/>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135"/>
        </w:trPr>
        <w:tc>
          <w:tcPr>
            <w:tcW w:w="19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right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1900" w:type="dxa"/>
            <w:vAlign w:val="bottom"/>
          </w:tcPr>
          <w:p>
            <w:pPr>
              <w:jc w:val="right"/>
              <w:ind w:right="135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right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7"/>
                <w:szCs w:val="17"/>
                <w:color w:val="auto"/>
                <w:w w:val="96"/>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Borders>
              <w:right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140"/>
        </w:trPr>
        <w:tc>
          <w:tcPr>
            <w:tcW w:w="19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900" w:type="dxa"/>
            <w:vAlign w:val="bottom"/>
          </w:tcPr>
          <w:p>
            <w:pPr>
              <w:jc w:val="right"/>
              <w:ind w:right="135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right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7"/>
                <w:szCs w:val="17"/>
                <w:color w:val="auto"/>
                <w:w w:val="96"/>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Borders>
              <w:right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140"/>
        </w:trPr>
        <w:tc>
          <w:tcPr>
            <w:tcW w:w="19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1900" w:type="dxa"/>
            <w:vAlign w:val="bottom"/>
          </w:tcPr>
          <w:p>
            <w:pPr>
              <w:jc w:val="right"/>
              <w:ind w:right="1356"/>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8"/>
                <w:szCs w:val="18"/>
                <w:color w:val="auto"/>
              </w:rPr>
            </w:pPr>
          </w:p>
        </w:tc>
        <w:tc>
          <w:tcPr>
            <w:tcW w:w="188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tcBorders>
              <w:right w:val="single" w:sz="8" w:color="auto"/>
            </w:tcBorders>
            <w:gridSpan w:val="7"/>
          </w:tcPr>
          <w:p>
            <w:pPr>
              <w:jc w:val="center"/>
              <w:ind w:right="220"/>
              <w:spacing w:after="0"/>
              <w:rPr>
                <w:sz w:val="20"/>
                <w:szCs w:val="20"/>
                <w:color w:val="auto"/>
              </w:rPr>
            </w:pPr>
            <w:r>
              <w:rPr>
                <w:rFonts w:ascii="Times New Roman" w:cs="Times New Roman" w:eastAsia="Times New Roman" w:hAnsi="Times New Roman"/>
                <w:sz w:val="17"/>
                <w:szCs w:val="17"/>
                <w:color w:val="auto"/>
                <w:w w:val="96"/>
              </w:rPr>
              <w:t>€[***]</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980" w:type="dxa"/>
            <w:vAlign w:val="bottom"/>
            <w:tcBorders>
              <w:right w:val="single" w:sz="8" w:color="auto"/>
            </w:tcBorders>
            <w:gridSpan w:val="3"/>
          </w:tcPr>
          <w:p>
            <w:pPr>
              <w:jc w:val="center"/>
              <w:ind w:right="900"/>
              <w:spacing w:after="0"/>
              <w:rPr>
                <w:sz w:val="20"/>
                <w:szCs w:val="20"/>
                <w:color w:val="auto"/>
              </w:rPr>
            </w:pPr>
            <w:r>
              <w:rPr>
                <w:rFonts w:ascii="Times New Roman" w:cs="Times New Roman" w:eastAsia="Times New Roman" w:hAnsi="Times New Roman"/>
                <w:sz w:val="17"/>
                <w:szCs w:val="17"/>
                <w:color w:val="auto"/>
                <w:w w:val="96"/>
              </w:rPr>
              <w:t>€[***]</w:t>
            </w:r>
          </w:p>
        </w:tc>
        <w:tc>
          <w:tcPr>
            <w:tcW w:w="0" w:type="dxa"/>
            <w:vAlign w:val="bottom"/>
          </w:tcPr>
          <w:p>
            <w:pPr>
              <w:spacing w:after="0"/>
              <w:rPr>
                <w:sz w:val="1"/>
                <w:szCs w:val="1"/>
                <w:color w:val="auto"/>
              </w:rPr>
            </w:pPr>
          </w:p>
        </w:tc>
      </w:tr>
      <w:tr>
        <w:trPr>
          <w:trHeight w:val="140"/>
        </w:trPr>
        <w:tc>
          <w:tcPr>
            <w:tcW w:w="19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880" w:type="dxa"/>
            <w:vAlign w:val="bottom"/>
            <w:tcBorders>
              <w:bottom w:val="single" w:sz="8" w:color="auto"/>
              <w:right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760" w:firstLine="1500"/>
        <w:spacing w:after="0" w:line="259" w:lineRule="auto"/>
        <w:tabs>
          <w:tab w:leader="none" w:pos="2565"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milestone payments shall be paid by Genoa (or a designated Genoa Affiliate or Permitted Sublicensee) within [***] after the occurrence of the milestone event set forth above.</w:t>
      </w:r>
    </w:p>
    <w:p>
      <w:pPr>
        <w:spacing w:after="0" w:line="124" w:lineRule="exact"/>
        <w:rPr>
          <w:rFonts w:ascii="Times New Roman" w:cs="Times New Roman" w:eastAsia="Times New Roman" w:hAnsi="Times New Roman"/>
          <w:sz w:val="17"/>
          <w:szCs w:val="17"/>
          <w:color w:val="auto"/>
        </w:rPr>
      </w:pPr>
    </w:p>
    <w:p>
      <w:pPr>
        <w:ind w:left="760" w:firstLine="1500"/>
        <w:spacing w:after="0" w:line="259" w:lineRule="auto"/>
        <w:tabs>
          <w:tab w:leader="none" w:pos="2565"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above milestone payments shall be paid only once, notwithstanding the potential development of multiple Products hereunder which may involve separate clinical trials or Regulatory Approvals.</w:t>
      </w:r>
    </w:p>
    <w:p>
      <w:pPr>
        <w:spacing w:after="0" w:line="124" w:lineRule="exact"/>
        <w:rPr>
          <w:rFonts w:ascii="Times New Roman" w:cs="Times New Roman" w:eastAsia="Times New Roman" w:hAnsi="Times New Roman"/>
          <w:sz w:val="17"/>
          <w:szCs w:val="17"/>
          <w:color w:val="auto"/>
        </w:rPr>
      </w:pPr>
    </w:p>
    <w:p>
      <w:pPr>
        <w:jc w:val="both"/>
        <w:ind w:left="760" w:firstLine="1500"/>
        <w:spacing w:after="0" w:line="246" w:lineRule="auto"/>
        <w:tabs>
          <w:tab w:leader="none" w:pos="2565" w:val="left"/>
        </w:tabs>
        <w:numPr>
          <w:ilvl w:val="0"/>
          <w:numId w:val="5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Only one (1) milestone payment will be due for each milestone achieved. If Genoa exercises its option in </w:t>
      </w:r>
      <w:r>
        <w:rPr>
          <w:rFonts w:ascii="Times New Roman" w:cs="Times New Roman" w:eastAsia="Times New Roman" w:hAnsi="Times New Roman"/>
          <w:sz w:val="17"/>
          <w:szCs w:val="17"/>
          <w:u w:val="single" w:color="auto"/>
          <w:color w:val="auto"/>
        </w:rPr>
        <w:t>Section 2.8 (Option for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Closed System),</w:t>
      </w:r>
      <w:r>
        <w:rPr>
          <w:rFonts w:ascii="Times New Roman" w:cs="Times New Roman" w:eastAsia="Times New Roman" w:hAnsi="Times New Roman"/>
          <w:sz w:val="17"/>
          <w:szCs w:val="17"/>
          <w:color w:val="auto"/>
        </w:rPr>
        <w:t xml:space="preserve"> all payments shall reflect the amounts for the CS Device and the incremental difference, if any, for all previous payments shall be paid to PARI within [***].</w:t>
      </w:r>
    </w:p>
    <w:p>
      <w:pPr>
        <w:spacing w:after="0" w:line="13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Advance Milestone Payment</w:t>
      </w:r>
      <w:r>
        <w:rPr>
          <w:rFonts w:ascii="Times New Roman" w:cs="Times New Roman" w:eastAsia="Times New Roman" w:hAnsi="Times New Roman"/>
          <w:sz w:val="17"/>
          <w:szCs w:val="17"/>
          <w:color w:val="auto"/>
        </w:rPr>
        <w:t>. Within [***] following the closing of a Change of Control Transaction, Genoa shall, or shall cause its acquirer, to pay to PARI [***] creditable against the next milestone payment due to PARI (so long as additional milestone payments are due under this Agreement) or creditable against any future royalty obligations hereunder</w:t>
      </w: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72" w:name="page573"/>
    <w:bookmarkEnd w:id="572"/>
    <w:p>
      <w:pPr>
        <w:ind w:left="760"/>
        <w:spacing w:after="0"/>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Royalties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60" w:firstLine="752"/>
        <w:spacing w:after="0" w:line="241" w:lineRule="auto"/>
        <w:rPr>
          <w:sz w:val="20"/>
          <w:szCs w:val="20"/>
          <w:color w:val="auto"/>
        </w:rPr>
      </w:pPr>
      <w:r>
        <w:rPr>
          <w:rFonts w:ascii="Times New Roman" w:cs="Times New Roman" w:eastAsia="Times New Roman" w:hAnsi="Times New Roman"/>
          <w:sz w:val="17"/>
          <w:szCs w:val="17"/>
          <w:color w:val="auto"/>
        </w:rPr>
        <w:t xml:space="preserve">5.4.1 </w:t>
      </w:r>
      <w:r>
        <w:rPr>
          <w:rFonts w:ascii="Times New Roman" w:cs="Times New Roman" w:eastAsia="Times New Roman" w:hAnsi="Times New Roman"/>
          <w:sz w:val="17"/>
          <w:szCs w:val="17"/>
          <w:u w:val="single" w:color="auto"/>
          <w:color w:val="auto"/>
        </w:rPr>
        <w:t>Royalty Rate</w:t>
      </w:r>
      <w:r>
        <w:rPr>
          <w:rFonts w:ascii="Times New Roman" w:cs="Times New Roman" w:eastAsia="Times New Roman" w:hAnsi="Times New Roman"/>
          <w:sz w:val="17"/>
          <w:szCs w:val="17"/>
          <w:color w:val="auto"/>
        </w:rPr>
        <w:t xml:space="preserve">. In partial consideration of the License granted under this Agreement and subject to the terms and conditions of this Agreement, until the expiration of the applicable Royalty Term, Genoa (or its Permitted Sublicensees pursuant to </w:t>
      </w:r>
      <w:r>
        <w:rPr>
          <w:rFonts w:ascii="Times New Roman" w:cs="Times New Roman" w:eastAsia="Times New Roman" w:hAnsi="Times New Roman"/>
          <w:sz w:val="17"/>
          <w:szCs w:val="17"/>
          <w:u w:val="single" w:color="auto"/>
          <w:color w:val="auto"/>
        </w:rPr>
        <w:t>Section 11.5.6 (Effect of Termination)</w:t>
      </w:r>
      <w:r>
        <w:rPr>
          <w:rFonts w:ascii="Times New Roman" w:cs="Times New Roman" w:eastAsia="Times New Roman" w:hAnsi="Times New Roman"/>
          <w:sz w:val="17"/>
          <w:szCs w:val="17"/>
          <w:color w:val="auto"/>
        </w:rPr>
        <w:t>, if applicable) shall pay to PARI a percentage royalty on Net Sales (“</w:t>
      </w:r>
      <w:r>
        <w:rPr>
          <w:rFonts w:ascii="Times New Roman" w:cs="Times New Roman" w:eastAsia="Times New Roman" w:hAnsi="Times New Roman"/>
          <w:sz w:val="17"/>
          <w:szCs w:val="17"/>
          <w:u w:val="single" w:color="auto"/>
          <w:color w:val="auto"/>
        </w:rPr>
        <w:t>Royalty</w:t>
      </w:r>
      <w:r>
        <w:rPr>
          <w:rFonts w:ascii="Times New Roman" w:cs="Times New Roman" w:eastAsia="Times New Roman" w:hAnsi="Times New Roman"/>
          <w:sz w:val="17"/>
          <w:szCs w:val="17"/>
          <w:color w:val="auto"/>
        </w:rPr>
        <w:t xml:space="preserve">”) as set forth below on a country-by-country basis for the Royalty Term, subject to reduction as set forth in </w:t>
      </w:r>
      <w:r>
        <w:rPr>
          <w:rFonts w:ascii="Times New Roman" w:cs="Times New Roman" w:eastAsia="Times New Roman" w:hAnsi="Times New Roman"/>
          <w:sz w:val="17"/>
          <w:szCs w:val="17"/>
          <w:u w:val="single" w:color="auto"/>
          <w:color w:val="auto"/>
        </w:rPr>
        <w:t>Section 5.6 (Permitted Reductions in Royalty)</w:t>
      </w:r>
      <w:r>
        <w:rPr>
          <w:rFonts w:ascii="Times New Roman" w:cs="Times New Roman" w:eastAsia="Times New Roman" w:hAnsi="Times New Roman"/>
          <w:sz w:val="17"/>
          <w:szCs w:val="17"/>
          <w:color w:val="auto"/>
        </w:rPr>
        <w:t>.</w:t>
      </w:r>
    </w:p>
    <w:p>
      <w:pPr>
        <w:spacing w:after="0" w:line="136" w:lineRule="exact"/>
        <w:rPr>
          <w:sz w:val="20"/>
          <w:szCs w:val="20"/>
          <w:color w:val="auto"/>
        </w:rPr>
      </w:pPr>
    </w:p>
    <w:tbl>
      <w:tblPr>
        <w:tblLayout w:type="fixed"/>
        <w:tblInd w:w="1150" w:type="dxa"/>
        <w:tblCellMar>
          <w:top w:w="0" w:type="dxa"/>
          <w:left w:w="0" w:type="dxa"/>
          <w:bottom w:w="0" w:type="dxa"/>
          <w:right w:w="0" w:type="dxa"/>
        </w:tblCellMar>
      </w:tblPr>
      <w:tr>
        <w:trPr>
          <w:trHeight w:val="173"/>
        </w:trPr>
        <w:tc>
          <w:tcPr>
            <w:tcW w:w="4240" w:type="dxa"/>
            <w:vAlign w:val="bottom"/>
            <w:tcBorders>
              <w:top w:val="single" w:sz="8" w:color="auto"/>
              <w:left w:val="single" w:sz="8" w:color="auto"/>
              <w:right w:val="single" w:sz="8" w:color="auto"/>
            </w:tcBorders>
            <w:gridSpan w:val="3"/>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8"/>
              </w:rPr>
              <w:t>Royalty</w:t>
            </w:r>
          </w:p>
        </w:tc>
        <w:tc>
          <w:tcPr>
            <w:tcW w:w="880" w:type="dxa"/>
            <w:vAlign w:val="bottom"/>
            <w:tcBorders>
              <w:top w:val="single" w:sz="8" w:color="auto"/>
            </w:tcBorders>
          </w:tcPr>
          <w:p>
            <w:pPr>
              <w:spacing w:after="0"/>
              <w:rPr>
                <w:sz w:val="15"/>
                <w:szCs w:val="15"/>
                <w:color w:val="auto"/>
              </w:rPr>
            </w:pPr>
          </w:p>
        </w:tc>
        <w:tc>
          <w:tcPr>
            <w:tcW w:w="3580" w:type="dxa"/>
            <w:vAlign w:val="bottom"/>
            <w:tcBorders>
              <w:top w:val="single" w:sz="8" w:color="auto"/>
              <w:right w:val="single" w:sz="8" w:color="auto"/>
            </w:tcBorders>
            <w:gridSpan w:val="2"/>
          </w:tcPr>
          <w:p>
            <w:pPr>
              <w:jc w:val="center"/>
              <w:ind w:right="920"/>
              <w:spacing w:after="0" w:line="173" w:lineRule="exact"/>
              <w:rPr>
                <w:sz w:val="20"/>
                <w:szCs w:val="20"/>
                <w:color w:val="auto"/>
              </w:rPr>
            </w:pPr>
            <w:r>
              <w:rPr>
                <w:rFonts w:ascii="Times New Roman" w:cs="Times New Roman" w:eastAsia="Times New Roman" w:hAnsi="Times New Roman"/>
                <w:sz w:val="17"/>
                <w:szCs w:val="17"/>
                <w:b w:val="1"/>
                <w:bCs w:val="1"/>
                <w:color w:val="auto"/>
                <w:w w:val="99"/>
              </w:rPr>
              <w:t>Royalty in case the CS Device is used</w:t>
            </w:r>
          </w:p>
        </w:tc>
      </w:tr>
      <w:tr>
        <w:trPr>
          <w:trHeight w:val="215"/>
        </w:trPr>
        <w:tc>
          <w:tcPr>
            <w:tcW w:w="1840" w:type="dxa"/>
            <w:vAlign w:val="bottom"/>
            <w:tcBorders>
              <w:left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60" w:type="dxa"/>
            <w:vAlign w:val="bottom"/>
            <w:tcBorders>
              <w:top w:val="single" w:sz="8" w:color="auto"/>
              <w:bottom w:val="single" w:sz="8" w:color="auto"/>
            </w:tcBorders>
          </w:tcPr>
          <w:p>
            <w:pPr>
              <w:spacing w:after="0"/>
              <w:rPr>
                <w:sz w:val="18"/>
                <w:szCs w:val="18"/>
                <w:color w:val="auto"/>
              </w:rPr>
            </w:pPr>
          </w:p>
        </w:tc>
        <w:tc>
          <w:tcPr>
            <w:tcW w:w="920" w:type="dxa"/>
            <w:vAlign w:val="bottom"/>
            <w:tcBorders>
              <w:bottom w:val="single" w:sz="8" w:color="auto"/>
              <w:right w:val="single" w:sz="8" w:color="auto"/>
            </w:tcBorders>
          </w:tcPr>
          <w:p>
            <w:pPr>
              <w:spacing w:after="0"/>
              <w:rPr>
                <w:sz w:val="18"/>
                <w:szCs w:val="18"/>
                <w:color w:val="auto"/>
              </w:rPr>
            </w:pPr>
          </w:p>
        </w:tc>
      </w:tr>
      <w:tr>
        <w:trPr>
          <w:trHeight w:val="178"/>
        </w:trPr>
        <w:tc>
          <w:tcPr>
            <w:tcW w:w="2400" w:type="dxa"/>
            <w:vAlign w:val="bottom"/>
            <w:gridSpan w:val="2"/>
          </w:tcPr>
          <w:p>
            <w:pPr>
              <w:jc w:val="right"/>
              <w:ind w:right="40"/>
              <w:spacing w:after="0" w:line="178" w:lineRule="exact"/>
              <w:rPr>
                <w:sz w:val="20"/>
                <w:szCs w:val="20"/>
                <w:color w:val="auto"/>
              </w:rPr>
            </w:pPr>
            <w:r>
              <w:rPr>
                <w:rFonts w:ascii="Times New Roman" w:cs="Times New Roman" w:eastAsia="Times New Roman" w:hAnsi="Times New Roman"/>
                <w:sz w:val="17"/>
                <w:szCs w:val="17"/>
                <w:color w:val="auto"/>
              </w:rPr>
              <w:t>[***]%</w:t>
            </w:r>
          </w:p>
        </w:tc>
        <w:tc>
          <w:tcPr>
            <w:tcW w:w="1840" w:type="dxa"/>
            <w:vAlign w:val="bottom"/>
            <w:tcBorders>
              <w:right w:val="single" w:sz="8" w:color="auto"/>
            </w:tcBorders>
          </w:tcPr>
          <w:p>
            <w:pPr>
              <w:spacing w:after="0"/>
              <w:rPr>
                <w:sz w:val="15"/>
                <w:szCs w:val="15"/>
                <w:color w:val="auto"/>
              </w:rPr>
            </w:pPr>
          </w:p>
        </w:tc>
        <w:tc>
          <w:tcPr>
            <w:tcW w:w="3540" w:type="dxa"/>
            <w:vAlign w:val="bottom"/>
            <w:gridSpan w:val="2"/>
          </w:tcPr>
          <w:p>
            <w:pPr>
              <w:jc w:val="right"/>
              <w:ind w:right="996"/>
              <w:spacing w:after="0" w:line="178" w:lineRule="exact"/>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right w:val="single" w:sz="8" w:color="auto"/>
            </w:tcBorders>
          </w:tcPr>
          <w:p>
            <w:pPr>
              <w:spacing w:after="0"/>
              <w:rPr>
                <w:sz w:val="15"/>
                <w:szCs w:val="15"/>
                <w:color w:val="auto"/>
              </w:rPr>
            </w:pPr>
          </w:p>
        </w:tc>
      </w:tr>
      <w:tr>
        <w:trPr>
          <w:trHeight w:val="135"/>
        </w:trPr>
        <w:tc>
          <w:tcPr>
            <w:tcW w:w="1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84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2660" w:type="dxa"/>
            <w:vAlign w:val="bottom"/>
            <w:tcBorders>
              <w:bottom w:val="single" w:sz="8" w:color="auto"/>
            </w:tcBorders>
          </w:tcPr>
          <w:p>
            <w:pPr>
              <w:spacing w:after="0"/>
              <w:rPr>
                <w:sz w:val="11"/>
                <w:szCs w:val="11"/>
                <w:color w:val="auto"/>
              </w:rPr>
            </w:pPr>
          </w:p>
        </w:tc>
        <w:tc>
          <w:tcPr>
            <w:tcW w:w="920" w:type="dxa"/>
            <w:vAlign w:val="bottom"/>
            <w:tcBorders>
              <w:bottom w:val="single" w:sz="8" w:color="auto"/>
              <w:right w:val="single" w:sz="8" w:color="auto"/>
            </w:tcBorders>
          </w:tcPr>
          <w:p>
            <w:pPr>
              <w:spacing w:after="0"/>
              <w:rPr>
                <w:sz w:val="11"/>
                <w:szCs w:val="11"/>
                <w:color w:val="auto"/>
              </w:rPr>
            </w:pPr>
          </w:p>
        </w:tc>
      </w:tr>
    </w:tbl>
    <w:p>
      <w:pPr>
        <w:spacing w:after="0" w:line="169" w:lineRule="exact"/>
        <w:rPr>
          <w:sz w:val="20"/>
          <w:szCs w:val="20"/>
          <w:color w:val="auto"/>
        </w:rPr>
      </w:pPr>
    </w:p>
    <w:p>
      <w:pPr>
        <w:ind w:left="760" w:firstLine="752"/>
        <w:spacing w:after="0" w:line="259" w:lineRule="auto"/>
        <w:rPr>
          <w:sz w:val="20"/>
          <w:szCs w:val="20"/>
          <w:color w:val="auto"/>
        </w:rPr>
      </w:pPr>
      <w:r>
        <w:rPr>
          <w:rFonts w:ascii="Times New Roman" w:cs="Times New Roman" w:eastAsia="Times New Roman" w:hAnsi="Times New Roman"/>
          <w:sz w:val="17"/>
          <w:szCs w:val="17"/>
          <w:color w:val="auto"/>
        </w:rPr>
        <w:t xml:space="preserve">5.4.2 </w:t>
      </w:r>
      <w:r>
        <w:rPr>
          <w:rFonts w:ascii="Times New Roman" w:cs="Times New Roman" w:eastAsia="Times New Roman" w:hAnsi="Times New Roman"/>
          <w:sz w:val="17"/>
          <w:szCs w:val="17"/>
          <w:u w:val="single" w:color="auto"/>
          <w:color w:val="auto"/>
        </w:rPr>
        <w:t>Payable Once</w:t>
      </w:r>
      <w:r>
        <w:rPr>
          <w:rFonts w:ascii="Times New Roman" w:cs="Times New Roman" w:eastAsia="Times New Roman" w:hAnsi="Times New Roman"/>
          <w:sz w:val="17"/>
          <w:szCs w:val="17"/>
          <w:color w:val="auto"/>
        </w:rPr>
        <w:t xml:space="preserve">. Royalties payable under this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will be payable only once with respect to each Drug Product and will be paid only once regardless of the number of Patents, if any.</w:t>
      </w:r>
    </w:p>
    <w:p>
      <w:pPr>
        <w:spacing w:after="0" w:line="12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Annual Minimum Royalty</w:t>
      </w:r>
      <w:r>
        <w:rPr>
          <w:rFonts w:ascii="Times New Roman" w:cs="Times New Roman" w:eastAsia="Times New Roman" w:hAnsi="Times New Roman"/>
          <w:sz w:val="17"/>
          <w:szCs w:val="17"/>
          <w:color w:val="auto"/>
        </w:rPr>
        <w:t xml:space="preserve">. The “Annual Minimum Royalty” payment is as set forth in the following table for each Year of Sales of Drug Products in at least [***] Major Market and, if applicable, shall be payable in accordance with </w:t>
      </w:r>
      <w:r>
        <w:rPr>
          <w:rFonts w:ascii="Times New Roman" w:cs="Times New Roman" w:eastAsia="Times New Roman" w:hAnsi="Times New Roman"/>
          <w:sz w:val="17"/>
          <w:szCs w:val="17"/>
          <w:u w:val="single" w:color="auto"/>
          <w:color w:val="auto"/>
        </w:rPr>
        <w:t>Section 5.3 (Advanced Milestone Payment)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5.7 (Payments and Reports)</w:t>
      </w:r>
      <w:r>
        <w:rPr>
          <w:rFonts w:ascii="Times New Roman" w:cs="Times New Roman" w:eastAsia="Times New Roman" w:hAnsi="Times New Roman"/>
          <w:sz w:val="17"/>
          <w:szCs w:val="17"/>
          <w:color w:val="auto"/>
        </w:rPr>
        <w:t xml:space="preserve"> below:</w:t>
      </w:r>
    </w:p>
    <w:p>
      <w:pPr>
        <w:spacing w:after="0" w:line="131" w:lineRule="exact"/>
        <w:rPr>
          <w:sz w:val="20"/>
          <w:szCs w:val="20"/>
          <w:color w:val="auto"/>
        </w:rPr>
      </w:pPr>
    </w:p>
    <w:tbl>
      <w:tblPr>
        <w:tblLayout w:type="fixed"/>
        <w:tblInd w:w="1150" w:type="dxa"/>
        <w:tblCellMar>
          <w:top w:w="0" w:type="dxa"/>
          <w:left w:w="0" w:type="dxa"/>
          <w:bottom w:w="0" w:type="dxa"/>
          <w:right w:w="0" w:type="dxa"/>
        </w:tblCellMar>
      </w:tblPr>
      <w:tr>
        <w:trPr>
          <w:trHeight w:val="173"/>
        </w:trPr>
        <w:tc>
          <w:tcPr>
            <w:tcW w:w="3180" w:type="dxa"/>
            <w:vAlign w:val="bottom"/>
            <w:tcBorders>
              <w:top w:val="single" w:sz="8" w:color="auto"/>
              <w:left w:val="single" w:sz="8" w:color="auto"/>
              <w:right w:val="single" w:sz="8" w:color="auto"/>
            </w:tcBorders>
            <w:gridSpan w:val="3"/>
          </w:tcPr>
          <w:p>
            <w:pPr>
              <w:jc w:val="center"/>
              <w:spacing w:after="0" w:line="173" w:lineRule="exact"/>
              <w:rPr>
                <w:sz w:val="20"/>
                <w:szCs w:val="20"/>
                <w:color w:val="auto"/>
              </w:rPr>
            </w:pPr>
            <w:r>
              <w:rPr>
                <w:rFonts w:ascii="Times New Roman" w:cs="Times New Roman" w:eastAsia="Times New Roman" w:hAnsi="Times New Roman"/>
                <w:sz w:val="17"/>
                <w:szCs w:val="17"/>
                <w:b w:val="1"/>
                <w:bCs w:val="1"/>
                <w:color w:val="auto"/>
                <w:w w:val="98"/>
              </w:rPr>
              <w:t>Year of Sales in Major Markets</w:t>
            </w:r>
          </w:p>
        </w:tc>
        <w:tc>
          <w:tcPr>
            <w:tcW w:w="3160" w:type="dxa"/>
            <w:vAlign w:val="bottom"/>
            <w:tcBorders>
              <w:top w:val="single" w:sz="8" w:color="auto"/>
              <w:right w:val="single" w:sz="8" w:color="auto"/>
            </w:tcBorders>
            <w:gridSpan w:val="3"/>
          </w:tcPr>
          <w:p>
            <w:pPr>
              <w:jc w:val="center"/>
              <w:ind w:right="20"/>
              <w:spacing w:after="0" w:line="173" w:lineRule="exact"/>
              <w:rPr>
                <w:sz w:val="20"/>
                <w:szCs w:val="20"/>
                <w:color w:val="auto"/>
              </w:rPr>
            </w:pPr>
            <w:r>
              <w:rPr>
                <w:rFonts w:ascii="Times New Roman" w:cs="Times New Roman" w:eastAsia="Times New Roman" w:hAnsi="Times New Roman"/>
                <w:sz w:val="17"/>
                <w:szCs w:val="17"/>
                <w:b w:val="1"/>
                <w:bCs w:val="1"/>
                <w:color w:val="auto"/>
                <w:w w:val="99"/>
              </w:rPr>
              <w:t>Annual Minimum Royalty</w:t>
            </w:r>
          </w:p>
        </w:tc>
        <w:tc>
          <w:tcPr>
            <w:tcW w:w="3160" w:type="dxa"/>
            <w:vAlign w:val="bottom"/>
            <w:tcBorders>
              <w:top w:val="single" w:sz="8" w:color="auto"/>
              <w:right w:val="single" w:sz="8" w:color="auto"/>
            </w:tcBorders>
            <w:gridSpan w:val="5"/>
          </w:tcPr>
          <w:p>
            <w:pPr>
              <w:jc w:val="center"/>
              <w:ind w:right="80"/>
              <w:spacing w:after="0" w:line="173" w:lineRule="exact"/>
              <w:rPr>
                <w:sz w:val="20"/>
                <w:szCs w:val="20"/>
                <w:color w:val="auto"/>
              </w:rPr>
            </w:pPr>
            <w:r>
              <w:rPr>
                <w:rFonts w:ascii="Times New Roman" w:cs="Times New Roman" w:eastAsia="Times New Roman" w:hAnsi="Times New Roman"/>
                <w:sz w:val="17"/>
                <w:szCs w:val="17"/>
                <w:b w:val="1"/>
                <w:bCs w:val="1"/>
                <w:color w:val="auto"/>
                <w:w w:val="99"/>
              </w:rPr>
              <w:t>Annual Minimum Royalty in case the CS</w:t>
            </w:r>
          </w:p>
        </w:tc>
      </w:tr>
      <w:tr>
        <w:trPr>
          <w:trHeight w:val="169"/>
        </w:trPr>
        <w:tc>
          <w:tcPr>
            <w:tcW w:w="460" w:type="dxa"/>
            <w:vAlign w:val="bottom"/>
            <w:tcBorders>
              <w:left w:val="single" w:sz="8" w:color="auto"/>
            </w:tcBorders>
          </w:tcPr>
          <w:p>
            <w:pPr>
              <w:spacing w:after="0"/>
              <w:rPr>
                <w:sz w:val="14"/>
                <w:szCs w:val="14"/>
                <w:color w:val="auto"/>
              </w:rPr>
            </w:pPr>
          </w:p>
        </w:tc>
        <w:tc>
          <w:tcPr>
            <w:tcW w:w="2260" w:type="dxa"/>
            <w:vAlign w:val="bottom"/>
            <w:tcBorders>
              <w:top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900" w:type="dxa"/>
            <w:vAlign w:val="bottom"/>
            <w:tcBorders>
              <w:top w:val="single" w:sz="8" w:color="auto"/>
            </w:tcBorders>
          </w:tcPr>
          <w:p>
            <w:pPr>
              <w:spacing w:after="0"/>
              <w:rPr>
                <w:sz w:val="14"/>
                <w:szCs w:val="14"/>
                <w:color w:val="auto"/>
              </w:rPr>
            </w:pPr>
          </w:p>
        </w:tc>
        <w:tc>
          <w:tcPr>
            <w:tcW w:w="6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000" w:type="dxa"/>
            <w:vAlign w:val="bottom"/>
            <w:tcBorders>
              <w:top w:val="single" w:sz="8" w:color="auto"/>
            </w:tcBorders>
            <w:gridSpan w:val="2"/>
          </w:tcPr>
          <w:p>
            <w:pPr>
              <w:jc w:val="center"/>
              <w:ind w:right="1000"/>
              <w:spacing w:after="0" w:line="169" w:lineRule="exact"/>
              <w:rPr>
                <w:sz w:val="20"/>
                <w:szCs w:val="20"/>
                <w:color w:val="auto"/>
              </w:rPr>
            </w:pPr>
            <w:r>
              <w:rPr>
                <w:rFonts w:ascii="Times New Roman" w:cs="Times New Roman" w:eastAsia="Times New Roman" w:hAnsi="Times New Roman"/>
                <w:sz w:val="17"/>
                <w:szCs w:val="17"/>
                <w:b w:val="1"/>
                <w:bCs w:val="1"/>
                <w:color w:val="auto"/>
                <w:w w:val="98"/>
              </w:rPr>
              <w:t>Device is used</w:t>
            </w:r>
          </w:p>
        </w:tc>
        <w:tc>
          <w:tcPr>
            <w:tcW w:w="100" w:type="dxa"/>
            <w:vAlign w:val="bottom"/>
            <w:tcBorders>
              <w:right w:val="single" w:sz="8" w:color="auto"/>
            </w:tcBorders>
          </w:tcPr>
          <w:p>
            <w:pPr>
              <w:spacing w:after="0"/>
              <w:rPr>
                <w:sz w:val="14"/>
                <w:szCs w:val="14"/>
                <w:color w:val="auto"/>
              </w:rPr>
            </w:pPr>
          </w:p>
        </w:tc>
      </w:tr>
      <w:tr>
        <w:trPr>
          <w:trHeight w:val="215"/>
        </w:trPr>
        <w:tc>
          <w:tcPr>
            <w:tcW w:w="460" w:type="dxa"/>
            <w:vAlign w:val="bottom"/>
            <w:tcBorders>
              <w:left w:val="single" w:sz="8" w:color="auto"/>
              <w:bottom w:val="single" w:sz="8" w:color="auto"/>
            </w:tcBorders>
          </w:tcPr>
          <w:p>
            <w:pPr>
              <w:spacing w:after="0"/>
              <w:rPr>
                <w:sz w:val="18"/>
                <w:szCs w:val="18"/>
                <w:color w:val="auto"/>
              </w:rPr>
            </w:pPr>
          </w:p>
        </w:tc>
        <w:tc>
          <w:tcPr>
            <w:tcW w:w="2260" w:type="dxa"/>
            <w:vAlign w:val="bottom"/>
            <w:tcBorders>
              <w:bottom w:val="single" w:sz="8" w:color="auto"/>
            </w:tcBorders>
          </w:tcPr>
          <w:p>
            <w:pPr>
              <w:spacing w:after="0"/>
              <w:rPr>
                <w:sz w:val="18"/>
                <w:szCs w:val="18"/>
                <w:color w:val="auto"/>
              </w:rPr>
            </w:pPr>
          </w:p>
        </w:tc>
        <w:tc>
          <w:tcPr>
            <w:tcW w:w="460" w:type="dxa"/>
            <w:vAlign w:val="bottom"/>
            <w:tcBorders>
              <w:bottom w:val="single" w:sz="8" w:color="auto"/>
              <w:right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right w:val="single" w:sz="8" w:color="auto"/>
            </w:tcBorders>
          </w:tcPr>
          <w:p>
            <w:pPr>
              <w:spacing w:after="0"/>
              <w:rPr>
                <w:sz w:val="18"/>
                <w:szCs w:val="18"/>
                <w:color w:val="auto"/>
              </w:rPr>
            </w:pPr>
          </w:p>
        </w:tc>
      </w:tr>
      <w:tr>
        <w:trPr>
          <w:trHeight w:val="178"/>
        </w:trPr>
        <w:tc>
          <w:tcPr>
            <w:tcW w:w="2720" w:type="dxa"/>
            <w:vAlign w:val="bottom"/>
            <w:gridSpan w:val="2"/>
          </w:tcPr>
          <w:p>
            <w:pPr>
              <w:jc w:val="center"/>
              <w:ind w:left="376"/>
              <w:spacing w:after="0" w:line="178" w:lineRule="exact"/>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right w:val="single" w:sz="8" w:color="auto"/>
            </w:tcBorders>
          </w:tcPr>
          <w:p>
            <w:pPr>
              <w:spacing w:after="0"/>
              <w:rPr>
                <w:sz w:val="15"/>
                <w:szCs w:val="15"/>
                <w:color w:val="auto"/>
              </w:rPr>
            </w:pPr>
          </w:p>
        </w:tc>
        <w:tc>
          <w:tcPr>
            <w:tcW w:w="2520" w:type="dxa"/>
            <w:vAlign w:val="bottom"/>
            <w:gridSpan w:val="2"/>
          </w:tcPr>
          <w:p>
            <w:pPr>
              <w:jc w:val="center"/>
              <w:ind w:left="516"/>
              <w:spacing w:after="0" w:line="178" w:lineRule="exact"/>
              <w:rPr>
                <w:sz w:val="20"/>
                <w:szCs w:val="20"/>
                <w:color w:val="auto"/>
              </w:rPr>
            </w:pPr>
            <w:r>
              <w:rPr>
                <w:rFonts w:ascii="Times New Roman" w:cs="Times New Roman" w:eastAsia="Times New Roman" w:hAnsi="Times New Roman"/>
                <w:sz w:val="17"/>
                <w:szCs w:val="17"/>
                <w:color w:val="auto"/>
                <w:w w:val="96"/>
              </w:rPr>
              <w:t>$[***]</w:t>
            </w:r>
          </w:p>
        </w:tc>
        <w:tc>
          <w:tcPr>
            <w:tcW w:w="640" w:type="dxa"/>
            <w:vAlign w:val="bottom"/>
            <w:tcBorders>
              <w:right w:val="single" w:sz="8" w:color="auto"/>
            </w:tcBorders>
          </w:tcPr>
          <w:p>
            <w:pPr>
              <w:spacing w:after="0"/>
              <w:rPr>
                <w:sz w:val="15"/>
                <w:szCs w:val="15"/>
                <w:color w:val="auto"/>
              </w:rPr>
            </w:pPr>
          </w:p>
        </w:tc>
        <w:tc>
          <w:tcPr>
            <w:tcW w:w="2060" w:type="dxa"/>
            <w:vAlign w:val="bottom"/>
            <w:gridSpan w:val="3"/>
          </w:tcPr>
          <w:p>
            <w:pPr>
              <w:jc w:val="center"/>
              <w:ind w:left="976"/>
              <w:spacing w:after="0" w:line="178" w:lineRule="exact"/>
              <w:rPr>
                <w:sz w:val="20"/>
                <w:szCs w:val="20"/>
                <w:color w:val="auto"/>
              </w:rPr>
            </w:pPr>
            <w:r>
              <w:rPr>
                <w:rFonts w:ascii="Times New Roman" w:cs="Times New Roman" w:eastAsia="Times New Roman" w:hAnsi="Times New Roman"/>
                <w:sz w:val="17"/>
                <w:szCs w:val="17"/>
                <w:color w:val="auto"/>
                <w:w w:val="97"/>
              </w:rPr>
              <w:t>[***]</w:t>
            </w:r>
          </w:p>
        </w:tc>
        <w:tc>
          <w:tcPr>
            <w:tcW w:w="1000" w:type="dxa"/>
            <w:vAlign w:val="bottom"/>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r>
      <w:tr>
        <w:trPr>
          <w:trHeight w:val="135"/>
        </w:trPr>
        <w:tc>
          <w:tcPr>
            <w:tcW w:w="46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90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r>
      <w:tr>
        <w:trPr>
          <w:trHeight w:val="208"/>
        </w:trPr>
        <w:tc>
          <w:tcPr>
            <w:tcW w:w="272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right w:val="single" w:sz="8" w:color="auto"/>
            </w:tcBorders>
          </w:tcPr>
          <w:p>
            <w:pPr>
              <w:spacing w:after="0"/>
              <w:rPr>
                <w:sz w:val="18"/>
                <w:szCs w:val="18"/>
                <w:color w:val="auto"/>
              </w:rPr>
            </w:pPr>
          </w:p>
        </w:tc>
        <w:tc>
          <w:tcPr>
            <w:tcW w:w="2520" w:type="dxa"/>
            <w:vAlign w:val="bottom"/>
            <w:gridSpan w:val="2"/>
          </w:tcPr>
          <w:p>
            <w:pPr>
              <w:jc w:val="center"/>
              <w:ind w:left="516"/>
              <w:spacing w:after="0"/>
              <w:rPr>
                <w:sz w:val="20"/>
                <w:szCs w:val="20"/>
                <w:color w:val="auto"/>
              </w:rPr>
            </w:pPr>
            <w:r>
              <w:rPr>
                <w:rFonts w:ascii="Times New Roman" w:cs="Times New Roman" w:eastAsia="Times New Roman" w:hAnsi="Times New Roman"/>
                <w:sz w:val="17"/>
                <w:szCs w:val="17"/>
                <w:color w:val="auto"/>
                <w:w w:val="96"/>
              </w:rPr>
              <w:t>$[***]</w:t>
            </w:r>
          </w:p>
        </w:tc>
        <w:tc>
          <w:tcPr>
            <w:tcW w:w="640" w:type="dxa"/>
            <w:vAlign w:val="bottom"/>
            <w:tcBorders>
              <w:right w:val="single" w:sz="8" w:color="auto"/>
            </w:tcBorders>
          </w:tcPr>
          <w:p>
            <w:pPr>
              <w:spacing w:after="0"/>
              <w:rPr>
                <w:sz w:val="18"/>
                <w:szCs w:val="18"/>
                <w:color w:val="auto"/>
              </w:rPr>
            </w:pPr>
          </w:p>
        </w:tc>
        <w:tc>
          <w:tcPr>
            <w:tcW w:w="2060" w:type="dxa"/>
            <w:vAlign w:val="bottom"/>
            <w:gridSpan w:val="3"/>
          </w:tcPr>
          <w:p>
            <w:pPr>
              <w:jc w:val="center"/>
              <w:ind w:left="9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140"/>
        </w:trPr>
        <w:tc>
          <w:tcPr>
            <w:tcW w:w="4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r>
      <w:tr>
        <w:trPr>
          <w:trHeight w:val="208"/>
        </w:trPr>
        <w:tc>
          <w:tcPr>
            <w:tcW w:w="272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right w:val="single" w:sz="8" w:color="auto"/>
            </w:tcBorders>
          </w:tcPr>
          <w:p>
            <w:pPr>
              <w:spacing w:after="0"/>
              <w:rPr>
                <w:sz w:val="18"/>
                <w:szCs w:val="18"/>
                <w:color w:val="auto"/>
              </w:rPr>
            </w:pPr>
          </w:p>
        </w:tc>
        <w:tc>
          <w:tcPr>
            <w:tcW w:w="2520" w:type="dxa"/>
            <w:vAlign w:val="bottom"/>
            <w:gridSpan w:val="2"/>
          </w:tcPr>
          <w:p>
            <w:pPr>
              <w:jc w:val="center"/>
              <w:ind w:left="516"/>
              <w:spacing w:after="0"/>
              <w:rPr>
                <w:sz w:val="20"/>
                <w:szCs w:val="20"/>
                <w:color w:val="auto"/>
              </w:rPr>
            </w:pPr>
            <w:r>
              <w:rPr>
                <w:rFonts w:ascii="Times New Roman" w:cs="Times New Roman" w:eastAsia="Times New Roman" w:hAnsi="Times New Roman"/>
                <w:sz w:val="17"/>
                <w:szCs w:val="17"/>
                <w:color w:val="auto"/>
                <w:w w:val="96"/>
              </w:rPr>
              <w:t>$[***]</w:t>
            </w:r>
          </w:p>
        </w:tc>
        <w:tc>
          <w:tcPr>
            <w:tcW w:w="640" w:type="dxa"/>
            <w:vAlign w:val="bottom"/>
            <w:tcBorders>
              <w:right w:val="single" w:sz="8" w:color="auto"/>
            </w:tcBorders>
          </w:tcPr>
          <w:p>
            <w:pPr>
              <w:spacing w:after="0"/>
              <w:rPr>
                <w:sz w:val="18"/>
                <w:szCs w:val="18"/>
                <w:color w:val="auto"/>
              </w:rPr>
            </w:pPr>
          </w:p>
        </w:tc>
        <w:tc>
          <w:tcPr>
            <w:tcW w:w="2060" w:type="dxa"/>
            <w:vAlign w:val="bottom"/>
            <w:gridSpan w:val="3"/>
          </w:tcPr>
          <w:p>
            <w:pPr>
              <w:jc w:val="center"/>
              <w:ind w:left="9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140"/>
        </w:trPr>
        <w:tc>
          <w:tcPr>
            <w:tcW w:w="4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r>
      <w:tr>
        <w:trPr>
          <w:trHeight w:val="208"/>
        </w:trPr>
        <w:tc>
          <w:tcPr>
            <w:tcW w:w="2720" w:type="dxa"/>
            <w:vAlign w:val="bottom"/>
            <w:gridSpan w:val="2"/>
          </w:tcPr>
          <w:p>
            <w:pPr>
              <w:jc w:val="center"/>
              <w:ind w:left="336"/>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Borders>
              <w:right w:val="single" w:sz="8" w:color="auto"/>
            </w:tcBorders>
          </w:tcPr>
          <w:p>
            <w:pPr>
              <w:spacing w:after="0"/>
              <w:rPr>
                <w:sz w:val="18"/>
                <w:szCs w:val="18"/>
                <w:color w:val="auto"/>
              </w:rPr>
            </w:pPr>
          </w:p>
        </w:tc>
        <w:tc>
          <w:tcPr>
            <w:tcW w:w="2520" w:type="dxa"/>
            <w:vAlign w:val="bottom"/>
            <w:gridSpan w:val="2"/>
          </w:tcPr>
          <w:p>
            <w:pPr>
              <w:jc w:val="center"/>
              <w:ind w:left="516"/>
              <w:spacing w:after="0"/>
              <w:rPr>
                <w:sz w:val="20"/>
                <w:szCs w:val="20"/>
                <w:color w:val="auto"/>
              </w:rPr>
            </w:pPr>
            <w:r>
              <w:rPr>
                <w:rFonts w:ascii="Times New Roman" w:cs="Times New Roman" w:eastAsia="Times New Roman" w:hAnsi="Times New Roman"/>
                <w:sz w:val="17"/>
                <w:szCs w:val="17"/>
                <w:color w:val="auto"/>
                <w:w w:val="96"/>
              </w:rPr>
              <w:t>$[***]</w:t>
            </w:r>
          </w:p>
        </w:tc>
        <w:tc>
          <w:tcPr>
            <w:tcW w:w="640" w:type="dxa"/>
            <w:vAlign w:val="bottom"/>
            <w:tcBorders>
              <w:right w:val="single" w:sz="8" w:color="auto"/>
            </w:tcBorders>
          </w:tcPr>
          <w:p>
            <w:pPr>
              <w:spacing w:after="0"/>
              <w:rPr>
                <w:sz w:val="18"/>
                <w:szCs w:val="18"/>
                <w:color w:val="auto"/>
              </w:rPr>
            </w:pPr>
          </w:p>
        </w:tc>
        <w:tc>
          <w:tcPr>
            <w:tcW w:w="2060" w:type="dxa"/>
            <w:vAlign w:val="bottom"/>
            <w:gridSpan w:val="3"/>
          </w:tcPr>
          <w:p>
            <w:pPr>
              <w:jc w:val="center"/>
              <w:ind w:left="976"/>
              <w:spacing w:after="0"/>
              <w:rPr>
                <w:sz w:val="20"/>
                <w:szCs w:val="20"/>
                <w:color w:val="auto"/>
              </w:rPr>
            </w:pPr>
            <w:r>
              <w:rPr>
                <w:rFonts w:ascii="Times New Roman" w:cs="Times New Roman" w:eastAsia="Times New Roman" w:hAnsi="Times New Roman"/>
                <w:sz w:val="17"/>
                <w:szCs w:val="17"/>
                <w:color w:val="auto"/>
                <w:w w:val="96"/>
              </w:rPr>
              <w:t>$[***]</w:t>
            </w:r>
          </w:p>
        </w:tc>
        <w:tc>
          <w:tcPr>
            <w:tcW w:w="100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r>
      <w:tr>
        <w:trPr>
          <w:trHeight w:val="140"/>
        </w:trPr>
        <w:tc>
          <w:tcPr>
            <w:tcW w:w="460" w:type="dxa"/>
            <w:vAlign w:val="bottom"/>
            <w:tcBorders>
              <w:bottom w:val="single" w:sz="8" w:color="auto"/>
            </w:tcBorders>
          </w:tcPr>
          <w:p>
            <w:pPr>
              <w:spacing w:after="0"/>
              <w:rPr>
                <w:sz w:val="12"/>
                <w:szCs w:val="12"/>
                <w:color w:val="auto"/>
              </w:rPr>
            </w:pPr>
          </w:p>
        </w:tc>
        <w:tc>
          <w:tcPr>
            <w:tcW w:w="2260" w:type="dxa"/>
            <w:vAlign w:val="bottom"/>
            <w:tcBorders>
              <w:bottom w:val="single" w:sz="8" w:color="auto"/>
            </w:tcBorders>
          </w:tcPr>
          <w:p>
            <w:pPr>
              <w:spacing w:after="0"/>
              <w:rPr>
                <w:sz w:val="12"/>
                <w:szCs w:val="12"/>
                <w:color w:val="auto"/>
              </w:rPr>
            </w:pPr>
          </w:p>
        </w:tc>
        <w:tc>
          <w:tcPr>
            <w:tcW w:w="46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spacing w:after="0"/>
              <w:rPr>
                <w:sz w:val="12"/>
                <w:szCs w:val="12"/>
                <w:color w:val="auto"/>
              </w:rPr>
            </w:pPr>
          </w:p>
        </w:tc>
        <w:tc>
          <w:tcPr>
            <w:tcW w:w="640" w:type="dxa"/>
            <w:vAlign w:val="bottom"/>
            <w:tcBorders>
              <w:bottom w:val="single" w:sz="8" w:color="auto"/>
              <w:right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r>
    </w:tbl>
    <w:p>
      <w:pPr>
        <w:spacing w:after="0" w:line="169" w:lineRule="exact"/>
        <w:rPr>
          <w:sz w:val="20"/>
          <w:szCs w:val="20"/>
          <w:color w:val="auto"/>
        </w:rPr>
      </w:pPr>
    </w:p>
    <w:p>
      <w:pPr>
        <w:jc w:val="both"/>
        <w:ind w:left="760" w:firstLine="1500"/>
        <w:spacing w:after="0" w:line="246" w:lineRule="auto"/>
        <w:tabs>
          <w:tab w:leader="none" w:pos="2565"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a single Annual Minimum Royalty payment shall be due for each Year of Sales of Drug Products in Major Markets regardless of the number of Drug Products or the number of Major Markets in which Drug Product(s) are sold. If more than one Drug Product is sold, then the higher Annual Minimum Royalty shall be due.</w:t>
      </w:r>
    </w:p>
    <w:p>
      <w:pPr>
        <w:spacing w:after="0" w:line="134" w:lineRule="exact"/>
        <w:rPr>
          <w:rFonts w:ascii="Times New Roman" w:cs="Times New Roman" w:eastAsia="Times New Roman" w:hAnsi="Times New Roman"/>
          <w:sz w:val="17"/>
          <w:szCs w:val="17"/>
          <w:color w:val="auto"/>
        </w:rPr>
      </w:pPr>
    </w:p>
    <w:p>
      <w:pPr>
        <w:jc w:val="both"/>
        <w:ind w:left="760" w:firstLine="1500"/>
        <w:spacing w:after="0" w:line="246" w:lineRule="auto"/>
        <w:tabs>
          <w:tab w:leader="none" w:pos="2565" w:val="left"/>
        </w:tabs>
        <w:numPr>
          <w:ilvl w:val="0"/>
          <w:numId w:val="5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Parties shall agree to reduce the Annual Minimum Royalty in an equitable manner in the event Genoa’s ability to sell the Products is diminished due to: (i) circumstances caused by PARI or (ii) circumstances caused by the Regulatory Authority in the applicable Territory that significantly impact the Net Sales of the Drug Product(s).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73" w:name="page574"/>
    <w:bookmarkEnd w:id="573"/>
    <w:p>
      <w:pPr>
        <w:ind w:left="760"/>
        <w:spacing w:after="0"/>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Permitted Reductions in Royalty</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760" w:firstLine="752"/>
        <w:spacing w:after="0" w:line="235" w:lineRule="auto"/>
        <w:rPr>
          <w:sz w:val="20"/>
          <w:szCs w:val="20"/>
          <w:color w:val="auto"/>
        </w:rPr>
      </w:pPr>
      <w:r>
        <w:rPr>
          <w:rFonts w:ascii="Times New Roman" w:cs="Times New Roman" w:eastAsia="Times New Roman" w:hAnsi="Times New Roman"/>
          <w:sz w:val="17"/>
          <w:szCs w:val="17"/>
          <w:color w:val="auto"/>
        </w:rPr>
        <w:t>5.6.1 In the event of an actual or threatened infringement action relating to the Device or the Licensed Intellectual Property incorporated in the Device, which causes, or could reasonably be expected to cause, Genoa’s use of the Device in accordance with the terms of this Agreement to be disrupted, where and to the extent possible, PARI shall, at its option and on a country-by-country basis, (i) [***]; or (ii) [***], or (iii) [***] by the Device. As used above, the term “</w:t>
      </w:r>
      <w:r>
        <w:rPr>
          <w:rFonts w:ascii="Times New Roman" w:cs="Times New Roman" w:eastAsia="Times New Roman" w:hAnsi="Times New Roman"/>
          <w:sz w:val="17"/>
          <w:szCs w:val="17"/>
          <w:u w:val="single" w:color="auto"/>
          <w:color w:val="auto"/>
        </w:rPr>
        <w:t>Probable Infringement or Misappropriation</w:t>
      </w:r>
      <w:r>
        <w:rPr>
          <w:rFonts w:ascii="Times New Roman" w:cs="Times New Roman" w:eastAsia="Times New Roman" w:hAnsi="Times New Roman"/>
          <w:sz w:val="17"/>
          <w:szCs w:val="17"/>
          <w:color w:val="auto"/>
        </w:rPr>
        <w:t xml:space="preserve">” shall mean any determination (x) by PARI, (y) both Parties, or (z) two (2) outside legal counsel, one selected by Genoa and one selected by PARI, that [***];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in the event the two (2) outside legal counsel cannot agree, then both Parties shall select a mutually acceptable third outside counsel who shall make a determination as to whether [***]. Upon the request of either Party, the other Party shall make its counsel reasonably available for consultation and discussion, subject to the execution of a customary joint defense agreement or similar agreement sufficient to preserve attorney client privilege, attorney work product and other applicable privileges and immunities and confidentiality. If both outside legal counsel determine [***];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if both outside legal counsel do not agree, then PARI shall have the sole discretion over the ultimate determination [***],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the event that PARI fails [***] of the Royalty or Annual Minimum Royalty, as applicable, otherwise due hereunder.</w:t>
      </w:r>
    </w:p>
    <w:p>
      <w:pPr>
        <w:spacing w:after="0" w:line="144" w:lineRule="exact"/>
        <w:rPr>
          <w:sz w:val="20"/>
          <w:szCs w:val="20"/>
          <w:color w:val="auto"/>
        </w:rPr>
      </w:pPr>
    </w:p>
    <w:p>
      <w:pPr>
        <w:jc w:val="both"/>
        <w:ind w:left="760" w:firstLine="752"/>
        <w:spacing w:after="0" w:line="236" w:lineRule="auto"/>
        <w:rPr>
          <w:sz w:val="20"/>
          <w:szCs w:val="20"/>
          <w:color w:val="auto"/>
        </w:rPr>
      </w:pPr>
      <w:r>
        <w:rPr>
          <w:rFonts w:ascii="Times New Roman" w:cs="Times New Roman" w:eastAsia="Times New Roman" w:hAnsi="Times New Roman"/>
          <w:sz w:val="17"/>
          <w:szCs w:val="17"/>
          <w:color w:val="auto"/>
        </w:rPr>
        <w:t xml:space="preserve">5.6.2 On a country-by-country basis, if during the Royalty Term (i) a third party offers for sale a generic equivalent of the approved Drug Product </w:t>
      </w:r>
      <w:r>
        <w:rPr>
          <w:rFonts w:ascii="Times New Roman" w:cs="Times New Roman" w:eastAsia="Times New Roman" w:hAnsi="Times New Roman"/>
          <w:sz w:val="17"/>
          <w:szCs w:val="17"/>
          <w:color w:val="auto"/>
          <w:strike w:val="1"/>
        </w:rPr>
        <w:t>[</w:t>
      </w:r>
      <w:r>
        <w:rPr>
          <w:rFonts w:ascii="Times New Roman" w:cs="Times New Roman" w:eastAsia="Times New Roman" w:hAnsi="Times New Roman"/>
          <w:sz w:val="17"/>
          <w:szCs w:val="17"/>
          <w:color w:val="auto"/>
        </w:rPr>
        <w:t>(i. e.</w:t>
      </w:r>
      <w:r>
        <w:rPr>
          <w:rFonts w:ascii="Times New Roman" w:cs="Times New Roman" w:eastAsia="Times New Roman" w:hAnsi="Times New Roman"/>
          <w:sz w:val="17"/>
          <w:szCs w:val="17"/>
          <w:color w:val="auto"/>
          <w:strike w:val="1"/>
        </w:rPr>
        <w:t>g.</w:t>
      </w:r>
      <w:r>
        <w:rPr>
          <w:rFonts w:ascii="Times New Roman" w:cs="Times New Roman" w:eastAsia="Times New Roman" w:hAnsi="Times New Roman"/>
          <w:sz w:val="17"/>
          <w:szCs w:val="17"/>
          <w:color w:val="auto"/>
        </w:rPr>
        <w:t xml:space="preserve"> which gained Regulatory Approval via an abbreviated NDA (known as “ANDA”) in the United States, or equivalent regulatory pathways outside of the United States), without being authorized or supported by Genoa its Affiliates or Permitted Sublicensee (for example without limitation by granting licenses) for delivery through a Nebulizer substantially the same as the Device and (ii) the then current Redbook (Thomson PDR or successor publisher) listed price of such generic equivalent of the approved Drug Product introduced by such third party is less than [***] of the Drug Product’s price ([***] reduction), then the Royalty then in effect shall be reduced by an amount of [***] with respect to Net Sales of that Drug Product in that country, and the Annual Minimum Royalty shall be adjusted proportionately. Accumulated reductions, on a country by country basis, shall not be more than [***] of the original Royalty rate or the Annual Minimum Royalty.</w:t>
      </w:r>
    </w:p>
    <w:p>
      <w:pPr>
        <w:spacing w:after="0" w:line="144" w:lineRule="exact"/>
        <w:rPr>
          <w:sz w:val="20"/>
          <w:szCs w:val="20"/>
          <w:color w:val="auto"/>
        </w:rPr>
      </w:pPr>
    </w:p>
    <w:p>
      <w:pPr>
        <w:jc w:val="both"/>
        <w:ind w:left="760" w:firstLine="752"/>
        <w:spacing w:after="0" w:line="246" w:lineRule="auto"/>
        <w:rPr>
          <w:sz w:val="20"/>
          <w:szCs w:val="20"/>
          <w:color w:val="auto"/>
        </w:rPr>
      </w:pPr>
      <w:r>
        <w:rPr>
          <w:rFonts w:ascii="Times New Roman" w:cs="Times New Roman" w:eastAsia="Times New Roman" w:hAnsi="Times New Roman"/>
          <w:sz w:val="17"/>
          <w:szCs w:val="17"/>
          <w:color w:val="auto"/>
        </w:rPr>
        <w:t xml:space="preserve">5.6.3 Notwithstanding anything to the contrary contained in this Agreement, in no event shall the reductions in the Royalty or Annual Minimum Royalty pursuant to </w:t>
      </w:r>
      <w:r>
        <w:rPr>
          <w:rFonts w:ascii="Times New Roman" w:cs="Times New Roman" w:eastAsia="Times New Roman" w:hAnsi="Times New Roman"/>
          <w:sz w:val="17"/>
          <w:szCs w:val="17"/>
          <w:u w:val="single" w:color="auto"/>
          <w:color w:val="auto"/>
        </w:rPr>
        <w:t>Sections 5.6.1 (Permitted Reductions in Royalty)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5.6.2 (Permitted Reductions in Royalty)</w:t>
      </w:r>
      <w:r>
        <w:rPr>
          <w:rFonts w:ascii="Times New Roman" w:cs="Times New Roman" w:eastAsia="Times New Roman" w:hAnsi="Times New Roman"/>
          <w:sz w:val="17"/>
          <w:szCs w:val="17"/>
          <w:color w:val="auto"/>
        </w:rPr>
        <w:t>, in the aggregate, be more than [***] of the original Royalty rate or the Annual Minimum Royalty.</w:t>
      </w:r>
    </w:p>
    <w:p>
      <w:pPr>
        <w:spacing w:after="0" w:line="135"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Payment and Reports</w:t>
      </w:r>
      <w:r>
        <w:rPr>
          <w:rFonts w:ascii="Times New Roman" w:cs="Times New Roman" w:eastAsia="Times New Roman" w:hAnsi="Times New Roman"/>
          <w:sz w:val="17"/>
          <w:szCs w:val="17"/>
          <w:color w:val="auto"/>
        </w:rPr>
        <w:t xml:space="preserve">. Within [***] after the end of each calendar [***] in which Net Sales have occurred, Genoa shall submit to PARI a written report setting forth for such preceding calendar [***] the Net Sales received and the calculation of the Royalty payable to PARI pursuant to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(Royalties) broken down to a country-by-country level and indicating the amount of allowed deductions according the definition of Net Sales. Such report shall be accompanied by the total Royalty due, if any, to PARI pursuant to </w:t>
      </w:r>
      <w:r>
        <w:rPr>
          <w:rFonts w:ascii="Times New Roman" w:cs="Times New Roman" w:eastAsia="Times New Roman" w:hAnsi="Times New Roman"/>
          <w:sz w:val="17"/>
          <w:szCs w:val="17"/>
          <w:u w:val="single" w:color="auto"/>
          <w:color w:val="auto"/>
        </w:rPr>
        <w:t>Section 5.4</w:t>
      </w:r>
      <w:r>
        <w:rPr>
          <w:rFonts w:ascii="Times New Roman" w:cs="Times New Roman" w:eastAsia="Times New Roman" w:hAnsi="Times New Roman"/>
          <w:sz w:val="17"/>
          <w:szCs w:val="17"/>
          <w:color w:val="auto"/>
        </w:rPr>
        <w:t xml:space="preserve"> (Royalties). If the Royalty paid for any Year of Sales set forth in the table in </w:t>
      </w:r>
      <w:r>
        <w:rPr>
          <w:rFonts w:ascii="Times New Roman" w:cs="Times New Roman" w:eastAsia="Times New Roman" w:hAnsi="Times New Roman"/>
          <w:sz w:val="17"/>
          <w:szCs w:val="17"/>
          <w:u w:val="single" w:color="auto"/>
          <w:color w:val="auto"/>
        </w:rPr>
        <w:t>Section 5.5</w:t>
      </w:r>
      <w:r>
        <w:rPr>
          <w:rFonts w:ascii="Times New Roman" w:cs="Times New Roman" w:eastAsia="Times New Roman" w:hAnsi="Times New Roman"/>
          <w:sz w:val="17"/>
          <w:szCs w:val="17"/>
          <w:color w:val="auto"/>
        </w:rPr>
        <w:t xml:space="preserve"> (Annual Minimum Royalty)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74" w:name="page575"/>
    <w:bookmarkEnd w:id="574"/>
    <w:p>
      <w:pPr>
        <w:jc w:val="both"/>
        <w:spacing w:after="0" w:line="239" w:lineRule="auto"/>
        <w:rPr>
          <w:sz w:val="20"/>
          <w:szCs w:val="20"/>
          <w:color w:val="auto"/>
        </w:rPr>
      </w:pPr>
      <w:r>
        <w:rPr>
          <w:rFonts w:ascii="Times New Roman" w:cs="Times New Roman" w:eastAsia="Times New Roman" w:hAnsi="Times New Roman"/>
          <w:sz w:val="17"/>
          <w:szCs w:val="17"/>
          <w:color w:val="auto"/>
        </w:rPr>
        <w:t>is less than the applicable Annual Minimum Royalty for such Year of Sales, then [***] after the end of such Year of Sales, Genoa shall pay to PARI the difference between the applicable Annual Minimum Royalty and the actual Royalties paid for such Year of Sales. All Royalty and Annual Minimum Royalty payments shall be made in United States Dollars. Sales made in currencies other than United States Dollars shall be converted to United States Dollars on the basis of the average exchange rate for the calendar [***] in which such sales were made. Such calendar [***] average exchange rate shall be calculated by averaging [***] exchange rates published by The Wall Street Journal, Eastern U.S. Edition.</w:t>
      </w:r>
    </w:p>
    <w:p>
      <w:pPr>
        <w:spacing w:after="0" w:line="141"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5.8 </w:t>
      </w:r>
      <w:r>
        <w:rPr>
          <w:rFonts w:ascii="Times New Roman" w:cs="Times New Roman" w:eastAsia="Times New Roman" w:hAnsi="Times New Roman"/>
          <w:sz w:val="17"/>
          <w:szCs w:val="17"/>
          <w:u w:val="single" w:color="auto"/>
          <w:color w:val="auto"/>
        </w:rPr>
        <w:t>Record Keeping</w:t>
      </w:r>
      <w:r>
        <w:rPr>
          <w:rFonts w:ascii="Times New Roman" w:cs="Times New Roman" w:eastAsia="Times New Roman" w:hAnsi="Times New Roman"/>
          <w:sz w:val="17"/>
          <w:szCs w:val="17"/>
          <w:color w:val="auto"/>
        </w:rPr>
        <w:t>. Genoa shall keep, and shall cause its Affiliates and Permitted Sublicensees to keep, complete and accurate books of accounts of record in connection with the use, sublicensing and sale of Products to permit verification of payments made hereunder. Such records shall be maintained for a period of at least [***] from the date on which they were generated.</w:t>
      </w:r>
    </w:p>
    <w:p>
      <w:pPr>
        <w:spacing w:after="0" w:line="103" w:lineRule="exact"/>
        <w:rPr>
          <w:sz w:val="20"/>
          <w:szCs w:val="20"/>
          <w:color w:val="auto"/>
        </w:rPr>
      </w:pPr>
    </w:p>
    <w:p>
      <w:pPr>
        <w:jc w:val="both"/>
        <w:ind w:firstLine="752"/>
        <w:spacing w:after="0" w:line="235" w:lineRule="auto"/>
        <w:rPr>
          <w:sz w:val="20"/>
          <w:szCs w:val="20"/>
          <w:color w:val="auto"/>
        </w:rPr>
      </w:pPr>
      <w:r>
        <w:rPr>
          <w:rFonts w:ascii="Times New Roman" w:cs="Times New Roman" w:eastAsia="Times New Roman" w:hAnsi="Times New Roman"/>
          <w:sz w:val="17"/>
          <w:szCs w:val="17"/>
          <w:color w:val="auto"/>
        </w:rPr>
        <w:t xml:space="preserve">5.9 </w:t>
      </w:r>
      <w:r>
        <w:rPr>
          <w:rFonts w:ascii="Times New Roman" w:cs="Times New Roman" w:eastAsia="Times New Roman" w:hAnsi="Times New Roman"/>
          <w:sz w:val="17"/>
          <w:szCs w:val="17"/>
          <w:u w:val="single" w:color="auto"/>
          <w:color w:val="auto"/>
        </w:rPr>
        <w:t>Audit Rights</w:t>
      </w:r>
      <w:r>
        <w:rPr>
          <w:rFonts w:ascii="Times New Roman" w:cs="Times New Roman" w:eastAsia="Times New Roman" w:hAnsi="Times New Roman"/>
          <w:sz w:val="17"/>
          <w:szCs w:val="17"/>
          <w:color w:val="auto"/>
        </w:rPr>
        <w:t xml:space="preserve">. PARI shall have the right to have an independent third party nationally-recognized accounting firm reasonably acceptable to Genoa access the books and records of Genoa, its Affiliates and Permitted Sublicensees solely to the extent necessary to verify the accuracy of the reports and payments made hereunder. Such access shall be conducted upon reasonable written notice to Genoa, its Affiliates and Permitted Sublicensees and during such parties’ normal business hours. Such access shall not be more frequent than [***] and may occur only with respect to a calendar [***] in the immediately preceding [***]. The auditing Party shall be required to sign a confidentiality agreement for the benefit of Genoa. The results of such audit shall be made available to PARI and Genoa. If any audit discloses that the payments by Genoa to PARI are incorrect in Genoa’s favor, then Genoa shall pay any amount due to PARI within [***] after receipt of the necessary documentation of the amount owed. If any audit discloses that the payments by Genoa to PARI are incorrect in PARI’s favor, then Genoa shall have the right to credit the amount of the overpayment against each subsequent [***] payment due to PARI until the overpayment has been fully applied. If the overpayment is not fully applied prior to the final [***] payment of Royalties due hereunder, PARI shall [***] refund an amount equal to any such remaining overpayment. If PARI’s audit demonstrates an underpayment of more than [***] for the payment due to PARI during the audited period, Genoa shall be liable for PARI’s reasonable cost of the audit that discovered such underpayment. Otherwise, PARI shall bear the costs of such audits. Genoa shall have the right to dispute any such audit results in accordance with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(Dispute Resolution).</w:t>
      </w:r>
    </w:p>
    <w:p>
      <w:pPr>
        <w:spacing w:after="0" w:line="121"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5.10</w:t>
      </w:r>
      <w:r>
        <w:rPr>
          <w:rFonts w:ascii="Times New Roman" w:cs="Times New Roman" w:eastAsia="Times New Roman" w:hAnsi="Times New Roman"/>
          <w:sz w:val="17"/>
          <w:szCs w:val="17"/>
          <w:u w:val="single" w:color="auto"/>
          <w:color w:val="auto"/>
        </w:rPr>
        <w:t>Withholding Taxes</w:t>
      </w:r>
      <w:r>
        <w:rPr>
          <w:rFonts w:ascii="Times New Roman" w:cs="Times New Roman" w:eastAsia="Times New Roman" w:hAnsi="Times New Roman"/>
          <w:sz w:val="17"/>
          <w:szCs w:val="17"/>
          <w:color w:val="auto"/>
        </w:rPr>
        <w:t>. Where required to do so by applicable Law or order of a governmental body, Genoa shall withhold taxes required to be paid to a taxing authority in connection with any payments to PARI hereunder, and, upon request of PARI, Genoa shall furnish PARI with satisfactory evidence of such withholding and payment. Genoa shall, and shall cause its Affiliates and its Permitted Sublicensees to, cooperate with PARI in obtaining exemption from withholding taxes where available under applicable Law.</w:t>
      </w:r>
    </w:p>
    <w:p>
      <w:pPr>
        <w:spacing w:after="0" w:line="108"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5.11</w:t>
      </w:r>
      <w:r>
        <w:rPr>
          <w:rFonts w:ascii="Times New Roman" w:cs="Times New Roman" w:eastAsia="Times New Roman" w:hAnsi="Times New Roman"/>
          <w:sz w:val="17"/>
          <w:szCs w:val="17"/>
          <w:u w:val="single" w:color="auto"/>
          <w:color w:val="auto"/>
        </w:rPr>
        <w:t>Late Payments</w:t>
      </w:r>
      <w:r>
        <w:rPr>
          <w:rFonts w:ascii="Times New Roman" w:cs="Times New Roman" w:eastAsia="Times New Roman" w:hAnsi="Times New Roman"/>
          <w:sz w:val="17"/>
          <w:szCs w:val="17"/>
          <w:color w:val="auto"/>
        </w:rPr>
        <w:t xml:space="preserve">. Any milestone payments, Royalties or Annual Minimum Royalties due PARI under this Agreement or any portion thereof which are not paid within [***] of the due date, shall bear interest equal to the prime rate as reported by the Chase Manhattan Bank, New York, New York, on the date such payment is due, plus an additional [***], calculated on the number of days such payment is delinquent. This </w:t>
      </w:r>
      <w:r>
        <w:rPr>
          <w:rFonts w:ascii="Times New Roman" w:cs="Times New Roman" w:eastAsia="Times New Roman" w:hAnsi="Times New Roman"/>
          <w:sz w:val="17"/>
          <w:szCs w:val="17"/>
          <w:u w:val="single" w:color="auto"/>
          <w:color w:val="auto"/>
        </w:rPr>
        <w:t>Section 5.11</w:t>
      </w:r>
      <w:r>
        <w:rPr>
          <w:rFonts w:ascii="Times New Roman" w:cs="Times New Roman" w:eastAsia="Times New Roman" w:hAnsi="Times New Roman"/>
          <w:sz w:val="17"/>
          <w:szCs w:val="17"/>
          <w:color w:val="auto"/>
        </w:rPr>
        <w:t xml:space="preserve"> shall not limit other remedies available to PARI under this Agreement.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75" w:name="page576"/>
    <w:bookmarkEnd w:id="575"/>
    <w:p>
      <w:pPr>
        <w:ind w:left="760" w:hanging="756"/>
        <w:spacing w:after="0"/>
        <w:tabs>
          <w:tab w:leader="none" w:pos="760" w:val="left"/>
        </w:tabs>
        <w:numPr>
          <w:ilvl w:val="0"/>
          <w:numId w:val="5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PATENT RIGHTS</w:t>
      </w:r>
    </w:p>
    <w:p>
      <w:pPr>
        <w:spacing w:after="0" w:line="134"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Patent Prosecution and Maintenance</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jc w:val="both"/>
        <w:ind w:left="760" w:firstLine="752"/>
        <w:spacing w:after="0" w:line="238" w:lineRule="auto"/>
        <w:rPr>
          <w:sz w:val="20"/>
          <w:szCs w:val="20"/>
          <w:color w:val="auto"/>
        </w:rPr>
      </w:pPr>
      <w:r>
        <w:rPr>
          <w:rFonts w:ascii="Times New Roman" w:cs="Times New Roman" w:eastAsia="Times New Roman" w:hAnsi="Times New Roman"/>
          <w:sz w:val="17"/>
          <w:szCs w:val="17"/>
          <w:color w:val="auto"/>
        </w:rPr>
        <w:t xml:space="preserve">6.1.1 Subject to this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6.2 (Enforcement)</w:t>
      </w:r>
      <w:r>
        <w:rPr>
          <w:rFonts w:ascii="Times New Roman" w:cs="Times New Roman" w:eastAsia="Times New Roman" w:hAnsi="Times New Roman"/>
          <w:sz w:val="17"/>
          <w:szCs w:val="17"/>
          <w:color w:val="auto"/>
        </w:rPr>
        <w:t xml:space="preserve"> below, except to the extent otherwise agreed by the Parties in writing or as provided in this Agreement: (i) PARI shall have the primary right and obligation to control prosecution, maintenance, challenges against validity, enforceability or relating to patentability with respect to the Device, any Accessory, PARI Technology and the Licensed Intellectual Property, and Genoa will assist PARI, at PARI’s request and expense, in any such activities; and (ii) Genoa shall have the primary right and obligation to control prosecution, maintenance, challenges against validity, enforceability or relating to patentability with respect to the Genoa Technology and the Drug Products, and PARI will assist Genoa, at Genoa’s request and expense, in any such activities.</w:t>
      </w:r>
    </w:p>
    <w:p>
      <w:pPr>
        <w:spacing w:after="0" w:line="109" w:lineRule="exact"/>
        <w:rPr>
          <w:sz w:val="20"/>
          <w:szCs w:val="20"/>
          <w:color w:val="auto"/>
        </w:rPr>
      </w:pPr>
    </w:p>
    <w:p>
      <w:pPr>
        <w:jc w:val="both"/>
        <w:ind w:left="760" w:firstLine="752"/>
        <w:spacing w:after="0" w:line="238" w:lineRule="auto"/>
        <w:rPr>
          <w:sz w:val="20"/>
          <w:szCs w:val="20"/>
          <w:color w:val="auto"/>
        </w:rPr>
      </w:pPr>
      <w:r>
        <w:rPr>
          <w:rFonts w:ascii="Times New Roman" w:cs="Times New Roman" w:eastAsia="Times New Roman" w:hAnsi="Times New Roman"/>
          <w:sz w:val="17"/>
          <w:szCs w:val="17"/>
          <w:color w:val="auto"/>
        </w:rPr>
        <w:t>6.1.2 If PARI intends to surrender or abandon a PARI Patent then PARI will provide reasonable prior written notice to Genoa of such intention (which notice shall, in any event, be given no later than [***] prior to the next deadline for any action that would result in such surrender or abandonment that may be taken with respect to such PARI Patent with the relevant patent office) and will provide Genoa an opportunity to cover the cost for such PARI Patent in order to avoid such surrender or abandonment and PARI will remain the sole owner of such PARI Patent. In case other licensees of PARI whom PARI will have granted a license to such PARI Patent are also interested in maintaining such PARI Patent then PARI will use its commercially reasonable efforts to negotiate with each licensee of such PARI Patent to cover an equitable share of the costs related to such PARI Patent.</w:t>
      </w:r>
    </w:p>
    <w:p>
      <w:pPr>
        <w:spacing w:after="0" w:line="109" w:lineRule="exact"/>
        <w:rPr>
          <w:sz w:val="20"/>
          <w:szCs w:val="20"/>
          <w:color w:val="auto"/>
        </w:rPr>
      </w:pPr>
    </w:p>
    <w:p>
      <w:pPr>
        <w:jc w:val="both"/>
        <w:ind w:left="760" w:firstLine="752"/>
        <w:spacing w:after="0" w:line="259" w:lineRule="auto"/>
        <w:rPr>
          <w:sz w:val="20"/>
          <w:szCs w:val="20"/>
          <w:color w:val="auto"/>
        </w:rPr>
      </w:pPr>
      <w:r>
        <w:rPr>
          <w:rFonts w:ascii="Times New Roman" w:cs="Times New Roman" w:eastAsia="Times New Roman" w:hAnsi="Times New Roman"/>
          <w:sz w:val="17"/>
          <w:szCs w:val="17"/>
          <w:color w:val="auto"/>
        </w:rPr>
        <w:t>6.1.3 PARI shall keep Genoa reasonably informed as to the status of the PARI Patents in the Territory, and PARI shall consider in good faith the reasonable requests and suggestions of Genoa with respect to the prosecution, maintenance and defense of the PARI Patents in the Territory.</w:t>
      </w:r>
    </w:p>
    <w:p>
      <w:pPr>
        <w:spacing w:after="0" w:line="104" w:lineRule="exact"/>
        <w:rPr>
          <w:sz w:val="20"/>
          <w:szCs w:val="20"/>
          <w:color w:val="auto"/>
        </w:rPr>
      </w:pPr>
    </w:p>
    <w:p>
      <w:pPr>
        <w:jc w:val="both"/>
        <w:ind w:left="760" w:firstLine="752"/>
        <w:spacing w:after="0" w:line="241" w:lineRule="auto"/>
        <w:rPr>
          <w:sz w:val="20"/>
          <w:szCs w:val="20"/>
          <w:color w:val="auto"/>
        </w:rPr>
      </w:pPr>
      <w:r>
        <w:rPr>
          <w:rFonts w:ascii="Times New Roman" w:cs="Times New Roman" w:eastAsia="Times New Roman" w:hAnsi="Times New Roman"/>
          <w:sz w:val="17"/>
          <w:szCs w:val="17"/>
          <w:color w:val="auto"/>
        </w:rPr>
        <w:t>6.1.4 To the extent reasonably expected to materially adversely affect the PARI Patents or the Device in the Territory, PARI shall [***] inform Genoa about correspondence and materials received from the PCT, the U.S. Patent &amp; Trademark Office (“</w:t>
      </w:r>
      <w:r>
        <w:rPr>
          <w:rFonts w:ascii="Times New Roman" w:cs="Times New Roman" w:eastAsia="Times New Roman" w:hAnsi="Times New Roman"/>
          <w:sz w:val="17"/>
          <w:szCs w:val="17"/>
          <w:u w:val="single" w:color="auto"/>
          <w:color w:val="auto"/>
        </w:rPr>
        <w:t>PTO</w:t>
      </w:r>
      <w:r>
        <w:rPr>
          <w:rFonts w:ascii="Times New Roman" w:cs="Times New Roman" w:eastAsia="Times New Roman" w:hAnsi="Times New Roman"/>
          <w:sz w:val="17"/>
          <w:szCs w:val="17"/>
          <w:color w:val="auto"/>
        </w:rPr>
        <w:t>”) , or equivalent intellectual property regulatory authority in any other country within the Territory and, upon reasonable request by Genoa provide Genoa with copies of such correspondence and materials; provided that PARI may redact that portion of the correspondence and/or materials that is subject to third-party confidentiality obligations.</w:t>
      </w:r>
    </w:p>
    <w:p>
      <w:pPr>
        <w:spacing w:after="0" w:line="108" w:lineRule="exact"/>
        <w:rPr>
          <w:sz w:val="20"/>
          <w:szCs w:val="20"/>
          <w:color w:val="auto"/>
        </w:rPr>
      </w:pPr>
    </w:p>
    <w:p>
      <w:pPr>
        <w:jc w:val="both"/>
        <w:ind w:left="760" w:firstLine="752"/>
        <w:spacing w:after="0" w:line="246" w:lineRule="auto"/>
        <w:rPr>
          <w:sz w:val="20"/>
          <w:szCs w:val="20"/>
          <w:color w:val="auto"/>
        </w:rPr>
      </w:pPr>
      <w:r>
        <w:rPr>
          <w:rFonts w:ascii="Times New Roman" w:cs="Times New Roman" w:eastAsia="Times New Roman" w:hAnsi="Times New Roman"/>
          <w:sz w:val="17"/>
          <w:szCs w:val="17"/>
          <w:color w:val="auto"/>
        </w:rPr>
        <w:t>6.1.5 In addition, Genoa shall have the right to approve any settlement that would adversely affect Genoa’s rights under this Agreement, would render Genoa unable to exercise its rights under this Agreement, or would result in any liability or admission on behalf of Genoa, such approval not to be unreasonably withheld, conditioned or delayed.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5" w:right="319" w:bottom="1440" w:gutter="0" w:footer="0" w:header="0"/>
        </w:sectPr>
      </w:pPr>
    </w:p>
    <w:bookmarkStart w:id="576" w:name="page577"/>
    <w:bookmarkEnd w:id="576"/>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6.1.6 If Genoa reasonably believes that PARI may fail to make any required payments or take any action required for the preparation, filing, prosecution, defense or maintenance of the PARI Patents in the Territory within a reasonable time, Genoa shall provide PARI with written notice of such deficiency. If PARI fails to take the required action within the shorter of (i) [***] of notice from Genoa or (ii) [***] before the deadline for taking such action, Genoa shall have the right to thereafter make any such required payments or take any such required action and deduct and offset such payments and any related costs and expenses from any future payments due under this Agreement to PARI.</w:t>
      </w:r>
    </w:p>
    <w:p>
      <w:pPr>
        <w:spacing w:after="0" w:line="141"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7"/>
          <w:szCs w:val="17"/>
          <w:color w:val="auto"/>
        </w:rPr>
        <w:t>If Genoa intends to surrender or abandon a Genoa Patent then Genoa will provide reasonable prior written notice to PARI of such intention (which notice shall, in any event, be given no later than [***] prior to the next deadline for any action that would result in such surrender or abandonment that may be taken with respect to such Genoa Patent with the relevant patent office) and will provide PARI an opportunity to cover the cost for such Genoa Patent in order to avoid such surrender or abandonment and Genoa will remain the sole owner of such Genoa Patent.</w:t>
      </w:r>
    </w:p>
    <w:p>
      <w:pPr>
        <w:spacing w:after="0" w:line="140"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6.1.7 Genoa shall keep PARI reasonably informed as to the status of the Genoa Patents in the Territory, and Genoa shall consider in good faith the reasonable requests and suggestions of PARI with respect to the prosecution, maintenance and defense of the Genoa Patents in the Territory.</w:t>
      </w:r>
    </w:p>
    <w:p>
      <w:pPr>
        <w:spacing w:after="0" w:line="125"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6.1.8 Each Party agrees to mark all Products in accordance with the applicable statutes or regulations in the country or countries of manufacture and sale thereof. For such purposes, each Party shall use commercially reasonable efforts to provide the other Party with written notice of all of its patent numbers applicable to the Products. For clarity, a Party may choose not to mark products with the specific patent numbers if such Party is not required to do so by applicable statutes or regulations in the country or countries of manufacture or sale thereof.</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Enforcement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6.2.1 If either Party should become aware of any infringement or misappropriation or threatened infringement or misappropriation of the other Party’s intellectual property rights, contemplated herein by a third party that could reasonably be expected to adversely affect the Product (“</w:t>
      </w:r>
      <w:r>
        <w:rPr>
          <w:rFonts w:ascii="Times New Roman" w:cs="Times New Roman" w:eastAsia="Times New Roman" w:hAnsi="Times New Roman"/>
          <w:sz w:val="17"/>
          <w:szCs w:val="17"/>
          <w:u w:val="single" w:color="auto"/>
          <w:color w:val="auto"/>
        </w:rPr>
        <w:t>Product-Specific Infringement</w:t>
      </w:r>
      <w:r>
        <w:rPr>
          <w:rFonts w:ascii="Times New Roman" w:cs="Times New Roman" w:eastAsia="Times New Roman" w:hAnsi="Times New Roman"/>
          <w:sz w:val="17"/>
          <w:szCs w:val="17"/>
          <w:color w:val="auto"/>
        </w:rPr>
        <w:t>”), it shall [***] notify the other Party in writing and provide any information available to that Party relating to such alleged Product-Specific Infringement.</w:t>
      </w:r>
    </w:p>
    <w:p>
      <w:pPr>
        <w:spacing w:after="0" w:line="140"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6.2.2 PARI shall have the initial right (but not the obligation) to bring and/or control any enforcement action with respect to any enforcement action directed to an asserted Product-Specific Infringement pertaining to the Device, the eFlow Technology Nebulizer, any Accessory and any PARI intellectual property, and any PARI Technology. Genoa shall have the initial right (but not the obligation) to bring and/or control any enforcement action directed to an asserted Product-Specific Infringement pertaining to the Drug Product(s) and any Genoa intellectual property. The Party controlling the enforcement action shall keep the other Party reasonably informed of the progress thereof</w:t>
      </w:r>
    </w:p>
    <w:p>
      <w:pPr>
        <w:spacing w:after="0" w:line="200" w:lineRule="exact"/>
        <w:rPr>
          <w:sz w:val="20"/>
          <w:szCs w:val="20"/>
          <w:color w:val="auto"/>
        </w:rPr>
      </w:pPr>
    </w:p>
    <w:p>
      <w:pPr>
        <w:spacing w:after="0" w:line="256"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77" w:name="page578"/>
    <w:bookmarkEnd w:id="577"/>
    <w:p>
      <w:pPr>
        <w:jc w:val="both"/>
        <w:spacing w:after="0" w:line="259" w:lineRule="auto"/>
        <w:rPr>
          <w:sz w:val="20"/>
          <w:szCs w:val="20"/>
          <w:color w:val="auto"/>
        </w:rPr>
      </w:pPr>
      <w:r>
        <w:rPr>
          <w:rFonts w:ascii="Times New Roman" w:cs="Times New Roman" w:eastAsia="Times New Roman" w:hAnsi="Times New Roman"/>
          <w:sz w:val="17"/>
          <w:szCs w:val="17"/>
          <w:color w:val="auto"/>
        </w:rPr>
        <w:t xml:space="preserve">and the other Party shall execute, acknowledge and deliver any and all such other documents and take any such other action as may be reasonably necessary or appropriate to carry out the intent and purposes of this </w:t>
      </w:r>
      <w:r>
        <w:rPr>
          <w:rFonts w:ascii="Times New Roman" w:cs="Times New Roman" w:eastAsia="Times New Roman" w:hAnsi="Times New Roman"/>
          <w:sz w:val="17"/>
          <w:szCs w:val="17"/>
          <w:u w:val="single" w:color="auto"/>
          <w:color w:val="auto"/>
        </w:rPr>
        <w:t>Section 6.2.2</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firstLine="752"/>
        <w:spacing w:after="0" w:line="235" w:lineRule="auto"/>
        <w:rPr>
          <w:sz w:val="20"/>
          <w:szCs w:val="20"/>
          <w:color w:val="auto"/>
        </w:rPr>
      </w:pPr>
      <w:r>
        <w:rPr>
          <w:rFonts w:ascii="Times New Roman" w:cs="Times New Roman" w:eastAsia="Times New Roman" w:hAnsi="Times New Roman"/>
          <w:sz w:val="17"/>
          <w:szCs w:val="17"/>
          <w:color w:val="auto"/>
        </w:rPr>
        <w:t>6.2.3 In the event the Party with the first right to so initiate an enforcement action (the “</w:t>
      </w:r>
      <w:r>
        <w:rPr>
          <w:rFonts w:ascii="Times New Roman" w:cs="Times New Roman" w:eastAsia="Times New Roman" w:hAnsi="Times New Roman"/>
          <w:sz w:val="17"/>
          <w:szCs w:val="17"/>
          <w:u w:val="single" w:color="auto"/>
          <w:color w:val="auto"/>
        </w:rPr>
        <w:t>Priority Party</w:t>
      </w:r>
      <w:r>
        <w:rPr>
          <w:rFonts w:ascii="Times New Roman" w:cs="Times New Roman" w:eastAsia="Times New Roman" w:hAnsi="Times New Roman"/>
          <w:sz w:val="17"/>
          <w:szCs w:val="17"/>
          <w:color w:val="auto"/>
        </w:rPr>
        <w:t>”) does not initiate such enforcement action within (a) [***] after a request by the other Party (the “</w:t>
      </w:r>
      <w:r>
        <w:rPr>
          <w:rFonts w:ascii="Times New Roman" w:cs="Times New Roman" w:eastAsia="Times New Roman" w:hAnsi="Times New Roman"/>
          <w:sz w:val="17"/>
          <w:szCs w:val="17"/>
          <w:u w:val="single" w:color="auto"/>
          <w:color w:val="auto"/>
        </w:rPr>
        <w:t>Requesting Party</w:t>
      </w:r>
      <w:r>
        <w:rPr>
          <w:rFonts w:ascii="Times New Roman" w:cs="Times New Roman" w:eastAsia="Times New Roman" w:hAnsi="Times New Roman"/>
          <w:sz w:val="17"/>
          <w:szCs w:val="17"/>
          <w:color w:val="auto"/>
        </w:rPr>
        <w:t xml:space="preserve">”) to initiate an enforcement action against an alleged Product-Specific Infringement or (b) [***] before the time limit, if any, set forth in the appropriate laws and regulations related to the filing of any such actions, whichever comes first, or the Priority Party notifies the Requesting Party at any time that it does not desire to enforce or defend such rights with respect to such alleged infringement, then the Requesting Party shall have the right (but not the obligation) to enforce such alleged infringement;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any settlement of such infringement shall be subject to the approval of both Parties if such settlement would not terminate all further use by the alleged infringer of such rights. Notwithstanding anything to the contrary contained herein, (i) PARI shall have the right to approve any settlement that would adversely affect the PARI Patents or PARI’s rights under this Agreement or result in any liability or admission on behalf of PARI, such approval not to be unreasonably withheld, conditioned or delayed; and (ii) Genoa shall have the right to approve any settlement that would adversely affect the Drug Products or Genoa’s rights under this Agreement or result in any liability or admission on behalf of Genoa, such approval not to be unreasonably withheld, conditioned or delayed.</w:t>
      </w:r>
    </w:p>
    <w:p>
      <w:pPr>
        <w:spacing w:after="0" w:line="144" w:lineRule="exact"/>
        <w:rPr>
          <w:sz w:val="20"/>
          <w:szCs w:val="20"/>
          <w:color w:val="auto"/>
        </w:rPr>
      </w:pPr>
    </w:p>
    <w:p>
      <w:pPr>
        <w:jc w:val="both"/>
        <w:ind w:firstLine="752"/>
        <w:spacing w:after="0" w:line="237" w:lineRule="auto"/>
        <w:rPr>
          <w:sz w:val="20"/>
          <w:szCs w:val="20"/>
          <w:color w:val="auto"/>
        </w:rPr>
      </w:pPr>
      <w:r>
        <w:rPr>
          <w:rFonts w:ascii="Times New Roman" w:cs="Times New Roman" w:eastAsia="Times New Roman" w:hAnsi="Times New Roman"/>
          <w:sz w:val="17"/>
          <w:szCs w:val="17"/>
          <w:color w:val="auto"/>
        </w:rPr>
        <w:t xml:space="preserve">6.2.4 Except as otherwise agreed to by the Parties as part of a cost-sharing arrangement, all amounts recovered in an enforcement action for a Product-Specific Infringement, after reimbursing each Party for its costs and expenses incurred in such enforcement action, shall be shared [***] between the Parties [***]. To the extent the enforcement action relates solely to the Drug Product and the amounts recovered </w:t>
      </w:r>
      <w:r>
        <w:rPr>
          <w:rFonts w:ascii="Times New Roman" w:cs="Times New Roman" w:eastAsia="Times New Roman" w:hAnsi="Times New Roman"/>
          <w:sz w:val="17"/>
          <w:szCs w:val="17"/>
          <w:i w:val="1"/>
          <w:iCs w:val="1"/>
          <w:color w:val="auto"/>
        </w:rPr>
        <w:t>are</w:t>
      </w:r>
      <w:r>
        <w:rPr>
          <w:rFonts w:ascii="Times New Roman" w:cs="Times New Roman" w:eastAsia="Times New Roman" w:hAnsi="Times New Roman"/>
          <w:sz w:val="17"/>
          <w:szCs w:val="17"/>
          <w:color w:val="auto"/>
        </w:rPr>
        <w:t xml:space="preserve"> based specifically on sales of Drug Product, the balance, if any, shall be treated as sales of Drug Product for purposes of this Agreement such that PARI shall receive a royalty based on such balance and Genoa shall retain the remainder. In all other cases, subject to any cost sharing arrangement between the Parties, the balance, if any, after reimbursing each Party for its costs and expenses incurred in such enforcement action, shall be shared between the Parties in proportions of [***] and [***] whereas the Party which leads the enforcement action shall retain [***] and the other Party shall receive [***].</w:t>
      </w:r>
    </w:p>
    <w:p>
      <w:pPr>
        <w:spacing w:after="0" w:line="141" w:lineRule="exact"/>
        <w:rPr>
          <w:sz w:val="20"/>
          <w:szCs w:val="20"/>
          <w:color w:val="auto"/>
        </w:rPr>
      </w:pPr>
    </w:p>
    <w:p>
      <w:pPr>
        <w:jc w:val="both"/>
        <w:ind w:firstLine="752"/>
        <w:spacing w:after="0" w:line="237" w:lineRule="auto"/>
        <w:rPr>
          <w:sz w:val="20"/>
          <w:szCs w:val="20"/>
          <w:color w:val="auto"/>
        </w:rPr>
      </w:pPr>
      <w:r>
        <w:rPr>
          <w:rFonts w:ascii="Times New Roman" w:cs="Times New Roman" w:eastAsia="Times New Roman" w:hAnsi="Times New Roman"/>
          <w:sz w:val="17"/>
          <w:szCs w:val="17"/>
          <w:color w:val="auto"/>
        </w:rPr>
        <w:t xml:space="preserve">6.2.5 If the Exploitation of the Products results in a Claim alleging patent infringement against either Party (or its Affiliates or Permitted Sublicensees), such Party shall [***] notify the other Party hereto in writing. Subject at all times to </w:t>
      </w:r>
      <w:r>
        <w:rPr>
          <w:rFonts w:ascii="Times New Roman" w:cs="Times New Roman" w:eastAsia="Times New Roman" w:hAnsi="Times New Roman"/>
          <w:sz w:val="17"/>
          <w:szCs w:val="17"/>
          <w:u w:val="single" w:color="auto"/>
          <w:color w:val="auto"/>
        </w:rPr>
        <w:t>Section 5.6 (Permitted Reduction in Royalties)</w:t>
      </w:r>
      <w:r>
        <w:rPr>
          <w:rFonts w:ascii="Times New Roman" w:cs="Times New Roman" w:eastAsia="Times New Roman" w:hAnsi="Times New Roman"/>
          <w:sz w:val="17"/>
          <w:szCs w:val="17"/>
          <w:color w:val="auto"/>
        </w:rPr>
        <w:t>, Genoa shall have sole right to defend and control the defense of any infringement Claim pertaining solely to the Drug Product(s) and PARI shall have the sole right to defend and control the defense of any infringement Claim pertaining solely to the Device or any PARI intellectual property (including the PARI Technology). If the infringement Claim relates to the Drug Product(s) and the Device combined (i.e. such Claim does not relate only to the Device but the Drug Product forms part of the alleged patent infringement Claim), then Genoa shall have the initial right to defend and control such combined infringement Claim; provided, however, that in such event (i) Genoa will</w:t>
      </w:r>
    </w:p>
    <w:p>
      <w:pPr>
        <w:spacing w:after="0" w:line="200" w:lineRule="exact"/>
        <w:rPr>
          <w:sz w:val="20"/>
          <w:szCs w:val="20"/>
          <w:color w:val="auto"/>
        </w:rPr>
      </w:pPr>
    </w:p>
    <w:p>
      <w:pPr>
        <w:spacing w:after="0" w:line="25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78" w:name="page579"/>
    <w:bookmarkEnd w:id="578"/>
    <w:p>
      <w:pPr>
        <w:jc w:val="both"/>
        <w:ind w:left="760"/>
        <w:spacing w:after="0" w:line="239" w:lineRule="auto"/>
        <w:rPr>
          <w:sz w:val="20"/>
          <w:szCs w:val="20"/>
          <w:color w:val="auto"/>
        </w:rPr>
      </w:pPr>
      <w:r>
        <w:rPr>
          <w:rFonts w:ascii="Times New Roman" w:cs="Times New Roman" w:eastAsia="Times New Roman" w:hAnsi="Times New Roman"/>
          <w:sz w:val="17"/>
          <w:szCs w:val="17"/>
          <w:color w:val="auto"/>
        </w:rPr>
        <w:t>keep PARI fully informed of all developments, and provide copies of all correspondence, responses, filings, submissions, etc. in connection with any such Claim, including any counterclaims, (ii) Genoa may use counsel of its own choice as applicable at its own expense, and (iii) Genoa will not enter into any settlement that involves or relates to the PARI Patents, PARI intellectual property (including the PARI Technology) or PARI’s rights under this Agreement, or results in any liability or admission on behalf of PARI, without the prior written approval of PARI, such approval not to be unreasonably withheld, conditioned or delayed.</w:t>
      </w:r>
    </w:p>
    <w:p>
      <w:pPr>
        <w:spacing w:after="0" w:line="141" w:lineRule="exact"/>
        <w:rPr>
          <w:sz w:val="20"/>
          <w:szCs w:val="20"/>
          <w:color w:val="auto"/>
        </w:rPr>
      </w:pPr>
    </w:p>
    <w:p>
      <w:pPr>
        <w:jc w:val="both"/>
        <w:ind w:left="760" w:firstLine="752"/>
        <w:spacing w:after="0" w:line="246" w:lineRule="auto"/>
        <w:rPr>
          <w:sz w:val="20"/>
          <w:szCs w:val="20"/>
          <w:color w:val="auto"/>
        </w:rPr>
      </w:pPr>
      <w:r>
        <w:rPr>
          <w:rFonts w:ascii="Times New Roman" w:cs="Times New Roman" w:eastAsia="Times New Roman" w:hAnsi="Times New Roman"/>
          <w:sz w:val="17"/>
          <w:szCs w:val="17"/>
          <w:color w:val="auto"/>
        </w:rPr>
        <w:t xml:space="preserve">6.2.6 </w:t>
      </w:r>
      <w:r>
        <w:rPr>
          <w:rFonts w:ascii="Times New Roman" w:cs="Times New Roman" w:eastAsia="Times New Roman" w:hAnsi="Times New Roman"/>
          <w:sz w:val="17"/>
          <w:szCs w:val="17"/>
          <w:u w:val="single" w:color="auto"/>
          <w:color w:val="auto"/>
        </w:rPr>
        <w:t>Licensed Intellectual Property not Owned by PARI</w:t>
      </w:r>
      <w:r>
        <w:rPr>
          <w:rFonts w:ascii="Times New Roman" w:cs="Times New Roman" w:eastAsia="Times New Roman" w:hAnsi="Times New Roman"/>
          <w:sz w:val="17"/>
          <w:szCs w:val="17"/>
          <w:color w:val="auto"/>
        </w:rPr>
        <w:t>. To the extent that any Licensed Intellectual Property is licensed by PARI from a third party, PARI shall comply with the above provisions to the fullest extent permissible under such licenses and shall keep Genoa reasonably informed of its progress.</w:t>
      </w:r>
    </w:p>
    <w:p>
      <w:pPr>
        <w:spacing w:after="0" w:line="131" w:lineRule="exact"/>
        <w:rPr>
          <w:sz w:val="20"/>
          <w:szCs w:val="20"/>
          <w:color w:val="auto"/>
        </w:rPr>
      </w:pPr>
    </w:p>
    <w:p>
      <w:pPr>
        <w:ind w:left="760" w:hanging="756"/>
        <w:spacing w:after="0"/>
        <w:tabs>
          <w:tab w:leader="none" w:pos="760" w:val="left"/>
        </w:tabs>
        <w:numPr>
          <w:ilvl w:val="0"/>
          <w:numId w:val="5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CONFIDENTIAL INFORMATION</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Non-use and Non-disclosure Obligations</w:t>
      </w:r>
      <w:r>
        <w:rPr>
          <w:rFonts w:ascii="Times New Roman" w:cs="Times New Roman" w:eastAsia="Times New Roman" w:hAnsi="Times New Roman"/>
          <w:sz w:val="17"/>
          <w:szCs w:val="17"/>
          <w:color w:val="auto"/>
        </w:rPr>
        <w:t>. Each of PARI and Genoa shall, and Genoa shall cause its Permitted Sublicensees to, use any Confidential Information received by it from the other Party solely in connection with exercise of their respective rights and/or performance of their respective obligations under this Agreement and the Supply Agreement, and shall not disclose such Confidential Information to any third party, without the prior written consent of the other Party. These obligations shall survive the expiration or termination of this Agreement for a period of [***]. These obligations shall not apply to information that:</w:t>
      </w:r>
    </w:p>
    <w:p>
      <w:pPr>
        <w:spacing w:after="0" w:line="140"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7"/>
          <w:szCs w:val="17"/>
          <w:color w:val="auto"/>
        </w:rPr>
        <w:t>7.1.1</w:t>
      </w:r>
      <w:r>
        <w:rPr>
          <w:sz w:val="20"/>
          <w:szCs w:val="20"/>
          <w:color w:val="auto"/>
        </w:rPr>
        <w:tab/>
      </w:r>
      <w:r>
        <w:rPr>
          <w:rFonts w:ascii="Times New Roman" w:cs="Times New Roman" w:eastAsia="Times New Roman" w:hAnsi="Times New Roman"/>
          <w:sz w:val="16"/>
          <w:szCs w:val="16"/>
          <w:color w:val="auto"/>
        </w:rPr>
        <w:t>is known by the receiving Party at the time of receipt and not through a prior disclosure by the disclosing Party;</w:t>
      </w:r>
    </w:p>
    <w:p>
      <w:pPr>
        <w:spacing w:after="0" w:line="162" w:lineRule="exact"/>
        <w:rPr>
          <w:sz w:val="20"/>
          <w:szCs w:val="20"/>
          <w:color w:val="auto"/>
        </w:rPr>
      </w:pPr>
    </w:p>
    <w:p>
      <w:pPr>
        <w:ind w:left="760" w:firstLine="752"/>
        <w:spacing w:after="0" w:line="259" w:lineRule="auto"/>
        <w:rPr>
          <w:sz w:val="20"/>
          <w:szCs w:val="20"/>
          <w:color w:val="auto"/>
        </w:rPr>
      </w:pPr>
      <w:r>
        <w:rPr>
          <w:rFonts w:ascii="Times New Roman" w:cs="Times New Roman" w:eastAsia="Times New Roman" w:hAnsi="Times New Roman"/>
          <w:sz w:val="17"/>
          <w:szCs w:val="17"/>
          <w:color w:val="auto"/>
        </w:rPr>
        <w:t>7.1.2 is at the time of disclosure or thereafter becomes published or otherwise part of the public domain through no breach of this Agreement by the receiving Party;</w:t>
      </w:r>
    </w:p>
    <w:p>
      <w:pPr>
        <w:spacing w:after="0" w:line="125"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7"/>
          <w:szCs w:val="17"/>
          <w:color w:val="auto"/>
        </w:rPr>
        <w:t>7.1.3</w:t>
      </w:r>
      <w:r>
        <w:rPr>
          <w:sz w:val="20"/>
          <w:szCs w:val="20"/>
          <w:color w:val="auto"/>
        </w:rPr>
        <w:tab/>
      </w:r>
      <w:r>
        <w:rPr>
          <w:rFonts w:ascii="Times New Roman" w:cs="Times New Roman" w:eastAsia="Times New Roman" w:hAnsi="Times New Roman"/>
          <w:sz w:val="16"/>
          <w:szCs w:val="16"/>
          <w:color w:val="auto"/>
        </w:rPr>
        <w:t>is subsequently disclosed to the receiving Party without restriction by a third party having the right to make such a disclosure; or</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7"/>
          <w:szCs w:val="17"/>
          <w:color w:val="auto"/>
        </w:rPr>
        <w:t>7.1.4</w:t>
      </w:r>
      <w:r>
        <w:rPr>
          <w:sz w:val="20"/>
          <w:szCs w:val="20"/>
          <w:color w:val="auto"/>
        </w:rPr>
        <w:tab/>
      </w:r>
      <w:r>
        <w:rPr>
          <w:rFonts w:ascii="Times New Roman" w:cs="Times New Roman" w:eastAsia="Times New Roman" w:hAnsi="Times New Roman"/>
          <w:sz w:val="16"/>
          <w:szCs w:val="16"/>
          <w:color w:val="auto"/>
        </w:rPr>
        <w:t>is developed by the receiving Party independently of information received by it from the disclosing Party hereunder.</w:t>
      </w:r>
    </w:p>
    <w:p>
      <w:pPr>
        <w:spacing w:after="0" w:line="162" w:lineRule="exact"/>
        <w:rPr>
          <w:sz w:val="20"/>
          <w:szCs w:val="20"/>
          <w:color w:val="auto"/>
        </w:rPr>
      </w:pPr>
    </w:p>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Required Disclosure</w:t>
      </w:r>
      <w:r>
        <w:rPr>
          <w:rFonts w:ascii="Times New Roman" w:cs="Times New Roman" w:eastAsia="Times New Roman" w:hAnsi="Times New Roman"/>
          <w:sz w:val="17"/>
          <w:szCs w:val="17"/>
          <w:color w:val="auto"/>
        </w:rPr>
        <w:t>. In order to provide the disclosing Party an opportunity to seek a protective order or the like with respect to certain Confidential Information of the disclosing Party, the receiving Party may disclose Confidential Information to the extent that it is required by Law or order of any governmental authority or agency, including the Securities and Exchange Commission the NYSE, NASDAQ or any other stock exchange, to be disclosed by a Party; provided, however, the receiving Party shall apply for confidential treatment of this Agreement to the fullest extent permitted by law, shall provide the other Party a copy of the confidential treatment request far enough in advance of its filing, if reasonably practical, to give the other Party a meaningful opportunity to comment thereon, and shall use reasonable efforts to incorporate in such confidential treatment request any reasonable comments of the other Party.</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7" w:right="319" w:bottom="1440" w:gutter="0" w:footer="0" w:header="0"/>
        </w:sectPr>
      </w:pPr>
    </w:p>
    <w:bookmarkStart w:id="579" w:name="page580"/>
    <w:bookmarkEnd w:id="579"/>
    <w:p>
      <w:pPr>
        <w:jc w:val="both"/>
        <w:ind w:firstLine="752"/>
        <w:spacing w:after="0" w:line="234"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Permitted Disclosure</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 7.1 (Non-use and Non-Disclosure Obligations)</w:t>
      </w:r>
      <w:r>
        <w:rPr>
          <w:rFonts w:ascii="Times New Roman" w:cs="Times New Roman" w:eastAsia="Times New Roman" w:hAnsi="Times New Roman"/>
          <w:sz w:val="17"/>
          <w:szCs w:val="17"/>
          <w:color w:val="auto"/>
        </w:rPr>
        <w:t xml:space="preserve">, Confidential Information provided under this Agreement by a disclosing Party may be disclosed to employees, agents, board members, consultants, prospective or actual Permitted Sublicensees, subcontractors (engaged by Genoa in connection with the clinical evaluation, contract manufacturing and/or commercialization of the Products), or suppliers of the receiving Party, but only to the extent permitted or required to accomplish the purposes of this Agreement; provided, however, that such employees, agents, board members, consultants, prospective or actual Permitted Sublicensees, subcontractors (engaged by Genoa in connection with the clinical evaluation, contract manufacturing and/or commercialization of the Products) or suppliers shall also agree to confidentiality and non-use provisions at least as strict as those contained in this Agreement. The receiving Party shall be responsible for any breaches of this Agreement by its employees, agents, board members, consultants, prospective or actual Permitted Sublicensees, subcontractors (engaged by Genoa in connection with the clinical evaluation, contract manufacturing and/or commercialization of the Products) or suppliers. In addition, a Party may disclose Confidential Information provided under this Agreement by the other Party to any governmental authority in order to prosecute or maintain any Licensed Intellectual Property or any Regulatory Authority to obtain approval to market a Product, but such disclosure may be made only (i) after the other Party has been provided written notice of such intended disclosure at least [***] in advance of such disclosure, unless otherwise prevented from providing such notice pursuant to Applicable Law, and (ii) to the extent necessary to pursue such prosecution or maintenance or to obtain such approval, in all cases to the extent permitted or required to accomplish the purposes of this Agreement. The Parties agree that with respect to Genoa’s negotiations with prospective Permitted Sublicensees, the term of the confidentiality and non-use provisions with Genoa may be shorter than the term of Genoa’s obligations to PARI hereunder but the term shall be at least [***] after the date of Genoa’s disclosure to such third party which disclosure shall otherwise be done in accordance with the terms hereof. For the purpose of clarification, </w:t>
      </w:r>
      <w:r>
        <w:rPr>
          <w:rFonts w:ascii="Times New Roman" w:cs="Times New Roman" w:eastAsia="Times New Roman" w:hAnsi="Times New Roman"/>
          <w:sz w:val="17"/>
          <w:szCs w:val="17"/>
          <w:u w:val="single" w:color="auto"/>
          <w:color w:val="auto"/>
        </w:rPr>
        <w:t>Section 2.3 (Right to Sublicense)</w:t>
      </w:r>
      <w:r>
        <w:rPr>
          <w:rFonts w:ascii="Times New Roman" w:cs="Times New Roman" w:eastAsia="Times New Roman" w:hAnsi="Times New Roman"/>
          <w:sz w:val="17"/>
          <w:szCs w:val="17"/>
          <w:color w:val="auto"/>
        </w:rPr>
        <w:t xml:space="preserve"> remains unchanged. Therefore, Permitted Sublicensees, once they enter into a license agreement or other definitive agreement with Genoa, shall be bound by confidentiality and non-use provisions at least as strict as those contained in this Agreement without any reduction of the term of confidentiality and non-use.</w:t>
      </w:r>
    </w:p>
    <w:p>
      <w:pPr>
        <w:spacing w:after="0" w:line="143"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Return</w:t>
      </w:r>
      <w:r>
        <w:rPr>
          <w:rFonts w:ascii="Times New Roman" w:cs="Times New Roman" w:eastAsia="Times New Roman" w:hAnsi="Times New Roman"/>
          <w:sz w:val="17"/>
          <w:szCs w:val="17"/>
          <w:color w:val="auto"/>
        </w:rPr>
        <w:t xml:space="preserve">. Upon the termination of this Agreement, all Confidential Information of the disclosing Party in the receiving Party’s possession will be returned to the disclosing Party (or destroyed by the receiving Party, with written confirmation of such destruction), and the receiving Party will make no further use thereof. Notwithstanding the foregoing, the receiving Party may retain one copy of the Confidential Information of the disclosing Party solely for archival purposes to ensure compliance with the provisions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(Confidential Information) or with the requirements of Regulatory Authorities.</w:t>
      </w:r>
    </w:p>
    <w:p>
      <w:pPr>
        <w:spacing w:after="0" w:line="140"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Publicity.</w:t>
      </w:r>
      <w:r>
        <w:rPr>
          <w:rFonts w:ascii="Times New Roman" w:cs="Times New Roman" w:eastAsia="Times New Roman" w:hAnsi="Times New Roman"/>
          <w:sz w:val="17"/>
          <w:szCs w:val="17"/>
          <w:color w:val="auto"/>
        </w:rPr>
        <w:t xml:space="preserve"> Except as required by Law or court order, all publicity, press releases and other announcements or disclosures relating to (i) the Product or the Drug Product as an inhaled therapy, (ii) the Device, (iii) the existence and terms of this Agreement or (iv) the transactions contemplated hereby shall be reviewed in advance by, and shall be subject to the written approval of, both Parties; provided, however, that such publicity, press releases and other announcements shall not disclose any Confidential Information of the other Party hereunder and shall give appropriate attribution to the Product(s) and the other Party’s role(s) in the project contemplated herein. Each Party shall provide the other Party an opportunity to review and comment on the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80" w:name="page581"/>
    <w:bookmarkEnd w:id="580"/>
    <w:p>
      <w:pPr>
        <w:jc w:val="both"/>
        <w:spacing w:after="0" w:line="259" w:lineRule="auto"/>
        <w:rPr>
          <w:sz w:val="20"/>
          <w:szCs w:val="20"/>
          <w:color w:val="auto"/>
        </w:rPr>
      </w:pPr>
      <w:r>
        <w:rPr>
          <w:rFonts w:ascii="Times New Roman" w:cs="Times New Roman" w:eastAsia="Times New Roman" w:hAnsi="Times New Roman"/>
          <w:sz w:val="17"/>
          <w:szCs w:val="17"/>
          <w:color w:val="auto"/>
        </w:rPr>
        <w:t>language of such attribution prior to first use thereof in a press release or other public disclosure. PARI’s contribution to the Product shall be acknowledged in all such press releases and any such presentations and publications of Genoa, its Affiliates and Permitted Sublicensees.</w:t>
      </w:r>
    </w:p>
    <w:p>
      <w:pPr>
        <w:spacing w:after="0" w:line="12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Permitted Sublicensees</w:t>
      </w:r>
      <w:r>
        <w:rPr>
          <w:rFonts w:ascii="Times New Roman" w:cs="Times New Roman" w:eastAsia="Times New Roman" w:hAnsi="Times New Roman"/>
          <w:sz w:val="17"/>
          <w:szCs w:val="17"/>
          <w:color w:val="auto"/>
        </w:rPr>
        <w:t xml:space="preserve">. The provisions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shall apply to all Permitted Sublicensees and Genoa shall cause the Permitted Sublicensees to comply with the provisions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and incorporate the provisions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in each Sublicense. Genoa shall be responsible for any breach of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by any of its Permitted Sublicensees.</w:t>
      </w:r>
    </w:p>
    <w:p>
      <w:pPr>
        <w:spacing w:after="0" w:line="131" w:lineRule="exact"/>
        <w:rPr>
          <w:sz w:val="20"/>
          <w:szCs w:val="20"/>
          <w:color w:val="auto"/>
        </w:rPr>
      </w:pPr>
    </w:p>
    <w:p>
      <w:pPr>
        <w:ind w:left="760" w:hanging="756"/>
        <w:spacing w:after="0"/>
        <w:tabs>
          <w:tab w:leader="none" w:pos="760" w:val="left"/>
        </w:tabs>
        <w:numPr>
          <w:ilvl w:val="0"/>
          <w:numId w:val="5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REPRESENTATIONS, WARRANTIES AND COVENANTS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Corporate Existence and Power</w:t>
      </w:r>
      <w:r>
        <w:rPr>
          <w:rFonts w:ascii="Times New Roman" w:cs="Times New Roman" w:eastAsia="Times New Roman" w:hAnsi="Times New Roman"/>
          <w:sz w:val="17"/>
          <w:szCs w:val="17"/>
          <w:color w:val="auto"/>
        </w:rPr>
        <w:t>. As of the Effective Date, each Party hereto represents and warrants to the other Party that (a) it is a corporation duly organized, validly existing and in good standing under the laws of the state or jurisdiction in which it is incorporated or organized; and (b) it has full power and authority and the legal right to own or license and operate its property and assets and to carry on its business as it is now being conducted and as contemplated in this Agreement.</w:t>
      </w:r>
    </w:p>
    <w:p>
      <w:pPr>
        <w:spacing w:after="0" w:line="140" w:lineRule="exact"/>
        <w:rPr>
          <w:sz w:val="20"/>
          <w:szCs w:val="20"/>
          <w:color w:val="auto"/>
        </w:rPr>
      </w:pPr>
    </w:p>
    <w:p>
      <w:pPr>
        <w:jc w:val="both"/>
        <w:ind w:firstLine="752"/>
        <w:spacing w:after="0" w:line="251" w:lineRule="auto"/>
        <w:rPr>
          <w:sz w:val="20"/>
          <w:szCs w:val="20"/>
          <w:color w:val="auto"/>
        </w:rPr>
      </w:pPr>
      <w:r>
        <w:rPr>
          <w:rFonts w:ascii="Times New Roman" w:cs="Times New Roman" w:eastAsia="Times New Roman" w:hAnsi="Times New Roman"/>
          <w:sz w:val="16"/>
          <w:szCs w:val="16"/>
          <w:color w:val="auto"/>
        </w:rPr>
        <w:t xml:space="preserve">8.2 </w:t>
      </w:r>
      <w:r>
        <w:rPr>
          <w:rFonts w:ascii="Times New Roman" w:cs="Times New Roman" w:eastAsia="Times New Roman" w:hAnsi="Times New Roman"/>
          <w:sz w:val="16"/>
          <w:szCs w:val="16"/>
          <w:u w:val="single" w:color="auto"/>
          <w:color w:val="auto"/>
        </w:rPr>
        <w:t>Authority</w:t>
      </w:r>
      <w:r>
        <w:rPr>
          <w:rFonts w:ascii="Times New Roman" w:cs="Times New Roman" w:eastAsia="Times New Roman" w:hAnsi="Times New Roman"/>
          <w:sz w:val="16"/>
          <w:szCs w:val="16"/>
          <w:color w:val="auto"/>
        </w:rPr>
        <w:t>. As of the Effective Date, each Party hereto represents and warrants to the other Party that (a) it has the power and authority and the legal right to enter into this Agreement and perform its obligations hereunder; (b) it has taken all necessary action on its part required to authorize the execution and delivery of this Agreement and the performance of its obligations hereunder; (c) this Agreement has been duly executed and delivered on behalf of such Party, and constitutes a legal, valid and binding obligation of such Party and is enforceable against it in accordance with its terms; (d) all necessary consents, approvals and authorizations of all governmental authorities and other persons or entities required to be obtained by such Party in connection with entry into this Agreement have been obtained; and</w:t>
      </w:r>
    </w:p>
    <w:p>
      <w:pPr>
        <w:spacing w:after="0" w:line="2" w:lineRule="exact"/>
        <w:rPr>
          <w:sz w:val="20"/>
          <w:szCs w:val="20"/>
          <w:color w:val="auto"/>
        </w:rPr>
      </w:pPr>
    </w:p>
    <w:p>
      <w:pPr>
        <w:jc w:val="both"/>
        <w:ind w:firstLine="4"/>
        <w:spacing w:after="0" w:line="235" w:lineRule="auto"/>
        <w:tabs>
          <w:tab w:leader="none" w:pos="247" w:val="left"/>
        </w:tabs>
        <w:numPr>
          <w:ilvl w:val="0"/>
          <w:numId w:val="5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performance of such Party’s obligations hereunder (i) do not conflict with or violate any requirement of applicable Law or any provisions of such Party’s charter documents in any material way, and (ii) do not conflict with, violate or breach or constitute a default or require any consent under, any contractual obligation, agreement, license, or any written instrument with any third party or court or administrative order by which such Party is bound.</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Intellectual Property</w:t>
      </w:r>
      <w:r>
        <w:rPr>
          <w:rFonts w:ascii="Times New Roman" w:cs="Times New Roman" w:eastAsia="Times New Roman" w:hAnsi="Times New Roman"/>
          <w:sz w:val="17"/>
          <w:szCs w:val="17"/>
          <w:color w:val="auto"/>
        </w:rPr>
        <w:t>. PARI represents and warrants that, to its knowledge, Schedule C sets forth [***].</w:t>
      </w:r>
    </w:p>
    <w:p>
      <w:pPr>
        <w:spacing w:after="0" w:line="162" w:lineRule="exact"/>
        <w:rPr>
          <w:sz w:val="20"/>
          <w:szCs w:val="20"/>
          <w:color w:val="auto"/>
        </w:rPr>
      </w:pPr>
    </w:p>
    <w:p>
      <w:pPr>
        <w:jc w:val="both"/>
        <w:ind w:left="760" w:firstLine="752"/>
        <w:spacing w:after="0" w:line="238" w:lineRule="auto"/>
        <w:rPr>
          <w:sz w:val="20"/>
          <w:szCs w:val="20"/>
          <w:color w:val="auto"/>
        </w:rPr>
      </w:pPr>
      <w:r>
        <w:rPr>
          <w:rFonts w:ascii="Times New Roman" w:cs="Times New Roman" w:eastAsia="Times New Roman" w:hAnsi="Times New Roman"/>
          <w:sz w:val="17"/>
          <w:szCs w:val="17"/>
          <w:color w:val="auto"/>
        </w:rPr>
        <w:t xml:space="preserve">8.3.1 As of the Effective Date, PARI represents and warrants that it exclusively (except with respect to the Patents referred to on </w:t>
      </w:r>
      <w:r>
        <w:rPr>
          <w:rFonts w:ascii="Times New Roman" w:cs="Times New Roman" w:eastAsia="Times New Roman" w:hAnsi="Times New Roman"/>
          <w:sz w:val="17"/>
          <w:szCs w:val="17"/>
          <w:u w:val="single" w:color="auto"/>
          <w:color w:val="auto"/>
        </w:rPr>
        <w:t>Schedule C</w:t>
      </w:r>
      <w:r>
        <w:rPr>
          <w:rFonts w:ascii="Times New Roman" w:cs="Times New Roman" w:eastAsia="Times New Roman" w:hAnsi="Times New Roman"/>
          <w:sz w:val="17"/>
          <w:szCs w:val="17"/>
          <w:color w:val="auto"/>
        </w:rPr>
        <w:t xml:space="preserve"> as the [***]) owns or controls the right, title and interest or has exclusive rights in the Licensed Intellectual Property in the Field, and to Exploit the Licensed Intellectual Property in accordance with the terms of this Agreement, and the rights of PARI to the Licensed Intellectual Property for [***] via the Device, to the best of PARI’s knowledge, are valid and enforceable. PARI has not assigned, licensed, sublicensed, granted any interest in or options to the Licensed Intellectual Property in the Territory to any third party in violation of this Agreement and shall not do so during the Term, except as permitted under this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81" w:name="page582"/>
    <w:bookmarkEnd w:id="581"/>
    <w:p>
      <w:pPr>
        <w:ind w:left="740"/>
        <w:spacing w:after="0"/>
        <w:tabs>
          <w:tab w:leader="none" w:pos="1260" w:val="left"/>
        </w:tabs>
        <w:rPr>
          <w:sz w:val="20"/>
          <w:szCs w:val="20"/>
          <w:color w:val="auto"/>
        </w:rPr>
      </w:pPr>
      <w:r>
        <w:rPr>
          <w:rFonts w:ascii="Times New Roman" w:cs="Times New Roman" w:eastAsia="Times New Roman" w:hAnsi="Times New Roman"/>
          <w:sz w:val="17"/>
          <w:szCs w:val="17"/>
          <w:color w:val="auto"/>
        </w:rPr>
        <w:t>8.3.2</w:t>
      </w:r>
      <w:r>
        <w:rPr>
          <w:sz w:val="20"/>
          <w:szCs w:val="20"/>
          <w:color w:val="auto"/>
        </w:rPr>
        <w:tab/>
      </w:r>
      <w:r>
        <w:rPr>
          <w:rFonts w:ascii="Times New Roman" w:cs="Times New Roman" w:eastAsia="Times New Roman" w:hAnsi="Times New Roman"/>
          <w:sz w:val="16"/>
          <w:szCs w:val="16"/>
          <w:color w:val="auto"/>
        </w:rPr>
        <w:t>As of the Effective Date, PARI represents and warrants that the Licensed Intellectual Property is free and clear of all Encumbrances.</w:t>
      </w:r>
    </w:p>
    <w:p>
      <w:pPr>
        <w:spacing w:after="0" w:line="162"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8.3.3 As of the Effective Date, PARI represents and warrants that all registrations with and applications to governmental or regulatory bodies in respect of the Licensed Intellectual Property in the Territory required to be made by PARI, or made at its direction and under its control, are subsisting and PARI has taken all commercially reasonable actions required to maintain their validity, enforceability and effectiveness.</w:t>
      </w:r>
    </w:p>
    <w:p>
      <w:pPr>
        <w:spacing w:after="0" w:line="13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8.3.4 As of the Effective Date, PARI represents and warrants that it has taken commercially reasonable measures to protect the secrecy, confidentiality and value of the Licensed Know-How. To the knowledge of PARI, PARI is not nor has it received any notice that it is, in default (or with the giving of notice or lapse of time or both, would be in default) under any license with respect to the Licensed Intellectual Property.</w:t>
      </w:r>
    </w:p>
    <w:p>
      <w:pPr>
        <w:spacing w:after="0" w:line="135" w:lineRule="exact"/>
        <w:rPr>
          <w:sz w:val="20"/>
          <w:szCs w:val="20"/>
          <w:color w:val="auto"/>
        </w:rPr>
      </w:pPr>
    </w:p>
    <w:p>
      <w:pPr>
        <w:jc w:val="both"/>
        <w:ind w:firstLine="752"/>
        <w:spacing w:after="0" w:line="257" w:lineRule="auto"/>
        <w:rPr>
          <w:sz w:val="20"/>
          <w:szCs w:val="20"/>
          <w:color w:val="auto"/>
        </w:rPr>
      </w:pPr>
      <w:r>
        <w:rPr>
          <w:rFonts w:ascii="Times New Roman" w:cs="Times New Roman" w:eastAsia="Times New Roman" w:hAnsi="Times New Roman"/>
          <w:sz w:val="16"/>
          <w:szCs w:val="16"/>
          <w:color w:val="auto"/>
        </w:rPr>
        <w:t xml:space="preserve">8.3.5 Other than as set forth in </w:t>
      </w:r>
      <w:r>
        <w:rPr>
          <w:rFonts w:ascii="Times New Roman" w:cs="Times New Roman" w:eastAsia="Times New Roman" w:hAnsi="Times New Roman"/>
          <w:sz w:val="16"/>
          <w:szCs w:val="16"/>
          <w:u w:val="single" w:color="auto"/>
          <w:color w:val="auto"/>
        </w:rPr>
        <w:t>Schedule D</w:t>
      </w:r>
      <w:r>
        <w:rPr>
          <w:rFonts w:ascii="Times New Roman" w:cs="Times New Roman" w:eastAsia="Times New Roman" w:hAnsi="Times New Roman"/>
          <w:sz w:val="16"/>
          <w:szCs w:val="16"/>
          <w:color w:val="auto"/>
        </w:rPr>
        <w:t xml:space="preserve"> attached hereto, as of the Effective Date, for [***] via the Device in the Territory, to the knowledge of PARI: (a) no third party has interfered with, infringed upon, or misappropriated the Licensed Intellectual Property; and (b) there are no facts which would form a reasonable basis for any claim of such interference, infringement, or misappropriation. Other than as set forth in </w:t>
      </w:r>
      <w:r>
        <w:rPr>
          <w:rFonts w:ascii="Times New Roman" w:cs="Times New Roman" w:eastAsia="Times New Roman" w:hAnsi="Times New Roman"/>
          <w:sz w:val="16"/>
          <w:szCs w:val="16"/>
          <w:u w:val="single" w:color="auto"/>
          <w:color w:val="auto"/>
        </w:rPr>
        <w:t>Schedule D</w:t>
      </w:r>
      <w:r>
        <w:rPr>
          <w:rFonts w:ascii="Times New Roman" w:cs="Times New Roman" w:eastAsia="Times New Roman" w:hAnsi="Times New Roman"/>
          <w:sz w:val="16"/>
          <w:szCs w:val="16"/>
          <w:color w:val="auto"/>
        </w:rPr>
        <w:t xml:space="preserve"> attached hereto, as of the Effective Date, no Claim is pending or, to the knowledge of PARI, is threatened which challenges the legality, validity, enforceability, or ownership of any Licensed Intellectual Property, and to the knowledge of PARI, there are no facts which would form a reasonable basis for any such Claim.</w:t>
      </w:r>
    </w:p>
    <w:p>
      <w:pPr>
        <w:spacing w:after="0" w:line="129"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8.3.6 Other than as set forth in </w:t>
      </w:r>
      <w:r>
        <w:rPr>
          <w:rFonts w:ascii="Times New Roman" w:cs="Times New Roman" w:eastAsia="Times New Roman" w:hAnsi="Times New Roman"/>
          <w:sz w:val="17"/>
          <w:szCs w:val="17"/>
          <w:u w:val="single" w:color="auto"/>
          <w:color w:val="auto"/>
        </w:rPr>
        <w:t>Schedule D</w:t>
      </w:r>
      <w:r>
        <w:rPr>
          <w:rFonts w:ascii="Times New Roman" w:cs="Times New Roman" w:eastAsia="Times New Roman" w:hAnsi="Times New Roman"/>
          <w:sz w:val="17"/>
          <w:szCs w:val="17"/>
          <w:color w:val="auto"/>
        </w:rPr>
        <w:t xml:space="preserve"> attached hereto, as of the Effective Date, PARI represents and warrants that, to the best of its knowledge, the Exploitation of the Device or any Accessory in the Field in the Territory does not interfere with, infringe upon, or misappropriate, any valid and enforceable intellectual property rights of any third party.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Design of Device</w:t>
      </w:r>
      <w:r>
        <w:rPr>
          <w:rFonts w:ascii="Times New Roman" w:cs="Times New Roman" w:eastAsia="Times New Roman" w:hAnsi="Times New Roman"/>
          <w:sz w:val="17"/>
          <w:szCs w:val="17"/>
          <w:color w:val="auto"/>
        </w:rPr>
        <w:t>. As of the Effective Date, PARI represents and warrants that:</w:t>
      </w:r>
    </w:p>
    <w:p>
      <w:pPr>
        <w:spacing w:after="0" w:line="162"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8.4.1 To PARI’s knowledge, there are no design defects in the Device or any Accessory that could reasonably be expected to result in a recall, suspension or withdrawal of such or a personal injury claim relating to the Device or any Accessory.</w:t>
      </w:r>
    </w:p>
    <w:p>
      <w:pPr>
        <w:spacing w:after="0" w:line="12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8.4.2 The eFlow Technology Nebulizer is, and the Device is intended to be manufactured in compliance with all current and otherwise applicable statutes, rules, regulations, standards or orders administered or issued by the FDA and all other Regulatory Authorities which have jurisdiction.</w:t>
      </w:r>
    </w:p>
    <w:p>
      <w:pPr>
        <w:spacing w:after="0" w:line="12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8.4.3 PARI has conducted no product recalls and has issued no notifications or safety alerts relating to the eFlow Technology Nebulizer, whether or not required by a Regulatory Authority, and has received no request from a Regulatory Authority requesting that PARI cease to investigate, test or market the eFlow Technology Nebulizer.</w:t>
      </w:r>
    </w:p>
    <w:p>
      <w:pPr>
        <w:spacing w:after="0" w:line="200" w:lineRule="exact"/>
        <w:rPr>
          <w:sz w:val="20"/>
          <w:szCs w:val="20"/>
          <w:color w:val="auto"/>
        </w:rPr>
      </w:pPr>
    </w:p>
    <w:p>
      <w:pPr>
        <w:spacing w:after="0" w:line="250"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82" w:name="page583"/>
    <w:bookmarkEnd w:id="582"/>
    <w:p>
      <w:pPr>
        <w:jc w:val="both"/>
        <w:ind w:left="760" w:firstLine="752"/>
        <w:spacing w:after="0" w:line="246" w:lineRule="auto"/>
        <w:rPr>
          <w:sz w:val="20"/>
          <w:szCs w:val="20"/>
          <w:color w:val="auto"/>
        </w:rPr>
      </w:pPr>
      <w:r>
        <w:rPr>
          <w:rFonts w:ascii="Times New Roman" w:cs="Times New Roman" w:eastAsia="Times New Roman" w:hAnsi="Times New Roman"/>
          <w:sz w:val="17"/>
          <w:szCs w:val="17"/>
          <w:color w:val="auto"/>
        </w:rPr>
        <w:t>8.4.4 To PARI’s knowledge, there are no facts which would cause: (A) a change in the marketing classification or a change in labeling of the eFlow Technology Nebulizer; (B) a termination or suspension of marketing of the eFlow Technology Nebulizer; or (C) a termination or suspension of any clinical trials relating to the eFlow Technology Nebulizer, wherein such termination or suspension is required due to the eFlow Technology Nebulizer.</w:t>
      </w:r>
    </w:p>
    <w:p>
      <w:pPr>
        <w:spacing w:after="0" w:line="135"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Regulatory Matters</w:t>
      </w:r>
      <w:r>
        <w:rPr>
          <w:rFonts w:ascii="Times New Roman" w:cs="Times New Roman" w:eastAsia="Times New Roman" w:hAnsi="Times New Roman"/>
          <w:sz w:val="17"/>
          <w:szCs w:val="17"/>
          <w:color w:val="auto"/>
        </w:rPr>
        <w:t>. As of the Effective Date, PARI represents and warrants to Genoa that PARI holds, and is operating in material compliance with, such exceptions, permits, licenses, franchises, authorizations and clearances of the FDA and/or any other governmental entity required in connection with the development to date of the Device or eFlow Technology Nebulizer, or any existing or prior manifestation of eFlow Technology Nebulizer. PARI further represents and warrants to Genoa that it has not received any warning letters or written correspondence from the FDA and/or any other governmental entity requiring the termination, suspension or modification of any clinical or pre-clinical studies or tests with respect to the eFlow Technology Nebulizer.</w:t>
      </w:r>
    </w:p>
    <w:p>
      <w:pPr>
        <w:spacing w:after="0" w:line="141"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Compliance with Laws</w:t>
      </w:r>
      <w:r>
        <w:rPr>
          <w:rFonts w:ascii="Times New Roman" w:cs="Times New Roman" w:eastAsia="Times New Roman" w:hAnsi="Times New Roman"/>
          <w:sz w:val="17"/>
          <w:szCs w:val="17"/>
          <w:color w:val="auto"/>
        </w:rPr>
        <w:t>. As of the Effective Date, PARI represents and warrants to Genoa that PARI is in compliance in all material respects with all Laws that are applicable to its ownership interest in, or the operation or use of, the Device, eFlow Technology Nebulizer and any Accessory, and there are no events, conditions, circumstances, activities, practices, incidents or actions relating thereto that would interfere with or prevent compliance or continued compliance with or give rise to any liabilities or investigative, corrective or remedial obligations under applicable Laws.</w:t>
      </w:r>
    </w:p>
    <w:p>
      <w:pPr>
        <w:spacing w:after="0" w:line="140"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u w:val="single" w:color="auto"/>
          <w:color w:val="auto"/>
        </w:rPr>
        <w:t>Legal Proceedings</w:t>
      </w:r>
      <w:r>
        <w:rPr>
          <w:rFonts w:ascii="Times New Roman" w:cs="Times New Roman" w:eastAsia="Times New Roman" w:hAnsi="Times New Roman"/>
          <w:sz w:val="17"/>
          <w:szCs w:val="17"/>
          <w:color w:val="auto"/>
        </w:rPr>
        <w:t>. As of the Effective Date, and other than as set forth on Schedule D attached hereto, PARI represents and warrants to Genoa that there is no pending Proceeding (a) that has been commenced by or against PARI or any of its Affiliates or that otherwise relates to or may affect the Licensed Intellectual Property, or (b) that challenges, or may have the effect of preventing, delaying, making illegal, or otherwise interfering with, any of the transactions contemplated by this Agreement. To the knowledge of PARI, (i) no such Proceeding has been threatened, and (ii) no event has occurred or circumstance exists that may give rise to or serve as a basis for the commencement of any such Proceeding.</w:t>
      </w:r>
    </w:p>
    <w:p>
      <w:pPr>
        <w:spacing w:after="0" w:line="141" w:lineRule="exact"/>
        <w:rPr>
          <w:sz w:val="20"/>
          <w:szCs w:val="20"/>
          <w:color w:val="auto"/>
        </w:rPr>
      </w:pPr>
    </w:p>
    <w:p>
      <w:pPr>
        <w:jc w:val="both"/>
        <w:ind w:firstLine="752"/>
        <w:spacing w:after="0" w:line="236" w:lineRule="auto"/>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u w:val="single" w:color="auto"/>
          <w:color w:val="auto"/>
        </w:rPr>
        <w:t>Non-Compete in Territory and Exclusivity</w:t>
      </w:r>
      <w:r>
        <w:rPr>
          <w:rFonts w:ascii="Times New Roman" w:cs="Times New Roman" w:eastAsia="Times New Roman" w:hAnsi="Times New Roman"/>
          <w:sz w:val="17"/>
          <w:szCs w:val="17"/>
          <w:color w:val="auto"/>
        </w:rPr>
        <w:t xml:space="preserve">. From the Effective Date until this Agreement is terminated or expired, neither PARI nor any of its Affiliates shall, directly or indirectly, anywhere in the Territory in the Field, Exploit, either by itself or through its Affiliates or licensees, or collaborate with a third party on, the Device or any eFlow Technology Nebulizer for use with any Drug Product, whether or not such Drug Product is being developed or commercialized pursuant to the terms hereof; provided that this </w:t>
      </w:r>
      <w:r>
        <w:rPr>
          <w:rFonts w:ascii="Times New Roman" w:cs="Times New Roman" w:eastAsia="Times New Roman" w:hAnsi="Times New Roman"/>
          <w:sz w:val="17"/>
          <w:szCs w:val="17"/>
          <w:u w:val="single" w:color="auto"/>
          <w:color w:val="auto"/>
        </w:rPr>
        <w:t>Section 8.8</w:t>
      </w:r>
      <w:r>
        <w:rPr>
          <w:rFonts w:ascii="Times New Roman" w:cs="Times New Roman" w:eastAsia="Times New Roman" w:hAnsi="Times New Roman"/>
          <w:sz w:val="17"/>
          <w:szCs w:val="17"/>
          <w:color w:val="auto"/>
        </w:rPr>
        <w:t xml:space="preserve"> shall be of no force and effect in a Major EU Country, on a country-by-country basis (provided however, that if the below applies to all Major EU Countries and the non-compete and exclusivity set forth in this </w:t>
      </w:r>
      <w:r>
        <w:rPr>
          <w:rFonts w:ascii="Times New Roman" w:cs="Times New Roman" w:eastAsia="Times New Roman" w:hAnsi="Times New Roman"/>
          <w:sz w:val="17"/>
          <w:szCs w:val="17"/>
          <w:u w:val="single" w:color="auto"/>
          <w:color w:val="auto"/>
        </w:rPr>
        <w:t>Section 8.8</w:t>
      </w:r>
      <w:r>
        <w:rPr>
          <w:rFonts w:ascii="Times New Roman" w:cs="Times New Roman" w:eastAsia="Times New Roman" w:hAnsi="Times New Roman"/>
          <w:sz w:val="17"/>
          <w:szCs w:val="17"/>
          <w:color w:val="auto"/>
        </w:rPr>
        <w:t xml:space="preserve"> is no longer in force and effect, then it will also automatically be no longer in force and effect for the rest of Europe), with respect to such Drug Product to the extent that Genoa, after receiving [***] written notice from PARI and Genoa failed to take the action set forth in (x) or (y), as the case may be, (x) fails to submit the NDA or its foreign equivalent with the applicable Regulatory Authority MAA in such Major EU Country for Regulatory Approval for the Drug</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83" w:name="page584"/>
    <w:bookmarkEnd w:id="583"/>
    <w:p>
      <w:pPr>
        <w:jc w:val="both"/>
        <w:spacing w:after="0" w:line="241" w:lineRule="auto"/>
        <w:rPr>
          <w:sz w:val="20"/>
          <w:szCs w:val="20"/>
          <w:color w:val="auto"/>
        </w:rPr>
      </w:pPr>
      <w:r>
        <w:rPr>
          <w:rFonts w:ascii="Times New Roman" w:cs="Times New Roman" w:eastAsia="Times New Roman" w:hAnsi="Times New Roman"/>
          <w:sz w:val="17"/>
          <w:szCs w:val="17"/>
          <w:color w:val="auto"/>
        </w:rPr>
        <w:t>Product within eighteen (18) months following the date on which the initial Regulatory Approval by the FDA is granted, unless the EMA requires an additional Phase 3 study of alternative design (in this case, Genoa is required to start the study within [***] of EMA request, and committed to submit to the EMA within [***] of study completion) or, (y) Genoa complies with obligation set forth in sub-section (x) above, but does not continue to use Commercially Reasonable Efforts to obtain Regulatory Approval in such Major EU Country.</w:t>
      </w:r>
    </w:p>
    <w:p>
      <w:pPr>
        <w:spacing w:after="0" w:line="140" w:lineRule="exact"/>
        <w:rPr>
          <w:sz w:val="20"/>
          <w:szCs w:val="20"/>
          <w:color w:val="auto"/>
        </w:rPr>
      </w:pPr>
    </w:p>
    <w:p>
      <w:pPr>
        <w:jc w:val="both"/>
        <w:ind w:left="760" w:firstLine="752"/>
        <w:spacing w:after="0" w:line="235" w:lineRule="auto"/>
        <w:rPr>
          <w:sz w:val="20"/>
          <w:szCs w:val="20"/>
          <w:color w:val="auto"/>
        </w:rPr>
      </w:pPr>
      <w:r>
        <w:rPr>
          <w:rFonts w:ascii="Times New Roman" w:cs="Times New Roman" w:eastAsia="Times New Roman" w:hAnsi="Times New Roman"/>
          <w:sz w:val="17"/>
          <w:szCs w:val="17"/>
          <w:color w:val="auto"/>
        </w:rPr>
        <w:t>8.8.1 In addition, the use, research, development and/or commercialization by a third party of a Drug Product for use with any General Purpose Nebulizer (as defined herein), including a General Purpose eFlow Technology Nebulizer (e.g. eFlow Rapid</w:t>
      </w:r>
      <w:r>
        <w:rPr>
          <w:rFonts w:ascii="Times New Roman" w:cs="Times New Roman" w:eastAsia="Times New Roman" w:hAnsi="Times New Roman"/>
          <w:sz w:val="11"/>
          <w:szCs w:val="11"/>
          <w:color w:val="auto"/>
        </w:rPr>
        <w:t>TM</w:t>
      </w:r>
      <w:r>
        <w:rPr>
          <w:rFonts w:ascii="Times New Roman" w:cs="Times New Roman" w:eastAsia="Times New Roman" w:hAnsi="Times New Roman"/>
          <w:sz w:val="17"/>
          <w:szCs w:val="17"/>
          <w:color w:val="auto"/>
        </w:rPr>
        <w:t xml:space="preserve"> ), shall not be deemed a breach of this </w:t>
      </w:r>
      <w:r>
        <w:rPr>
          <w:rFonts w:ascii="Times New Roman" w:cs="Times New Roman" w:eastAsia="Times New Roman" w:hAnsi="Times New Roman"/>
          <w:sz w:val="17"/>
          <w:szCs w:val="17"/>
          <w:u w:val="single" w:color="auto"/>
          <w:color w:val="auto"/>
        </w:rPr>
        <w:t>Section 8.8</w:t>
      </w:r>
      <w:r>
        <w:rPr>
          <w:rFonts w:ascii="Times New Roman" w:cs="Times New Roman" w:eastAsia="Times New Roman" w:hAnsi="Times New Roman"/>
          <w:sz w:val="17"/>
          <w:szCs w:val="17"/>
          <w:color w:val="auto"/>
        </w:rPr>
        <w:t xml:space="preserve"> by PARI or any of its Affiliates, so long as PARI does not solicit or enter into any written or other form of agreement with such third party for the supply, testing, feasibility evaluation, development, or commercialization of any eFlow Technology Nebulizer (including the eFlow Rapid</w:t>
      </w:r>
      <w:r>
        <w:rPr>
          <w:rFonts w:ascii="Times New Roman" w:cs="Times New Roman" w:eastAsia="Times New Roman" w:hAnsi="Times New Roman"/>
          <w:sz w:val="11"/>
          <w:szCs w:val="11"/>
          <w:color w:val="auto"/>
        </w:rPr>
        <w:t>TM</w:t>
      </w:r>
      <w:r>
        <w:rPr>
          <w:rFonts w:ascii="Times New Roman" w:cs="Times New Roman" w:eastAsia="Times New Roman" w:hAnsi="Times New Roman"/>
          <w:sz w:val="17"/>
          <w:szCs w:val="17"/>
          <w:color w:val="auto"/>
        </w:rPr>
        <w:t xml:space="preserve">) for a Drug Product (for the avoidance of doubt, supply of any General Purpose Nebulizer including a General Purpose eFlow Technology Nebulizer, to a third party for such third party’s testing, feasibility evaluation, development or commercialization shall not be deemed a breach of this </w:t>
      </w:r>
      <w:r>
        <w:rPr>
          <w:rFonts w:ascii="Times New Roman" w:cs="Times New Roman" w:eastAsia="Times New Roman" w:hAnsi="Times New Roman"/>
          <w:sz w:val="17"/>
          <w:szCs w:val="17"/>
          <w:u w:val="single" w:color="auto"/>
          <w:color w:val="auto"/>
        </w:rPr>
        <w:t>Section 8.8</w:t>
      </w:r>
      <w:r>
        <w:rPr>
          <w:rFonts w:ascii="Times New Roman" w:cs="Times New Roman" w:eastAsia="Times New Roman" w:hAnsi="Times New Roman"/>
          <w:sz w:val="17"/>
          <w:szCs w:val="17"/>
          <w:color w:val="auto"/>
        </w:rPr>
        <w:t>). A “General Purpose Nebulizer” is any Nebulizer cleared to market for delivery of medicines [***], but shall in any event exclude the Device. Genoa acknowledges that PARI has no control over the supply by PARI distributors of General Purpose Nebulizers to third parties and thus the above restrictions shall not apply to such PARI distributors, provided PARI shall not enter into any written or other form of agreement with PARI distributors or other entity to provide testing, feasibility evaluation, development, or commercialization of General Purpose eFlow Technology Nebulizers for a Drug Product.</w:t>
      </w:r>
    </w:p>
    <w:p>
      <w:pPr>
        <w:spacing w:after="0" w:line="146" w:lineRule="exact"/>
        <w:rPr>
          <w:sz w:val="20"/>
          <w:szCs w:val="20"/>
          <w:color w:val="auto"/>
        </w:rPr>
      </w:pPr>
    </w:p>
    <w:p>
      <w:pPr>
        <w:jc w:val="both"/>
        <w:ind w:left="760" w:firstLine="752"/>
        <w:spacing w:after="0" w:line="259" w:lineRule="auto"/>
        <w:rPr>
          <w:sz w:val="20"/>
          <w:szCs w:val="20"/>
          <w:color w:val="auto"/>
        </w:rPr>
      </w:pPr>
      <w:r>
        <w:rPr>
          <w:rFonts w:ascii="Times New Roman" w:cs="Times New Roman" w:eastAsia="Times New Roman" w:hAnsi="Times New Roman"/>
          <w:sz w:val="17"/>
          <w:szCs w:val="17"/>
          <w:color w:val="auto"/>
        </w:rPr>
        <w:t>8.8.2 During the Term, PARI shall not Exploit, either by itself or through its Affiliates or licensees, the eFlow Technology Nebulizer for the pulmonary delivery of any Drug Product, except as part of the collaboration with Genoa hereunder.</w:t>
      </w:r>
    </w:p>
    <w:p>
      <w:pPr>
        <w:spacing w:after="0" w:line="125" w:lineRule="exact"/>
        <w:rPr>
          <w:sz w:val="20"/>
          <w:szCs w:val="20"/>
          <w:color w:val="auto"/>
        </w:rPr>
      </w:pPr>
    </w:p>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 xml:space="preserve">8.9 </w:t>
      </w:r>
      <w:r>
        <w:rPr>
          <w:rFonts w:ascii="Times New Roman" w:cs="Times New Roman" w:eastAsia="Times New Roman" w:hAnsi="Times New Roman"/>
          <w:sz w:val="17"/>
          <w:szCs w:val="17"/>
          <w:u w:val="single" w:color="auto"/>
          <w:color w:val="auto"/>
        </w:rPr>
        <w:t>Off-Label Promotion</w:t>
      </w:r>
      <w:r>
        <w:rPr>
          <w:rFonts w:ascii="Times New Roman" w:cs="Times New Roman" w:eastAsia="Times New Roman" w:hAnsi="Times New Roman"/>
          <w:sz w:val="17"/>
          <w:szCs w:val="17"/>
          <w:color w:val="auto"/>
        </w:rPr>
        <w:t xml:space="preserve">. Neither Party shall, nor shall cause any of its Affiliates or Permitted Sublicensees to, as applicable, either directly or knowingly indirectly, either itself or themselves or in active participation with a third party, offer for sale or sell any compound or device that is the subject of </w:t>
      </w:r>
      <w:r>
        <w:rPr>
          <w:rFonts w:ascii="Times New Roman" w:cs="Times New Roman" w:eastAsia="Times New Roman" w:hAnsi="Times New Roman"/>
          <w:sz w:val="17"/>
          <w:szCs w:val="17"/>
          <w:u w:val="single" w:color="auto"/>
          <w:color w:val="auto"/>
        </w:rPr>
        <w:t>Section 8.8 (Non-Compete in Territory and Exclusivity)</w:t>
      </w:r>
      <w:r>
        <w:rPr>
          <w:rFonts w:ascii="Times New Roman" w:cs="Times New Roman" w:eastAsia="Times New Roman" w:hAnsi="Times New Roman"/>
          <w:sz w:val="17"/>
          <w:szCs w:val="17"/>
          <w:color w:val="auto"/>
        </w:rPr>
        <w:t xml:space="preserve"> in the Field, including off-label use. Without absolving any breach of the forgoing requirements of this </w:t>
      </w:r>
      <w:r>
        <w:rPr>
          <w:rFonts w:ascii="Times New Roman" w:cs="Times New Roman" w:eastAsia="Times New Roman" w:hAnsi="Times New Roman"/>
          <w:sz w:val="17"/>
          <w:szCs w:val="17"/>
          <w:u w:val="single" w:color="auto"/>
          <w:color w:val="auto"/>
        </w:rPr>
        <w:t>Section 8.9</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8.8 (Non-Compete in Territory and Exclusivity)</w:t>
      </w:r>
      <w:r>
        <w:rPr>
          <w:rFonts w:ascii="Times New Roman" w:cs="Times New Roman" w:eastAsia="Times New Roman" w:hAnsi="Times New Roman"/>
          <w:sz w:val="17"/>
          <w:szCs w:val="17"/>
          <w:color w:val="auto"/>
        </w:rPr>
        <w:t xml:space="preserve"> above, in the event that it comes to either Party’s attention that any such compound or device is in fact offered for sale or sold in the Field, including any sales via off-label use, the Party learning of such facts shall [***] notify the other Party in writing and such Party shall cooperate as reasonably requested in the investigation of such matter and prevention of any further improper offer or sale.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84" w:name="page585"/>
    <w:bookmarkEnd w:id="584"/>
    <w:p>
      <w:pPr>
        <w:ind w:left="760" w:hanging="756"/>
        <w:spacing w:after="0"/>
        <w:tabs>
          <w:tab w:leader="none" w:pos="760" w:val="left"/>
        </w:tabs>
        <w:numPr>
          <w:ilvl w:val="0"/>
          <w:numId w:val="5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SUPPLY</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752"/>
        <w:spacing w:after="0" w:line="237"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Supply Agreement</w:t>
      </w:r>
      <w:r>
        <w:rPr>
          <w:rFonts w:ascii="Times New Roman" w:cs="Times New Roman" w:eastAsia="Times New Roman" w:hAnsi="Times New Roman"/>
          <w:sz w:val="17"/>
          <w:szCs w:val="17"/>
          <w:color w:val="auto"/>
        </w:rPr>
        <w:t>. PARI shall control and be responsible for all manufacturing pertaining to the Device and Accessories. The Parties shall enter into a definitive commercial supply agreement providing for the supply of Devices, Handsets, and Accessories from PARI or its contract manufacturer to, at Genoa’s election, Genoa, its Affiliates, or its Permitted Sublicensees (the “Supply Agreement”), and shall use Commercially Reasonable Efforts to execute such Supply Agreement [***] and, unless otherwise agreed to by the Committee, [***]. The Parties shall negotiate with one another in good faith with respect to the Supply Agreement. The Supply Agreement shall remain in full force and effect through the Royalty Term, and shall terminate at the end of the Royalty Term. The Supply Agreement shall incorporate the terms set forth below and other customary terms for a supply relationship of this nature, including the terms and conditions set forth in Schedule E attached hereto.</w:t>
      </w:r>
    </w:p>
    <w:p>
      <w:pPr>
        <w:spacing w:after="0" w:line="141" w:lineRule="exact"/>
        <w:rPr>
          <w:sz w:val="20"/>
          <w:szCs w:val="20"/>
          <w:color w:val="auto"/>
        </w:rPr>
      </w:pPr>
    </w:p>
    <w:p>
      <w:pPr>
        <w:jc w:val="both"/>
        <w:ind w:firstLine="752"/>
        <w:spacing w:after="0" w:line="236"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Clinical Development</w:t>
      </w:r>
      <w:r>
        <w:rPr>
          <w:rFonts w:ascii="Times New Roman" w:cs="Times New Roman" w:eastAsia="Times New Roman" w:hAnsi="Times New Roman"/>
          <w:sz w:val="17"/>
          <w:szCs w:val="17"/>
          <w:color w:val="auto"/>
        </w:rPr>
        <w:t>. PARI shall use Commercially Reasonable Efforts to manufacture and supply the Device, Handsets, and Accessories to Genoa, its Affiliates, or its Permitted Sublicensees for use during clinical trials of the Drug Product(s) by, or on behalf of, Genoa for a price not to exceed: (i) [***] per Handset; (ii) [***] per Device; and (iii) [***] per controller kit (consisting of a control unit and all Accessories required to operate the Device including external hardware required for the data transmission but excluding the Nebulizer Handset) if configured with a display and patient monitoring capabilities, plus additional fees for the wireless communication and the set-up which are needed to send data electronically from the Device for patient monitoring purposes, in each case excluding any taxes, shipping and storage costs associated with such Device. The above mentioned prices may be increased as additional features and Improvements may be implemented as mutually agreed to by the Parties. PARI shall use Commercially Reasonable Efforts to provide [***] of Genoa’s, its Affiliates’, or its Permitted Sublicensees’ requirements for such clinical trials. Genoa shall submit rolling [***] forecasts of its anticipated requirements of Devices and Handsets for the next [***].</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 xml:space="preserve">9.3 </w:t>
      </w:r>
      <w:r>
        <w:rPr>
          <w:rFonts w:ascii="Times New Roman" w:cs="Times New Roman" w:eastAsia="Times New Roman" w:hAnsi="Times New Roman"/>
          <w:sz w:val="17"/>
          <w:szCs w:val="17"/>
          <w:u w:val="single" w:color="auto"/>
          <w:color w:val="auto"/>
        </w:rPr>
        <w:t>Commercial Manufacture</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1500"/>
        <w:spacing w:after="0"/>
        <w:tabs>
          <w:tab w:leader="none" w:pos="2020" w:val="left"/>
        </w:tabs>
        <w:rPr>
          <w:sz w:val="20"/>
          <w:szCs w:val="20"/>
          <w:color w:val="auto"/>
        </w:rPr>
      </w:pPr>
      <w:r>
        <w:rPr>
          <w:rFonts w:ascii="Times New Roman" w:cs="Times New Roman" w:eastAsia="Times New Roman" w:hAnsi="Times New Roman"/>
          <w:sz w:val="17"/>
          <w:szCs w:val="17"/>
          <w:color w:val="auto"/>
        </w:rPr>
        <w:t>9.3.1</w:t>
      </w:r>
      <w:r>
        <w:rPr>
          <w:sz w:val="20"/>
          <w:szCs w:val="20"/>
          <w:color w:val="auto"/>
        </w:rPr>
        <w:tab/>
      </w:r>
      <w:r>
        <w:rPr>
          <w:rFonts w:ascii="Times New Roman" w:cs="Times New Roman" w:eastAsia="Times New Roman" w:hAnsi="Times New Roman"/>
          <w:sz w:val="16"/>
          <w:szCs w:val="16"/>
          <w:u w:val="single" w:color="auto"/>
          <w:color w:val="auto"/>
        </w:rPr>
        <w:t>Manufacture and Supply of the Device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760" w:firstLine="1500"/>
        <w:spacing w:after="0" w:line="239" w:lineRule="auto"/>
        <w:tabs>
          <w:tab w:leader="none" w:pos="2565"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agree that PARI shall manufacture and supply the Device intended for commercial use in the United States or Canada with the Drug Product(s) for a price not to exceed [***] per Nebulizer Starter Kit (including eBase Controller, nebulizer connection cable, batteries, mains adaptor, Easycare membrane cleaning aid; excluding a Nebulizer Handset) excluding any taxes, shipping and storage costs associated with such Device (the “</w:t>
      </w:r>
      <w:r>
        <w:rPr>
          <w:rFonts w:ascii="Times New Roman" w:cs="Times New Roman" w:eastAsia="Times New Roman" w:hAnsi="Times New Roman"/>
          <w:sz w:val="17"/>
          <w:szCs w:val="17"/>
          <w:u w:val="single" w:color="auto"/>
          <w:color w:val="auto"/>
        </w:rPr>
        <w:t>US Baseline Starter Kit Price</w:t>
      </w:r>
      <w:r>
        <w:rPr>
          <w:rFonts w:ascii="Times New Roman" w:cs="Times New Roman" w:eastAsia="Times New Roman" w:hAnsi="Times New Roman"/>
          <w:sz w:val="17"/>
          <w:szCs w:val="17"/>
          <w:color w:val="auto"/>
        </w:rPr>
        <w:t>”). Prices for countries outside the United States and Canada will be negotiated in good faith between the Parties and will include a mark-up for the local distribution services if those are requested by Genoa.</w:t>
      </w:r>
    </w:p>
    <w:p>
      <w:pPr>
        <w:spacing w:after="0" w:line="140" w:lineRule="exact"/>
        <w:rPr>
          <w:rFonts w:ascii="Times New Roman" w:cs="Times New Roman" w:eastAsia="Times New Roman" w:hAnsi="Times New Roman"/>
          <w:sz w:val="17"/>
          <w:szCs w:val="17"/>
          <w:color w:val="auto"/>
        </w:rPr>
      </w:pPr>
    </w:p>
    <w:p>
      <w:pPr>
        <w:jc w:val="both"/>
        <w:ind w:left="760" w:firstLine="1500"/>
        <w:spacing w:after="0" w:line="246" w:lineRule="auto"/>
        <w:tabs>
          <w:tab w:leader="none" w:pos="2565"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United States PARI shall be responsible, at no additional cost to its distributors, for servicing patients who receive a Device or Handset, including customer service, telephone support, complaints handling, providing instruction, warranty replacements, and responsibility for general patient satisfaction with the Device (“</w:t>
      </w:r>
      <w:r>
        <w:rPr>
          <w:rFonts w:ascii="Times New Roman" w:cs="Times New Roman" w:eastAsia="Times New Roman" w:hAnsi="Times New Roman"/>
          <w:sz w:val="17"/>
          <w:szCs w:val="17"/>
          <w:u w:val="single" w:color="auto"/>
          <w:color w:val="auto"/>
        </w:rPr>
        <w:t>Patient Connection Services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4" w:right="319" w:bottom="1440" w:gutter="0" w:footer="0" w:header="0"/>
        </w:sectPr>
      </w:pPr>
    </w:p>
    <w:bookmarkStart w:id="585" w:name="page586"/>
    <w:bookmarkEnd w:id="585"/>
    <w:p>
      <w:pPr>
        <w:jc w:val="both"/>
        <w:ind w:firstLine="752"/>
        <w:spacing w:after="0" w:line="236" w:lineRule="auto"/>
        <w:rPr>
          <w:sz w:val="20"/>
          <w:szCs w:val="20"/>
          <w:color w:val="auto"/>
        </w:rPr>
      </w:pPr>
      <w:r>
        <w:rPr>
          <w:rFonts w:ascii="Times New Roman" w:cs="Times New Roman" w:eastAsia="Times New Roman" w:hAnsi="Times New Roman"/>
          <w:sz w:val="17"/>
          <w:szCs w:val="17"/>
          <w:color w:val="auto"/>
        </w:rPr>
        <w:t xml:space="preserve">9.3.2 </w:t>
      </w:r>
      <w:r>
        <w:rPr>
          <w:rFonts w:ascii="Times New Roman" w:cs="Times New Roman" w:eastAsia="Times New Roman" w:hAnsi="Times New Roman"/>
          <w:sz w:val="17"/>
          <w:szCs w:val="17"/>
          <w:u w:val="single" w:color="auto"/>
          <w:color w:val="auto"/>
        </w:rPr>
        <w:t>Manufacture and Supply of the Handsets</w:t>
      </w:r>
      <w:r>
        <w:rPr>
          <w:rFonts w:ascii="Times New Roman" w:cs="Times New Roman" w:eastAsia="Times New Roman" w:hAnsi="Times New Roman"/>
          <w:sz w:val="17"/>
          <w:szCs w:val="17"/>
          <w:color w:val="auto"/>
        </w:rPr>
        <w:t>. The Parties agree that PARI shall manufacture and supply Handsets intended for commercial use in the United States or Canada with the Drug Product(s) directly to Genoa, its Affiliates or Permitted Sublicensees to co-package or co-ship with the Drug Product(s) for a price not to exceed [***] per Handset excluding any taxes, shipping and storage costs associated with such Handset (the “</w:t>
      </w:r>
      <w:r>
        <w:rPr>
          <w:rFonts w:ascii="Times New Roman" w:cs="Times New Roman" w:eastAsia="Times New Roman" w:hAnsi="Times New Roman"/>
          <w:sz w:val="17"/>
          <w:szCs w:val="17"/>
          <w:u w:val="single" w:color="auto"/>
          <w:color w:val="auto"/>
        </w:rPr>
        <w:t>US Baseline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Handset Price</w:t>
      </w:r>
      <w:r>
        <w:rPr>
          <w:rFonts w:ascii="Times New Roman" w:cs="Times New Roman" w:eastAsia="Times New Roman" w:hAnsi="Times New Roman"/>
          <w:sz w:val="17"/>
          <w:szCs w:val="17"/>
          <w:color w:val="auto"/>
        </w:rPr>
        <w:t xml:space="preserve">”). The Parties agree that PARI shall manufacture and supply replacement Handsets intended for commercial use outside the United States and Canada with the Drug Product(s) directly to Genoa, its Affiliates or Permitted Sublicensees to co-package or co-ship with the Drug Product(s) for a price not to exceed [***] per Handset excluding any taxes, shipping and storage costs associated with such Handset. The Parties will discuss in good faith prices higher than those described in </w:t>
      </w:r>
      <w:r>
        <w:rPr>
          <w:rFonts w:ascii="Times New Roman" w:cs="Times New Roman" w:eastAsia="Times New Roman" w:hAnsi="Times New Roman"/>
          <w:sz w:val="17"/>
          <w:szCs w:val="17"/>
          <w:u w:val="single" w:color="auto"/>
          <w:color w:val="auto"/>
        </w:rPr>
        <w:t>Sections 9.3.1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9.3.2</w:t>
      </w:r>
      <w:r>
        <w:rPr>
          <w:rFonts w:ascii="Times New Roman" w:cs="Times New Roman" w:eastAsia="Times New Roman" w:hAnsi="Times New Roman"/>
          <w:sz w:val="17"/>
          <w:szCs w:val="17"/>
          <w:color w:val="auto"/>
        </w:rPr>
        <w:t xml:space="preserve"> if the specifications and components, including their functionality, of the Device deviate from the specifications as contemplated in Schedules A1 and A2.</w:t>
      </w:r>
    </w:p>
    <w:p>
      <w:pPr>
        <w:spacing w:after="0" w:line="140" w:lineRule="exact"/>
        <w:rPr>
          <w:sz w:val="20"/>
          <w:szCs w:val="20"/>
          <w:color w:val="auto"/>
        </w:rPr>
      </w:pPr>
    </w:p>
    <w:p>
      <w:pPr>
        <w:jc w:val="both"/>
        <w:ind w:firstLine="752"/>
        <w:spacing w:after="0" w:line="264" w:lineRule="auto"/>
        <w:rPr>
          <w:sz w:val="20"/>
          <w:szCs w:val="20"/>
          <w:color w:val="auto"/>
        </w:rPr>
      </w:pPr>
      <w:r>
        <w:rPr>
          <w:rFonts w:ascii="Times New Roman" w:cs="Times New Roman" w:eastAsia="Times New Roman" w:hAnsi="Times New Roman"/>
          <w:sz w:val="17"/>
          <w:szCs w:val="17"/>
          <w:color w:val="auto"/>
        </w:rPr>
        <w:t xml:space="preserve">9.3.3 </w:t>
      </w:r>
      <w:r>
        <w:rPr>
          <w:rFonts w:ascii="Times New Roman" w:cs="Times New Roman" w:eastAsia="Times New Roman" w:hAnsi="Times New Roman"/>
          <w:sz w:val="17"/>
          <w:szCs w:val="17"/>
          <w:u w:val="single" w:color="auto"/>
          <w:color w:val="auto"/>
        </w:rPr>
        <w:t>Exchange Rate</w:t>
      </w:r>
      <w:r>
        <w:rPr>
          <w:rFonts w:ascii="Times New Roman" w:cs="Times New Roman" w:eastAsia="Times New Roman" w:hAnsi="Times New Roman"/>
          <w:sz w:val="17"/>
          <w:szCs w:val="17"/>
          <w:color w:val="auto"/>
        </w:rPr>
        <w:t>. All references to “Dollars” or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means the legal currency of the United States. All references to “Euros” or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means the legal currency of the euro-zone.</w:t>
      </w:r>
    </w:p>
    <w:p>
      <w:pPr>
        <w:spacing w:after="0" w:line="121"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With respect to the US Baseline Starter Kit Price and the US Baseline Handset Price as set forth in </w:t>
      </w:r>
      <w:r>
        <w:rPr>
          <w:rFonts w:ascii="Times New Roman" w:cs="Times New Roman" w:eastAsia="Times New Roman" w:hAnsi="Times New Roman"/>
          <w:sz w:val="17"/>
          <w:szCs w:val="17"/>
          <w:u w:val="single" w:color="auto"/>
          <w:color w:val="auto"/>
        </w:rPr>
        <w:t>Sections 9.3.1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9.3.2</w:t>
      </w:r>
      <w:r>
        <w:rPr>
          <w:rFonts w:ascii="Times New Roman" w:cs="Times New Roman" w:eastAsia="Times New Roman" w:hAnsi="Times New Roman"/>
          <w:sz w:val="17"/>
          <w:szCs w:val="17"/>
          <w:color w:val="auto"/>
        </w:rPr>
        <w:t xml:space="preserve"> above, if the exchange rate of Euros to Dollars, based on the conversion rate reported by Reuters, Ltd. for the last business day immediately preceding the applicable invoice date (the “Invoice Date Exchange Rate”), is higher or lower than the exchange rate of [***] (the “Baseline Exchange Rate”) by [***] or more, then the US Baseline Handset Price shall be adjusted as follows:</w:t>
      </w:r>
    </w:p>
    <w:p>
      <w:pPr>
        <w:spacing w:after="0" w:line="14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(a)  if the exchange rate has increased by more than [***]:</w:t>
      </w:r>
    </w:p>
    <w:p>
      <w:pPr>
        <w:spacing w:after="0" w:line="162"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the price shall be equal to the sum of (X) the price set forth in </w:t>
      </w:r>
      <w:r>
        <w:rPr>
          <w:rFonts w:ascii="Times New Roman" w:cs="Times New Roman" w:eastAsia="Times New Roman" w:hAnsi="Times New Roman"/>
          <w:sz w:val="17"/>
          <w:szCs w:val="17"/>
          <w:u w:val="single" w:color="auto"/>
          <w:color w:val="auto"/>
        </w:rPr>
        <w:t>Sections 9.3.1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9.3.2</w:t>
      </w:r>
      <w:r>
        <w:rPr>
          <w:rFonts w:ascii="Times New Roman" w:cs="Times New Roman" w:eastAsia="Times New Roman" w:hAnsi="Times New Roman"/>
          <w:sz w:val="17"/>
          <w:szCs w:val="17"/>
          <w:color w:val="auto"/>
        </w:rPr>
        <w:t xml:space="preserve">, as applicable, plus (Y) the product of (A) the price set forth in </w:t>
      </w:r>
      <w:r>
        <w:rPr>
          <w:rFonts w:ascii="Times New Roman" w:cs="Times New Roman" w:eastAsia="Times New Roman" w:hAnsi="Times New Roman"/>
          <w:sz w:val="17"/>
          <w:szCs w:val="17"/>
          <w:u w:val="single" w:color="auto"/>
          <w:color w:val="auto"/>
        </w:rPr>
        <w:t>Sections 9.3.1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9.3.2</w:t>
      </w:r>
      <w:r>
        <w:rPr>
          <w:rFonts w:ascii="Times New Roman" w:cs="Times New Roman" w:eastAsia="Times New Roman" w:hAnsi="Times New Roman"/>
          <w:sz w:val="17"/>
          <w:szCs w:val="17"/>
          <w:color w:val="auto"/>
        </w:rPr>
        <w:t>, as applicable, multiplied by (B) the amount equal to (x) the quotient of (a) the Invoice Date Exchange Rate divided by (b) the Baseline Exchange Rate, minus (y) [***]. By means of example, if the Invoice Date Exchange Rate is [***], then the new price will be computed as follows:</w:t>
      </w:r>
    </w:p>
    <w:p>
      <w:pPr>
        <w:spacing w:after="0" w:line="14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(b) if the exchange rate has decreased by more than [***]:</w:t>
      </w:r>
    </w:p>
    <w:p>
      <w:pPr>
        <w:spacing w:after="0" w:line="162"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the price shall be an amount equal to the difference between (X) the price set forth in </w:t>
      </w:r>
      <w:r>
        <w:rPr>
          <w:rFonts w:ascii="Times New Roman" w:cs="Times New Roman" w:eastAsia="Times New Roman" w:hAnsi="Times New Roman"/>
          <w:sz w:val="17"/>
          <w:szCs w:val="17"/>
          <w:u w:val="single" w:color="auto"/>
          <w:color w:val="auto"/>
        </w:rPr>
        <w:t>Sections 9.3.1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9.3.2</w:t>
      </w:r>
      <w:r>
        <w:rPr>
          <w:rFonts w:ascii="Times New Roman" w:cs="Times New Roman" w:eastAsia="Times New Roman" w:hAnsi="Times New Roman"/>
          <w:sz w:val="17"/>
          <w:szCs w:val="17"/>
          <w:color w:val="auto"/>
        </w:rPr>
        <w:t xml:space="preserve">, as applicable, and (Y) the product of (A) the price set forth in </w:t>
      </w:r>
      <w:r>
        <w:rPr>
          <w:rFonts w:ascii="Times New Roman" w:cs="Times New Roman" w:eastAsia="Times New Roman" w:hAnsi="Times New Roman"/>
          <w:sz w:val="17"/>
          <w:szCs w:val="17"/>
          <w:u w:val="single" w:color="auto"/>
          <w:color w:val="auto"/>
        </w:rPr>
        <w:t>Sections 9.3.1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9.3.2</w:t>
      </w:r>
      <w:r>
        <w:rPr>
          <w:rFonts w:ascii="Times New Roman" w:cs="Times New Roman" w:eastAsia="Times New Roman" w:hAnsi="Times New Roman"/>
          <w:sz w:val="17"/>
          <w:szCs w:val="17"/>
          <w:color w:val="auto"/>
        </w:rPr>
        <w:t>, as applicable, multiplied by (B) the amount equal to (x) [***] minus (y) the amount equal to the quotient of (a) the Invoice Date Exchange Rate divided by (b) the Baseline Exchange Rate. By means of example, if the Invoice Date Exchange Rate is [***], then the new price will be computed as follows:</w:t>
      </w:r>
    </w:p>
    <w:p>
      <w:pPr>
        <w:spacing w:after="0" w:line="14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7"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370205</wp:posOffset>
            </wp:positionV>
            <wp:extent cx="7188200" cy="38735"/>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0520"/>
          </w:cols>
          <w:pgMar w:left="1060" w:top="1128" w:right="319" w:bottom="1440" w:gutter="0" w:footer="0" w:header="0"/>
        </w:sectPr>
      </w:pPr>
    </w:p>
    <w:bookmarkStart w:id="586" w:name="page587"/>
    <w:bookmarkEnd w:id="586"/>
    <w:p>
      <w:pPr>
        <w:spacing w:after="0"/>
        <w:rPr>
          <w:sz w:val="20"/>
          <w:szCs w:val="20"/>
          <w:color w:val="auto"/>
        </w:rPr>
      </w:pPr>
      <w:r>
        <w:rPr>
          <w:rFonts w:ascii="Times New Roman" w:cs="Times New Roman" w:eastAsia="Times New Roman" w:hAnsi="Times New Roman"/>
          <w:sz w:val="17"/>
          <w:szCs w:val="17"/>
          <w:color w:val="auto"/>
        </w:rPr>
        <w:t>The US Baseline Starter Kit Price shall be adjusted accordingly.</w:t>
      </w:r>
    </w:p>
    <w:p>
      <w:pPr>
        <w:spacing w:after="0" w:line="162" w:lineRule="exact"/>
        <w:rPr>
          <w:sz w:val="20"/>
          <w:szCs w:val="20"/>
          <w:color w:val="auto"/>
        </w:rPr>
      </w:pPr>
    </w:p>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 xml:space="preserve">9.4 </w:t>
      </w:r>
      <w:r>
        <w:rPr>
          <w:rFonts w:ascii="Times New Roman" w:cs="Times New Roman" w:eastAsia="Times New Roman" w:hAnsi="Times New Roman"/>
          <w:sz w:val="17"/>
          <w:szCs w:val="17"/>
          <w:u w:val="single" w:color="auto"/>
          <w:color w:val="auto"/>
        </w:rPr>
        <w:t>Commercial Specifications.</w:t>
      </w:r>
      <w:r>
        <w:rPr>
          <w:rFonts w:ascii="Times New Roman" w:cs="Times New Roman" w:eastAsia="Times New Roman" w:hAnsi="Times New Roman"/>
          <w:sz w:val="17"/>
          <w:szCs w:val="17"/>
          <w:color w:val="auto"/>
        </w:rPr>
        <w:t xml:space="preserve"> The Supply Agreement shall set forth any final product specifications for the Device as determined in accordance with this Agreement and following the Development Work Plan. The Supply Agreement may also set forth any additional Device specifications and other characteristics and materials for the Device (“Additional Specifications”), as mutually agreed to by the Parties. Any changes in such Additional Specifications that could (i) affect CE declaration of conformity (or equivalent Regulatory Approvals), or (ii) have a material adverse effect on the development of the Device and manufacture thereof, including the quality, reliability, robustness or user interface of the Device, or which would otherwise have an adverse effect on the Drug Product(s) when used with the Device, shall require the prior written approval of Genoa.</w:t>
      </w:r>
    </w:p>
    <w:p>
      <w:pPr>
        <w:spacing w:after="0" w:line="140"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 xml:space="preserve">9.5 </w:t>
      </w:r>
      <w:r>
        <w:rPr>
          <w:rFonts w:ascii="Times New Roman" w:cs="Times New Roman" w:eastAsia="Times New Roman" w:hAnsi="Times New Roman"/>
          <w:sz w:val="17"/>
          <w:szCs w:val="17"/>
          <w:u w:val="single" w:color="auto"/>
          <w:color w:val="auto"/>
        </w:rPr>
        <w:t>Other Supply Terms</w:t>
      </w:r>
      <w:r>
        <w:rPr>
          <w:rFonts w:ascii="Times New Roman" w:cs="Times New Roman" w:eastAsia="Times New Roman" w:hAnsi="Times New Roman"/>
          <w:sz w:val="17"/>
          <w:szCs w:val="17"/>
          <w:color w:val="auto"/>
        </w:rPr>
        <w:t>. Other customary supply terms shall include quality, acceptance, invoicing and payment, inspection and optimization, repair, product recalls, adulteration, misbranding, product warranties, notice and cure periods, trademark license and usage guidelines, co-branding rights, representations and warranties (including with respect to the final design of the Device), indemnities (including comprehensive product liability indemnity from PARI for the Device), remedies, force majeure, termination provisions and co-terminus term with this Agreement and provisions with respect to an appropriate back-up plan to provide reasonable assurances of continuity of supply of the Devices, all as mutually agreed to by the Parties.</w:t>
      </w:r>
    </w:p>
    <w:p>
      <w:pPr>
        <w:spacing w:after="0" w:line="141" w:lineRule="exact"/>
        <w:rPr>
          <w:sz w:val="20"/>
          <w:szCs w:val="20"/>
          <w:color w:val="auto"/>
        </w:rPr>
      </w:pPr>
    </w:p>
    <w:p>
      <w:pPr>
        <w:jc w:val="both"/>
        <w:ind w:firstLine="752"/>
        <w:spacing w:after="0" w:line="252" w:lineRule="auto"/>
        <w:rPr>
          <w:sz w:val="20"/>
          <w:szCs w:val="20"/>
          <w:color w:val="auto"/>
        </w:rPr>
      </w:pPr>
      <w:r>
        <w:rPr>
          <w:rFonts w:ascii="Times New Roman" w:cs="Times New Roman" w:eastAsia="Times New Roman" w:hAnsi="Times New Roman"/>
          <w:sz w:val="16"/>
          <w:szCs w:val="16"/>
          <w:color w:val="auto"/>
        </w:rPr>
        <w:t xml:space="preserve">9.6 </w:t>
      </w:r>
      <w:r>
        <w:rPr>
          <w:rFonts w:ascii="Times New Roman" w:cs="Times New Roman" w:eastAsia="Times New Roman" w:hAnsi="Times New Roman"/>
          <w:sz w:val="16"/>
          <w:szCs w:val="16"/>
          <w:u w:val="single" w:color="auto"/>
          <w:color w:val="auto"/>
        </w:rPr>
        <w:t>Adverse Event Reporting</w:t>
      </w:r>
      <w:r>
        <w:rPr>
          <w:rFonts w:ascii="Times New Roman" w:cs="Times New Roman" w:eastAsia="Times New Roman" w:hAnsi="Times New Roman"/>
          <w:sz w:val="16"/>
          <w:szCs w:val="16"/>
          <w:color w:val="auto"/>
        </w:rPr>
        <w:t xml:space="preserve">. This </w:t>
      </w:r>
      <w:r>
        <w:rPr>
          <w:rFonts w:ascii="Times New Roman" w:cs="Times New Roman" w:eastAsia="Times New Roman" w:hAnsi="Times New Roman"/>
          <w:sz w:val="16"/>
          <w:szCs w:val="16"/>
          <w:u w:val="single" w:color="auto"/>
          <w:color w:val="auto"/>
        </w:rPr>
        <w:t>Section 9.6</w:t>
      </w:r>
      <w:r>
        <w:rPr>
          <w:rFonts w:ascii="Times New Roman" w:cs="Times New Roman" w:eastAsia="Times New Roman" w:hAnsi="Times New Roman"/>
          <w:sz w:val="16"/>
          <w:szCs w:val="16"/>
          <w:color w:val="auto"/>
        </w:rPr>
        <w:t xml:space="preserve"> shall only apply with respect to the conduct by, or on behalf of, Genoa of clinical trials with respect to the Products. Adverse event reporting with respect to the Products shall otherwise be conducted in accordance with the terms set forth in the Supply Agreement. Unexpected SAEs, Serious ADRs and Unanticipated Adverse Device Effects (as such terms are defined herein) that are made known to either Party (or to a Permitted Sublicensee) and that are considered to be related to the Drug Product(s) or the Device, shall be reported to the other Party on an expedited basis, and at least within</w:t>
      </w:r>
    </w:p>
    <w:p>
      <w:pPr>
        <w:spacing w:after="0" w:line="2" w:lineRule="exact"/>
        <w:rPr>
          <w:sz w:val="20"/>
          <w:szCs w:val="20"/>
          <w:color w:val="auto"/>
        </w:rPr>
      </w:pPr>
    </w:p>
    <w:p>
      <w:pPr>
        <w:jc w:val="both"/>
        <w:ind w:firstLine="4"/>
        <w:spacing w:after="0" w:line="233" w:lineRule="auto"/>
        <w:tabs>
          <w:tab w:leader="none" w:pos="411" w:val="left"/>
        </w:tabs>
        <w:numPr>
          <w:ilvl w:val="0"/>
          <w:numId w:val="5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such Party (or a Permitted Sublicensee) becoming aware of the unexpected serious adverse event as a result of notification from an institutional review board (IRB), Regulatory Authority or participating investigators. By definition, a Serious Adverse Event (“SAE”) or Serious Adverse Drug Reaction (“Serious ADR”) is any untoward medical occurrence that at any dose results in death, is life-threatening, requires inpatient hospitalization or prolongation of existing hospitalization, results in persistent or significant disability/incapacity, or is a congenital anomaly/birth defect (ICH guidance for Clinical Safety Data Management: Definitions and Standards for Expedited Reporting). An unexpected SAE or Serious ADR refers to an observation meeting the above definition that has not been previously observed, reported or anticipated. Unanticipated Adverse Device Effect means any serious adverse effect on health or safety or any life-threatening problem or death caused by, or associated with, a device, if that effect, problem, or death was not previously identified in nature, severity, or degree of incidence in the investigational plan or application (including a supplementary plan or application), or any other unanticipated serious problem associated with a device that relates to the rights, safety, or welfare of subjects (21 C.F.R. 812.3 (s)).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87" w:name="page588"/>
    <w:bookmarkEnd w:id="587"/>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 xml:space="preserve">9.7 </w:t>
      </w:r>
      <w:r>
        <w:rPr>
          <w:rFonts w:ascii="Times New Roman" w:cs="Times New Roman" w:eastAsia="Times New Roman" w:hAnsi="Times New Roman"/>
          <w:sz w:val="17"/>
          <w:szCs w:val="17"/>
          <w:u w:val="single" w:color="auto"/>
          <w:color w:val="auto"/>
        </w:rPr>
        <w:t>Restrictions on Use</w:t>
      </w:r>
      <w:r>
        <w:rPr>
          <w:rFonts w:ascii="Times New Roman" w:cs="Times New Roman" w:eastAsia="Times New Roman" w:hAnsi="Times New Roman"/>
          <w:sz w:val="17"/>
          <w:szCs w:val="17"/>
          <w:color w:val="auto"/>
        </w:rPr>
        <w:t xml:space="preserve">. The following provisions (a)-(e) in this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shall only apply on a country-by-country basis from the Effective Date until the Regulatory Approval of a Drug Product. Following such Regulatory Approval, the provisions set forth in the Supply Agreement or the safety data exchange agreement shall govern the Parties accordingly.</w:t>
      </w:r>
    </w:p>
    <w:p>
      <w:pPr>
        <w:spacing w:after="0" w:line="135" w:lineRule="exact"/>
        <w:rPr>
          <w:sz w:val="20"/>
          <w:szCs w:val="20"/>
          <w:color w:val="auto"/>
        </w:rPr>
      </w:pPr>
    </w:p>
    <w:p>
      <w:pPr>
        <w:jc w:val="both"/>
        <w:ind w:left="760" w:firstLine="1500"/>
        <w:spacing w:after="0" w:line="239" w:lineRule="auto"/>
        <w:tabs>
          <w:tab w:leader="none" w:pos="2565"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Genoa, its Affiliates and Permitted Sublicensees will use the Device in compliance with all applicable Laws and standards valid in the country Genoa, its Affiliates and Permitted Sublicensees intends to conduct clinical trials utilizing the Device, including, for example, those relating to research involving the use of humans or animals and will not engage in any such clinical trials without first obtaining necessary approval from its relevant ethics committee(s) such as, but not limited to, the Institutional Review Board. The Device shall not be used by Genoa, its Affiliates and Permitted Sublicensees directly or indirectly for any purpose other than the development of the Drug Product(s).</w:t>
      </w:r>
    </w:p>
    <w:p>
      <w:pPr>
        <w:spacing w:after="0" w:line="140" w:lineRule="exact"/>
        <w:rPr>
          <w:rFonts w:ascii="Times New Roman" w:cs="Times New Roman" w:eastAsia="Times New Roman" w:hAnsi="Times New Roman"/>
          <w:sz w:val="17"/>
          <w:szCs w:val="17"/>
          <w:color w:val="auto"/>
        </w:rPr>
      </w:pPr>
    </w:p>
    <w:p>
      <w:pPr>
        <w:jc w:val="both"/>
        <w:ind w:left="760" w:firstLine="1500"/>
        <w:spacing w:after="0" w:line="237" w:lineRule="auto"/>
        <w:tabs>
          <w:tab w:leader="none" w:pos="2565"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Genoa, its Affiliates and Permitted Sublicensees shall retain control of the Device and shall not distribute or release the Device to any person or entity other than Genoa’s, its Affiliates and Permitted Sublicensees or the clinical trial site’s employees, consultants or contractors or a third party and its employees, consultant’s or contractors for drug characterization purposes (“</w:t>
      </w:r>
      <w:r>
        <w:rPr>
          <w:rFonts w:ascii="Times New Roman" w:cs="Times New Roman" w:eastAsia="Times New Roman" w:hAnsi="Times New Roman"/>
          <w:sz w:val="17"/>
          <w:szCs w:val="17"/>
          <w:u w:val="single" w:color="auto"/>
          <w:color w:val="auto"/>
        </w:rPr>
        <w:t>Genoa Representatives</w:t>
      </w:r>
      <w:r>
        <w:rPr>
          <w:rFonts w:ascii="Times New Roman" w:cs="Times New Roman" w:eastAsia="Times New Roman" w:hAnsi="Times New Roman"/>
          <w:sz w:val="17"/>
          <w:szCs w:val="17"/>
          <w:color w:val="auto"/>
        </w:rPr>
        <w:t xml:space="preserve">”) and individuals who will be participating in the clinical trials who have a need to access the Device in connection with use of the Device for the clinical trials and who have been advised of Genoa’s obligations with respect to such Device. Genoa shall not allow its Affiliates, its Permitted Sublicensees or Genoa Representatives to keep or disburse the Device to any other person or other location, unless Genoa first obtains PARI’s written permission. Genoa shall be liable for the use of the Device by its Affiliates, its Permitted Sublicensees or Genoa Representatives in violation of this </w:t>
      </w:r>
      <w:r>
        <w:rPr>
          <w:rFonts w:ascii="Times New Roman" w:cs="Times New Roman" w:eastAsia="Times New Roman" w:hAnsi="Times New Roman"/>
          <w:sz w:val="17"/>
          <w:szCs w:val="17"/>
          <w:u w:val="single" w:color="auto"/>
          <w:color w:val="auto"/>
        </w:rPr>
        <w:t>Section 9.7(b)</w:t>
      </w:r>
      <w:r>
        <w:rPr>
          <w:rFonts w:ascii="Times New Roman" w:cs="Times New Roman" w:eastAsia="Times New Roman" w:hAnsi="Times New Roman"/>
          <w:sz w:val="17"/>
          <w:szCs w:val="17"/>
          <w:color w:val="auto"/>
        </w:rPr>
        <w:t>.</w:t>
      </w:r>
    </w:p>
    <w:p>
      <w:pPr>
        <w:spacing w:after="0" w:line="141" w:lineRule="exact"/>
        <w:rPr>
          <w:rFonts w:ascii="Times New Roman" w:cs="Times New Roman" w:eastAsia="Times New Roman" w:hAnsi="Times New Roman"/>
          <w:sz w:val="17"/>
          <w:szCs w:val="17"/>
          <w:color w:val="auto"/>
        </w:rPr>
      </w:pPr>
    </w:p>
    <w:p>
      <w:pPr>
        <w:jc w:val="both"/>
        <w:ind w:left="760" w:firstLine="1500"/>
        <w:spacing w:after="0" w:line="246" w:lineRule="auto"/>
        <w:tabs>
          <w:tab w:leader="none" w:pos="2565"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Device is to be used in accordance with the terms and conditions of this Agreement only by Genoa, its Affiliates, its Permitted Sublicensees or Genoa Representatives or patients participating in the clinical trials under Genoa’s control, at the clinical trial sites listed in the applicable purchase order for such Devices accepted by PARI.</w:t>
      </w:r>
    </w:p>
    <w:p>
      <w:pPr>
        <w:spacing w:after="0" w:line="134" w:lineRule="exact"/>
        <w:rPr>
          <w:rFonts w:ascii="Times New Roman" w:cs="Times New Roman" w:eastAsia="Times New Roman" w:hAnsi="Times New Roman"/>
          <w:sz w:val="17"/>
          <w:szCs w:val="17"/>
          <w:color w:val="auto"/>
        </w:rPr>
      </w:pPr>
    </w:p>
    <w:p>
      <w:pPr>
        <w:jc w:val="both"/>
        <w:ind w:left="760" w:firstLine="1500"/>
        <w:spacing w:after="0" w:line="241" w:lineRule="auto"/>
        <w:tabs>
          <w:tab w:leader="none" w:pos="2565"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Genoa, its Affiliates and Permitted Sublicensees shall conduct the clinical trials pursuant to a written protocol (the “</w:t>
      </w:r>
      <w:r>
        <w:rPr>
          <w:rFonts w:ascii="Times New Roman" w:cs="Times New Roman" w:eastAsia="Times New Roman" w:hAnsi="Times New Roman"/>
          <w:sz w:val="17"/>
          <w:szCs w:val="17"/>
          <w:u w:val="single" w:color="auto"/>
          <w:color w:val="auto"/>
        </w:rPr>
        <w:t>Study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Protocol</w:t>
      </w:r>
      <w:r>
        <w:rPr>
          <w:rFonts w:ascii="Times New Roman" w:cs="Times New Roman" w:eastAsia="Times New Roman" w:hAnsi="Times New Roman"/>
          <w:sz w:val="17"/>
          <w:szCs w:val="17"/>
          <w:color w:val="auto"/>
        </w:rPr>
        <w:t>”). Genoa shall provide a synopsis of the Study Protocol to PARI prior to the commencement of the applicable clinical trials. Following the completion of the clinical trial studies, Genoa shall, at its election, either (i) retrieve the Devices at Genoa’s expense and the Devices shall be stored by Genoa or (ii) have the Devices destroyed and confirm such destruction to PARI in writing.</w:t>
      </w:r>
    </w:p>
    <w:p>
      <w:pPr>
        <w:spacing w:after="0" w:line="139" w:lineRule="exact"/>
        <w:rPr>
          <w:rFonts w:ascii="Times New Roman" w:cs="Times New Roman" w:eastAsia="Times New Roman" w:hAnsi="Times New Roman"/>
          <w:sz w:val="17"/>
          <w:szCs w:val="17"/>
          <w:color w:val="auto"/>
        </w:rPr>
      </w:pPr>
    </w:p>
    <w:p>
      <w:pPr>
        <w:jc w:val="both"/>
        <w:ind w:left="760" w:firstLine="1500"/>
        <w:spacing w:after="0" w:line="241" w:lineRule="auto"/>
        <w:tabs>
          <w:tab w:leader="none" w:pos="2565" w:val="left"/>
        </w:tabs>
        <w:numPr>
          <w:ilvl w:val="0"/>
          <w:numId w:val="5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Genoa shall not, and shall cause its Affiliates and Permitted Sublicensees not to, subject to analysis or have subjected to analysis the Devices and/or components constituting Devices for the purpose of reverse engineering or in a manner that would reveal material composition or internal design or operation of such sample and/or component or its method of manufacture. Genoa shall be responsible for any breaches of this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by any of its Affiliates and/or Permitted Sublicensees.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88" w:name="page589"/>
    <w:bookmarkEnd w:id="588"/>
    <w:p>
      <w:pPr>
        <w:ind w:left="760" w:hanging="756"/>
        <w:spacing w:after="0"/>
        <w:tabs>
          <w:tab w:leader="none" w:pos="760" w:val="left"/>
        </w:tabs>
        <w:numPr>
          <w:ilvl w:val="0"/>
          <w:numId w:val="5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INDEMNIFICATION</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752"/>
        <w:spacing w:after="0" w:line="235" w:lineRule="auto"/>
        <w:rPr>
          <w:sz w:val="20"/>
          <w:szCs w:val="20"/>
          <w:color w:val="auto"/>
        </w:rPr>
      </w:pPr>
      <w:r>
        <w:rPr>
          <w:rFonts w:ascii="Times New Roman" w:cs="Times New Roman" w:eastAsia="Times New Roman" w:hAnsi="Times New Roman"/>
          <w:sz w:val="17"/>
          <w:szCs w:val="17"/>
          <w:color w:val="auto"/>
        </w:rPr>
        <w:t>10.1</w:t>
      </w:r>
      <w:r>
        <w:rPr>
          <w:rFonts w:ascii="Times New Roman" w:cs="Times New Roman" w:eastAsia="Times New Roman" w:hAnsi="Times New Roman"/>
          <w:sz w:val="17"/>
          <w:szCs w:val="17"/>
          <w:u w:val="single" w:color="auto"/>
          <w:color w:val="auto"/>
        </w:rPr>
        <w:t>Indemnification by PARI</w:t>
      </w:r>
      <w:r>
        <w:rPr>
          <w:rFonts w:ascii="Times New Roman" w:cs="Times New Roman" w:eastAsia="Times New Roman" w:hAnsi="Times New Roman"/>
          <w:sz w:val="17"/>
          <w:szCs w:val="17"/>
          <w:color w:val="auto"/>
        </w:rPr>
        <w:t>. PARI shall indemnify, defend and hold harmless Genoa and its Affiliates and each of their respective employees, officers, directors and agents from and against any and all third party Claims, liability, loss, damage, cost and expense (including reasonable attorneys’ fees) resulting from or in connection with (i) the breach by PARI of any representation, warranty or covenant contained in this Agreement; (ii) Claim of infringement or misappropriation of the patent rights, trade secrets or other intellectual property rights of any third party by PARI or its Affiliates or the Device or uses thereof to the extent such claim relates to the Device or the Licensed Intellectual Property; (iii) any third party claim that PARI willfully disclosed or made available to Genoa any Licensed Intellectual Property in violation of an obligation of PARI to such third party; or (iv) the Exploitation of the Genoa Technology by PARI, its Affiliates or Permitted Sublicensees in breach of this Agreement; provided, however, that such indemnification right shall not apply to any Claims, liability, loss, damage, cost and expense</w:t>
      </w:r>
    </w:p>
    <w:p>
      <w:pPr>
        <w:spacing w:after="0" w:line="3" w:lineRule="exact"/>
        <w:rPr>
          <w:sz w:val="20"/>
          <w:szCs w:val="20"/>
          <w:color w:val="auto"/>
        </w:rPr>
      </w:pPr>
    </w:p>
    <w:p>
      <w:pPr>
        <w:ind w:firstLine="4"/>
        <w:spacing w:after="0" w:line="238" w:lineRule="auto"/>
        <w:tabs>
          <w:tab w:leader="none" w:pos="231" w:val="left"/>
        </w:tabs>
        <w:numPr>
          <w:ilvl w:val="0"/>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directly attributable to the negligence, reckless misconduct or intentional misconduct of a party seeking indemnification under this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or (b) for which Genoa is obligated to indemnify PARI under </w:t>
      </w:r>
      <w:r>
        <w:rPr>
          <w:rFonts w:ascii="Times New Roman" w:cs="Times New Roman" w:eastAsia="Times New Roman" w:hAnsi="Times New Roman"/>
          <w:sz w:val="17"/>
          <w:szCs w:val="17"/>
          <w:u w:val="single" w:color="auto"/>
          <w:color w:val="auto"/>
        </w:rPr>
        <w:t>Section 10.2(i)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(Indemnification by Genoa).</w:t>
      </w:r>
    </w:p>
    <w:p>
      <w:pPr>
        <w:spacing w:after="0" w:line="141" w:lineRule="exact"/>
        <w:rPr>
          <w:sz w:val="20"/>
          <w:szCs w:val="20"/>
          <w:color w:val="auto"/>
        </w:rPr>
      </w:pPr>
    </w:p>
    <w:p>
      <w:pPr>
        <w:jc w:val="both"/>
        <w:ind w:firstLine="752"/>
        <w:spacing w:after="0" w:line="235" w:lineRule="auto"/>
        <w:rPr>
          <w:sz w:val="20"/>
          <w:szCs w:val="20"/>
          <w:color w:val="auto"/>
        </w:rPr>
      </w:pPr>
      <w:r>
        <w:rPr>
          <w:rFonts w:ascii="Times New Roman" w:cs="Times New Roman" w:eastAsia="Times New Roman" w:hAnsi="Times New Roman"/>
          <w:sz w:val="17"/>
          <w:szCs w:val="17"/>
          <w:color w:val="auto"/>
        </w:rPr>
        <w:t>10.2</w:t>
      </w:r>
      <w:r>
        <w:rPr>
          <w:rFonts w:ascii="Times New Roman" w:cs="Times New Roman" w:eastAsia="Times New Roman" w:hAnsi="Times New Roman"/>
          <w:sz w:val="17"/>
          <w:szCs w:val="17"/>
          <w:u w:val="single" w:color="auto"/>
          <w:color w:val="auto"/>
        </w:rPr>
        <w:t>Indemnification by Genoa.</w:t>
      </w:r>
      <w:r>
        <w:rPr>
          <w:rFonts w:ascii="Times New Roman" w:cs="Times New Roman" w:eastAsia="Times New Roman" w:hAnsi="Times New Roman"/>
          <w:sz w:val="17"/>
          <w:szCs w:val="17"/>
          <w:color w:val="auto"/>
        </w:rPr>
        <w:t xml:space="preserve"> Genoa shall indemnify, defend and hold harmless PARI and its Affiliates and each of their respective employees, officers, directors and agents from and against any and all third party Claims, liability, loss, damage, cost and expense (including reasonable attorneys’ fees) resulting from or in connection with (i) the breach by Genoa, its Affiliates and/or Permitted Sublicensees of any representation, warranty or covenant contained in this Agreement; (ii) Claim of infringement or misappropriation of the patent rights, trade secrets or other intellectual property rights of any third party by Genoa or its Affiliates or the Drug Product(s) or use thereof to the extent such claim relates to any intellectual property incorporated into the Drug Product(s) at Genoa’s direction that is not included in the Licensed Intellectual Property; (iii) the Exploitation of the Device by Genoa, its Affiliates or Permitted Sublicensees; or (iv) the Exploitation of the Genoa Technology by PARI, its Affiliates or Permitted Sublicensees in accordance with this Agreement; provided, however, that such indemnification right shall not apply to any Claims, liability, loss, damage, cost and expense (a) to the extent directly attributable to the negligence, reckless misconduct, or intentional misconduct of a party seeking indemnification under this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xml:space="preserve">, or (b) for which PARI is obligated to indemnify Genoa under </w:t>
      </w:r>
      <w:r>
        <w:rPr>
          <w:rFonts w:ascii="Times New Roman" w:cs="Times New Roman" w:eastAsia="Times New Roman" w:hAnsi="Times New Roman"/>
          <w:sz w:val="17"/>
          <w:szCs w:val="17"/>
          <w:u w:val="single" w:color="auto"/>
          <w:color w:val="auto"/>
        </w:rPr>
        <w:t>Section 10.2(i)</w:t>
      </w:r>
      <w:r>
        <w:rPr>
          <w:rFonts w:ascii="Times New Roman" w:cs="Times New Roman" w:eastAsia="Times New Roman" w:hAnsi="Times New Roman"/>
          <w:sz w:val="17"/>
          <w:szCs w:val="17"/>
          <w:color w:val="auto"/>
        </w:rPr>
        <w:t xml:space="preserve"> through (iv) (Indemnification by PARI).</w:t>
      </w:r>
    </w:p>
    <w:p>
      <w:pPr>
        <w:spacing w:after="0" w:line="146" w:lineRule="exact"/>
        <w:rPr>
          <w:sz w:val="20"/>
          <w:szCs w:val="20"/>
          <w:color w:val="auto"/>
        </w:rPr>
      </w:pPr>
    </w:p>
    <w:p>
      <w:pPr>
        <w:jc w:val="both"/>
        <w:ind w:firstLine="752"/>
        <w:spacing w:after="0" w:line="237" w:lineRule="auto"/>
        <w:rPr>
          <w:sz w:val="20"/>
          <w:szCs w:val="20"/>
          <w:color w:val="auto"/>
        </w:rPr>
      </w:pPr>
      <w:r>
        <w:rPr>
          <w:rFonts w:ascii="Times New Roman" w:cs="Times New Roman" w:eastAsia="Times New Roman" w:hAnsi="Times New Roman"/>
          <w:sz w:val="17"/>
          <w:szCs w:val="17"/>
          <w:color w:val="auto"/>
        </w:rPr>
        <w:t>10.3</w:t>
      </w:r>
      <w:r>
        <w:rPr>
          <w:rFonts w:ascii="Times New Roman" w:cs="Times New Roman" w:eastAsia="Times New Roman" w:hAnsi="Times New Roman"/>
          <w:sz w:val="17"/>
          <w:szCs w:val="17"/>
          <w:u w:val="single" w:color="auto"/>
          <w:color w:val="auto"/>
        </w:rPr>
        <w:t>Indemnification Procedures.</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 6.2.5 (Enforcement)</w:t>
      </w:r>
      <w:r>
        <w:rPr>
          <w:rFonts w:ascii="Times New Roman" w:cs="Times New Roman" w:eastAsia="Times New Roman" w:hAnsi="Times New Roman"/>
          <w:sz w:val="17"/>
          <w:szCs w:val="17"/>
          <w:color w:val="auto"/>
        </w:rPr>
        <w:t xml:space="preserve">, [***] after receipt by a Party seeking indemnification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(an “</w:t>
      </w:r>
      <w:r>
        <w:rPr>
          <w:rFonts w:ascii="Times New Roman" w:cs="Times New Roman" w:eastAsia="Times New Roman" w:hAnsi="Times New Roman"/>
          <w:sz w:val="17"/>
          <w:szCs w:val="17"/>
          <w:u w:val="single" w:color="auto"/>
          <w:color w:val="auto"/>
        </w:rPr>
        <w:t>Indemnitee</w:t>
      </w:r>
      <w:r>
        <w:rPr>
          <w:rFonts w:ascii="Times New Roman" w:cs="Times New Roman" w:eastAsia="Times New Roman" w:hAnsi="Times New Roman"/>
          <w:sz w:val="17"/>
          <w:szCs w:val="17"/>
          <w:color w:val="auto"/>
        </w:rPr>
        <w:t>”) of notice of any pending or threatened claim against it (an “</w:t>
      </w:r>
      <w:r>
        <w:rPr>
          <w:rFonts w:ascii="Times New Roman" w:cs="Times New Roman" w:eastAsia="Times New Roman" w:hAnsi="Times New Roman"/>
          <w:sz w:val="17"/>
          <w:szCs w:val="17"/>
          <w:u w:val="single" w:color="auto"/>
          <w:color w:val="auto"/>
        </w:rPr>
        <w:t>Action</w:t>
      </w:r>
      <w:r>
        <w:rPr>
          <w:rFonts w:ascii="Times New Roman" w:cs="Times New Roman" w:eastAsia="Times New Roman" w:hAnsi="Times New Roman"/>
          <w:sz w:val="17"/>
          <w:szCs w:val="17"/>
          <w:color w:val="auto"/>
        </w:rPr>
        <w:t xml:space="preserve">”), such Indemnitee shall give written notice to the Party from whom the Indemnitee is entitled to seek indemnification pursuant to this </w:t>
      </w:r>
      <w:r>
        <w:rPr>
          <w:rFonts w:ascii="Times New Roman" w:cs="Times New Roman" w:eastAsia="Times New Roman" w:hAnsi="Times New Roman"/>
          <w:sz w:val="17"/>
          <w:szCs w:val="17"/>
          <w:u w:val="single" w:color="auto"/>
          <w:color w:val="auto"/>
        </w:rPr>
        <w:t>Section 10 (the “Indemnifying Party”)</w:t>
      </w:r>
      <w:r>
        <w:rPr>
          <w:rFonts w:ascii="Times New Roman" w:cs="Times New Roman" w:eastAsia="Times New Roman" w:hAnsi="Times New Roman"/>
          <w:sz w:val="17"/>
          <w:szCs w:val="17"/>
          <w:color w:val="auto"/>
        </w:rPr>
        <w:t xml:space="preserve"> of the commencement thereof; provided, however, the failure so to notify the Indemnifying Party shall not relieve it of any liability that it may have to any Indemnitee hereunder, except to the extent the Indemnifying Party demonstrates that it is materially prejudiced thereby. Any Action that is subject to indemnification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shall be brought against an Indemnitee and it shall give written notice to the Indemnifying Party of the commencement thereof, the Indemnifying Party shall assume the defense thereof with counsel reasonably satisfactory to such Indemnitee and, the Indemnifying Party shall not be liable to such Indemnitee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for any fees of</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4" w:right="319" w:bottom="1440" w:gutter="0" w:footer="0" w:header="0"/>
        </w:sectPr>
      </w:pPr>
    </w:p>
    <w:bookmarkStart w:id="589" w:name="page590"/>
    <w:bookmarkEnd w:id="589"/>
    <w:p>
      <w:pPr>
        <w:spacing w:after="0" w:line="258" w:lineRule="auto"/>
        <w:rPr>
          <w:sz w:val="20"/>
          <w:szCs w:val="20"/>
          <w:color w:val="auto"/>
        </w:rPr>
      </w:pPr>
      <w:r>
        <w:rPr>
          <w:rFonts w:ascii="Times New Roman" w:cs="Times New Roman" w:eastAsia="Times New Roman" w:hAnsi="Times New Roman"/>
          <w:sz w:val="16"/>
          <w:szCs w:val="16"/>
          <w:color w:val="auto"/>
        </w:rPr>
        <w:t>other counsel or any other expenses, in each case subsequently incurred by such Indemnitee in connection with the defense thereof. No compromise or settlement of any Action may be effected by the Indemnifying Party without the Indemnitee’s written consent, which consent shall not be unreasonably withheld or delayed, unless</w:t>
      </w:r>
    </w:p>
    <w:p>
      <w:pPr>
        <w:spacing w:after="0" w:line="1" w:lineRule="exact"/>
        <w:rPr>
          <w:sz w:val="20"/>
          <w:szCs w:val="20"/>
          <w:color w:val="auto"/>
        </w:rPr>
      </w:pPr>
    </w:p>
    <w:p>
      <w:pPr>
        <w:ind w:firstLine="4"/>
        <w:spacing w:after="0" w:line="238" w:lineRule="auto"/>
        <w:tabs>
          <w:tab w:leader="none" w:pos="277" w:val="left"/>
        </w:tabs>
        <w:numPr>
          <w:ilvl w:val="0"/>
          <w:numId w:val="5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is no finding or admission of any violation of Law or any violation of the rights of any person and no effect on any other claims that may be made against the Indemnitee and (B) the sole relief provided is monetary damages that are paid in full by the Indemnifying Party.</w:t>
      </w:r>
    </w:p>
    <w:p>
      <w:pPr>
        <w:spacing w:after="0" w:line="141"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10.4</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Each of PARI and Genoa shall have and maintain such type and amounts of liability insurance covering its activities under this Agreement as is normal and customary in the medical device and pharmaceutical industries generally for Parties similarly situated. Each Party shall, upon request of the other Party, provide the requesting Party with a copy of the foregoing policies of insurance, along with any amendments and revisions thereto.</w:t>
      </w:r>
    </w:p>
    <w:p>
      <w:pPr>
        <w:spacing w:after="0" w:line="131" w:lineRule="exact"/>
        <w:rPr>
          <w:sz w:val="20"/>
          <w:szCs w:val="20"/>
          <w:color w:val="auto"/>
        </w:rPr>
      </w:pPr>
    </w:p>
    <w:p>
      <w:pPr>
        <w:ind w:left="760" w:hanging="756"/>
        <w:spacing w:after="0"/>
        <w:tabs>
          <w:tab w:leader="none" w:pos="760" w:val="left"/>
        </w:tabs>
        <w:numPr>
          <w:ilvl w:val="0"/>
          <w:numId w:val="5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TERM AND TERMINATION</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11.1</w:t>
      </w: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xml:space="preserve">. The term of this Agreement shall begin upon the Effective Date and shall continue in full force and effect until the expiration of the Royalty Term or unless earlier terminated as hereinafter provided in this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xml:space="preserve"> (the “Term”).</w:t>
      </w:r>
    </w:p>
    <w:p>
      <w:pPr>
        <w:spacing w:after="0" w:line="125"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11.2</w:t>
      </w:r>
      <w:r>
        <w:rPr>
          <w:rFonts w:ascii="Times New Roman" w:cs="Times New Roman" w:eastAsia="Times New Roman" w:hAnsi="Times New Roman"/>
          <w:sz w:val="17"/>
          <w:szCs w:val="17"/>
          <w:u w:val="single" w:color="auto"/>
          <w:color w:val="auto"/>
        </w:rPr>
        <w:t>Termination of Agreement for Material Breach</w:t>
      </w:r>
      <w:r>
        <w:rPr>
          <w:rFonts w:ascii="Times New Roman" w:cs="Times New Roman" w:eastAsia="Times New Roman" w:hAnsi="Times New Roman"/>
          <w:sz w:val="17"/>
          <w:szCs w:val="17"/>
          <w:color w:val="auto"/>
        </w:rPr>
        <w:t>. Either Party may terminate this Agreement and the License for material breach by giving [***] written notice to the breaching Party (specifying in reasonable detail the basis for such termination) and such breaching Party has not cured such material breach within such [***] (except in the case of failure to make a payment hereunder in which case the period of notice and opportunity to cure shall be [***]).</w:t>
      </w:r>
    </w:p>
    <w:p>
      <w:pPr>
        <w:spacing w:after="0" w:line="13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11.3</w:t>
      </w:r>
      <w:r>
        <w:rPr>
          <w:rFonts w:ascii="Times New Roman" w:cs="Times New Roman" w:eastAsia="Times New Roman" w:hAnsi="Times New Roman"/>
          <w:sz w:val="17"/>
          <w:szCs w:val="17"/>
          <w:u w:val="single" w:color="auto"/>
          <w:color w:val="auto"/>
        </w:rPr>
        <w:t>Termination of Agreement by PARI</w:t>
      </w:r>
      <w:r>
        <w:rPr>
          <w:rFonts w:ascii="Times New Roman" w:cs="Times New Roman" w:eastAsia="Times New Roman" w:hAnsi="Times New Roman"/>
          <w:sz w:val="17"/>
          <w:szCs w:val="17"/>
          <w:color w:val="auto"/>
        </w:rPr>
        <w:t>. Notwithstanding anything to the contrary contained in this Agreement, PARI may terminate this Agreement and the License upon the occurrence of one or more of the following:</w:t>
      </w:r>
    </w:p>
    <w:p>
      <w:pPr>
        <w:spacing w:after="0" w:line="125" w:lineRule="exact"/>
        <w:rPr>
          <w:sz w:val="20"/>
          <w:szCs w:val="20"/>
          <w:color w:val="auto"/>
        </w:rPr>
      </w:pPr>
    </w:p>
    <w:p>
      <w:pPr>
        <w:jc w:val="both"/>
        <w:ind w:left="760" w:firstLine="752"/>
        <w:spacing w:after="0" w:line="241" w:lineRule="auto"/>
        <w:rPr>
          <w:sz w:val="20"/>
          <w:szCs w:val="20"/>
          <w:color w:val="auto"/>
        </w:rPr>
      </w:pPr>
      <w:r>
        <w:rPr>
          <w:rFonts w:ascii="Times New Roman" w:cs="Times New Roman" w:eastAsia="Times New Roman" w:hAnsi="Times New Roman"/>
          <w:sz w:val="17"/>
          <w:szCs w:val="17"/>
          <w:color w:val="auto"/>
        </w:rPr>
        <w:t xml:space="preserve">11.3.1 immediately upon written notice to Genoa in the event Genoa notifies PARI of its election to cease work on development and/or commercialization of any or all of the Drug Product(s) as contemplated herein pursuant to </w:t>
      </w:r>
      <w:r>
        <w:rPr>
          <w:rFonts w:ascii="Times New Roman" w:cs="Times New Roman" w:eastAsia="Times New Roman" w:hAnsi="Times New Roman"/>
          <w:sz w:val="17"/>
          <w:szCs w:val="17"/>
          <w:u w:val="single" w:color="auto"/>
          <w:color w:val="auto"/>
        </w:rPr>
        <w:t>Section 3.7.5 (Termination)</w:t>
      </w:r>
      <w:r>
        <w:rPr>
          <w:rFonts w:ascii="Times New Roman" w:cs="Times New Roman" w:eastAsia="Times New Roman" w:hAnsi="Times New Roman"/>
          <w:sz w:val="17"/>
          <w:szCs w:val="17"/>
          <w:color w:val="auto"/>
        </w:rPr>
        <w:t>, such termination applicable only to that Drug Product for the Territory, unless such notification is limited to a territory outside the United States, then such termination shall be applicable only to that Drug Product for that territory outside the United States;</w:t>
      </w:r>
    </w:p>
    <w:p>
      <w:pPr>
        <w:spacing w:after="0" w:line="140" w:lineRule="exact"/>
        <w:rPr>
          <w:sz w:val="20"/>
          <w:szCs w:val="20"/>
          <w:color w:val="auto"/>
        </w:rPr>
      </w:pPr>
    </w:p>
    <w:p>
      <w:pPr>
        <w:jc w:val="both"/>
        <w:ind w:left="760" w:firstLine="752"/>
        <w:spacing w:after="0" w:line="237" w:lineRule="auto"/>
        <w:rPr>
          <w:sz w:val="20"/>
          <w:szCs w:val="20"/>
          <w:color w:val="auto"/>
        </w:rPr>
      </w:pPr>
      <w:r>
        <w:rPr>
          <w:rFonts w:ascii="Times New Roman" w:cs="Times New Roman" w:eastAsia="Times New Roman" w:hAnsi="Times New Roman"/>
          <w:sz w:val="17"/>
          <w:szCs w:val="17"/>
          <w:color w:val="auto"/>
        </w:rPr>
        <w:t xml:space="preserve">11.3.2 immediately upon written notice to Genoa in the event that Genoa (or a Permitted Sublicensee) is in breach of its obligation to use Commercially Reasonable Efforts relating to any of the Drug Product(s) pursuant to </w:t>
      </w:r>
      <w:r>
        <w:rPr>
          <w:rFonts w:ascii="Times New Roman" w:cs="Times New Roman" w:eastAsia="Times New Roman" w:hAnsi="Times New Roman"/>
          <w:sz w:val="17"/>
          <w:szCs w:val="17"/>
          <w:u w:val="single" w:color="auto"/>
          <w:color w:val="auto"/>
        </w:rPr>
        <w:t>Section 3.7.1 (Commercially Reasonable Efforts)</w:t>
      </w:r>
      <w:r>
        <w:rPr>
          <w:rFonts w:ascii="Times New Roman" w:cs="Times New Roman" w:eastAsia="Times New Roman" w:hAnsi="Times New Roman"/>
          <w:sz w:val="17"/>
          <w:szCs w:val="17"/>
          <w:color w:val="auto"/>
        </w:rPr>
        <w:t xml:space="preserve"> and such breach is not cured within [***] of Genoa’s receipt of written notice from PARI specifying in reasonable detail the nature of such breach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time period set forth in </w:t>
      </w:r>
      <w:r>
        <w:rPr>
          <w:rFonts w:ascii="Times New Roman" w:cs="Times New Roman" w:eastAsia="Times New Roman" w:hAnsi="Times New Roman"/>
          <w:sz w:val="17"/>
          <w:szCs w:val="17"/>
          <w:u w:val="single" w:color="auto"/>
          <w:color w:val="auto"/>
        </w:rPr>
        <w:t>Section 3.7.4 (Notice and Cure)</w:t>
      </w:r>
      <w:r>
        <w:rPr>
          <w:rFonts w:ascii="Times New Roman" w:cs="Times New Roman" w:eastAsia="Times New Roman" w:hAnsi="Times New Roman"/>
          <w:sz w:val="17"/>
          <w:szCs w:val="17"/>
          <w:color w:val="auto"/>
        </w:rPr>
        <w:t xml:space="preserve"> shall be deemed to be included in such one hundred [***] and not in addition thereto), such termination applicable only to that Drug Product for the Territory, unless the breach is limited to a territory outside the United States, then such termination shall be applicable only to that Drug Product for that territory outside the United States for which there is a breach and that has not been cured pursuant to this </w:t>
      </w:r>
      <w:r>
        <w:rPr>
          <w:rFonts w:ascii="Times New Roman" w:cs="Times New Roman" w:eastAsia="Times New Roman" w:hAnsi="Times New Roman"/>
          <w:sz w:val="17"/>
          <w:szCs w:val="17"/>
          <w:u w:val="single" w:color="auto"/>
          <w:color w:val="auto"/>
        </w:rPr>
        <w:t>Section 11.3.2</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90" w:name="page591"/>
    <w:bookmarkEnd w:id="590"/>
    <w:p>
      <w:pPr>
        <w:ind w:left="1500"/>
        <w:spacing w:after="0"/>
        <w:rPr>
          <w:sz w:val="20"/>
          <w:szCs w:val="20"/>
          <w:color w:val="auto"/>
        </w:rPr>
      </w:pPr>
      <w:r>
        <w:rPr>
          <w:rFonts w:ascii="Times New Roman" w:cs="Times New Roman" w:eastAsia="Times New Roman" w:hAnsi="Times New Roman"/>
          <w:sz w:val="17"/>
          <w:szCs w:val="17"/>
          <w:color w:val="auto"/>
        </w:rPr>
        <w:t>11.3.3  immediately upon written notice to Genoa in the event Genoa initiates a voluntary proceeding under the U.S. Bankruptcy Code; or</w:t>
      </w:r>
    </w:p>
    <w:p>
      <w:pPr>
        <w:spacing w:after="0" w:line="16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7"/>
          <w:szCs w:val="17"/>
          <w:color w:val="auto"/>
        </w:rPr>
        <w:t>11.3.4  immediately upon written notice to Genoa in the event Genoa becomes the subject of an involuntary proceeding under the U.S.</w:t>
      </w:r>
    </w:p>
    <w:p>
      <w:pPr>
        <w:spacing w:after="0" w:line="1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Bankruptcy Code and such proceeding is not dismissed or stayed within [***] of its commencement.</w:t>
      </w:r>
    </w:p>
    <w:p>
      <w:pPr>
        <w:spacing w:after="0" w:line="144"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11.4Termination of Agreement by Genoa. (i) Before the date of the First Commercial Sale, Genoa may terminate this Agreement and the License upon not less than sixty (60) days’ written notice to PARI. (ii) On or after the date of the First Commercial Sale, upon written notice to PARI, Genoa (or its Permitted Sublicensee) may terminate this Agreement and the License in accordance with Section 4.8(y). (iii) For the avoidance of doubt, Genoa may also terminate this Agreement and the License upon written notice to PARI in case the Device is rejected by a Regulatory Authority for use with the Drug Product and all appeals against such rejection have been exhausted. For the avoidance of doubt, no compensation is due by Genoa in case of (i) or (iii).</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11.5</w:t>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firstLine="752"/>
        <w:spacing w:after="0" w:line="259" w:lineRule="auto"/>
        <w:rPr>
          <w:sz w:val="20"/>
          <w:szCs w:val="20"/>
          <w:color w:val="auto"/>
        </w:rPr>
      </w:pPr>
      <w:r>
        <w:rPr>
          <w:rFonts w:ascii="Times New Roman" w:cs="Times New Roman" w:eastAsia="Times New Roman" w:hAnsi="Times New Roman"/>
          <w:sz w:val="17"/>
          <w:szCs w:val="17"/>
          <w:color w:val="auto"/>
        </w:rPr>
        <w:t>11.5.1 Termination shall not relieve either Party of any obligations (including payment obligations) which have accrued prior to the effective date of such termination.</w:t>
      </w:r>
    </w:p>
    <w:p>
      <w:pPr>
        <w:spacing w:after="0" w:line="125" w:lineRule="exact"/>
        <w:rPr>
          <w:sz w:val="20"/>
          <w:szCs w:val="20"/>
          <w:color w:val="auto"/>
        </w:rPr>
      </w:pPr>
    </w:p>
    <w:p>
      <w:pPr>
        <w:ind w:left="760" w:firstLine="752"/>
        <w:spacing w:after="0" w:line="259" w:lineRule="auto"/>
        <w:rPr>
          <w:sz w:val="20"/>
          <w:szCs w:val="20"/>
          <w:color w:val="auto"/>
        </w:rPr>
      </w:pPr>
      <w:r>
        <w:rPr>
          <w:rFonts w:ascii="Times New Roman" w:cs="Times New Roman" w:eastAsia="Times New Roman" w:hAnsi="Times New Roman"/>
          <w:sz w:val="17"/>
          <w:szCs w:val="17"/>
          <w:color w:val="auto"/>
        </w:rPr>
        <w:t>11.5.2 In the case of any breach of the terms of the License, a decision not to terminate does not reduce or eliminate any recourse otherwise available to either Party.</w:t>
      </w:r>
    </w:p>
    <w:p>
      <w:pPr>
        <w:spacing w:after="0" w:line="125" w:lineRule="exact"/>
        <w:rPr>
          <w:sz w:val="20"/>
          <w:szCs w:val="20"/>
          <w:color w:val="auto"/>
        </w:rPr>
      </w:pPr>
    </w:p>
    <w:p>
      <w:pPr>
        <w:ind w:left="760" w:firstLine="752"/>
        <w:spacing w:after="0" w:line="259" w:lineRule="auto"/>
        <w:rPr>
          <w:sz w:val="20"/>
          <w:szCs w:val="20"/>
          <w:color w:val="auto"/>
        </w:rPr>
      </w:pPr>
      <w:r>
        <w:rPr>
          <w:rFonts w:ascii="Times New Roman" w:cs="Times New Roman" w:eastAsia="Times New Roman" w:hAnsi="Times New Roman"/>
          <w:sz w:val="17"/>
          <w:szCs w:val="17"/>
          <w:color w:val="auto"/>
        </w:rPr>
        <w:t xml:space="preserve">11.5.3 Upon any termination of this Agreement other than by Genoa under </w:t>
      </w:r>
      <w:r>
        <w:rPr>
          <w:rFonts w:ascii="Times New Roman" w:cs="Times New Roman" w:eastAsia="Times New Roman" w:hAnsi="Times New Roman"/>
          <w:sz w:val="17"/>
          <w:szCs w:val="17"/>
          <w:u w:val="single" w:color="auto"/>
          <w:color w:val="auto"/>
        </w:rPr>
        <w:t>Section 11.2 (Termination of Agreement for Material Breach)</w:t>
      </w:r>
      <w:r>
        <w:rPr>
          <w:rFonts w:ascii="Times New Roman" w:cs="Times New Roman" w:eastAsia="Times New Roman" w:hAnsi="Times New Roman"/>
          <w:sz w:val="17"/>
          <w:szCs w:val="17"/>
          <w:color w:val="auto"/>
        </w:rPr>
        <w:t>, all rights under the License shall automatically terminate and revert to PARI.</w:t>
      </w:r>
    </w:p>
    <w:p>
      <w:pPr>
        <w:spacing w:after="0" w:line="125" w:lineRule="exact"/>
        <w:rPr>
          <w:sz w:val="20"/>
          <w:szCs w:val="20"/>
          <w:color w:val="auto"/>
        </w:rPr>
      </w:pPr>
    </w:p>
    <w:p>
      <w:pPr>
        <w:ind w:left="760" w:firstLine="752"/>
        <w:spacing w:after="0" w:line="259" w:lineRule="auto"/>
        <w:rPr>
          <w:sz w:val="20"/>
          <w:szCs w:val="20"/>
          <w:color w:val="auto"/>
        </w:rPr>
      </w:pPr>
      <w:r>
        <w:rPr>
          <w:rFonts w:ascii="Times New Roman" w:cs="Times New Roman" w:eastAsia="Times New Roman" w:hAnsi="Times New Roman"/>
          <w:sz w:val="17"/>
          <w:szCs w:val="17"/>
          <w:color w:val="auto"/>
        </w:rPr>
        <w:t xml:space="preserve">11.5.4 Upon termination by Genoa under </w:t>
      </w:r>
      <w:r>
        <w:rPr>
          <w:rFonts w:ascii="Times New Roman" w:cs="Times New Roman" w:eastAsia="Times New Roman" w:hAnsi="Times New Roman"/>
          <w:sz w:val="17"/>
          <w:szCs w:val="17"/>
          <w:u w:val="single" w:color="auto"/>
          <w:color w:val="auto"/>
        </w:rPr>
        <w:t>Section 11.2 (Termination of Agreement for Material Breach)</w:t>
      </w:r>
      <w:r>
        <w:rPr>
          <w:rFonts w:ascii="Times New Roman" w:cs="Times New Roman" w:eastAsia="Times New Roman" w:hAnsi="Times New Roman"/>
          <w:sz w:val="17"/>
          <w:szCs w:val="17"/>
          <w:color w:val="auto"/>
        </w:rPr>
        <w:t>, at Genoa’s option, the License shall survive, subject to compliance by Genoa with all applicable provisions of this Agreement (including payment of Royalties).</w:t>
      </w:r>
    </w:p>
    <w:p>
      <w:pPr>
        <w:spacing w:after="0" w:line="125" w:lineRule="exact"/>
        <w:rPr>
          <w:sz w:val="20"/>
          <w:szCs w:val="20"/>
          <w:color w:val="auto"/>
        </w:rPr>
      </w:pPr>
    </w:p>
    <w:p>
      <w:pPr>
        <w:ind w:left="760" w:firstLine="752"/>
        <w:spacing w:after="0" w:line="243" w:lineRule="auto"/>
        <w:rPr>
          <w:sz w:val="20"/>
          <w:szCs w:val="20"/>
          <w:color w:val="auto"/>
        </w:rPr>
      </w:pPr>
      <w:r>
        <w:rPr>
          <w:rFonts w:ascii="Times New Roman" w:cs="Times New Roman" w:eastAsia="Times New Roman" w:hAnsi="Times New Roman"/>
          <w:sz w:val="17"/>
          <w:szCs w:val="17"/>
          <w:color w:val="auto"/>
        </w:rPr>
        <w:t>11.5.5 Subject to the foregoing, upon termination of this Agreement and assuming that a First Commercial sale has occurred, Genoa shall have the right to sell off any Devices and Accessories that are solely in Genoa’s, its Affiliates or Permitted Sublicensees’ possession for a period not to exceed</w:t>
      </w:r>
    </w:p>
    <w:p>
      <w:pPr>
        <w:spacing w:after="0" w:line="1" w:lineRule="exact"/>
        <w:rPr>
          <w:sz w:val="20"/>
          <w:szCs w:val="20"/>
          <w:color w:val="auto"/>
        </w:rPr>
      </w:pPr>
    </w:p>
    <w:p>
      <w:pPr>
        <w:ind w:left="760" w:hanging="4"/>
        <w:spacing w:after="0" w:line="238" w:lineRule="auto"/>
        <w:tabs>
          <w:tab w:leader="none" w:pos="1180" w:val="left"/>
        </w:tabs>
        <w:numPr>
          <w:ilvl w:val="0"/>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from the date of termination for exclusive use with the Drug Product(s), subject to payment of any applicable Royalty obligations and compliance with the provisions of </w:t>
      </w:r>
      <w:r>
        <w:rPr>
          <w:rFonts w:ascii="Times New Roman" w:cs="Times New Roman" w:eastAsia="Times New Roman" w:hAnsi="Times New Roman"/>
          <w:sz w:val="17"/>
          <w:szCs w:val="17"/>
          <w:u w:val="single" w:color="auto"/>
          <w:color w:val="auto"/>
        </w:rPr>
        <w:t>Section 8.9 (Off-Label Promotion)</w:t>
      </w:r>
      <w:r>
        <w:rPr>
          <w:rFonts w:ascii="Times New Roman" w:cs="Times New Roman" w:eastAsia="Times New Roman" w:hAnsi="Times New Roman"/>
          <w:sz w:val="17"/>
          <w:szCs w:val="17"/>
          <w:color w:val="auto"/>
        </w:rPr>
        <w:t xml:space="preserve"> of this Agreement and the Supply Agreement.</w:t>
      </w:r>
    </w:p>
    <w:p>
      <w:pPr>
        <w:spacing w:after="0" w:line="141" w:lineRule="exact"/>
        <w:rPr>
          <w:sz w:val="20"/>
          <w:szCs w:val="20"/>
          <w:color w:val="auto"/>
        </w:rPr>
      </w:pPr>
    </w:p>
    <w:p>
      <w:pPr>
        <w:jc w:val="both"/>
        <w:ind w:left="760" w:firstLine="752"/>
        <w:spacing w:after="0" w:line="241" w:lineRule="auto"/>
        <w:rPr>
          <w:sz w:val="20"/>
          <w:szCs w:val="20"/>
          <w:color w:val="auto"/>
        </w:rPr>
      </w:pPr>
      <w:r>
        <w:rPr>
          <w:rFonts w:ascii="Times New Roman" w:cs="Times New Roman" w:eastAsia="Times New Roman" w:hAnsi="Times New Roman"/>
          <w:sz w:val="17"/>
          <w:szCs w:val="17"/>
          <w:color w:val="auto"/>
        </w:rPr>
        <w:t xml:space="preserve">11.5.6 Upon the termination of this Agreement for any reason, other than termination by (a) Genoa under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(Termination of Agreement by Genoa), (b) PARI pursuant to </w:t>
      </w:r>
      <w:r>
        <w:rPr>
          <w:rFonts w:ascii="Times New Roman" w:cs="Times New Roman" w:eastAsia="Times New Roman" w:hAnsi="Times New Roman"/>
          <w:sz w:val="17"/>
          <w:szCs w:val="17"/>
          <w:u w:val="single" w:color="auto"/>
          <w:color w:val="auto"/>
        </w:rPr>
        <w:t>Section 11.3.1 (Termination of Agreement by PARI),</w:t>
      </w:r>
      <w:r>
        <w:rPr>
          <w:rFonts w:ascii="Times New Roman" w:cs="Times New Roman" w:eastAsia="Times New Roman" w:hAnsi="Times New Roman"/>
          <w:sz w:val="17"/>
          <w:szCs w:val="17"/>
          <w:color w:val="auto"/>
        </w:rPr>
        <w:t xml:space="preserve"> or (c) PARI pursuant to </w:t>
      </w:r>
      <w:r>
        <w:rPr>
          <w:rFonts w:ascii="Times New Roman" w:cs="Times New Roman" w:eastAsia="Times New Roman" w:hAnsi="Times New Roman"/>
          <w:sz w:val="17"/>
          <w:szCs w:val="17"/>
          <w:u w:val="single" w:color="auto"/>
          <w:color w:val="auto"/>
        </w:rPr>
        <w:t>Sections 11.3.2 (Termination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 by PARI) or 11.3.3 (Termination of Agreement by PARI)</w:t>
      </w:r>
      <w:r>
        <w:rPr>
          <w:rFonts w:ascii="Times New Roman" w:cs="Times New Roman" w:eastAsia="Times New Roman" w:hAnsi="Times New Roman"/>
          <w:sz w:val="17"/>
          <w:szCs w:val="17"/>
          <w:color w:val="auto"/>
        </w:rPr>
        <w:t xml:space="preserve"> unless the applicable Permitted Sublicensee is pursuing Commercially Reasonable Efforts for the Drug Product(s) for exclusive use with the</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91" w:name="page592"/>
    <w:bookmarkEnd w:id="591"/>
    <w:p>
      <w:pPr>
        <w:jc w:val="both"/>
        <w:ind w:left="760"/>
        <w:spacing w:after="0" w:line="234" w:lineRule="auto"/>
        <w:rPr>
          <w:sz w:val="20"/>
          <w:szCs w:val="20"/>
          <w:color w:val="auto"/>
        </w:rPr>
      </w:pPr>
      <w:r>
        <w:rPr>
          <w:rFonts w:ascii="Times New Roman" w:cs="Times New Roman" w:eastAsia="Times New Roman" w:hAnsi="Times New Roman"/>
          <w:sz w:val="17"/>
          <w:szCs w:val="17"/>
          <w:color w:val="auto"/>
        </w:rPr>
        <w:t xml:space="preserve">Device in a specific territory and otherwise meeting the diligence milestones pursuant to </w:t>
      </w:r>
      <w:r>
        <w:rPr>
          <w:rFonts w:ascii="Times New Roman" w:cs="Times New Roman" w:eastAsia="Times New Roman" w:hAnsi="Times New Roman"/>
          <w:sz w:val="17"/>
          <w:szCs w:val="17"/>
          <w:u w:val="single" w:color="auto"/>
          <w:color w:val="auto"/>
        </w:rPr>
        <w:t>Section 3.7.1 (Commercially Reasonable Efforts)</w:t>
      </w:r>
      <w:r>
        <w:rPr>
          <w:rFonts w:ascii="Times New Roman" w:cs="Times New Roman" w:eastAsia="Times New Roman" w:hAnsi="Times New Roman"/>
          <w:sz w:val="17"/>
          <w:szCs w:val="17"/>
          <w:color w:val="auto"/>
        </w:rPr>
        <w:t xml:space="preserve">, any Sublicense granted by Genoa hereunder shall survive such termination and automatically convert to a direct license between PARI and the Sublicensee;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such Sublicense: (i) received the prior written approval from PARI, (ii) complies with all of the provisions of </w:t>
      </w:r>
      <w:r>
        <w:rPr>
          <w:rFonts w:ascii="Times New Roman" w:cs="Times New Roman" w:eastAsia="Times New Roman" w:hAnsi="Times New Roman"/>
          <w:sz w:val="17"/>
          <w:szCs w:val="17"/>
          <w:u w:val="single" w:color="auto"/>
          <w:color w:val="auto"/>
        </w:rPr>
        <w:t>Section 2.3 (Right to Sublicense)</w:t>
      </w:r>
      <w:r>
        <w:rPr>
          <w:rFonts w:ascii="Times New Roman" w:cs="Times New Roman" w:eastAsia="Times New Roman" w:hAnsi="Times New Roman"/>
          <w:sz w:val="17"/>
          <w:szCs w:val="17"/>
          <w:color w:val="auto"/>
        </w:rPr>
        <w:t xml:space="preserve"> and is consistent with all of, and not in conflict with, any of the terms of this Agreement, (iii) includes financial and payment terms, including milestone payments, Royalty payments, and, if for a territory that includes the United States, Annual Minimum Royalties that are no less than those in this Agreement, (iv) imposes no obligations on PARI more stringent or different from those set forth in this Agreement and (iv) imposes on the Permitted Sublicensee the same obligations and restrictions as are imposed on Genoa under this Agreement. If (i) this Agreement is terminated by Genoa pursuant to </w:t>
      </w: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(Termination of Agreement by Genoa) or by PARI pursuant to </w:t>
      </w:r>
      <w:r>
        <w:rPr>
          <w:rFonts w:ascii="Times New Roman" w:cs="Times New Roman" w:eastAsia="Times New Roman" w:hAnsi="Times New Roman"/>
          <w:sz w:val="17"/>
          <w:szCs w:val="17"/>
          <w:u w:val="single" w:color="auto"/>
          <w:color w:val="auto"/>
        </w:rPr>
        <w:t>Sections 11.3.1 (Termination of Agreement by PARI), 11.3.2 (Termination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 by PARI) or 11.3.3 (Termination of Agreement by PARI)</w:t>
      </w:r>
      <w:r>
        <w:rPr>
          <w:rFonts w:ascii="Times New Roman" w:cs="Times New Roman" w:eastAsia="Times New Roman" w:hAnsi="Times New Roman"/>
          <w:sz w:val="17"/>
          <w:szCs w:val="17"/>
          <w:color w:val="auto"/>
        </w:rPr>
        <w:t xml:space="preserve"> (as conditioned above) or (ii) a Sublicense agreement does not conform to the provisions of this Agreement, including </w:t>
      </w:r>
      <w:r>
        <w:rPr>
          <w:rFonts w:ascii="Times New Roman" w:cs="Times New Roman" w:eastAsia="Times New Roman" w:hAnsi="Times New Roman"/>
          <w:sz w:val="17"/>
          <w:szCs w:val="17"/>
          <w:u w:val="single" w:color="auto"/>
          <w:color w:val="auto"/>
        </w:rPr>
        <w:t>Section 2.3 (Right to Sublicense)</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Section 11.5.6</w:t>
      </w:r>
      <w:r>
        <w:rPr>
          <w:rFonts w:ascii="Times New Roman" w:cs="Times New Roman" w:eastAsia="Times New Roman" w:hAnsi="Times New Roman"/>
          <w:sz w:val="17"/>
          <w:szCs w:val="17"/>
          <w:color w:val="auto"/>
        </w:rPr>
        <w:t xml:space="preserve">, then in the case of (i) above in this sentence all Sublicenses and in the case of (ii) above in this sentence the non-conforming Sublicense only, shall immediately terminate. Notwithstanding anything to the contrary in this </w:t>
      </w:r>
      <w:r>
        <w:rPr>
          <w:rFonts w:ascii="Times New Roman" w:cs="Times New Roman" w:eastAsia="Times New Roman" w:hAnsi="Times New Roman"/>
          <w:sz w:val="17"/>
          <w:szCs w:val="17"/>
          <w:u w:val="single" w:color="auto"/>
          <w:color w:val="auto"/>
        </w:rPr>
        <w:t>Section 11.5.6</w:t>
      </w:r>
      <w:r>
        <w:rPr>
          <w:rFonts w:ascii="Times New Roman" w:cs="Times New Roman" w:eastAsia="Times New Roman" w:hAnsi="Times New Roman"/>
          <w:sz w:val="17"/>
          <w:szCs w:val="17"/>
          <w:color w:val="auto"/>
        </w:rPr>
        <w:t xml:space="preserve"> or elsewhere in this Agreement, in the event (x) this Agreement is terminated pursuant to </w:t>
      </w:r>
      <w:r>
        <w:rPr>
          <w:rFonts w:ascii="Times New Roman" w:cs="Times New Roman" w:eastAsia="Times New Roman" w:hAnsi="Times New Roman"/>
          <w:sz w:val="17"/>
          <w:szCs w:val="17"/>
          <w:u w:val="single" w:color="auto"/>
          <w:color w:val="auto"/>
        </w:rPr>
        <w:t>Sections 11.2 (Termination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 for Material Breach), 11.3.1 (Termination of Agreement by PARI), 11.3.3 (Termination of Agreement by PARI) or 11.4 (Termination of Agreement by Genoa)</w:t>
      </w:r>
      <w:r>
        <w:rPr>
          <w:rFonts w:ascii="Times New Roman" w:cs="Times New Roman" w:eastAsia="Times New Roman" w:hAnsi="Times New Roman"/>
          <w:sz w:val="17"/>
          <w:szCs w:val="17"/>
          <w:color w:val="auto"/>
        </w:rPr>
        <w:t xml:space="preserve"> and the License to Genoa for a Drug Product is terminated or (y) a Sublicense agreement for a Drug Product for the United States is terminated, then all Sublicense agreements for such Drug Product shall automatically terminate.</w:t>
      </w:r>
    </w:p>
    <w:p>
      <w:pPr>
        <w:spacing w:after="0" w:line="148"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11.6</w:t>
      </w:r>
      <w:r>
        <w:rPr>
          <w:rFonts w:ascii="Times New Roman" w:cs="Times New Roman" w:eastAsia="Times New Roman" w:hAnsi="Times New Roman"/>
          <w:sz w:val="17"/>
          <w:szCs w:val="17"/>
          <w:u w:val="single" w:color="auto"/>
          <w:color w:val="auto"/>
        </w:rPr>
        <w:t>Section 365(n) of the Bankruptcy Code</w:t>
      </w:r>
      <w:r>
        <w:rPr>
          <w:rFonts w:ascii="Times New Roman" w:cs="Times New Roman" w:eastAsia="Times New Roman" w:hAnsi="Times New Roman"/>
          <w:sz w:val="17"/>
          <w:szCs w:val="17"/>
          <w:color w:val="auto"/>
        </w:rPr>
        <w:t>. All rights and licenses granted under or pursuant to any section of this Agreement are, and shall otherwise be deemed to be, for purposes of Section 365(n) of the U.S. Bankruptcy Code (beginning at 11 U.S.C. 101, as amended) (the “Bankruptcy Code”), licenses of rights to “intellectual property” as defined under Section 101 of the Bankruptcy Code. The Parties shall retain and may fully exercise all of their respective rights and elections under Section 365(n) of the Bankruptcy Code.</w:t>
      </w:r>
    </w:p>
    <w:p>
      <w:pPr>
        <w:spacing w:after="0" w:line="140" w:lineRule="exact"/>
        <w:rPr>
          <w:sz w:val="20"/>
          <w:szCs w:val="20"/>
          <w:color w:val="auto"/>
        </w:rPr>
      </w:pPr>
    </w:p>
    <w:p>
      <w:pPr>
        <w:jc w:val="both"/>
        <w:ind w:firstLine="752"/>
        <w:spacing w:after="0" w:line="241" w:lineRule="auto"/>
        <w:rPr>
          <w:sz w:val="20"/>
          <w:szCs w:val="20"/>
          <w:color w:val="auto"/>
        </w:rPr>
      </w:pPr>
      <w:r>
        <w:rPr>
          <w:rFonts w:ascii="Times New Roman" w:cs="Times New Roman" w:eastAsia="Times New Roman" w:hAnsi="Times New Roman"/>
          <w:sz w:val="17"/>
          <w:szCs w:val="17"/>
          <w:color w:val="auto"/>
        </w:rPr>
        <w:t xml:space="preserve">11.7Survival. Except as expressly provided herein, </w:t>
      </w:r>
      <w:r>
        <w:rPr>
          <w:rFonts w:ascii="Times New Roman" w:cs="Times New Roman" w:eastAsia="Times New Roman" w:hAnsi="Times New Roman"/>
          <w:sz w:val="17"/>
          <w:szCs w:val="17"/>
          <w:u w:val="single" w:color="auto"/>
          <w:color w:val="auto"/>
        </w:rPr>
        <w:t>Sections 1</w:t>
      </w:r>
      <w:r>
        <w:rPr>
          <w:rFonts w:ascii="Times New Roman" w:cs="Times New Roman" w:eastAsia="Times New Roman" w:hAnsi="Times New Roman"/>
          <w:sz w:val="17"/>
          <w:szCs w:val="17"/>
          <w:color w:val="auto"/>
        </w:rPr>
        <w:t xml:space="preserve"> (Definitions),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(Right to Sublicense),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(Improvements), </w:t>
      </w:r>
      <w:r>
        <w:rPr>
          <w:rFonts w:ascii="Times New Roman" w:cs="Times New Roman" w:eastAsia="Times New Roman" w:hAnsi="Times New Roman"/>
          <w:sz w:val="17"/>
          <w:szCs w:val="17"/>
          <w:u w:val="single" w:color="auto"/>
          <w:color w:val="auto"/>
        </w:rPr>
        <w:t>3.5</w:t>
      </w:r>
      <w:r>
        <w:rPr>
          <w:rFonts w:ascii="Times New Roman" w:cs="Times New Roman" w:eastAsia="Times New Roman" w:hAnsi="Times New Roman"/>
          <w:sz w:val="17"/>
          <w:szCs w:val="17"/>
          <w:color w:val="auto"/>
        </w:rPr>
        <w:t xml:space="preserve"> (License Back), </w:t>
      </w:r>
      <w:r>
        <w:rPr>
          <w:rFonts w:ascii="Times New Roman" w:cs="Times New Roman" w:eastAsia="Times New Roman" w:hAnsi="Times New Roman"/>
          <w:sz w:val="17"/>
          <w:szCs w:val="17"/>
          <w:u w:val="single" w:color="auto"/>
          <w:color w:val="auto"/>
        </w:rPr>
        <w:t>5.8</w:t>
      </w:r>
      <w:r>
        <w:rPr>
          <w:rFonts w:ascii="Times New Roman" w:cs="Times New Roman" w:eastAsia="Times New Roman" w:hAnsi="Times New Roman"/>
          <w:sz w:val="17"/>
          <w:szCs w:val="17"/>
          <w:color w:val="auto"/>
        </w:rPr>
        <w:t xml:space="preserve"> (Recordkeeping), </w:t>
      </w:r>
      <w:r>
        <w:rPr>
          <w:rFonts w:ascii="Times New Roman" w:cs="Times New Roman" w:eastAsia="Times New Roman" w:hAnsi="Times New Roman"/>
          <w:sz w:val="17"/>
          <w:szCs w:val="17"/>
          <w:u w:val="single" w:color="auto"/>
          <w:color w:val="auto"/>
        </w:rPr>
        <w:t>5.9</w:t>
      </w:r>
      <w:r>
        <w:rPr>
          <w:rFonts w:ascii="Times New Roman" w:cs="Times New Roman" w:eastAsia="Times New Roman" w:hAnsi="Times New Roman"/>
          <w:sz w:val="17"/>
          <w:szCs w:val="17"/>
          <w:color w:val="auto"/>
        </w:rPr>
        <w:t xml:space="preserve"> (Audit Rights), </w:t>
      </w:r>
      <w:r>
        <w:rPr>
          <w:rFonts w:ascii="Times New Roman" w:cs="Times New Roman" w:eastAsia="Times New Roman" w:hAnsi="Times New Roman"/>
          <w:sz w:val="17"/>
          <w:szCs w:val="17"/>
          <w:u w:val="single" w:color="auto"/>
          <w:color w:val="auto"/>
        </w:rPr>
        <w:t>5.10</w:t>
      </w:r>
      <w:r>
        <w:rPr>
          <w:rFonts w:ascii="Times New Roman" w:cs="Times New Roman" w:eastAsia="Times New Roman" w:hAnsi="Times New Roman"/>
          <w:sz w:val="17"/>
          <w:szCs w:val="17"/>
          <w:color w:val="auto"/>
        </w:rPr>
        <w:t xml:space="preserve"> (Withholding Taxes), </w:t>
      </w:r>
      <w:r>
        <w:rPr>
          <w:rFonts w:ascii="Times New Roman" w:cs="Times New Roman" w:eastAsia="Times New Roman" w:hAnsi="Times New Roman"/>
          <w:sz w:val="17"/>
          <w:szCs w:val="17"/>
          <w:u w:val="single" w:color="auto"/>
          <w:color w:val="auto"/>
        </w:rPr>
        <w:t>5.11</w:t>
      </w:r>
      <w:r>
        <w:rPr>
          <w:rFonts w:ascii="Times New Roman" w:cs="Times New Roman" w:eastAsia="Times New Roman" w:hAnsi="Times New Roman"/>
          <w:sz w:val="17"/>
          <w:szCs w:val="17"/>
          <w:color w:val="auto"/>
        </w:rPr>
        <w:t xml:space="preserve"> (Late Payments),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(Patent Rights),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(Confidential Information),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(Indemnification),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(Term and Termination),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xml:space="preserve"> (Limitation of Liability), </w:t>
      </w:r>
      <w:r>
        <w:rPr>
          <w:rFonts w:ascii="Times New Roman" w:cs="Times New Roman" w:eastAsia="Times New Roman" w:hAnsi="Times New Roman"/>
          <w:sz w:val="17"/>
          <w:szCs w:val="17"/>
          <w:u w:val="single" w:color="auto"/>
          <w:color w:val="auto"/>
        </w:rPr>
        <w:t>13</w:t>
      </w:r>
      <w:r>
        <w:rPr>
          <w:rFonts w:ascii="Times New Roman" w:cs="Times New Roman" w:eastAsia="Times New Roman" w:hAnsi="Times New Roman"/>
          <w:sz w:val="17"/>
          <w:szCs w:val="17"/>
          <w:color w:val="auto"/>
        </w:rPr>
        <w:t xml:space="preserve"> (Dispute Resolution) and </w:t>
      </w:r>
      <w:r>
        <w:rPr>
          <w:rFonts w:ascii="Times New Roman" w:cs="Times New Roman" w:eastAsia="Times New Roman" w:hAnsi="Times New Roman"/>
          <w:sz w:val="17"/>
          <w:szCs w:val="17"/>
          <w:u w:val="single" w:color="auto"/>
          <w:color w:val="auto"/>
        </w:rPr>
        <w:t>14</w:t>
      </w:r>
      <w:r>
        <w:rPr>
          <w:rFonts w:ascii="Times New Roman" w:cs="Times New Roman" w:eastAsia="Times New Roman" w:hAnsi="Times New Roman"/>
          <w:sz w:val="17"/>
          <w:szCs w:val="17"/>
          <w:color w:val="auto"/>
        </w:rPr>
        <w:t xml:space="preserve"> (Miscellaneous) and any accrued rights as to payments due shall survive any expiration or early termination of this Agreement.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92" w:name="page593"/>
    <w:bookmarkEnd w:id="592"/>
    <w:p>
      <w:pPr>
        <w:jc w:val="both"/>
        <w:ind w:left="760" w:hanging="756"/>
        <w:spacing w:after="0" w:line="255" w:lineRule="auto"/>
        <w:tabs>
          <w:tab w:leader="none" w:pos="760" w:val="left"/>
        </w:tabs>
        <w:numPr>
          <w:ilvl w:val="0"/>
          <w:numId w:val="5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u w:val="single" w:color="auto"/>
          <w:color w:val="auto"/>
        </w:rPr>
        <w:t>LIMITATION OF LIABILITY. NEITHER PARTY SHALL BE LIABLE TO THE OTHER PARTY UNDER ANY CIRCUMSTANCES OR ANY LEGAL OR EQUITABLE THEORY, WHETHER IN CONTRACT, STRICT LIABILITY OR OTHERWISE, FOR ANY INDIRECT, INCIDENTAL OR CONSEQUENTIAL DAMAGES OR DAMAGES FOR LOST PROFITS ARISING OUT OF OR RELATED TO THE LICENSED INTELLECTUAL PROPERTY OR TO THIS AGREEMENT, EVEN IF ADVISED OF THE POSSIBILITY OF SUCH DAMAGES. THESE LIMITATIONS SHALL APPLY NOTWITHSTANDING ANY FAILURE OF ESSENTIAL PURPOSE OR ANY LIMITED REMEDY. NOTWITHSTANDING THE FOREGOING, THESE LIMITATIONS SHALL NOT APPLY TO ANY THIRD-PARTY CLAIM THAT IS THE SUBJECT OF SECTION 10 (INDEMNIFICATION), TO THE EXTENT SUCH THIRD PARTY HAS BEEN AWARDED SUCH DAMAGES</w:t>
      </w:r>
      <w:r>
        <w:rPr>
          <w:rFonts w:ascii="Times New Roman" w:cs="Times New Roman" w:eastAsia="Times New Roman" w:hAnsi="Times New Roman"/>
          <w:sz w:val="16"/>
          <w:szCs w:val="16"/>
          <w:b w:val="1"/>
          <w:bCs w:val="1"/>
          <w:color w:val="auto"/>
        </w:rPr>
        <w:t>.</w:t>
      </w:r>
    </w:p>
    <w:p>
      <w:pPr>
        <w:spacing w:after="0" w:line="124" w:lineRule="exact"/>
        <w:rPr>
          <w:rFonts w:ascii="Times New Roman" w:cs="Times New Roman" w:eastAsia="Times New Roman" w:hAnsi="Times New Roman"/>
          <w:sz w:val="16"/>
          <w:szCs w:val="16"/>
          <w:b w:val="1"/>
          <w:bCs w:val="1"/>
          <w:color w:val="auto"/>
        </w:rPr>
      </w:pPr>
    </w:p>
    <w:p>
      <w:pPr>
        <w:ind w:left="760" w:hanging="756"/>
        <w:spacing w:after="0"/>
        <w:tabs>
          <w:tab w:leader="none" w:pos="760" w:val="left"/>
        </w:tabs>
        <w:numPr>
          <w:ilvl w:val="0"/>
          <w:numId w:val="5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DISPUTE RESOLUTION</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firstLine="752"/>
        <w:spacing w:after="0" w:line="238" w:lineRule="auto"/>
        <w:rPr>
          <w:sz w:val="20"/>
          <w:szCs w:val="20"/>
          <w:color w:val="auto"/>
        </w:rPr>
      </w:pPr>
      <w:r>
        <w:rPr>
          <w:rFonts w:ascii="Times New Roman" w:cs="Times New Roman" w:eastAsia="Times New Roman" w:hAnsi="Times New Roman"/>
          <w:sz w:val="17"/>
          <w:szCs w:val="17"/>
          <w:color w:val="auto"/>
        </w:rPr>
        <w:t>13.1</w:t>
      </w:r>
      <w:r>
        <w:rPr>
          <w:rFonts w:ascii="Times New Roman" w:cs="Times New Roman" w:eastAsia="Times New Roman" w:hAnsi="Times New Roman"/>
          <w:sz w:val="17"/>
          <w:szCs w:val="17"/>
          <w:u w:val="single" w:color="auto"/>
          <w:color w:val="auto"/>
        </w:rPr>
        <w:t>Informal Resolution</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14.8 (Injunctive Relief)</w:t>
      </w:r>
      <w:r>
        <w:rPr>
          <w:rFonts w:ascii="Times New Roman" w:cs="Times New Roman" w:eastAsia="Times New Roman" w:hAnsi="Times New Roman"/>
          <w:sz w:val="17"/>
          <w:szCs w:val="17"/>
          <w:color w:val="auto"/>
        </w:rPr>
        <w:t xml:space="preserve">, in the event of any controversy, dispute or claim arising out of, in connection with, or in relation to the interpretation, performance, or alleged breach of this Agreement (the “Dispute”), prior to instituting any arbitration on account of such Dispute, the Parties shall attempt in good faith to settle such Dispute first by negotiation and consultation between themselves, including referral of such Dispute to the Chief Executive Officer of Genoa and the President of PARI. In the event said executives are unable to resolve such Dispute or agree upon a mechanism to resolve such Dispute within [***] of the first written request for dispute resolution under this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then the Parties shall resolve all such Disputes in accordance with </w:t>
      </w:r>
      <w:r>
        <w:rPr>
          <w:rFonts w:ascii="Times New Roman" w:cs="Times New Roman" w:eastAsia="Times New Roman" w:hAnsi="Times New Roman"/>
          <w:sz w:val="17"/>
          <w:szCs w:val="17"/>
          <w:u w:val="single" w:color="auto"/>
          <w:color w:val="auto"/>
        </w:rPr>
        <w:t>Section 13.2 (Arbitration)</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752"/>
        <w:spacing w:after="0" w:line="235" w:lineRule="auto"/>
        <w:rPr>
          <w:sz w:val="20"/>
          <w:szCs w:val="20"/>
          <w:color w:val="auto"/>
        </w:rPr>
      </w:pPr>
      <w:r>
        <w:rPr>
          <w:rFonts w:ascii="Times New Roman" w:cs="Times New Roman" w:eastAsia="Times New Roman" w:hAnsi="Times New Roman"/>
          <w:sz w:val="17"/>
          <w:szCs w:val="17"/>
          <w:color w:val="auto"/>
        </w:rPr>
        <w:t>13.2</w:t>
      </w:r>
      <w:r>
        <w:rPr>
          <w:rFonts w:ascii="Times New Roman" w:cs="Times New Roman" w:eastAsia="Times New Roman" w:hAnsi="Times New Roman"/>
          <w:sz w:val="17"/>
          <w:szCs w:val="17"/>
          <w:u w:val="single" w:color="auto"/>
          <w:color w:val="auto"/>
        </w:rPr>
        <w:t>Arbitration</w:t>
      </w:r>
      <w:r>
        <w:rPr>
          <w:rFonts w:ascii="Times New Roman" w:cs="Times New Roman" w:eastAsia="Times New Roman" w:hAnsi="Times New Roman"/>
          <w:sz w:val="17"/>
          <w:szCs w:val="17"/>
          <w:color w:val="auto"/>
        </w:rPr>
        <w:t xml:space="preserve">. If any Dispute has not been resolved by good faith negotiations between the Parties pursuant to </w:t>
      </w:r>
      <w:r>
        <w:rPr>
          <w:rFonts w:ascii="Times New Roman" w:cs="Times New Roman" w:eastAsia="Times New Roman" w:hAnsi="Times New Roman"/>
          <w:sz w:val="17"/>
          <w:szCs w:val="17"/>
          <w:u w:val="single" w:color="auto"/>
          <w:color w:val="auto"/>
        </w:rPr>
        <w:t>Section 13.1 (Informal Resolution)</w:t>
      </w:r>
      <w:r>
        <w:rPr>
          <w:rFonts w:ascii="Times New Roman" w:cs="Times New Roman" w:eastAsia="Times New Roman" w:hAnsi="Times New Roman"/>
          <w:sz w:val="17"/>
          <w:szCs w:val="17"/>
          <w:color w:val="auto"/>
        </w:rPr>
        <w:t xml:space="preserve"> above, then the Parties shall endeavor to settle the Dispute by submitting the matter to binding arbitration by the American Arbitration Association (“AAA”) in Manhattan, New York. Such arbitration may be conducted under the commercial rules then in effect for the AAA except as provided herein. All such proceedings shall be held in English and a transcribed record prepared in English. Each Party shall choose one (1) arbitrator within [***] of receipt of notice of the intent to arbitrate. Such arbitrators shall thereafter choose a third arbitrator within [***] of their appointment. If no arbitrator is appointed within the times herein provided or any extension of time which is mutually agreed upon, the AAA shall make such appointment of the first two (2) arbitrators within [***] of such failure who shall thereafter pick the third as set forth herein. Each Party in any arbitration proceeding commenced hereunder shall bear such Party’s own costs and expenses (including expert witness and attorneys’ fees) of investigating, preparing and pursuing such arbitration claim. Nothing in this Agreement shall be deemed as preventing either Party from seeking injunctive relief (or any other provisional remedy) from any court having jurisdiction over the Parties and the subject matter of the Dispute as necessary to protect either Party’s name, intellectual property or Confidential Information, and the breaching Party shall waive any requirement that such Party or Parties post bond as a condition for obtaining any such relief. If the Dispute involves scientific or technical matters, any arbitrator chosen hereunder shall have educational training and/or experience sufficient to demonstrate a reasonable level of knowledge in the field of lung disease. The award rendered by the arbitrators shall be written, final and non-appealable, and judgment upon the award rendered by the arbitrator may be entered in any court having jurisdiction thereof.</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4" w:right="319" w:bottom="1440" w:gutter="0" w:footer="0" w:header="0"/>
        </w:sectPr>
      </w:pPr>
    </w:p>
    <w:bookmarkStart w:id="593" w:name="page594"/>
    <w:bookmarkEnd w:id="593"/>
    <w:p>
      <w:pPr>
        <w:ind w:left="760" w:hanging="756"/>
        <w:spacing w:after="0"/>
        <w:tabs>
          <w:tab w:leader="none" w:pos="760" w:val="left"/>
        </w:tabs>
        <w:numPr>
          <w:ilvl w:val="0"/>
          <w:numId w:val="5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b w:val="1"/>
          <w:bCs w:val="1"/>
          <w:color w:val="auto"/>
        </w:rPr>
      </w:pPr>
    </w:p>
    <w:p>
      <w:pPr>
        <w:ind w:left="76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14.1</w:t>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 This Agreement shall be governed by the laws of the State of New York, notwithstanding any conflict of law provisions.</w:t>
      </w:r>
    </w:p>
    <w:p>
      <w:pPr>
        <w:spacing w:after="0" w:line="162" w:lineRule="exact"/>
        <w:rPr>
          <w:sz w:val="20"/>
          <w:szCs w:val="20"/>
          <w:color w:val="auto"/>
        </w:rPr>
      </w:pPr>
    </w:p>
    <w:p>
      <w:pPr>
        <w:jc w:val="both"/>
        <w:ind w:firstLine="752"/>
        <w:spacing w:after="0" w:line="246" w:lineRule="auto"/>
        <w:rPr>
          <w:sz w:val="20"/>
          <w:szCs w:val="20"/>
          <w:color w:val="auto"/>
        </w:rPr>
      </w:pPr>
      <w:r>
        <w:rPr>
          <w:rFonts w:ascii="Times New Roman" w:cs="Times New Roman" w:eastAsia="Times New Roman" w:hAnsi="Times New Roman"/>
          <w:sz w:val="17"/>
          <w:szCs w:val="17"/>
          <w:color w:val="auto"/>
        </w:rPr>
        <w:t>14.2</w:t>
      </w:r>
      <w:r>
        <w:rPr>
          <w:rFonts w:ascii="Times New Roman" w:cs="Times New Roman" w:eastAsia="Times New Roman" w:hAnsi="Times New Roman"/>
          <w:sz w:val="17"/>
          <w:szCs w:val="17"/>
          <w:u w:val="single" w:color="auto"/>
          <w:color w:val="auto"/>
        </w:rPr>
        <w:t>Unenforceability</w:t>
      </w:r>
      <w:r>
        <w:rPr>
          <w:rFonts w:ascii="Times New Roman" w:cs="Times New Roman" w:eastAsia="Times New Roman" w:hAnsi="Times New Roman"/>
          <w:sz w:val="17"/>
          <w:szCs w:val="17"/>
          <w:color w:val="auto"/>
        </w:rPr>
        <w:t>. Both Parties hereby expressly state that it is the intention of neither Party to violate any Law. If any of the provisions of this Agreement are held to be void or unenforceable, then the other provisions of this Agreement will remain in full force and effect and such void or unenforceable provisions shall be replaced by valid and enforceable provisions which will achieve as far as possible the economic business intentions of the Parties.</w:t>
      </w:r>
    </w:p>
    <w:p>
      <w:pPr>
        <w:spacing w:after="0" w:line="135" w:lineRule="exact"/>
        <w:rPr>
          <w:sz w:val="20"/>
          <w:szCs w:val="20"/>
          <w:color w:val="auto"/>
        </w:rPr>
      </w:pPr>
    </w:p>
    <w:p>
      <w:pPr>
        <w:jc w:val="both"/>
        <w:ind w:firstLine="752"/>
        <w:spacing w:after="0" w:line="255" w:lineRule="auto"/>
        <w:rPr>
          <w:sz w:val="20"/>
          <w:szCs w:val="20"/>
          <w:color w:val="auto"/>
        </w:rPr>
      </w:pPr>
      <w:r>
        <w:rPr>
          <w:rFonts w:ascii="Times New Roman" w:cs="Times New Roman" w:eastAsia="Times New Roman" w:hAnsi="Times New Roman"/>
          <w:sz w:val="16"/>
          <w:szCs w:val="16"/>
          <w:color w:val="auto"/>
        </w:rPr>
        <w:t>14.3</w:t>
      </w:r>
      <w:r>
        <w:rPr>
          <w:rFonts w:ascii="Times New Roman" w:cs="Times New Roman" w:eastAsia="Times New Roman" w:hAnsi="Times New Roman"/>
          <w:sz w:val="16"/>
          <w:szCs w:val="16"/>
          <w:u w:val="single" w:color="auto"/>
          <w:color w:val="auto"/>
        </w:rPr>
        <w:t>Force Majeure</w:t>
      </w:r>
      <w:r>
        <w:rPr>
          <w:rFonts w:ascii="Times New Roman" w:cs="Times New Roman" w:eastAsia="Times New Roman" w:hAnsi="Times New Roman"/>
          <w:sz w:val="16"/>
          <w:szCs w:val="16"/>
          <w:color w:val="auto"/>
        </w:rPr>
        <w:t xml:space="preserve">. Neither Party shall be liable for failure to perform, or delay in the performance of, its obligations under this Agreement when such failure or delay is caused by an event of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For purposes of this Agreement, an event of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xml:space="preserve"> means any event or circumstance beyond the reasonable control of the affected Party, including war, insurrection, riot, acts of terrorism, fire, flood or other unusual weather condition, explosion, act of God, peril of the sea, sabotage, act of governmental authority or compliance with governmental order on national defense requirements. If, due to any event of </w:t>
      </w:r>
      <w:r>
        <w:rPr>
          <w:rFonts w:ascii="Times New Roman" w:cs="Times New Roman" w:eastAsia="Times New Roman" w:hAnsi="Times New Roman"/>
          <w:sz w:val="16"/>
          <w:szCs w:val="16"/>
          <w:i w:val="1"/>
          <w:iCs w:val="1"/>
          <w:color w:val="auto"/>
        </w:rPr>
        <w:t>force majeure</w:t>
      </w:r>
      <w:r>
        <w:rPr>
          <w:rFonts w:ascii="Times New Roman" w:cs="Times New Roman" w:eastAsia="Times New Roman" w:hAnsi="Times New Roman"/>
          <w:sz w:val="16"/>
          <w:szCs w:val="16"/>
          <w:color w:val="auto"/>
        </w:rPr>
        <w:t>, either Party shall be unable to fulfill its obligations under this Agreement, the affected Party shall immediately notify the other Party of such inability and of the period during which such inability is expected to continue and the time for performance shall be extended for a number of days equal to the duration of the force majeure.</w:t>
      </w:r>
    </w:p>
    <w:p>
      <w:pPr>
        <w:spacing w:after="0" w:line="131" w:lineRule="exact"/>
        <w:rPr>
          <w:sz w:val="20"/>
          <w:szCs w:val="20"/>
          <w:color w:val="auto"/>
        </w:rPr>
      </w:pPr>
    </w:p>
    <w:p>
      <w:pPr>
        <w:jc w:val="both"/>
        <w:ind w:firstLine="752"/>
        <w:spacing w:after="0" w:line="291" w:lineRule="auto"/>
        <w:rPr>
          <w:sz w:val="20"/>
          <w:szCs w:val="20"/>
          <w:color w:val="auto"/>
        </w:rPr>
      </w:pPr>
      <w:r>
        <w:rPr>
          <w:rFonts w:ascii="Times New Roman" w:cs="Times New Roman" w:eastAsia="Times New Roman" w:hAnsi="Times New Roman"/>
          <w:sz w:val="16"/>
          <w:szCs w:val="16"/>
          <w:color w:val="auto"/>
        </w:rPr>
        <w:t>14.4</w:t>
      </w:r>
      <w:r>
        <w:rPr>
          <w:rFonts w:ascii="Times New Roman" w:cs="Times New Roman" w:eastAsia="Times New Roman" w:hAnsi="Times New Roman"/>
          <w:sz w:val="16"/>
          <w:szCs w:val="16"/>
          <w:u w:val="single" w:color="auto"/>
          <w:color w:val="auto"/>
        </w:rPr>
        <w:t>No Waiver</w:t>
      </w:r>
      <w:r>
        <w:rPr>
          <w:rFonts w:ascii="Times New Roman" w:cs="Times New Roman" w:eastAsia="Times New Roman" w:hAnsi="Times New Roman"/>
          <w:sz w:val="16"/>
          <w:szCs w:val="16"/>
          <w:color w:val="auto"/>
        </w:rPr>
        <w:t>. The failure by either Party to take any action or assert any right hereunder shall in no way be construed to be a waiver of such right, nor in any way be deemed to affect the validity of this Agreement or any part hereof, or the right of a Party to thereafter enforce each and every provision of this Agreement.</w:t>
      </w:r>
    </w:p>
    <w:p>
      <w:pPr>
        <w:spacing w:after="0" w:line="100"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14.5</w:t>
      </w:r>
      <w:r>
        <w:rPr>
          <w:rFonts w:ascii="Times New Roman" w:cs="Times New Roman" w:eastAsia="Times New Roman" w:hAnsi="Times New Roman"/>
          <w:sz w:val="17"/>
          <w:szCs w:val="17"/>
          <w:u w:val="single" w:color="auto"/>
          <w:color w:val="auto"/>
        </w:rPr>
        <w:t>Drafting</w:t>
      </w:r>
      <w:r>
        <w:rPr>
          <w:rFonts w:ascii="Times New Roman" w:cs="Times New Roman" w:eastAsia="Times New Roman" w:hAnsi="Times New Roman"/>
          <w:sz w:val="17"/>
          <w:szCs w:val="17"/>
          <w:color w:val="auto"/>
        </w:rPr>
        <w:t>. This Agreement shall not be construed more strictly against one Party than the other because it may have been drafted by one of the Parties or its counsel, each Party having contributed through its counsel substantially and materially to the negotiation and drafting thereof.</w:t>
      </w:r>
    </w:p>
    <w:p>
      <w:pPr>
        <w:spacing w:after="0" w:line="125" w:lineRule="exact"/>
        <w:rPr>
          <w:sz w:val="20"/>
          <w:szCs w:val="20"/>
          <w:color w:val="auto"/>
        </w:rPr>
      </w:pPr>
    </w:p>
    <w:p>
      <w:pPr>
        <w:jc w:val="both"/>
        <w:ind w:firstLine="752"/>
        <w:spacing w:after="0" w:line="254" w:lineRule="auto"/>
        <w:rPr>
          <w:sz w:val="20"/>
          <w:szCs w:val="20"/>
          <w:color w:val="auto"/>
        </w:rPr>
      </w:pPr>
      <w:r>
        <w:rPr>
          <w:rFonts w:ascii="Times New Roman" w:cs="Times New Roman" w:eastAsia="Times New Roman" w:hAnsi="Times New Roman"/>
          <w:sz w:val="16"/>
          <w:szCs w:val="16"/>
          <w:color w:val="auto"/>
        </w:rPr>
        <w:t>14.6</w:t>
      </w:r>
      <w:r>
        <w:rPr>
          <w:rFonts w:ascii="Times New Roman" w:cs="Times New Roman" w:eastAsia="Times New Roman" w:hAnsi="Times New Roman"/>
          <w:sz w:val="16"/>
          <w:szCs w:val="16"/>
          <w:u w:val="single" w:color="auto"/>
          <w:color w:val="auto"/>
        </w:rPr>
        <w:t>Assignment</w:t>
      </w:r>
      <w:r>
        <w:rPr>
          <w:rFonts w:ascii="Times New Roman" w:cs="Times New Roman" w:eastAsia="Times New Roman" w:hAnsi="Times New Roman"/>
          <w:sz w:val="16"/>
          <w:szCs w:val="16"/>
          <w:color w:val="auto"/>
        </w:rPr>
        <w:t xml:space="preserve">. This Agreement and the Parties’ rights and obligations hereunder shall not be assignable except with the prior written consent of the other Party, not to be unreasonably withheld, conditioned or delayed. Notwithstanding the foregoing, either Party shall have the right to assign this Agreement or its rights or obligations under this Agreement without any prior written consent to any of its Affiliates, successors in interest or acquirers of all or substantially all of its assets relating to the Licensed Intellectual Property, the Device or the Drug Product(s) as applicable; provided, however, such Affiliate, successor in interest or acquirer (i) in case of assignment by Genoa is not a PARI Competitor, and (ii) in all cases assumes all of such Party’s obligations under this Agreement. Any assignment not in accordance with this </w:t>
      </w:r>
      <w:r>
        <w:rPr>
          <w:rFonts w:ascii="Times New Roman" w:cs="Times New Roman" w:eastAsia="Times New Roman" w:hAnsi="Times New Roman"/>
          <w:sz w:val="16"/>
          <w:szCs w:val="16"/>
          <w:u w:val="single" w:color="auto"/>
          <w:color w:val="auto"/>
        </w:rPr>
        <w:t>Section 14.6</w:t>
      </w:r>
      <w:r>
        <w:rPr>
          <w:rFonts w:ascii="Times New Roman" w:cs="Times New Roman" w:eastAsia="Times New Roman" w:hAnsi="Times New Roman"/>
          <w:sz w:val="16"/>
          <w:szCs w:val="16"/>
          <w:color w:val="auto"/>
        </w:rPr>
        <w:t xml:space="preserve"> shall be void. To the extent Genoa desires to assign this Agreement or its rights or obligations under this Agreement to a PARI Competitor, the Parties agree that PARI shall consider any such request from Genoa, without, however, any obligation to consent and agree to such request.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4" w:right="319" w:bottom="1440" w:gutter="0" w:footer="0" w:header="0"/>
        </w:sectPr>
      </w:pPr>
    </w:p>
    <w:bookmarkStart w:id="594" w:name="page595"/>
    <w:bookmarkEnd w:id="594"/>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14.7</w:t>
      </w:r>
      <w:r>
        <w:rPr>
          <w:rFonts w:ascii="Times New Roman" w:cs="Times New Roman" w:eastAsia="Times New Roman" w:hAnsi="Times New Roman"/>
          <w:sz w:val="17"/>
          <w:szCs w:val="17"/>
          <w:u w:val="single" w:color="auto"/>
          <w:color w:val="auto"/>
        </w:rPr>
        <w:t>Relationship of the Parties</w:t>
      </w:r>
      <w:r>
        <w:rPr>
          <w:rFonts w:ascii="Times New Roman" w:cs="Times New Roman" w:eastAsia="Times New Roman" w:hAnsi="Times New Roman"/>
          <w:sz w:val="17"/>
          <w:szCs w:val="17"/>
          <w:color w:val="auto"/>
        </w:rPr>
        <w:t>. In making and performing this Agreement, the Parties are acting, and intend to be treated, as independent entities and nothing contained in this Agreement shall be construed or implied to create an agency, partnership, joint venture, or employer and employee relationship between or among any of the Parties. Except as otherwise provided herein, no Party may make any representation, warranty or commitment, whether express or implied, on behalf of or incur any charges or expenses for or in the name of any other Party. No Party shall be liable for the act of any other Party unless such act is expressly authorized in writing by such Party.</w:t>
      </w:r>
    </w:p>
    <w:p>
      <w:pPr>
        <w:spacing w:after="0" w:line="141"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14.8</w:t>
      </w:r>
      <w:r>
        <w:rPr>
          <w:rFonts w:ascii="Times New Roman" w:cs="Times New Roman" w:eastAsia="Times New Roman" w:hAnsi="Times New Roman"/>
          <w:sz w:val="17"/>
          <w:szCs w:val="17"/>
          <w:u w:val="single" w:color="auto"/>
          <w:color w:val="auto"/>
        </w:rPr>
        <w:t>Injunctive Relief</w:t>
      </w:r>
      <w:r>
        <w:rPr>
          <w:rFonts w:ascii="Times New Roman" w:cs="Times New Roman" w:eastAsia="Times New Roman" w:hAnsi="Times New Roman"/>
          <w:sz w:val="17"/>
          <w:szCs w:val="17"/>
          <w:color w:val="auto"/>
        </w:rPr>
        <w:t>. Each of the Parties agrees that if certain material obligations under this Agreement are not performed in accordance their specific terms or are otherwise breached, (a) severe and irreparable damage may occur, (b) no adequate remedy at law may exist and (c) damages may be difficult to determine. Each of the Parties agrees that, in such case, the injured Parties shall be authorized and entitled to seek from any court of competent jurisdiction injunctive relief, whether preliminary or permanent, as well as any other relief permitted by applicable Law, and the breaching Party shall waive any requirement that such Party or Parties post bond as a condition for obtaining any such relief.</w:t>
      </w:r>
    </w:p>
    <w:p>
      <w:pPr>
        <w:spacing w:after="0" w:line="141" w:lineRule="exact"/>
        <w:rPr>
          <w:sz w:val="20"/>
          <w:szCs w:val="20"/>
          <w:color w:val="auto"/>
        </w:rPr>
      </w:pPr>
    </w:p>
    <w:p>
      <w:pPr>
        <w:jc w:val="both"/>
        <w:ind w:firstLine="752"/>
        <w:spacing w:after="0" w:line="237" w:lineRule="auto"/>
        <w:rPr>
          <w:sz w:val="20"/>
          <w:szCs w:val="20"/>
          <w:color w:val="auto"/>
        </w:rPr>
      </w:pPr>
      <w:r>
        <w:rPr>
          <w:rFonts w:ascii="Times New Roman" w:cs="Times New Roman" w:eastAsia="Times New Roman" w:hAnsi="Times New Roman"/>
          <w:sz w:val="17"/>
          <w:szCs w:val="17"/>
          <w:color w:val="auto"/>
        </w:rPr>
        <w:t>14.9</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xml:space="preserve"> Every notice, election, demand, consent, request, approval, report, offer, acceptance, certificate, or other communication required or permitted under this Agreement or by applicable Law shall be in writing and shall be deemed to have been delivered and received (a) when personally delivered, (b) on the [***] after which sent by registered or certified mail, postage prepaid, return receipt requested, (c) on the date on which transmitted by facsimile or other electronic means generating a receipt evidencing a successful transmission (provided, however, on that same date, a copy of such notice is sent by registered or certified mail, postage prepaid, return receipt requested), or (d) on the [***] after the Business Day on which deposited with a regulated public carrier (e.g., Federal Express) for overnight delivery (receipt verified), freight prepaid, addressed to the Party for whom intended at the mailing address or facsimile number set forth below, or such other mailing address or facsimile number, notice of which is given in a manner permitted by this </w:t>
      </w:r>
      <w:r>
        <w:rPr>
          <w:rFonts w:ascii="Times New Roman" w:cs="Times New Roman" w:eastAsia="Times New Roman" w:hAnsi="Times New Roman"/>
          <w:sz w:val="17"/>
          <w:szCs w:val="17"/>
          <w:u w:val="single" w:color="auto"/>
          <w:color w:val="auto"/>
        </w:rPr>
        <w:t>Section 14.9</w:t>
      </w:r>
      <w:r>
        <w:rPr>
          <w:rFonts w:ascii="Times New Roman" w:cs="Times New Roman" w:eastAsia="Times New Roman" w:hAnsi="Times New Roman"/>
          <w:sz w:val="17"/>
          <w:szCs w:val="17"/>
          <w:color w:val="auto"/>
        </w:rPr>
        <w:t>.</w:t>
      </w:r>
    </w:p>
    <w:p>
      <w:pPr>
        <w:spacing w:after="0" w:line="14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u w:val="single" w:color="auto"/>
          <w:color w:val="auto"/>
        </w:rPr>
        <w:t>For PARI</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u w:val="single" w:color="auto"/>
          <w:color w:val="auto"/>
        </w:rPr>
        <w:t>For Genoa</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firstLine="752"/>
        <w:spacing w:after="0" w:line="239" w:lineRule="auto"/>
        <w:rPr>
          <w:sz w:val="20"/>
          <w:szCs w:val="20"/>
          <w:color w:val="auto"/>
        </w:rPr>
      </w:pPr>
      <w:r>
        <w:rPr>
          <w:rFonts w:ascii="Times New Roman" w:cs="Times New Roman" w:eastAsia="Times New Roman" w:hAnsi="Times New Roman"/>
          <w:sz w:val="17"/>
          <w:szCs w:val="17"/>
          <w:color w:val="auto"/>
        </w:rPr>
        <w:t>14.10</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the Exhibits and Schedules to this Agreement, the “[***] ” with the effective date [***] , and the “[***]” with the effective date [***] contain the entire understanding between the Parties relating to the subject matter hereof and supersedes any and all prior agreements, understandings and arrangements, whether written or oral, between the Parties hereto, including the Confidential Disclosure Agreement entered into between the Parties effective as of January 4</w:t>
      </w:r>
      <w:r>
        <w:rPr>
          <w:rFonts w:ascii="Times New Roman" w:cs="Times New Roman" w:eastAsia="Times New Roman" w:hAnsi="Times New Roman"/>
          <w:sz w:val="11"/>
          <w:szCs w:val="11"/>
          <w:color w:val="auto"/>
        </w:rPr>
        <w:t>th</w:t>
      </w:r>
      <w:r>
        <w:rPr>
          <w:rFonts w:ascii="Times New Roman" w:cs="Times New Roman" w:eastAsia="Times New Roman" w:hAnsi="Times New Roman"/>
          <w:sz w:val="17"/>
          <w:szCs w:val="17"/>
          <w:color w:val="auto"/>
        </w:rPr>
        <w:t>, 2012 (“CDA”), which CDA is hereby expressly terminated as of the Effective Date. Any confidential information which was disclosed under the CDA shall remain confidential and shall be considered Confidential Information hereunder and shall be</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8" w:right="319" w:bottom="1440" w:gutter="0" w:footer="0" w:header="0"/>
        </w:sectPr>
      </w:pPr>
    </w:p>
    <w:bookmarkStart w:id="595" w:name="page596"/>
    <w:bookmarkEnd w:id="595"/>
    <w:p>
      <w:pPr>
        <w:jc w:val="both"/>
        <w:spacing w:after="0" w:line="248" w:lineRule="auto"/>
        <w:rPr>
          <w:sz w:val="20"/>
          <w:szCs w:val="20"/>
          <w:color w:val="auto"/>
        </w:rPr>
      </w:pPr>
      <w:r>
        <w:rPr>
          <w:rFonts w:ascii="Times New Roman" w:cs="Times New Roman" w:eastAsia="Times New Roman" w:hAnsi="Times New Roman"/>
          <w:sz w:val="17"/>
          <w:szCs w:val="17"/>
          <w:color w:val="auto"/>
        </w:rPr>
        <w:t xml:space="preserve">subject to the confidentiality provisions set forth in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(Confidential Information) of this Agreement. Notwithstanding the foregoing</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neither Party shall be relieved from any liability for any past breach of any prior written agreements, including the CDA. No amendments, changes, modifications, waivers or alterations of the terms and conditions of this Agreement shall be binding upon either Party hereto unless in writing and signed by both Parties.</w:t>
      </w:r>
    </w:p>
    <w:p>
      <w:pPr>
        <w:spacing w:after="0" w:line="134"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14.11</w:t>
      </w:r>
      <w:r>
        <w:rPr>
          <w:rFonts w:ascii="Times New Roman" w:cs="Times New Roman" w:eastAsia="Times New Roman" w:hAnsi="Times New Roman"/>
          <w:sz w:val="17"/>
          <w:szCs w:val="17"/>
          <w:u w:val="single" w:color="auto"/>
          <w:color w:val="auto"/>
        </w:rPr>
        <w:t>Binding Effect</w:t>
      </w:r>
      <w:r>
        <w:rPr>
          <w:rFonts w:ascii="Times New Roman" w:cs="Times New Roman" w:eastAsia="Times New Roman" w:hAnsi="Times New Roman"/>
          <w:sz w:val="17"/>
          <w:szCs w:val="17"/>
          <w:color w:val="auto"/>
        </w:rPr>
        <w:t>. This Agreement shall be binding upon, and the rights and obligations hereof shall apply to the Parties and any successor(s) and permitted assigns.</w:t>
      </w:r>
    </w:p>
    <w:p>
      <w:pPr>
        <w:spacing w:after="0" w:line="12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14.12</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The captions to the Sections hereof are merely guides or labels to assist in locating and reading the several Sections hereof and are not a part of this Agreement and shall be of no force or effect in construing or interpreting any of the provisions of this Agreement.</w:t>
      </w:r>
    </w:p>
    <w:p>
      <w:pPr>
        <w:spacing w:after="0" w:line="125" w:lineRule="exact"/>
        <w:rPr>
          <w:sz w:val="20"/>
          <w:szCs w:val="20"/>
          <w:color w:val="auto"/>
        </w:rPr>
      </w:pPr>
    </w:p>
    <w:p>
      <w:pPr>
        <w:jc w:val="both"/>
        <w:ind w:firstLine="752"/>
        <w:spacing w:after="0" w:line="259" w:lineRule="auto"/>
        <w:rPr>
          <w:sz w:val="20"/>
          <w:szCs w:val="20"/>
          <w:color w:val="auto"/>
        </w:rPr>
      </w:pPr>
      <w:r>
        <w:rPr>
          <w:rFonts w:ascii="Times New Roman" w:cs="Times New Roman" w:eastAsia="Times New Roman" w:hAnsi="Times New Roman"/>
          <w:sz w:val="17"/>
          <w:szCs w:val="17"/>
          <w:color w:val="auto"/>
        </w:rPr>
        <w:t>14.13</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(facsimile and electronic transmission included) and each such counterpart shall be deemed an original 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370205</wp:posOffset>
            </wp:positionV>
            <wp:extent cx="7188200" cy="3873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11280"/>
          </w:cols>
          <w:pgMar w:left="300" w:top="1124" w:right="319" w:bottom="1440" w:gutter="0" w:footer="0" w:header="0"/>
        </w:sectPr>
      </w:pPr>
    </w:p>
    <w:bookmarkStart w:id="596" w:name="page597"/>
    <w:bookmarkEnd w:id="596"/>
    <w:p>
      <w:pPr>
        <w:spacing w:after="0"/>
        <w:rPr>
          <w:sz w:val="20"/>
          <w:szCs w:val="20"/>
          <w:color w:val="auto"/>
        </w:rPr>
      </w:pPr>
      <w:r>
        <w:rPr>
          <w:rFonts w:ascii="Times New Roman" w:cs="Times New Roman" w:eastAsia="Times New Roman" w:hAnsi="Times New Roman"/>
          <w:sz w:val="16"/>
          <w:szCs w:val="16"/>
          <w:b w:val="1"/>
          <w:bCs w:val="1"/>
          <w:color w:val="auto"/>
        </w:rPr>
        <w:t>IN WITNESS WHEREOF</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2A2828"/>
        </w:rPr>
        <w:t>Parties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hereto have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2A2828"/>
        </w:rPr>
        <w:t>executed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w:t>
      </w:r>
      <w:r>
        <w:rPr>
          <w:rFonts w:ascii="Times New Roman" w:cs="Times New Roman" w:eastAsia="Times New Roman" w:hAnsi="Times New Roman"/>
          <w:sz w:val="16"/>
          <w:szCs w:val="16"/>
          <w:b w:val="1"/>
          <w:bCs w:val="1"/>
          <w:color w:val="auto"/>
        </w:rPr>
        <w:t xml:space="preserve"> License Agreement </w:t>
      </w:r>
      <w:r>
        <w:rPr>
          <w:rFonts w:ascii="Times New Roman" w:cs="Times New Roman" w:eastAsia="Times New Roman" w:hAnsi="Times New Roman"/>
          <w:sz w:val="16"/>
          <w:szCs w:val="16"/>
          <w:color w:val="2A2828"/>
        </w:rPr>
        <w:t>as of</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2A2828"/>
        </w:rPr>
        <w:t>Effective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Date.</w:t>
      </w:r>
    </w:p>
    <w:p>
      <w:pPr>
        <w:sectPr>
          <w:pgSz w:w="11900" w:h="16838" w:orient="portrait"/>
          <w:cols w:equalWidth="0" w:num="1">
            <w:col w:w="9399"/>
          </w:cols>
          <w:pgMar w:left="1060" w:top="1124" w:right="1440" w:bottom="1440" w:gutter="0" w:footer="0" w:header="0"/>
        </w:sectPr>
      </w:pPr>
    </w:p>
    <w:p>
      <w:pPr>
        <w:spacing w:after="0" w:line="17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7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i w:val="1"/>
          <w:iCs w:val="1"/>
          <w:color w:val="1A1818"/>
        </w:rPr>
        <w:t>[Signature page to License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wp:posOffset>
            </wp:positionH>
            <wp:positionV relativeFrom="paragraph">
              <wp:posOffset>380365</wp:posOffset>
            </wp:positionV>
            <wp:extent cx="7188200" cy="3873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399"/>
          </w:cols>
          <w:pgMar w:left="1060" w:top="1124" w:right="1440" w:bottom="1440" w:gutter="0" w:footer="0" w:header="0"/>
          <w:type w:val="continuous"/>
        </w:sectPr>
      </w:pPr>
    </w:p>
    <w:bookmarkStart w:id="597" w:name="page598"/>
    <w:bookmarkEnd w:id="597"/>
    <w:p>
      <w:pPr>
        <w:jc w:val="center"/>
        <w:spacing w:after="0"/>
        <w:rPr>
          <w:sz w:val="20"/>
          <w:szCs w:val="20"/>
          <w:color w:val="auto"/>
        </w:rPr>
      </w:pPr>
      <w:r>
        <w:rPr>
          <w:rFonts w:ascii="Times New Roman" w:cs="Times New Roman" w:eastAsia="Times New Roman" w:hAnsi="Times New Roman"/>
          <w:sz w:val="16"/>
          <w:szCs w:val="16"/>
          <w:b w:val="1"/>
          <w:bCs w:val="1"/>
          <w:color w:val="auto"/>
        </w:rPr>
        <w:t>SCHEDULE A1</w:t>
      </w:r>
    </w:p>
    <w:p>
      <w:pPr>
        <w:sectPr>
          <w:pgSz w:w="11900" w:h="16838" w:orient="portrait"/>
          <w:cols w:equalWidth="0" w:num="1">
            <w:col w:w="9019"/>
          </w:cols>
          <w:pgMar w:left="1440" w:top="1124" w:right="1440"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697865</wp:posOffset>
            </wp:positionV>
            <wp:extent cx="7188200" cy="3873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598" w:name="page599"/>
    <w:bookmarkEnd w:id="598"/>
    <w:p>
      <w:pPr>
        <w:jc w:val="center"/>
        <w:spacing w:after="0"/>
        <w:rPr>
          <w:sz w:val="20"/>
          <w:szCs w:val="20"/>
          <w:color w:val="auto"/>
        </w:rPr>
      </w:pPr>
      <w:r>
        <w:rPr>
          <w:rFonts w:ascii="Times New Roman" w:cs="Times New Roman" w:eastAsia="Times New Roman" w:hAnsi="Times New Roman"/>
          <w:sz w:val="16"/>
          <w:szCs w:val="16"/>
          <w:b w:val="1"/>
          <w:bCs w:val="1"/>
          <w:color w:val="auto"/>
        </w:rPr>
        <w:t>SCHEDULE A2</w:t>
      </w:r>
    </w:p>
    <w:p>
      <w:pPr>
        <w:sectPr>
          <w:pgSz w:w="11900" w:h="16838" w:orient="portrait"/>
          <w:cols w:equalWidth="0" w:num="1">
            <w:col w:w="9019"/>
          </w:cols>
          <w:pgMar w:left="1440" w:top="1124" w:right="1440"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697865</wp:posOffset>
            </wp:positionV>
            <wp:extent cx="7188200" cy="3873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599" w:name="page600"/>
    <w:bookmarkEnd w:id="599"/>
    <w:p>
      <w:pPr>
        <w:jc w:val="center"/>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b w:val="1"/>
          <w:bCs w:val="1"/>
          <w:color w:val="auto"/>
        </w:rPr>
        <w:t xml:space="preserve"> B</w:t>
      </w:r>
    </w:p>
    <w:p>
      <w:pPr>
        <w:sectPr>
          <w:pgSz w:w="11900" w:h="16838" w:orient="portrait"/>
          <w:cols w:equalWidth="0" w:num="1">
            <w:col w:w="9019"/>
          </w:cols>
          <w:pgMar w:left="1440" w:top="1124"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697865</wp:posOffset>
            </wp:positionV>
            <wp:extent cx="7188200" cy="3873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600" w:name="page601"/>
    <w:bookmarkEnd w:id="60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b w:val="1"/>
          <w:bCs w:val="1"/>
          <w:color w:val="auto"/>
        </w:rPr>
        <w:t xml:space="preserve"> C</w:t>
      </w:r>
    </w:p>
    <w:p>
      <w:pPr>
        <w:sectPr>
          <w:pgSz w:w="11900" w:h="16838" w:orient="portrait"/>
          <w:cols w:equalWidth="0" w:num="1">
            <w:col w:w="9019"/>
          </w:cols>
          <w:pgMar w:left="1440" w:top="1124"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697865</wp:posOffset>
            </wp:positionV>
            <wp:extent cx="7188200" cy="3873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601" w:name="page602"/>
    <w:bookmarkEnd w:id="60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1"/>
          <w:szCs w:val="11"/>
          <w:b w:val="1"/>
          <w:bCs w:val="1"/>
          <w:color w:val="auto"/>
        </w:rPr>
        <w:t>chedule</w:t>
      </w:r>
      <w:r>
        <w:rPr>
          <w:rFonts w:ascii="Times New Roman" w:cs="Times New Roman" w:eastAsia="Times New Roman" w:hAnsi="Times New Roman"/>
          <w:sz w:val="17"/>
          <w:szCs w:val="17"/>
          <w:b w:val="1"/>
          <w:bCs w:val="1"/>
          <w:color w:val="auto"/>
        </w:rPr>
        <w:t xml:space="preserve"> D</w:t>
      </w:r>
    </w:p>
    <w:p>
      <w:pPr>
        <w:sectPr>
          <w:pgSz w:w="11900" w:h="16838" w:orient="portrait"/>
          <w:cols w:equalWidth="0" w:num="1">
            <w:col w:w="9019"/>
          </w:cols>
          <w:pgMar w:left="1440" w:top="1124" w:right="1440" w:bottom="1440" w:gutter="0" w:footer="0" w:header="0"/>
        </w:sectPr>
      </w:pP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697865</wp:posOffset>
            </wp:positionV>
            <wp:extent cx="7188200" cy="3873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602" w:name="page603"/>
    <w:bookmarkEnd w:id="60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E</w:t>
      </w:r>
    </w:p>
    <w:p>
      <w:pPr>
        <w:sectPr>
          <w:pgSz w:w="11900" w:h="16838" w:orient="portrait"/>
          <w:cols w:equalWidth="0" w:num="1">
            <w:col w:w="9019"/>
          </w:cols>
          <w:pgMar w:left="1440" w:top="1124" w:right="1440" w:bottom="1440" w:gutter="0" w:footer="0" w:header="0"/>
        </w:sectPr>
      </w:pPr>
    </w:p>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1018540</wp:posOffset>
            </wp:positionV>
            <wp:extent cx="7188200" cy="3873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603" w:name="page604"/>
    <w:bookmarkEnd w:id="60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SCHEDULE F</w:t>
      </w:r>
    </w:p>
    <w:p>
      <w:pPr>
        <w:sectPr>
          <w:pgSz w:w="11900" w:h="16838" w:orient="portrait"/>
          <w:cols w:equalWidth="0" w:num="1">
            <w:col w:w="9019"/>
          </w:cols>
          <w:pgMar w:left="1440" w:top="1124" w:right="1440" w:bottom="1440" w:gutter="0" w:footer="0" w:header="0"/>
        </w:sectPr>
      </w:pP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697865</wp:posOffset>
            </wp:positionV>
            <wp:extent cx="7188200" cy="3873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7188200"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type w:val="continuous"/>
        </w:sectPr>
      </w:pPr>
    </w:p>
    <w:bookmarkStart w:id="604" w:name="page605"/>
    <w:bookmarkEnd w:id="604"/>
    <w:p>
      <w:pPr>
        <w:jc w:val="center"/>
        <w:ind w:left="1220" w:right="1279"/>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10.17</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TO THE LICENSE AGREEMENT</w:t>
      </w:r>
    </w:p>
    <w:p>
      <w:pPr>
        <w:spacing w:after="0" w:line="144" w:lineRule="exact"/>
        <w:rPr>
          <w:sz w:val="20"/>
          <w:szCs w:val="20"/>
          <w:color w:val="auto"/>
        </w:rPr>
      </w:pPr>
    </w:p>
    <w:p>
      <w:pPr>
        <w:jc w:val="both"/>
        <w:ind w:left="1220" w:right="1239" w:firstLine="505"/>
        <w:spacing w:after="0" w:line="229" w:lineRule="auto"/>
        <w:rPr>
          <w:sz w:val="20"/>
          <w:szCs w:val="20"/>
          <w:color w:val="auto"/>
        </w:rPr>
      </w:pPr>
      <w:r>
        <w:rPr>
          <w:rFonts w:ascii="Times New Roman" w:cs="Times New Roman" w:eastAsia="Times New Roman" w:hAnsi="Times New Roman"/>
          <w:sz w:val="17"/>
          <w:szCs w:val="17"/>
          <w:color w:val="auto"/>
        </w:rPr>
        <w:t>This Amendment No. 1 to the License Agreement (this “</w:t>
      </w:r>
      <w:r>
        <w:rPr>
          <w:rFonts w:ascii="Times New Roman" w:cs="Times New Roman" w:eastAsia="Times New Roman" w:hAnsi="Times New Roman"/>
          <w:sz w:val="17"/>
          <w:szCs w:val="17"/>
          <w:u w:val="single" w:color="auto"/>
          <w:color w:val="auto"/>
        </w:rPr>
        <w:t>Amendment No. 1</w:t>
      </w:r>
      <w:r>
        <w:rPr>
          <w:rFonts w:ascii="Times New Roman" w:cs="Times New Roman" w:eastAsia="Times New Roman" w:hAnsi="Times New Roman"/>
          <w:sz w:val="17"/>
          <w:szCs w:val="17"/>
          <w:color w:val="auto"/>
        </w:rPr>
        <w:t>”) is effective as of October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2020, by and between </w:t>
      </w:r>
      <w:r>
        <w:rPr>
          <w:rFonts w:ascii="Times New Roman" w:cs="Times New Roman" w:eastAsia="Times New Roman" w:hAnsi="Times New Roman"/>
          <w:sz w:val="17"/>
          <w:szCs w:val="17"/>
          <w:b w:val="1"/>
          <w:bCs w:val="1"/>
          <w:color w:val="auto"/>
        </w:rPr>
        <w:t>Avalyn Pharma Inc.</w:t>
      </w:r>
      <w:r>
        <w:rPr>
          <w:rFonts w:ascii="Times New Roman" w:cs="Times New Roman" w:eastAsia="Times New Roman" w:hAnsi="Times New Roman"/>
          <w:sz w:val="17"/>
          <w:szCs w:val="17"/>
          <w:color w:val="auto"/>
        </w:rPr>
        <w:t>, a Delaware corporation having its principal place of business at 701 Pike Sheet Suite 1500 Seattle, WA 98101, USA (“</w:t>
      </w:r>
      <w:r>
        <w:rPr>
          <w:rFonts w:ascii="Times New Roman" w:cs="Times New Roman" w:eastAsia="Times New Roman" w:hAnsi="Times New Roman"/>
          <w:sz w:val="17"/>
          <w:szCs w:val="17"/>
          <w:u w:val="single" w:color="auto"/>
          <w:color w:val="auto"/>
        </w:rPr>
        <w:t>Avalyn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PARI Pharma GmbH</w:t>
      </w:r>
      <w:r>
        <w:rPr>
          <w:rFonts w:ascii="Times New Roman" w:cs="Times New Roman" w:eastAsia="Times New Roman" w:hAnsi="Times New Roman"/>
          <w:sz w:val="17"/>
          <w:szCs w:val="17"/>
          <w:color w:val="auto"/>
        </w:rPr>
        <w:t>, a German corporation having its principal place of business at Moosstrasse 3, 82319 Starnberg, Germany (“</w:t>
      </w:r>
      <w:r>
        <w:rPr>
          <w:rFonts w:ascii="Times New Roman" w:cs="Times New Roman" w:eastAsia="Times New Roman" w:hAnsi="Times New Roman"/>
          <w:sz w:val="17"/>
          <w:szCs w:val="17"/>
          <w:u w:val="single" w:color="auto"/>
          <w:color w:val="auto"/>
        </w:rPr>
        <w:t>PARI</w:t>
      </w:r>
      <w:r>
        <w:rPr>
          <w:rFonts w:ascii="Times New Roman" w:cs="Times New Roman" w:eastAsia="Times New Roman" w:hAnsi="Times New Roman"/>
          <w:sz w:val="17"/>
          <w:szCs w:val="17"/>
          <w:color w:val="auto"/>
        </w:rPr>
        <w:t>”) (each of Avalyn and PARI being individually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15" w:lineRule="exact"/>
        <w:rPr>
          <w:sz w:val="20"/>
          <w:szCs w:val="20"/>
          <w:color w:val="auto"/>
        </w:rPr>
      </w:pPr>
    </w:p>
    <w:p>
      <w:pPr>
        <w:ind w:left="1220" w:right="1239" w:firstLine="509"/>
        <w:spacing w:after="0" w:line="264" w:lineRule="auto"/>
        <w:tabs>
          <w:tab w:leader="none" w:pos="2061" w:val="left"/>
        </w:tabs>
        <w:numPr>
          <w:ilvl w:val="0"/>
          <w:numId w:val="5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PARI and Avalyn (formerly known as Genoa Pharmaceuticals,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parties to that certain License Agreement, dated as of April 3, 2017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w:t>
      </w:r>
    </w:p>
    <w:p>
      <w:pPr>
        <w:spacing w:after="0" w:line="106" w:lineRule="exact"/>
        <w:rPr>
          <w:rFonts w:ascii="Times New Roman" w:cs="Times New Roman" w:eastAsia="Times New Roman" w:hAnsi="Times New Roman"/>
          <w:sz w:val="17"/>
          <w:szCs w:val="17"/>
          <w:b w:val="1"/>
          <w:bCs w:val="1"/>
          <w:color w:val="auto"/>
        </w:rPr>
      </w:pPr>
    </w:p>
    <w:p>
      <w:pPr>
        <w:ind w:left="1220" w:right="1239" w:firstLine="509"/>
        <w:spacing w:after="0" w:line="264" w:lineRule="auto"/>
        <w:tabs>
          <w:tab w:leader="none" w:pos="2061" w:val="left"/>
        </w:tabs>
        <w:numPr>
          <w:ilvl w:val="0"/>
          <w:numId w:val="5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 PARI and Avalyn are parties to that certain Quality Agreement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Clinical Trial Supply, dated as of January 21,2020 (the “</w:t>
      </w:r>
      <w:r>
        <w:rPr>
          <w:rFonts w:ascii="Times New Roman" w:cs="Times New Roman" w:eastAsia="Times New Roman" w:hAnsi="Times New Roman"/>
          <w:sz w:val="17"/>
          <w:szCs w:val="17"/>
          <w:u w:val="single" w:color="auto"/>
          <w:color w:val="auto"/>
        </w:rPr>
        <w:t>Quality Agreement</w:t>
      </w:r>
      <w:r>
        <w:rPr>
          <w:rFonts w:ascii="Times New Roman" w:cs="Times New Roman" w:eastAsia="Times New Roman" w:hAnsi="Times New Roman"/>
          <w:sz w:val="17"/>
          <w:szCs w:val="17"/>
          <w:color w:val="auto"/>
        </w:rPr>
        <w:t>”); and</w:t>
      </w:r>
    </w:p>
    <w:p>
      <w:pPr>
        <w:spacing w:after="0" w:line="106" w:lineRule="exact"/>
        <w:rPr>
          <w:rFonts w:ascii="Times New Roman" w:cs="Times New Roman" w:eastAsia="Times New Roman" w:hAnsi="Times New Roman"/>
          <w:sz w:val="17"/>
          <w:szCs w:val="17"/>
          <w:b w:val="1"/>
          <w:bCs w:val="1"/>
          <w:color w:val="auto"/>
        </w:rPr>
      </w:pPr>
    </w:p>
    <w:p>
      <w:pPr>
        <w:jc w:val="both"/>
        <w:ind w:left="1220" w:right="1239" w:firstLine="509"/>
        <w:spacing w:after="0" w:line="248" w:lineRule="auto"/>
        <w:tabs>
          <w:tab w:leader="none" w:pos="2061" w:val="left"/>
        </w:tabs>
        <w:numPr>
          <w:ilvl w:val="0"/>
          <w:numId w:val="5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 Avalyn wishes and PARI agrees, in conformity with the respective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provisions of the Agreement and separate Quality Agreement, to use a different controller suitable to operate the Device than the originally agreed controller; and</w:t>
      </w:r>
    </w:p>
    <w:p>
      <w:pPr>
        <w:spacing w:after="0" w:line="108" w:lineRule="exact"/>
        <w:rPr>
          <w:rFonts w:ascii="Times New Roman" w:cs="Times New Roman" w:eastAsia="Times New Roman" w:hAnsi="Times New Roman"/>
          <w:sz w:val="17"/>
          <w:szCs w:val="17"/>
          <w:b w:val="1"/>
          <w:bCs w:val="1"/>
          <w:color w:val="auto"/>
        </w:rPr>
      </w:pPr>
    </w:p>
    <w:p>
      <w:pPr>
        <w:ind w:left="2060" w:hanging="331"/>
        <w:spacing w:after="0"/>
        <w:tabs>
          <w:tab w:leader="none" w:pos="2060" w:val="left"/>
        </w:tabs>
        <w:numPr>
          <w:ilvl w:val="0"/>
          <w:numId w:val="5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the Agreement as set forth herein.</w:t>
      </w:r>
    </w:p>
    <w:p>
      <w:pPr>
        <w:spacing w:after="0" w:line="151"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covenants and agreements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herein and for good and valuable consideration, the receipt and adequacy of which are hereby acknowledged, the Parties hereby agree as follows:</w:t>
      </w:r>
    </w:p>
    <w:p>
      <w:pPr>
        <w:spacing w:after="0" w:line="134" w:lineRule="exact"/>
        <w:rPr>
          <w:sz w:val="20"/>
          <w:szCs w:val="20"/>
          <w:color w:val="auto"/>
        </w:rPr>
      </w:pPr>
    </w:p>
    <w:p>
      <w:pPr>
        <w:ind w:left="1720" w:right="1239" w:firstLine="513"/>
        <w:spacing w:after="0" w:line="259" w:lineRule="auto"/>
        <w:tabs>
          <w:tab w:leader="none" w:pos="2588"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but not defined in this Amendment No. 1 will have the meanings ascribed to them in the Agreement or in the Quality Agreement.</w:t>
      </w:r>
    </w:p>
    <w:p>
      <w:pPr>
        <w:spacing w:after="0" w:line="124" w:lineRule="exact"/>
        <w:rPr>
          <w:rFonts w:ascii="Times New Roman" w:cs="Times New Roman" w:eastAsia="Times New Roman" w:hAnsi="Times New Roman"/>
          <w:sz w:val="17"/>
          <w:szCs w:val="17"/>
          <w:color w:val="auto"/>
        </w:rPr>
      </w:pPr>
    </w:p>
    <w:p>
      <w:pPr>
        <w:ind w:left="2600" w:hanging="367"/>
        <w:spacing w:after="0"/>
        <w:tabs>
          <w:tab w:leader="none" w:pos="2600"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uses of “Genoa” under the Agreement shall be replaced with “</w:t>
      </w:r>
      <w:r>
        <w:rPr>
          <w:rFonts w:ascii="Times New Roman" w:cs="Times New Roman" w:eastAsia="Times New Roman" w:hAnsi="Times New Roman"/>
          <w:sz w:val="17"/>
          <w:szCs w:val="17"/>
          <w:u w:val="single" w:color="auto"/>
          <w:color w:val="auto"/>
        </w:rPr>
        <w:t>Avalyn</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color w:val="auto"/>
        </w:rPr>
      </w:pPr>
    </w:p>
    <w:p>
      <w:pPr>
        <w:ind w:left="2600" w:hanging="367"/>
        <w:spacing w:after="0"/>
        <w:tabs>
          <w:tab w:leader="none" w:pos="2600" w:val="left"/>
        </w:tabs>
        <w:numPr>
          <w:ilvl w:val="0"/>
          <w:numId w:val="5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definition shall be added to Section 1 of the Agreement:</w:t>
      </w:r>
    </w:p>
    <w:p>
      <w:pPr>
        <w:spacing w:after="0" w:line="16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Controller Type 178</w:t>
      </w:r>
      <w:r>
        <w:rPr>
          <w:rFonts w:ascii="Times New Roman" w:cs="Times New Roman" w:eastAsia="Times New Roman" w:hAnsi="Times New Roman"/>
          <w:sz w:val="17"/>
          <w:szCs w:val="17"/>
          <w:color w:val="auto"/>
        </w:rPr>
        <w:t>” shall mean [***].”</w:t>
      </w:r>
    </w:p>
    <w:p>
      <w:pPr>
        <w:spacing w:after="0" w:line="162" w:lineRule="exact"/>
        <w:rPr>
          <w:sz w:val="20"/>
          <w:szCs w:val="20"/>
          <w:color w:val="auto"/>
        </w:rPr>
      </w:pPr>
    </w:p>
    <w:p>
      <w:pPr>
        <w:ind w:left="2600" w:hanging="367"/>
        <w:spacing w:after="0"/>
        <w:tabs>
          <w:tab w:leader="none" w:pos="2600" w:val="left"/>
        </w:tabs>
        <w:numPr>
          <w:ilvl w:val="0"/>
          <w:numId w:val="5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Section 9.3.1 a) of the Agreement is hereby deleted and replaced by the</w:t>
      </w:r>
    </w:p>
    <w:p>
      <w:pPr>
        <w:spacing w:after="0" w:line="11" w:lineRule="exact"/>
        <w:rPr>
          <w:rFonts w:ascii="Times New Roman" w:cs="Times New Roman" w:eastAsia="Times New Roman" w:hAnsi="Times New Roman"/>
          <w:sz w:val="17"/>
          <w:szCs w:val="17"/>
          <w:color w:val="auto"/>
        </w:rPr>
      </w:pPr>
    </w:p>
    <w:p>
      <w:pPr>
        <w:ind w:left="17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following:</w:t>
      </w:r>
    </w:p>
    <w:p>
      <w:pPr>
        <w:spacing w:after="0" w:line="144" w:lineRule="exact"/>
        <w:rPr>
          <w:sz w:val="20"/>
          <w:szCs w:val="20"/>
          <w:color w:val="auto"/>
        </w:rPr>
      </w:pPr>
    </w:p>
    <w:p>
      <w:pPr>
        <w:jc w:val="both"/>
        <w:ind w:left="2240" w:right="1239" w:firstLine="505"/>
        <w:spacing w:after="0" w:line="237" w:lineRule="auto"/>
        <w:rPr>
          <w:sz w:val="20"/>
          <w:szCs w:val="20"/>
          <w:color w:val="auto"/>
        </w:rPr>
      </w:pPr>
      <w:r>
        <w:rPr>
          <w:rFonts w:ascii="Times New Roman" w:cs="Times New Roman" w:eastAsia="Times New Roman" w:hAnsi="Times New Roman"/>
          <w:sz w:val="17"/>
          <w:szCs w:val="17"/>
          <w:color w:val="auto"/>
        </w:rPr>
        <w:t>“The Parties agree that PARI shall manufacture and supply the Device intended for commercial use in [***] with the Drug Product(s) for a price not to exceed [***] per Nebulizer Starter Kit (including [***]) excluding any taxes, shipping and storage costs associated with such Device (the “</w:t>
      </w:r>
      <w:r>
        <w:rPr>
          <w:rFonts w:ascii="Times New Roman" w:cs="Times New Roman" w:eastAsia="Times New Roman" w:hAnsi="Times New Roman"/>
          <w:sz w:val="17"/>
          <w:szCs w:val="17"/>
          <w:u w:val="single" w:color="auto"/>
          <w:color w:val="auto"/>
        </w:rPr>
        <w:t>US Baseline Starter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Kit Price</w:t>
      </w:r>
      <w:r>
        <w:rPr>
          <w:rFonts w:ascii="Times New Roman" w:cs="Times New Roman" w:eastAsia="Times New Roman" w:hAnsi="Times New Roman"/>
          <w:sz w:val="17"/>
          <w:szCs w:val="17"/>
          <w:color w:val="auto"/>
        </w:rPr>
        <w:t>”). Prices for countries outside [***] will be negotiated in good faith between the Parties and will include a mark-up for the local distribution services if those arc requested by Avalyn.”</w:t>
      </w:r>
    </w:p>
    <w:p>
      <w:pPr>
        <w:spacing w:after="0" w:line="3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ACTIVE/204421759.1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19" w:right="1440" w:bottom="1440" w:gutter="0" w:footer="0" w:header="0"/>
        </w:sectPr>
      </w:pPr>
    </w:p>
    <w:bookmarkStart w:id="605" w:name="page606"/>
    <w:bookmarkEnd w:id="605"/>
    <w:p>
      <w:pPr>
        <w:ind w:left="1720" w:right="1239" w:firstLine="513"/>
        <w:spacing w:after="0" w:line="259" w:lineRule="auto"/>
        <w:tabs>
          <w:tab w:leader="none" w:pos="2588" w:val="left"/>
        </w:tabs>
        <w:numPr>
          <w:ilvl w:val="0"/>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Schedule A1 to the Agreement is hereby deleted and replaced by Schedule A1 (October 2020) attached to this Amendment No. 1</w:t>
      </w:r>
    </w:p>
    <w:p>
      <w:pPr>
        <w:spacing w:after="0" w:line="124" w:lineRule="exact"/>
        <w:rPr>
          <w:rFonts w:ascii="Times New Roman" w:cs="Times New Roman" w:eastAsia="Times New Roman" w:hAnsi="Times New Roman"/>
          <w:sz w:val="17"/>
          <w:szCs w:val="17"/>
          <w:color w:val="auto"/>
        </w:rPr>
      </w:pPr>
    </w:p>
    <w:p>
      <w:pPr>
        <w:jc w:val="both"/>
        <w:ind w:left="1720" w:right="1239" w:firstLine="513"/>
        <w:spacing w:after="0" w:line="241" w:lineRule="auto"/>
        <w:tabs>
          <w:tab w:leader="none" w:pos="2588" w:val="left"/>
        </w:tabs>
        <w:numPr>
          <w:ilvl w:val="0"/>
          <w:numId w:val="5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execution, this Amendment No. 1 shall be made a part of the Agreement and shall be incorporated by reference. Except as provided herein, all other terms and conditions of the Agreement shall remain unchanged and in full force and effect.</w:t>
      </w:r>
    </w:p>
    <w:p>
      <w:pPr>
        <w:spacing w:after="0" w:line="136" w:lineRule="exact"/>
        <w:rPr>
          <w:sz w:val="20"/>
          <w:szCs w:val="20"/>
          <w:color w:val="auto"/>
        </w:rPr>
      </w:pPr>
    </w:p>
    <w:p>
      <w:pPr>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of the Parties has caused this Amendment No. 1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by its duly authorized representatives.</w:t>
      </w:r>
    </w:p>
    <w:p>
      <w:pPr>
        <w:sectPr>
          <w:pgSz w:w="11900" w:h="16838" w:orient="portrait"/>
          <w:cols w:equalWidth="0" w:num="1">
            <w:col w:w="9019"/>
          </w:cols>
          <w:pgMar w:left="1440" w:top="129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PARI PHARMA GMBH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jc w:val="center"/>
        <w:ind w:right="2059"/>
        <w:spacing w:after="0"/>
        <w:rPr>
          <w:sz w:val="20"/>
          <w:szCs w:val="20"/>
          <w:color w:val="auto"/>
        </w:rPr>
      </w:pPr>
      <w:r>
        <w:rPr>
          <w:rFonts w:ascii="Times New Roman" w:cs="Times New Roman" w:eastAsia="Times New Roman" w:hAnsi="Times New Roman"/>
          <w:sz w:val="16"/>
          <w:szCs w:val="16"/>
          <w:b w:val="1"/>
          <w:bCs w:val="1"/>
          <w:color w:val="auto"/>
        </w:rPr>
        <w:t>AVALYN PHARMA INC.</w:t>
      </w:r>
    </w:p>
    <w:p>
      <w:pPr>
        <w:spacing w:after="0" w:line="200" w:lineRule="exact"/>
        <w:rPr>
          <w:sz w:val="20"/>
          <w:szCs w:val="20"/>
          <w:color w:val="auto"/>
        </w:rPr>
      </w:pPr>
    </w:p>
    <w:p>
      <w:pPr>
        <w:sectPr>
          <w:pgSz w:w="11900" w:h="16838" w:orient="portrait"/>
          <w:cols w:equalWidth="0" w:num="2">
            <w:col w:w="4320" w:space="720"/>
            <w:col w:w="3979"/>
          </w:cols>
          <w:pgMar w:left="1440" w:top="1297" w:right="1440" w:bottom="1440" w:gutter="0" w:footer="0" w:header="0"/>
          <w:type w:val="continuous"/>
        </w:sectPr>
      </w:pPr>
    </w:p>
    <w:p>
      <w:pPr>
        <w:spacing w:after="0" w:line="35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jc w:val="center"/>
        <w:ind w:right="3599"/>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4320" w:space="720"/>
            <w:col w:w="3979"/>
          </w:cols>
          <w:pgMar w:left="1440" w:top="12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377825</wp:posOffset>
            </wp:positionV>
            <wp:extent cx="5485765" cy="3873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type w:val="continuous"/>
        </w:sectPr>
      </w:pPr>
    </w:p>
    <w:bookmarkStart w:id="606" w:name="page607"/>
    <w:bookmarkEnd w:id="606"/>
    <w:p>
      <w:pPr>
        <w:ind w:left="3940"/>
        <w:spacing w:after="0"/>
        <w:rPr>
          <w:sz w:val="20"/>
          <w:szCs w:val="20"/>
          <w:color w:val="auto"/>
        </w:rPr>
      </w:pPr>
      <w:r>
        <w:rPr>
          <w:rFonts w:ascii="Times New Roman" w:cs="Times New Roman" w:eastAsia="Times New Roman" w:hAnsi="Times New Roman"/>
          <w:sz w:val="16"/>
          <w:szCs w:val="16"/>
          <w:b w:val="1"/>
          <w:bCs w:val="1"/>
          <w:color w:val="auto"/>
        </w:rPr>
        <w:t>SCHEDULE Al</w:t>
      </w:r>
    </w:p>
    <w:p>
      <w:pPr>
        <w:spacing w:after="0" w:line="2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7"/>
          <w:szCs w:val="17"/>
          <w:color w:val="auto"/>
        </w:rPr>
        <w:t>(October 2020)</w:t>
      </w: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607" w:name="page608"/>
    <w:bookmarkEnd w:id="607"/>
    <w:p>
      <w:pPr>
        <w:jc w:val="center"/>
        <w:ind w:left="1220" w:right="1279"/>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10.18</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2</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TO THE LICENSE AGREEMENT</w:t>
      </w:r>
    </w:p>
    <w:p>
      <w:pPr>
        <w:spacing w:after="0" w:line="144"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This Amendment No. 2 to the License Agreement (this “</w:t>
      </w:r>
      <w:r>
        <w:rPr>
          <w:rFonts w:ascii="Times New Roman" w:cs="Times New Roman" w:eastAsia="Times New Roman" w:hAnsi="Times New Roman"/>
          <w:sz w:val="17"/>
          <w:szCs w:val="17"/>
          <w:u w:val="single" w:color="auto"/>
          <w:color w:val="auto"/>
        </w:rPr>
        <w:t>Amendment No. 2</w:t>
      </w:r>
      <w:r>
        <w:rPr>
          <w:rFonts w:ascii="Times New Roman" w:cs="Times New Roman" w:eastAsia="Times New Roman" w:hAnsi="Times New Roman"/>
          <w:sz w:val="17"/>
          <w:szCs w:val="17"/>
          <w:color w:val="auto"/>
        </w:rPr>
        <w:t xml:space="preserve">”) is effective as of February 9 2021, by and between </w:t>
      </w:r>
      <w:r>
        <w:rPr>
          <w:rFonts w:ascii="Times New Roman" w:cs="Times New Roman" w:eastAsia="Times New Roman" w:hAnsi="Times New Roman"/>
          <w:sz w:val="17"/>
          <w:szCs w:val="17"/>
          <w:b w:val="1"/>
          <w:bCs w:val="1"/>
          <w:color w:val="auto"/>
        </w:rPr>
        <w:t>Avalyn Pharma Inc.</w:t>
      </w:r>
      <w:r>
        <w:rPr>
          <w:rFonts w:ascii="Times New Roman" w:cs="Times New Roman" w:eastAsia="Times New Roman" w:hAnsi="Times New Roman"/>
          <w:sz w:val="17"/>
          <w:szCs w:val="17"/>
          <w:color w:val="auto"/>
        </w:rPr>
        <w:t>, a Delaware corporation having its principal place of business at 701 Pike Street Ste. 1500 Seattle, WA 98101, USA (“</w:t>
      </w:r>
      <w:r>
        <w:rPr>
          <w:rFonts w:ascii="Times New Roman" w:cs="Times New Roman" w:eastAsia="Times New Roman" w:hAnsi="Times New Roman"/>
          <w:sz w:val="17"/>
          <w:szCs w:val="17"/>
          <w:u w:val="single" w:color="auto"/>
          <w:color w:val="auto"/>
        </w:rPr>
        <w:t>Avalyn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PARI Pharma GmbH</w:t>
      </w:r>
      <w:r>
        <w:rPr>
          <w:rFonts w:ascii="Times New Roman" w:cs="Times New Roman" w:eastAsia="Times New Roman" w:hAnsi="Times New Roman"/>
          <w:sz w:val="17"/>
          <w:szCs w:val="17"/>
          <w:color w:val="auto"/>
        </w:rPr>
        <w:t>, a Geiman corporation having its principal place of business at Moosstrasse 3, 82319 Starnberg, Germany (“</w:t>
      </w:r>
      <w:r>
        <w:rPr>
          <w:rFonts w:ascii="Times New Roman" w:cs="Times New Roman" w:eastAsia="Times New Roman" w:hAnsi="Times New Roman"/>
          <w:sz w:val="17"/>
          <w:szCs w:val="17"/>
          <w:u w:val="single" w:color="auto"/>
          <w:color w:val="auto"/>
        </w:rPr>
        <w:t>PARI</w:t>
      </w:r>
      <w:r>
        <w:rPr>
          <w:rFonts w:ascii="Times New Roman" w:cs="Times New Roman" w:eastAsia="Times New Roman" w:hAnsi="Times New Roman"/>
          <w:sz w:val="17"/>
          <w:szCs w:val="17"/>
          <w:color w:val="auto"/>
        </w:rPr>
        <w:t>”) (each of Avalyn and PARI being individually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left="1220" w:right="1239" w:firstLine="509"/>
        <w:spacing w:after="0" w:line="248" w:lineRule="auto"/>
        <w:tabs>
          <w:tab w:leader="none" w:pos="2061" w:val="left"/>
        </w:tabs>
        <w:numPr>
          <w:ilvl w:val="0"/>
          <w:numId w:val="5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PARI and Avalyn (formerly known as Genoa Pharmaceuticals, Inc.)</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are parties to that certain License Agreement, dated as of April 3, 2017, as amended by Amendment No. 1, dated as of October 15, 2020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w:t>
      </w:r>
    </w:p>
    <w:p>
      <w:pPr>
        <w:spacing w:after="0" w:line="129" w:lineRule="exact"/>
        <w:rPr>
          <w:rFonts w:ascii="Times New Roman" w:cs="Times New Roman" w:eastAsia="Times New Roman" w:hAnsi="Times New Roman"/>
          <w:sz w:val="17"/>
          <w:szCs w:val="17"/>
          <w:b w:val="1"/>
          <w:bCs w:val="1"/>
          <w:color w:val="auto"/>
        </w:rPr>
      </w:pPr>
    </w:p>
    <w:p>
      <w:pPr>
        <w:ind w:left="1220" w:right="1239" w:firstLine="509"/>
        <w:spacing w:after="0" w:line="264" w:lineRule="auto"/>
        <w:tabs>
          <w:tab w:leader="none" w:pos="2061" w:val="left"/>
        </w:tabs>
        <w:numPr>
          <w:ilvl w:val="0"/>
          <w:numId w:val="5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 PARI and Avalyn are parties to that certain Quality Agreement For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Clinical Trial Supply, dated as of January 21, 2020 (the “</w:t>
      </w:r>
      <w:r>
        <w:rPr>
          <w:rFonts w:ascii="Times New Roman" w:cs="Times New Roman" w:eastAsia="Times New Roman" w:hAnsi="Times New Roman"/>
          <w:sz w:val="17"/>
          <w:szCs w:val="17"/>
          <w:u w:val="single" w:color="auto"/>
          <w:color w:val="auto"/>
        </w:rPr>
        <w:t>Quality Agreement</w:t>
      </w:r>
      <w:r>
        <w:rPr>
          <w:rFonts w:ascii="Times New Roman" w:cs="Times New Roman" w:eastAsia="Times New Roman" w:hAnsi="Times New Roman"/>
          <w:sz w:val="17"/>
          <w:szCs w:val="17"/>
          <w:color w:val="auto"/>
        </w:rPr>
        <w:t>”); and</w:t>
      </w:r>
    </w:p>
    <w:p>
      <w:pPr>
        <w:spacing w:after="0" w:line="116" w:lineRule="exact"/>
        <w:rPr>
          <w:rFonts w:ascii="Times New Roman" w:cs="Times New Roman" w:eastAsia="Times New Roman" w:hAnsi="Times New Roman"/>
          <w:sz w:val="17"/>
          <w:szCs w:val="17"/>
          <w:b w:val="1"/>
          <w:bCs w:val="1"/>
          <w:color w:val="auto"/>
        </w:rPr>
      </w:pPr>
    </w:p>
    <w:p>
      <w:pPr>
        <w:jc w:val="both"/>
        <w:ind w:left="1220" w:right="1239" w:firstLine="509"/>
        <w:spacing w:after="0" w:line="248" w:lineRule="auto"/>
        <w:tabs>
          <w:tab w:leader="none" w:pos="2061" w:val="left"/>
        </w:tabs>
        <w:numPr>
          <w:ilvl w:val="0"/>
          <w:numId w:val="5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the Agreement as set forth herein to reflect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new prices for the Nebulizer Handset and to define a price for a single Aerosol Head, both for clinical development.</w:t>
      </w:r>
    </w:p>
    <w:p>
      <w:pPr>
        <w:spacing w:after="0" w:line="13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covenants and agreements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herein and for good and valuable consideration, the receipt and adequacy of which are hereby acknowledged, the Parties hereby agree as follows:</w:t>
      </w:r>
    </w:p>
    <w:p>
      <w:pPr>
        <w:spacing w:after="0" w:line="134" w:lineRule="exact"/>
        <w:rPr>
          <w:sz w:val="20"/>
          <w:szCs w:val="20"/>
          <w:color w:val="auto"/>
        </w:rPr>
      </w:pPr>
    </w:p>
    <w:p>
      <w:pPr>
        <w:ind w:left="1720" w:right="1239" w:firstLine="513"/>
        <w:spacing w:after="0" w:line="259" w:lineRule="auto"/>
        <w:tabs>
          <w:tab w:leader="none" w:pos="2588"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but not defined in this Amendment No. 2 will have the meanings ascribed to them in the Agreement or in the Quality Agreement.</w:t>
      </w:r>
    </w:p>
    <w:p>
      <w:pPr>
        <w:spacing w:after="0" w:line="124" w:lineRule="exact"/>
        <w:rPr>
          <w:rFonts w:ascii="Times New Roman" w:cs="Times New Roman" w:eastAsia="Times New Roman" w:hAnsi="Times New Roman"/>
          <w:sz w:val="17"/>
          <w:szCs w:val="17"/>
          <w:color w:val="auto"/>
        </w:rPr>
      </w:pPr>
    </w:p>
    <w:p>
      <w:pPr>
        <w:jc w:val="both"/>
        <w:ind w:left="1720" w:right="1239" w:firstLine="513"/>
        <w:spacing w:after="0" w:line="246" w:lineRule="auto"/>
        <w:tabs>
          <w:tab w:leader="none" w:pos="2588"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maximum price per Handset set forth in section 9.2 (Clinical Development), sequential number (i) is hereby deleted and replaced by the following maximum price: [***].</w:t>
      </w:r>
    </w:p>
    <w:p>
      <w:pPr>
        <w:spacing w:after="0" w:line="134" w:lineRule="exact"/>
        <w:rPr>
          <w:rFonts w:ascii="Times New Roman" w:cs="Times New Roman" w:eastAsia="Times New Roman" w:hAnsi="Times New Roman"/>
          <w:sz w:val="17"/>
          <w:szCs w:val="17"/>
          <w:color w:val="auto"/>
        </w:rPr>
      </w:pPr>
    </w:p>
    <w:p>
      <w:pPr>
        <w:jc w:val="both"/>
        <w:ind w:left="1720" w:right="1239" w:firstLine="513"/>
        <w:spacing w:after="0" w:line="246" w:lineRule="auto"/>
        <w:tabs>
          <w:tab w:leader="none" w:pos="2588"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maximum price shall be added to the price listing in section 9.2 (Clinical Development) as sequential number (iv), preceding the clause “in each case excluding any taxes, shipping and storage costs associated with such Device.”: [***].</w:t>
      </w:r>
    </w:p>
    <w:p>
      <w:pPr>
        <w:spacing w:after="0" w:line="134" w:lineRule="exact"/>
        <w:rPr>
          <w:rFonts w:ascii="Times New Roman" w:cs="Times New Roman" w:eastAsia="Times New Roman" w:hAnsi="Times New Roman"/>
          <w:sz w:val="17"/>
          <w:szCs w:val="17"/>
          <w:color w:val="auto"/>
        </w:rPr>
      </w:pPr>
    </w:p>
    <w:p>
      <w:pPr>
        <w:jc w:val="both"/>
        <w:ind w:left="1720" w:right="1239" w:firstLine="513"/>
        <w:spacing w:after="0" w:line="246" w:lineRule="auto"/>
        <w:tabs>
          <w:tab w:leader="none" w:pos="2588"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new prices defined in subsections 2 and 3 above shall apply to all purchase orders placed by Avalyn at PARI or any of its Affiliates after the effective date of this Amendment No. 2.</w:t>
      </w:r>
    </w:p>
    <w:p>
      <w:pPr>
        <w:spacing w:after="0" w:line="134" w:lineRule="exact"/>
        <w:rPr>
          <w:rFonts w:ascii="Times New Roman" w:cs="Times New Roman" w:eastAsia="Times New Roman" w:hAnsi="Times New Roman"/>
          <w:sz w:val="17"/>
          <w:szCs w:val="17"/>
          <w:color w:val="auto"/>
        </w:rPr>
      </w:pPr>
    </w:p>
    <w:p>
      <w:pPr>
        <w:jc w:val="both"/>
        <w:ind w:left="1720" w:right="1239" w:firstLine="513"/>
        <w:spacing w:after="0" w:line="241" w:lineRule="auto"/>
        <w:tabs>
          <w:tab w:leader="none" w:pos="2588" w:val="left"/>
        </w:tabs>
        <w:numPr>
          <w:ilvl w:val="0"/>
          <w:numId w:val="5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execution, this Amendment No. 2 shall be made a part of the Agreement and shall be incorporated by reference. Except as provided herein, all other terms and conditions of the Agreement shall remain unchanged and in full force and effect.</w:t>
      </w:r>
    </w:p>
    <w:p>
      <w:pPr>
        <w:spacing w:after="0" w:line="36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ACTIVE/204421759.1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19" w:right="1440" w:bottom="1440" w:gutter="0" w:footer="0" w:header="0"/>
        </w:sectPr>
      </w:pPr>
    </w:p>
    <w:bookmarkStart w:id="608" w:name="page609"/>
    <w:bookmarkEnd w:id="608"/>
    <w:p>
      <w:pPr>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each of the Parties has caused this Amendment No. 2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by its duly authorized representatives.</w:t>
      </w:r>
    </w:p>
    <w:p>
      <w:pPr>
        <w:spacing w:after="0" w:line="117"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540" w:type="dxa"/>
            <w:vAlign w:val="bottom"/>
          </w:tcPr>
          <w:p>
            <w:pPr>
              <w:ind w:left="1020"/>
              <w:spacing w:after="0"/>
              <w:rPr>
                <w:sz w:val="20"/>
                <w:szCs w:val="20"/>
                <w:color w:val="auto"/>
              </w:rPr>
            </w:pPr>
            <w:r>
              <w:rPr>
                <w:rFonts w:ascii="Times New Roman" w:cs="Times New Roman" w:eastAsia="Times New Roman" w:hAnsi="Times New Roman"/>
                <w:sz w:val="17"/>
                <w:szCs w:val="17"/>
                <w:b w:val="1"/>
                <w:bCs w:val="1"/>
                <w:color w:val="auto"/>
              </w:rPr>
              <w:t>PARI PHARMA GMBH</w:t>
            </w:r>
          </w:p>
        </w:tc>
        <w:tc>
          <w:tcPr>
            <w:tcW w:w="5060" w:type="dxa"/>
            <w:vAlign w:val="bottom"/>
          </w:tcPr>
          <w:p>
            <w:pPr>
              <w:ind w:left="760"/>
              <w:spacing w:after="0"/>
              <w:rPr>
                <w:sz w:val="20"/>
                <w:szCs w:val="20"/>
                <w:color w:val="auto"/>
              </w:rPr>
            </w:pPr>
            <w:r>
              <w:rPr>
                <w:rFonts w:ascii="Times New Roman" w:cs="Times New Roman" w:eastAsia="Times New Roman" w:hAnsi="Times New Roman"/>
                <w:sz w:val="17"/>
                <w:szCs w:val="17"/>
                <w:b w:val="1"/>
                <w:bCs w:val="1"/>
                <w:color w:val="auto"/>
              </w:rPr>
              <w:t>AVALYN PHARMA INC.</w:t>
            </w:r>
          </w:p>
        </w:tc>
      </w:tr>
      <w:tr>
        <w:trPr>
          <w:trHeight w:val="497"/>
        </w:trPr>
        <w:tc>
          <w:tcPr>
            <w:tcW w:w="3540" w:type="dxa"/>
            <w:vAlign w:val="bottom"/>
          </w:tcPr>
          <w:p>
            <w:pPr>
              <w:ind w:left="1020"/>
              <w:spacing w:after="0"/>
              <w:rPr>
                <w:sz w:val="20"/>
                <w:szCs w:val="20"/>
                <w:color w:val="auto"/>
              </w:rPr>
            </w:pPr>
            <w:r>
              <w:rPr>
                <w:rFonts w:ascii="Times New Roman" w:cs="Times New Roman" w:eastAsia="Times New Roman" w:hAnsi="Times New Roman"/>
                <w:sz w:val="14"/>
                <w:szCs w:val="14"/>
                <w:color w:val="auto"/>
              </w:rPr>
              <w:t>[***]</w:t>
            </w:r>
          </w:p>
        </w:tc>
        <w:tc>
          <w:tcPr>
            <w:tcW w:w="50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w:t>
            </w:r>
          </w:p>
        </w:tc>
      </w:tr>
      <w:tr>
        <w:trPr>
          <w:trHeight w:val="849"/>
        </w:trPr>
        <w:tc>
          <w:tcPr>
            <w:tcW w:w="3540" w:type="dxa"/>
            <w:vAlign w:val="bottom"/>
          </w:tcPr>
          <w:p>
            <w:pPr>
              <w:spacing w:after="0"/>
              <w:rPr>
                <w:sz w:val="24"/>
                <w:szCs w:val="24"/>
                <w:color w:val="auto"/>
              </w:rPr>
            </w:pPr>
          </w:p>
        </w:tc>
        <w:tc>
          <w:tcPr>
            <w:tcW w:w="5060" w:type="dxa"/>
            <w:vAlign w:val="bottom"/>
          </w:tcPr>
          <w:p>
            <w:pPr>
              <w:jc w:val="right"/>
              <w:ind w:right="4181"/>
              <w:spacing w:after="0"/>
              <w:rPr>
                <w:sz w:val="20"/>
                <w:szCs w:val="20"/>
                <w:color w:val="auto"/>
              </w:rPr>
            </w:pPr>
            <w:r>
              <w:rPr>
                <w:rFonts w:ascii="Times New Roman" w:cs="Times New Roman" w:eastAsia="Times New Roman" w:hAnsi="Times New Roman"/>
                <w:sz w:val="17"/>
                <w:szCs w:val="17"/>
                <w:color w:val="auto"/>
              </w:rPr>
              <w:t>2</w:t>
            </w:r>
          </w:p>
        </w:tc>
      </w:tr>
      <w:tr>
        <w:trPr>
          <w:trHeight w:val="582"/>
        </w:trPr>
        <w:tc>
          <w:tcPr>
            <w:tcW w:w="3540" w:type="dxa"/>
            <w:vAlign w:val="bottom"/>
            <w:tcBorders>
              <w:bottom w:val="single" w:sz="8" w:color="9A9A9A"/>
            </w:tcBorders>
          </w:tcPr>
          <w:p>
            <w:pPr>
              <w:spacing w:after="0"/>
              <w:rPr>
                <w:sz w:val="24"/>
                <w:szCs w:val="24"/>
                <w:color w:val="auto"/>
              </w:rPr>
            </w:pPr>
          </w:p>
        </w:tc>
        <w:tc>
          <w:tcPr>
            <w:tcW w:w="5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609" w:name="page610"/>
    <w:bookmarkEnd w:id="609"/>
    <w:p>
      <w:pPr>
        <w:jc w:val="center"/>
        <w:ind w:left="1220" w:right="1279"/>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10.19</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Material Transfer Agreement</w:t>
      </w:r>
    </w:p>
    <w:p>
      <w:pPr>
        <w:spacing w:after="0" w:line="176" w:lineRule="exact"/>
        <w:rPr>
          <w:sz w:val="20"/>
          <w:szCs w:val="20"/>
          <w:color w:val="auto"/>
        </w:rPr>
      </w:pPr>
    </w:p>
    <w:p>
      <w:pPr>
        <w:jc w:val="both"/>
        <w:ind w:left="1220" w:right="1239"/>
        <w:spacing w:after="0" w:line="226" w:lineRule="auto"/>
        <w:rPr>
          <w:sz w:val="20"/>
          <w:szCs w:val="20"/>
          <w:color w:val="auto"/>
        </w:rPr>
      </w:pPr>
      <w:r>
        <w:rPr>
          <w:rFonts w:ascii="Times New Roman" w:cs="Times New Roman" w:eastAsia="Times New Roman" w:hAnsi="Times New Roman"/>
          <w:sz w:val="17"/>
          <w:szCs w:val="17"/>
          <w:color w:val="auto"/>
        </w:rPr>
        <w:t>This Material Transfer Agreement (the “Agreement”) is made as of this 23</w:t>
      </w:r>
      <w:r>
        <w:rPr>
          <w:rFonts w:ascii="Times New Roman" w:cs="Times New Roman" w:eastAsia="Times New Roman" w:hAnsi="Times New Roman"/>
          <w:sz w:val="22"/>
          <w:szCs w:val="22"/>
          <w:color w:val="auto"/>
          <w:vertAlign w:val="superscript"/>
        </w:rPr>
        <w:t>rd</w:t>
      </w:r>
      <w:r>
        <w:rPr>
          <w:rFonts w:ascii="Times New Roman" w:cs="Times New Roman" w:eastAsia="Times New Roman" w:hAnsi="Times New Roman"/>
          <w:sz w:val="17"/>
          <w:szCs w:val="17"/>
          <w:color w:val="auto"/>
        </w:rPr>
        <w:t xml:space="preserve"> day of January, 2020 (the “Effective Date”) by and between </w:t>
      </w:r>
      <w:r>
        <w:rPr>
          <w:rFonts w:ascii="Times New Roman" w:cs="Times New Roman" w:eastAsia="Times New Roman" w:hAnsi="Times New Roman"/>
          <w:sz w:val="17"/>
          <w:szCs w:val="17"/>
          <w:b w:val="1"/>
          <w:bCs w:val="1"/>
          <w:color w:val="auto"/>
        </w:rPr>
        <w:t>Avalyn Pharma Inc</w:t>
      </w:r>
      <w:r>
        <w:rPr>
          <w:rFonts w:ascii="Times New Roman" w:cs="Times New Roman" w:eastAsia="Times New Roman" w:hAnsi="Times New Roman"/>
          <w:sz w:val="17"/>
          <w:szCs w:val="17"/>
          <w:color w:val="auto"/>
        </w:rPr>
        <w:t xml:space="preserve">. 701 Pike Street, Suite 1500, Seattle, Washington, 98101, USA (“Avalyn”) and </w:t>
      </w:r>
      <w:r>
        <w:rPr>
          <w:rFonts w:ascii="Times New Roman" w:cs="Times New Roman" w:eastAsia="Times New Roman" w:hAnsi="Times New Roman"/>
          <w:sz w:val="17"/>
          <w:szCs w:val="17"/>
          <w:b w:val="1"/>
          <w:bCs w:val="1"/>
          <w:color w:val="auto"/>
        </w:rPr>
        <w:t>PARI Pharma GmbH</w:t>
      </w:r>
      <w:r>
        <w:rPr>
          <w:rFonts w:ascii="Times New Roman" w:cs="Times New Roman" w:eastAsia="Times New Roman" w:hAnsi="Times New Roman"/>
          <w:sz w:val="17"/>
          <w:szCs w:val="17"/>
          <w:color w:val="auto"/>
        </w:rPr>
        <w:t>, with its registered office at Moosstrasse 3, D-82319 Starnberg, Germany (“PARI”). In this Agreement, either PARI or Avalyn is referred to as a “Party,” and collectively as the “Parties.”</w:t>
      </w:r>
    </w:p>
    <w:p>
      <w:pPr>
        <w:spacing w:after="0" w:line="140" w:lineRule="exact"/>
        <w:rPr>
          <w:sz w:val="20"/>
          <w:szCs w:val="20"/>
          <w:color w:val="auto"/>
        </w:rPr>
      </w:pPr>
    </w:p>
    <w:p>
      <w:pPr>
        <w:jc w:val="both"/>
        <w:ind w:left="1220" w:right="1239" w:firstLine="505"/>
        <w:spacing w:after="0" w:line="259" w:lineRule="auto"/>
        <w:rPr>
          <w:sz w:val="20"/>
          <w:szCs w:val="20"/>
          <w:color w:val="auto"/>
        </w:rPr>
      </w:pPr>
      <w:r>
        <w:rPr>
          <w:rFonts w:ascii="Times New Roman" w:cs="Times New Roman" w:eastAsia="Times New Roman" w:hAnsi="Times New Roman"/>
          <w:sz w:val="17"/>
          <w:szCs w:val="17"/>
          <w:color w:val="auto"/>
        </w:rPr>
        <w:t>WHEREAS, PARI has developed and produced certain Material (as defined below) and desires to protect its proprietary rights in and to the Material, and</w:t>
      </w:r>
    </w:p>
    <w:p>
      <w:pPr>
        <w:spacing w:after="0" w:line="125" w:lineRule="exact"/>
        <w:rPr>
          <w:sz w:val="20"/>
          <w:szCs w:val="20"/>
          <w:color w:val="auto"/>
        </w:rPr>
      </w:pPr>
    </w:p>
    <w:p>
      <w:pPr>
        <w:jc w:val="both"/>
        <w:ind w:left="1220" w:right="1239" w:firstLine="505"/>
        <w:spacing w:after="0" w:line="239" w:lineRule="auto"/>
        <w:rPr>
          <w:sz w:val="20"/>
          <w:szCs w:val="20"/>
          <w:color w:val="auto"/>
        </w:rPr>
      </w:pPr>
      <w:r>
        <w:rPr>
          <w:rFonts w:ascii="Times New Roman" w:cs="Times New Roman" w:eastAsia="Times New Roman" w:hAnsi="Times New Roman"/>
          <w:sz w:val="17"/>
          <w:szCs w:val="17"/>
          <w:color w:val="auto"/>
        </w:rPr>
        <w:t>WHEREAS, Avalyn has developed and produced certain formulation rights, namely with respect to a liquid formulation which contains Nintedanib as the sole active ingredient or Nintedanib in combination with Pirfenidone (collectively, the “Avalyn Rights”), and Avalyn desires to conduct certain research and appropriate studies using or Incorporating the Material and the Avalyn Rights; and</w:t>
      </w:r>
    </w:p>
    <w:p>
      <w:pPr>
        <w:spacing w:after="0" w:line="141" w:lineRule="exact"/>
        <w:rPr>
          <w:sz w:val="20"/>
          <w:szCs w:val="20"/>
          <w:color w:val="auto"/>
        </w:rPr>
      </w:pPr>
    </w:p>
    <w:p>
      <w:pPr>
        <w:jc w:val="both"/>
        <w:ind w:left="1220" w:right="1239" w:firstLine="505"/>
        <w:spacing w:after="0" w:line="259" w:lineRule="auto"/>
        <w:rPr>
          <w:sz w:val="20"/>
          <w:szCs w:val="20"/>
          <w:color w:val="auto"/>
        </w:rPr>
      </w:pPr>
      <w:r>
        <w:rPr>
          <w:rFonts w:ascii="Times New Roman" w:cs="Times New Roman" w:eastAsia="Times New Roman" w:hAnsi="Times New Roman"/>
          <w:sz w:val="17"/>
          <w:szCs w:val="17"/>
          <w:color w:val="auto"/>
        </w:rPr>
        <w:t>WHEREAS, Avalyn is interested in evaluating PARI’s proprietary Material for drug delivery purposes in such research and studies (the “Evaluation Purpose”), and</w:t>
      </w:r>
    </w:p>
    <w:p>
      <w:pPr>
        <w:spacing w:after="0" w:line="125" w:lineRule="exact"/>
        <w:rPr>
          <w:sz w:val="20"/>
          <w:szCs w:val="20"/>
          <w:color w:val="auto"/>
        </w:rPr>
      </w:pPr>
    </w:p>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WHEREAS, PARI, being the owner of the entire right, title and interest in the Material, is willing to provide Avalyn with the Material for the sole purpose of conducting the Evaluation Studies in accordance with the Evaluation Purpose (as defined above), and</w:t>
      </w:r>
    </w:p>
    <w:p>
      <w:pPr>
        <w:spacing w:after="0" w:line="135" w:lineRule="exact"/>
        <w:rPr>
          <w:sz w:val="20"/>
          <w:szCs w:val="20"/>
          <w:color w:val="auto"/>
        </w:rPr>
      </w:pPr>
    </w:p>
    <w:p>
      <w:pPr>
        <w:jc w:val="both"/>
        <w:ind w:left="1220" w:right="1239" w:firstLine="505"/>
        <w:spacing w:after="0" w:line="241" w:lineRule="auto"/>
        <w:rPr>
          <w:sz w:val="20"/>
          <w:szCs w:val="20"/>
          <w:color w:val="auto"/>
        </w:rPr>
      </w:pPr>
      <w:r>
        <w:rPr>
          <w:rFonts w:ascii="Times New Roman" w:cs="Times New Roman" w:eastAsia="Times New Roman" w:hAnsi="Times New Roman"/>
          <w:sz w:val="17"/>
          <w:szCs w:val="17"/>
          <w:color w:val="auto"/>
        </w:rPr>
        <w:t>WHEREAS, Avalyn, being the owner of the entire right, title and interest in the Avalyn Rights, desires to use the Material in connection with its Avalyn Rights for the sole purpose of conducting the Evaluation Studies (as defined below) in accordance with the Evaluation Purpose, and</w:t>
      </w:r>
    </w:p>
    <w:p>
      <w:pPr>
        <w:spacing w:after="0" w:line="140" w:lineRule="exact"/>
        <w:rPr>
          <w:sz w:val="20"/>
          <w:szCs w:val="20"/>
          <w:color w:val="auto"/>
        </w:rPr>
      </w:pPr>
    </w:p>
    <w:p>
      <w:pPr>
        <w:jc w:val="both"/>
        <w:ind w:left="1220" w:right="1239" w:firstLine="505"/>
        <w:spacing w:after="0" w:line="241" w:lineRule="auto"/>
        <w:rPr>
          <w:sz w:val="20"/>
          <w:szCs w:val="20"/>
          <w:color w:val="auto"/>
        </w:rPr>
      </w:pPr>
      <w:r>
        <w:rPr>
          <w:rFonts w:ascii="Times New Roman" w:cs="Times New Roman" w:eastAsia="Times New Roman" w:hAnsi="Times New Roman"/>
          <w:sz w:val="17"/>
          <w:szCs w:val="17"/>
          <w:color w:val="auto"/>
        </w:rPr>
        <w:t>WHEREAS Avalyn (formerly known as Genoa Pharmaceuticals) and PARI are parties to a certain license agreement effective as of April 3, 2017 which covers the aerosolized administration of Avalyn’s Pirfenidone formulation via an eFlow technology nebulizer proprietary to PARI (the “License Agreement”)</w:t>
      </w:r>
    </w:p>
    <w:p>
      <w:pPr>
        <w:spacing w:after="0" w:line="140"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NOW, THEREFORE, in consideration of the mutual covenants, terms and conditions hereinafter set forth, and intending to be legally bound hereby, the Parties agree as follows*</w:t>
      </w:r>
    </w:p>
    <w:p>
      <w:pPr>
        <w:spacing w:after="0" w:line="121" w:lineRule="exact"/>
        <w:rPr>
          <w:sz w:val="20"/>
          <w:szCs w:val="20"/>
          <w:color w:val="auto"/>
        </w:rPr>
      </w:pPr>
    </w:p>
    <w:p>
      <w:pPr>
        <w:ind w:left="1720" w:hanging="496"/>
        <w:spacing w:after="0"/>
        <w:tabs>
          <w:tab w:leader="none" w:pos="1720" w:val="left"/>
        </w:tabs>
        <w:numPr>
          <w:ilvl w:val="0"/>
          <w:numId w:val="5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MATERIAL</w:t>
      </w:r>
    </w:p>
    <w:p>
      <w:pPr>
        <w:spacing w:after="0" w:line="166" w:lineRule="exact"/>
        <w:rPr>
          <w:sz w:val="20"/>
          <w:szCs w:val="20"/>
          <w:color w:val="auto"/>
        </w:rPr>
      </w:pPr>
    </w:p>
    <w:p>
      <w:pPr>
        <w:jc w:val="both"/>
        <w:ind w:left="1720" w:right="1239" w:hanging="503"/>
        <w:spacing w:after="0" w:line="241" w:lineRule="auto"/>
        <w:tabs>
          <w:tab w:leader="none" w:pos="1700" w:val="left"/>
        </w:tabs>
        <w:rPr>
          <w:sz w:val="20"/>
          <w:szCs w:val="20"/>
          <w:color w:val="auto"/>
        </w:rPr>
      </w:pPr>
      <w:r>
        <w:rPr>
          <w:rFonts w:ascii="Times New Roman" w:cs="Times New Roman" w:eastAsia="Times New Roman" w:hAnsi="Times New Roman"/>
          <w:sz w:val="17"/>
          <w:szCs w:val="17"/>
          <w:color w:val="auto"/>
        </w:rPr>
        <w:t>1.1</w:t>
      </w:r>
      <w:r>
        <w:rPr>
          <w:sz w:val="20"/>
          <w:szCs w:val="20"/>
          <w:color w:val="auto"/>
        </w:rPr>
        <w:tab/>
      </w:r>
      <w:r>
        <w:rPr>
          <w:rFonts w:ascii="Times New Roman" w:cs="Times New Roman" w:eastAsia="Times New Roman" w:hAnsi="Times New Roman"/>
          <w:sz w:val="17"/>
          <w:szCs w:val="17"/>
          <w:u w:val="single" w:color="auto"/>
          <w:color w:val="auto"/>
        </w:rPr>
        <w:t>Provision of Material</w:t>
      </w:r>
      <w:r>
        <w:rPr>
          <w:rFonts w:ascii="Times New Roman" w:cs="Times New Roman" w:eastAsia="Times New Roman" w:hAnsi="Times New Roman"/>
          <w:sz w:val="17"/>
          <w:szCs w:val="17"/>
          <w:color w:val="auto"/>
        </w:rPr>
        <w:t>. Material shall mean (i) complete investigational eFlow® nebulizer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systems [***], (ii) eFlow nebulizer handsets [***], or (iii) [***] upon the payment of a technology access fee of [***] per Device and [***] per Nebulizer Handset, to be paid after shipment of the applicable Device Order.</w:t>
      </w:r>
    </w:p>
    <w:p>
      <w:pPr>
        <w:spacing w:after="0" w:line="200" w:lineRule="exact"/>
        <w:rPr>
          <w:sz w:val="20"/>
          <w:szCs w:val="20"/>
          <w:color w:val="auto"/>
        </w:rPr>
      </w:pPr>
    </w:p>
    <w:p>
      <w:pPr>
        <w:spacing w:after="0" w:line="33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610" w:name="page611"/>
    <w:bookmarkEnd w:id="610"/>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jc w:val="both"/>
        <w:ind w:left="1720" w:right="1239"/>
        <w:spacing w:after="0" w:line="237" w:lineRule="auto"/>
        <w:rPr>
          <w:sz w:val="20"/>
          <w:szCs w:val="20"/>
          <w:color w:val="auto"/>
        </w:rPr>
      </w:pPr>
      <w:r>
        <w:rPr>
          <w:rFonts w:ascii="Times New Roman" w:cs="Times New Roman" w:eastAsia="Times New Roman" w:hAnsi="Times New Roman"/>
          <w:sz w:val="17"/>
          <w:szCs w:val="17"/>
          <w:color w:val="auto"/>
        </w:rPr>
        <w:t>A “Device Order” means a written order as drafted in the Exhibit A which specifies the article number and quantities of the Material together with the Study Protocol Synopsis for which the Material is used and which is signed by both Parties The delivery note for such Material shall become part of the respective Device Order once issued by PARI.</w:t>
      </w:r>
    </w:p>
    <w:p>
      <w:pPr>
        <w:spacing w:after="0" w:line="3" w:lineRule="exact"/>
        <w:rPr>
          <w:sz w:val="20"/>
          <w:szCs w:val="20"/>
          <w:color w:val="auto"/>
        </w:rPr>
      </w:pPr>
    </w:p>
    <w:p>
      <w:pPr>
        <w:jc w:val="both"/>
        <w:ind w:left="1720" w:right="1239"/>
        <w:spacing w:after="0" w:line="234" w:lineRule="auto"/>
        <w:rPr>
          <w:sz w:val="20"/>
          <w:szCs w:val="20"/>
          <w:color w:val="auto"/>
        </w:rPr>
      </w:pPr>
      <w:r>
        <w:rPr>
          <w:rFonts w:ascii="Times New Roman" w:cs="Times New Roman" w:eastAsia="Times New Roman" w:hAnsi="Times New Roman"/>
          <w:sz w:val="17"/>
          <w:szCs w:val="17"/>
          <w:color w:val="auto"/>
        </w:rPr>
        <w:t>Following completion of the Evaluation Studies, Avalyn will either (a) account for, destroy and dispose of the Material in accordance with Avalyn’s standard procedures and provide PARI with a written certification of such destruction or disposal, (b) return such Material to PARI, or (c) if such Material is unused, use such Material for a separate study involving PARI’s eFlow technology as described in a written amendment to the Device Order under which the Material was delivered originally.</w:t>
      </w:r>
    </w:p>
    <w:p>
      <w:pPr>
        <w:spacing w:after="0" w:line="142" w:lineRule="exact"/>
        <w:rPr>
          <w:sz w:val="20"/>
          <w:szCs w:val="20"/>
          <w:color w:val="auto"/>
        </w:rPr>
      </w:pPr>
    </w:p>
    <w:p>
      <w:pPr>
        <w:ind w:left="1220"/>
        <w:spacing w:after="0"/>
        <w:tabs>
          <w:tab w:leader="none" w:pos="170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u w:val="single" w:color="auto"/>
          <w:color w:val="auto"/>
        </w:rPr>
        <w:t>Restrictions of Use</w:t>
      </w:r>
      <w:r>
        <w:rPr>
          <w:rFonts w:ascii="Times New Roman" w:cs="Times New Roman" w:eastAsia="Times New Roman" w:hAnsi="Times New Roman"/>
          <w:sz w:val="16"/>
          <w:szCs w:val="16"/>
          <w:color w:val="auto"/>
        </w:rPr>
        <w:t>:</w:t>
      </w:r>
    </w:p>
    <w:p>
      <w:pPr>
        <w:spacing w:after="0" w:line="162" w:lineRule="exact"/>
        <w:rPr>
          <w:sz w:val="20"/>
          <w:szCs w:val="20"/>
          <w:color w:val="auto"/>
        </w:rPr>
      </w:pPr>
    </w:p>
    <w:p>
      <w:pPr>
        <w:jc w:val="both"/>
        <w:ind w:left="2240" w:right="1239" w:hanging="511"/>
        <w:spacing w:after="0" w:line="233" w:lineRule="auto"/>
        <w:tabs>
          <w:tab w:leader="none" w:pos="2240" w:val="left"/>
        </w:tabs>
        <w:numPr>
          <w:ilvl w:val="0"/>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of the Material. Avalyn will use the Material in compliance with all applicable statutes and regulations valid in the country Avalyn intends to conduct Evaluation Studies, including, for example, those relating to research involving the use of humans or animals and will not engage in any such research without first obtaining necessary approval from its relevant ethics committee(s) such as, but not limited to, the Institutional Review Board Neither the Material nor any information/materials incorporating one or more essential elements of the Material provided by PARI under this Agreement shall be used by Avalyn directly or indirectly for: (i) any purpose other than the Evaluation Purpose, or (n) any profit-making or commercial purpose. Avalyn agrees to comply with all Applicable Laws and Standards applicable to the Evaluation Purpose and the handling of the Material. As used herein, “Applicable Laws and Standards” means (a) all laws, ordinances, rules, directives and regulations applicable to the Material, the Evaluation Purpose, the Evaluation Studies or this Agreement, including without limitation applicable local laws and regulations in each relevant country, (b) applicable regulations and guidelines of the U.S. Food and Drug Administration (“FDA”) and other regulatory authorities and applicable guidelines of the International Conference on Harmonisation of Technical Requirements for Registration of Pharmaceuticals for Human Use (“ICH”); (c) as applicable to the particular activities performed under this Agreement, Good Manufacturing Practices, Good Laboratory Practices and Good Clinical Practices promulgated by the FDA and other regulatory authorities or the ICH, and (d) all applicable industry and trade standards.</w:t>
      </w:r>
    </w:p>
    <w:p>
      <w:pPr>
        <w:spacing w:after="0" w:line="155" w:lineRule="exact"/>
        <w:rPr>
          <w:rFonts w:ascii="Times New Roman" w:cs="Times New Roman" w:eastAsia="Times New Roman" w:hAnsi="Times New Roman"/>
          <w:sz w:val="17"/>
          <w:szCs w:val="17"/>
          <w:color w:val="auto"/>
        </w:rPr>
      </w:pPr>
    </w:p>
    <w:p>
      <w:pPr>
        <w:jc w:val="both"/>
        <w:ind w:left="2240" w:right="1239" w:hanging="511"/>
        <w:spacing w:after="0" w:line="239" w:lineRule="auto"/>
        <w:tabs>
          <w:tab w:leader="none" w:pos="2240" w:val="left"/>
        </w:tabs>
        <w:numPr>
          <w:ilvl w:val="0"/>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Access to the Material Avalyn shall retain control of the Material and shall not distribute or release the Material to any person or entity other than (a) employees of Avalyn who are under Avalyn’s direct supervision and control, and</w:t>
      </w:r>
    </w:p>
    <w:p>
      <w:pPr>
        <w:spacing w:after="0" w:line="1" w:lineRule="exact"/>
        <w:rPr>
          <w:rFonts w:ascii="Times New Roman" w:cs="Times New Roman" w:eastAsia="Times New Roman" w:hAnsi="Times New Roman"/>
          <w:sz w:val="17"/>
          <w:szCs w:val="17"/>
          <w:color w:val="auto"/>
        </w:rPr>
      </w:pPr>
    </w:p>
    <w:p>
      <w:pPr>
        <w:jc w:val="both"/>
        <w:ind w:left="2240" w:right="1239" w:hanging="7"/>
        <w:spacing w:after="0" w:line="232" w:lineRule="auto"/>
        <w:tabs>
          <w:tab w:leader="none" w:pos="2497" w:val="left"/>
        </w:tabs>
        <w:numPr>
          <w:ilvl w:val="1"/>
          <w:numId w:val="5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 Device Order, Avalyn’s subcontractors or other permitted individuals working under Avalyn’s direction as specified in the respective Device Order (a “CRO”) in the Evaluation Study, who, in each case,</w:t>
      </w:r>
    </w:p>
    <w:p>
      <w:pPr>
        <w:jc w:val="both"/>
        <w:ind w:left="2240" w:right="1239" w:hanging="7"/>
        <w:spacing w:after="0" w:line="234" w:lineRule="auto"/>
        <w:tabs>
          <w:tab w:leader="none" w:pos="2504" w:val="left"/>
        </w:tabs>
        <w:numPr>
          <w:ilvl w:val="1"/>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 need to access the Material in connection with Avalyn’s use of the Material for the respective Evaluation Purpose and (y) who are not allowed to further transfer the Material except as necessary for the Evaluation Study, including further transfers to the applicable sties or to the participants of the Evaluation Study, and (c) the participants of the Evaluation study (as further specified in Section 1.2(c)</w:t>
      </w:r>
    </w:p>
    <w:p>
      <w:pPr>
        <w:spacing w:after="0" w:line="200" w:lineRule="exact"/>
        <w:rPr>
          <w:sz w:val="20"/>
          <w:szCs w:val="20"/>
          <w:color w:val="auto"/>
        </w:rPr>
      </w:pPr>
    </w:p>
    <w:p>
      <w:pPr>
        <w:spacing w:after="0" w:line="3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11" w:name="page612"/>
    <w:bookmarkEnd w:id="61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jc w:val="both"/>
        <w:ind w:left="2240" w:right="1239"/>
        <w:spacing w:after="0" w:line="241" w:lineRule="auto"/>
        <w:rPr>
          <w:sz w:val="20"/>
          <w:szCs w:val="20"/>
          <w:color w:val="auto"/>
        </w:rPr>
      </w:pPr>
      <w:r>
        <w:rPr>
          <w:rFonts w:ascii="Times New Roman" w:cs="Times New Roman" w:eastAsia="Times New Roman" w:hAnsi="Times New Roman"/>
          <w:sz w:val="17"/>
          <w:szCs w:val="17"/>
          <w:color w:val="auto"/>
        </w:rPr>
        <w:t>below) All such persons and entities identified above shall be bound by obligations of confidentiality and restricted use. Avalyn shall not allow anyone to take or send the Material to any other location other than that specified for below, unless Avalyn first obtains PARI’s written permission.</w:t>
      </w:r>
    </w:p>
    <w:p>
      <w:pPr>
        <w:spacing w:after="0" w:line="140" w:lineRule="exact"/>
        <w:rPr>
          <w:sz w:val="20"/>
          <w:szCs w:val="20"/>
          <w:color w:val="auto"/>
        </w:rPr>
      </w:pPr>
    </w:p>
    <w:p>
      <w:pPr>
        <w:jc w:val="both"/>
        <w:ind w:left="2240" w:right="1239" w:hanging="511"/>
        <w:spacing w:after="0" w:line="235" w:lineRule="auto"/>
        <w:tabs>
          <w:tab w:leader="none" w:pos="2240" w:val="left"/>
        </w:tabs>
        <w:numPr>
          <w:ilvl w:val="0"/>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Supervision of Use of the Material The Material is to be used only at (i) Avalyn’s facilities as specified in the respective Device Order by Avalyn and by individuals working under Avalyn’s direction and control, (ii) at sites where the Evaluation Study will be conducted and which are set forth in the respective Study Protocol Synopsis, (iii) locations where subjects enrolled in the Evaluation Studies are using the Material, all of the foregoing (i), (</w:t>
      </w:r>
      <w:r>
        <w:rPr>
          <w:rFonts w:ascii="Times New Roman" w:cs="Times New Roman" w:eastAsia="Times New Roman" w:hAnsi="Times New Roman"/>
          <w:sz w:val="11"/>
          <w:szCs w:val="11"/>
          <w:color w:val="auto"/>
        </w:rPr>
        <w:t>ii</w:t>
      </w:r>
      <w:r>
        <w:rPr>
          <w:rFonts w:ascii="Times New Roman" w:cs="Times New Roman" w:eastAsia="Times New Roman" w:hAnsi="Times New Roman"/>
          <w:sz w:val="17"/>
          <w:szCs w:val="17"/>
          <w:color w:val="auto"/>
        </w:rPr>
        <w:t>) and (iii) as set forth in the respective Device Order, or (iv) the homes and/or workplaces of such individuals who consent to the participation in a clinical study portion of the respective Evaluation Study; provided, however, that Avalyn will be responsible and liable for (x) all actions and/or omissions of such individuals in relation to the Materials and (y) the return of all Material used by such individuals to Avalyn or CRO or its destruction.</w:t>
      </w:r>
    </w:p>
    <w:p>
      <w:pPr>
        <w:spacing w:after="0" w:line="141" w:lineRule="exact"/>
        <w:rPr>
          <w:rFonts w:ascii="Times New Roman" w:cs="Times New Roman" w:eastAsia="Times New Roman" w:hAnsi="Times New Roman"/>
          <w:sz w:val="17"/>
          <w:szCs w:val="17"/>
          <w:color w:val="auto"/>
        </w:rPr>
      </w:pPr>
    </w:p>
    <w:p>
      <w:pPr>
        <w:jc w:val="both"/>
        <w:ind w:left="2240" w:right="1239" w:hanging="511"/>
        <w:spacing w:after="0" w:line="251" w:lineRule="auto"/>
        <w:tabs>
          <w:tab w:leader="none" w:pos="2240" w:val="left"/>
        </w:tabs>
        <w:numPr>
          <w:ilvl w:val="0"/>
          <w:numId w:val="5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Avalyn hereby confirms to PARI that (i) prior to initiating the Evaluation Studies, Avalyn shall have a written agreement with CRO, the provisions of which will not be in breach of or otherwise conflict with the rights and obligations set forth in this Agreement (the “CRO Agreement’’); (ii) any breach of this Agreement by CRO shall be deemed a breach by Avalyn; (iii) Avalyn shall ensure that CRO does not use any third party contractors or subcontractors in connection with the Evaluation Studies that will receive the Materials without PARI’s prior written approval, and (iv) the CRO Agreement will include an effective assignment of all rights and interests associated with the Evaluation Studies and the Study Results (as defined below) to Avalyn consistent with this Agreement.</w:t>
      </w:r>
    </w:p>
    <w:p>
      <w:pPr>
        <w:spacing w:after="0" w:line="136" w:lineRule="exact"/>
        <w:rPr>
          <w:rFonts w:ascii="Times New Roman" w:cs="Times New Roman" w:eastAsia="Times New Roman" w:hAnsi="Times New Roman"/>
          <w:sz w:val="16"/>
          <w:szCs w:val="16"/>
          <w:color w:val="auto"/>
        </w:rPr>
      </w:pPr>
    </w:p>
    <w:p>
      <w:pPr>
        <w:jc w:val="both"/>
        <w:ind w:left="2240" w:right="1239" w:hanging="511"/>
        <w:spacing w:after="0" w:line="234" w:lineRule="auto"/>
        <w:tabs>
          <w:tab w:leader="none" w:pos="2240" w:val="left"/>
        </w:tabs>
        <w:numPr>
          <w:ilvl w:val="0"/>
          <w:numId w:val="5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Avalyn further confirms to PARI that (i) as between Avalyn and CRO, all Study Results and related proprietary rights associated with the Evaluation Studies shall be fully owned by Avalyn; (ii) CRO has not or will not have any rights to Study Results from Evaluation Studies or the related proprietary rights thereto (including without limitation the right to file any patents based thereon or the right to use any of the foregoing) except that CRO will have the right to retain a copy of the report solely as required for applicable regulatory authorities, and (iii) other than as specifically set forth herein, a CRO shall not have the right to otherwise use the Material than as set forth under this Agreement. In the event CRO does file a patent application and/or amendments that incorporate or reference the Study Results from Evaluation Studies, any PARI Property and/or any PARI Confidential Information, then Avalyn shall ensure that PARI receives a non-exclusive, perpetual, worldwide, fully paid-up, sub-licensable, irrevocable and unrestricted right and license thereunder from CRO (as applicable) to exploit in any manner any PARI Property, PARI Property or PARI Confidential Information.</w:t>
      </w:r>
    </w:p>
    <w:p>
      <w:pPr>
        <w:spacing w:after="0" w:line="200" w:lineRule="exact"/>
        <w:rPr>
          <w:sz w:val="20"/>
          <w:szCs w:val="20"/>
          <w:color w:val="auto"/>
        </w:rPr>
      </w:pPr>
    </w:p>
    <w:p>
      <w:pPr>
        <w:spacing w:after="0" w:line="3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19" w:right="1440" w:bottom="1440" w:gutter="0" w:footer="0" w:header="0"/>
        </w:sectPr>
      </w:pPr>
    </w:p>
    <w:bookmarkStart w:id="612" w:name="page613"/>
    <w:bookmarkEnd w:id="6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jc w:val="both"/>
        <w:ind w:left="1720" w:right="1239" w:hanging="503"/>
        <w:spacing w:after="0" w:line="235" w:lineRule="auto"/>
        <w:tabs>
          <w:tab w:leader="none" w:pos="170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u w:val="single" w:color="auto"/>
          <w:color w:val="auto"/>
        </w:rPr>
        <w:t>Reverse Engineering</w:t>
      </w:r>
      <w:r>
        <w:rPr>
          <w:rFonts w:ascii="Times New Roman" w:cs="Times New Roman" w:eastAsia="Times New Roman" w:hAnsi="Times New Roman"/>
          <w:sz w:val="17"/>
          <w:szCs w:val="17"/>
          <w:color w:val="auto"/>
        </w:rPr>
        <w:t>. Avalyn shall not subject to analysis or have subjected to analysis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Material and/or components constituting Material received from PARI for the purpose of reverse engineering or in a manner that would reveal material composition or internal design or operation of such sample and/or component or its method of manufacture. Material is deemed to be “Confidential Information” (as defined below) and such Material shall at all times remain the sole and exclusive property of PARI. The Evaluation Studies do not envision that there would be any improvement to the Material, but in the case that there are any inventions that constitute an improvement to the Material (but expressly excluding the Avalyn Rights or the use of the Avalyn Rights), such improvements shall be [***] disclosed to and are and shall be the sole and absolute property of PARI.</w:t>
      </w:r>
    </w:p>
    <w:p>
      <w:pPr>
        <w:spacing w:after="0" w:line="140" w:lineRule="exact"/>
        <w:rPr>
          <w:sz w:val="20"/>
          <w:szCs w:val="20"/>
          <w:color w:val="auto"/>
        </w:rPr>
      </w:pPr>
    </w:p>
    <w:p>
      <w:pPr>
        <w:ind w:left="1720" w:hanging="496"/>
        <w:spacing w:after="0"/>
        <w:tabs>
          <w:tab w:leader="none" w:pos="1720" w:val="left"/>
        </w:tabs>
        <w:numPr>
          <w:ilvl w:val="0"/>
          <w:numId w:val="5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CONFIDENTIALITY</w:t>
      </w:r>
    </w:p>
    <w:p>
      <w:pPr>
        <w:spacing w:after="0" w:line="166" w:lineRule="exact"/>
        <w:rPr>
          <w:sz w:val="20"/>
          <w:szCs w:val="20"/>
          <w:color w:val="auto"/>
        </w:rPr>
      </w:pPr>
    </w:p>
    <w:p>
      <w:pPr>
        <w:jc w:val="both"/>
        <w:ind w:left="1720" w:right="1239" w:hanging="503"/>
        <w:spacing w:after="0" w:line="249" w:lineRule="auto"/>
        <w:tabs>
          <w:tab w:leader="none" w:pos="170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6"/>
          <w:szCs w:val="16"/>
          <w:u w:val="single" w:color="auto"/>
          <w:color w:val="auto"/>
        </w:rPr>
        <w:t>Definition of Confidential Information</w:t>
      </w:r>
      <w:r>
        <w:rPr>
          <w:rFonts w:ascii="Times New Roman" w:cs="Times New Roman" w:eastAsia="Times New Roman" w:hAnsi="Times New Roman"/>
          <w:sz w:val="16"/>
          <w:szCs w:val="16"/>
          <w:color w:val="auto"/>
        </w:rPr>
        <w:t>. As used in this Agreement, Confidential</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Information shall mean: (i) all information disclosed by one Party (the “Discloser”) to the other Party (the “Receiver”) in oral, visual, written, or electronic form under this Agreement, including the terms of this Agreement, the nature thereof or the fact that such Agreement exists (provided that the terms of this Agreement, the nature hereof or the fact this Agreement exists shall be the Confidential Information of both Parties), (ii) non-public information or material proprietary to the Discloser or designated as “Confidential Information” by the Discloser, whether or not owned or developed by the Discloser, Including, but not limited to, the Study Results, trade secrets, know-how, data, compilations, specifications, strategies, projections, processes, techniques, formulae, models and patent disclosures, and any other information regarding the Discloser, its customers, products (including with respect to PARI, the Material,) or business, in each case disclosed by the Discloser to the Receiver or obtained by the Receiver through observation or examination of the foregoing, and (iii) any other confidential information about the Discloser obtained through the disclosure of information under this Agreement as well as the fact that a disclosure has taken place. For the avoidance of doubt, the Discloser and the Receiver confirm and agree that the Discloser’s failure to identify any information as “Confidential Information” in writing shall not constitute a designation of non-confidentiality when the confidential nature is apparent from the context and subject matter, when the information relates to the terms hereof, or when the information is such that a reasonable personal would consider it to be proprietary or confidential.</w:t>
      </w:r>
    </w:p>
    <w:p>
      <w:pPr>
        <w:spacing w:after="0" w:line="324" w:lineRule="exact"/>
        <w:rPr>
          <w:sz w:val="20"/>
          <w:szCs w:val="20"/>
          <w:color w:val="auto"/>
        </w:rPr>
      </w:pPr>
    </w:p>
    <w:p>
      <w:pPr>
        <w:jc w:val="both"/>
        <w:ind w:left="1720" w:right="1239" w:hanging="503"/>
        <w:spacing w:after="0" w:line="259" w:lineRule="auto"/>
        <w:tabs>
          <w:tab w:leader="none" w:pos="1700" w:val="left"/>
        </w:tabs>
        <w:rPr>
          <w:sz w:val="20"/>
          <w:szCs w:val="20"/>
          <w:color w:val="auto"/>
        </w:rPr>
      </w:pPr>
      <w:r>
        <w:rPr>
          <w:rFonts w:ascii="Times New Roman" w:cs="Times New Roman" w:eastAsia="Times New Roman" w:hAnsi="Times New Roman"/>
          <w:sz w:val="17"/>
          <w:szCs w:val="17"/>
          <w:color w:val="auto"/>
        </w:rPr>
        <w:t>2.2</w:t>
      </w:r>
      <w:r>
        <w:rPr>
          <w:sz w:val="20"/>
          <w:szCs w:val="20"/>
          <w:color w:val="auto"/>
        </w:rPr>
        <w:tab/>
      </w:r>
      <w:r>
        <w:rPr>
          <w:rFonts w:ascii="Times New Roman" w:cs="Times New Roman" w:eastAsia="Times New Roman" w:hAnsi="Times New Roman"/>
          <w:sz w:val="17"/>
          <w:szCs w:val="17"/>
          <w:u w:val="single" w:color="auto"/>
          <w:color w:val="auto"/>
        </w:rPr>
        <w:t>Exclusions</w:t>
      </w:r>
      <w:r>
        <w:rPr>
          <w:rFonts w:ascii="Times New Roman" w:cs="Times New Roman" w:eastAsia="Times New Roman" w:hAnsi="Times New Roman"/>
          <w:sz w:val="17"/>
          <w:szCs w:val="17"/>
          <w:color w:val="auto"/>
        </w:rPr>
        <w:t>. The term “Confidential Information” shall not be deemed to include that</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portion of information which</w:t>
      </w:r>
    </w:p>
    <w:p>
      <w:pPr>
        <w:spacing w:after="0" w:line="125" w:lineRule="exact"/>
        <w:rPr>
          <w:sz w:val="20"/>
          <w:szCs w:val="20"/>
          <w:color w:val="auto"/>
        </w:rPr>
      </w:pPr>
    </w:p>
    <w:p>
      <w:pPr>
        <w:jc w:val="both"/>
        <w:ind w:left="2240" w:right="1239" w:hanging="511"/>
        <w:spacing w:after="0" w:line="246" w:lineRule="auto"/>
        <w:tabs>
          <w:tab w:leader="none" w:pos="224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known to the Receiver prior to disclosure by the Discloser of such information as evidenced by the Receiver’s written files and records immediately prior to the time of disclosure,</w:t>
      </w:r>
    </w:p>
    <w:p>
      <w:pPr>
        <w:spacing w:after="0" w:line="134" w:lineRule="exact"/>
        <w:rPr>
          <w:rFonts w:ascii="Times New Roman" w:cs="Times New Roman" w:eastAsia="Times New Roman" w:hAnsi="Times New Roman"/>
          <w:sz w:val="17"/>
          <w:szCs w:val="17"/>
          <w:color w:val="auto"/>
        </w:rPr>
      </w:pPr>
    </w:p>
    <w:p>
      <w:pPr>
        <w:ind w:left="2240" w:right="1239" w:hanging="511"/>
        <w:spacing w:after="0" w:line="259" w:lineRule="auto"/>
        <w:tabs>
          <w:tab w:leader="none" w:pos="2240" w:val="left"/>
        </w:tabs>
        <w:numPr>
          <w:ilvl w:val="0"/>
          <w:numId w:val="5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or becomes publicly known, without fault or wrongful act on the part of the Receiver;</w:t>
      </w:r>
    </w:p>
    <w:p>
      <w:pPr>
        <w:spacing w:after="0" w:line="200" w:lineRule="exact"/>
        <w:rPr>
          <w:sz w:val="20"/>
          <w:szCs w:val="20"/>
          <w:color w:val="auto"/>
        </w:rPr>
      </w:pPr>
    </w:p>
    <w:p>
      <w:pPr>
        <w:spacing w:after="0" w:line="31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613" w:name="page614"/>
    <w:bookmarkEnd w:id="61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ind w:left="2240" w:right="1239" w:hanging="511"/>
        <w:spacing w:after="0" w:line="259" w:lineRule="auto"/>
        <w:tabs>
          <w:tab w:leader="none" w:pos="2240"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lawfully received by the Receiver at any time from a third party, other than the Discloser, who rightfully disclosed such information without restriction,</w:t>
      </w:r>
    </w:p>
    <w:p>
      <w:pPr>
        <w:spacing w:after="0" w:line="124" w:lineRule="exact"/>
        <w:rPr>
          <w:rFonts w:ascii="Times New Roman" w:cs="Times New Roman" w:eastAsia="Times New Roman" w:hAnsi="Times New Roman"/>
          <w:sz w:val="17"/>
          <w:szCs w:val="17"/>
          <w:color w:val="auto"/>
        </w:rPr>
      </w:pPr>
    </w:p>
    <w:p>
      <w:pPr>
        <w:jc w:val="both"/>
        <w:ind w:left="2240" w:right="1239" w:hanging="511"/>
        <w:spacing w:after="0" w:line="246" w:lineRule="auto"/>
        <w:tabs>
          <w:tab w:leader="none" w:pos="2240"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independently and legally derived or developed by the Receiver without use of the Confidential Information of the Discloser as evidenced by the Receiver’s written files and records,</w:t>
      </w:r>
    </w:p>
    <w:p>
      <w:pPr>
        <w:spacing w:after="0" w:line="134" w:lineRule="exact"/>
        <w:rPr>
          <w:rFonts w:ascii="Times New Roman" w:cs="Times New Roman" w:eastAsia="Times New Roman" w:hAnsi="Times New Roman"/>
          <w:sz w:val="17"/>
          <w:szCs w:val="17"/>
          <w:color w:val="auto"/>
        </w:rPr>
      </w:pPr>
    </w:p>
    <w:p>
      <w:pPr>
        <w:ind w:left="2240" w:hanging="511"/>
        <w:spacing w:after="0"/>
        <w:tabs>
          <w:tab w:leader="none" w:pos="2240"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has been disclosed by the Receiver with the Discloser’s prior written approval, or</w:t>
      </w:r>
    </w:p>
    <w:p>
      <w:pPr>
        <w:spacing w:after="0" w:line="161" w:lineRule="exact"/>
        <w:rPr>
          <w:rFonts w:ascii="Times New Roman" w:cs="Times New Roman" w:eastAsia="Times New Roman" w:hAnsi="Times New Roman"/>
          <w:sz w:val="17"/>
          <w:szCs w:val="17"/>
          <w:color w:val="auto"/>
        </w:rPr>
      </w:pPr>
    </w:p>
    <w:p>
      <w:pPr>
        <w:ind w:left="2240" w:hanging="511"/>
        <w:spacing w:after="0"/>
        <w:tabs>
          <w:tab w:leader="none" w:pos="2240" w:val="left"/>
        </w:tabs>
        <w:numPr>
          <w:ilvl w:val="0"/>
          <w:numId w:val="5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required to be disclosed under legal process, provided that</w:t>
      </w:r>
    </w:p>
    <w:p>
      <w:pPr>
        <w:spacing w:after="0" w:line="161" w:lineRule="exact"/>
        <w:rPr>
          <w:rFonts w:ascii="Times New Roman" w:cs="Times New Roman" w:eastAsia="Times New Roman" w:hAnsi="Times New Roman"/>
          <w:sz w:val="17"/>
          <w:szCs w:val="17"/>
          <w:color w:val="auto"/>
        </w:rPr>
      </w:pPr>
    </w:p>
    <w:p>
      <w:pPr>
        <w:jc w:val="center"/>
        <w:ind w:left="2740" w:right="1239" w:hanging="504"/>
        <w:spacing w:after="0" w:line="25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Ithe Receiver shall give the Discloser prompt written notice so that the Disclosure may seek a protective order or other appropriate remedy,</w:t>
      </w:r>
    </w:p>
    <w:p>
      <w:pPr>
        <w:spacing w:after="0" w:line="125" w:lineRule="exact"/>
        <w:rPr>
          <w:sz w:val="20"/>
          <w:szCs w:val="20"/>
          <w:color w:val="auto"/>
        </w:rPr>
      </w:pPr>
    </w:p>
    <w:p>
      <w:pPr>
        <w:ind w:left="2740" w:right="1239" w:hanging="507"/>
        <w:spacing w:after="0" w:line="259" w:lineRule="auto"/>
        <w:tabs>
          <w:tab w:leader="none" w:pos="2740" w:val="left"/>
        </w:tabs>
        <w:numPr>
          <w:ilvl w:val="0"/>
          <w:numId w:val="5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Receiver takes all reasonable steps available to protect the Confidential Information in the context of the proceeding, and</w:t>
      </w:r>
    </w:p>
    <w:p>
      <w:pPr>
        <w:spacing w:after="0" w:line="125" w:lineRule="exact"/>
        <w:rPr>
          <w:sz w:val="20"/>
          <w:szCs w:val="20"/>
          <w:color w:val="auto"/>
        </w:rPr>
      </w:pPr>
    </w:p>
    <w:p>
      <w:pPr>
        <w:ind w:left="2740" w:right="1239" w:hanging="507"/>
        <w:spacing w:after="0" w:line="259" w:lineRule="auto"/>
        <w:tabs>
          <w:tab w:leader="none" w:pos="2740" w:val="left"/>
        </w:tabs>
        <w:numPr>
          <w:ilvl w:val="0"/>
          <w:numId w:val="5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Receiver discloses Confidential Information only to the extent required to be disclosed.</w:t>
      </w:r>
    </w:p>
    <w:p>
      <w:pPr>
        <w:spacing w:after="0" w:line="125" w:lineRule="exact"/>
        <w:rPr>
          <w:sz w:val="20"/>
          <w:szCs w:val="20"/>
          <w:color w:val="auto"/>
        </w:rPr>
      </w:pPr>
    </w:p>
    <w:p>
      <w:pPr>
        <w:jc w:val="both"/>
        <w:ind w:left="1720" w:right="1239"/>
        <w:spacing w:after="0" w:line="239" w:lineRule="auto"/>
        <w:rPr>
          <w:sz w:val="20"/>
          <w:szCs w:val="20"/>
          <w:color w:val="auto"/>
        </w:rPr>
      </w:pPr>
      <w:r>
        <w:rPr>
          <w:rFonts w:ascii="Times New Roman" w:cs="Times New Roman" w:eastAsia="Times New Roman" w:hAnsi="Times New Roman"/>
          <w:sz w:val="17"/>
          <w:szCs w:val="17"/>
          <w:color w:val="auto"/>
        </w:rPr>
        <w:t>Any combination of features or disclosures shall not be deemed to fall within the foregoing exclusions merely because such individual features or disclosures are published or available to the general public or in the rightful possession of the Receiver unless such combination itself and principle of operation are published or available to the general public or are in the rightful possession of the Receiver.</w:t>
      </w:r>
    </w:p>
    <w:p>
      <w:pPr>
        <w:spacing w:after="0" w:line="141" w:lineRule="exact"/>
        <w:rPr>
          <w:sz w:val="20"/>
          <w:szCs w:val="20"/>
          <w:color w:val="auto"/>
        </w:rPr>
      </w:pPr>
    </w:p>
    <w:p>
      <w:pPr>
        <w:jc w:val="both"/>
        <w:ind w:left="1720" w:right="1239"/>
        <w:spacing w:after="0" w:line="255" w:lineRule="auto"/>
        <w:rPr>
          <w:sz w:val="20"/>
          <w:szCs w:val="20"/>
          <w:color w:val="auto"/>
        </w:rPr>
      </w:pPr>
      <w:r>
        <w:rPr>
          <w:rFonts w:ascii="Times New Roman" w:cs="Times New Roman" w:eastAsia="Times New Roman" w:hAnsi="Times New Roman"/>
          <w:sz w:val="16"/>
          <w:szCs w:val="16"/>
          <w:color w:val="auto"/>
        </w:rPr>
        <w:t>Further excluded from being deemed “Confidential Information” shall be information about the existence of or nature of the “Evaluation Studies” and the “Evaluation Purpose” that is publicly known including, but not limited to, the names of the collaborating Parties, sponsors, drug substance, study type, study design, study endpoints, study location, number of patients included, and inclusion criteria. For clarity, the Study Results (as set forth in Section 3.3) shall be deemed Confidential Information of Avalyn.</w:t>
      </w:r>
    </w:p>
    <w:p>
      <w:pPr>
        <w:spacing w:after="0" w:line="131" w:lineRule="exact"/>
        <w:rPr>
          <w:sz w:val="20"/>
          <w:szCs w:val="20"/>
          <w:color w:val="auto"/>
        </w:rPr>
      </w:pPr>
    </w:p>
    <w:p>
      <w:pPr>
        <w:jc w:val="both"/>
        <w:ind w:left="1720" w:right="1239" w:hanging="503"/>
        <w:spacing w:after="0" w:line="246" w:lineRule="auto"/>
        <w:tabs>
          <w:tab w:leader="none" w:pos="170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auto"/>
        </w:rPr>
        <w:t>Duration of Obligation</w:t>
      </w:r>
      <w:r>
        <w:rPr>
          <w:rFonts w:ascii="Times New Roman" w:cs="Times New Roman" w:eastAsia="Times New Roman" w:hAnsi="Times New Roman"/>
          <w:sz w:val="17"/>
          <w:szCs w:val="17"/>
          <w:color w:val="auto"/>
        </w:rPr>
        <w:t>. The Receiver’s obligations regarding Confidential Information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received under this Agreement shall continue for a period of [***] from the date of last disclosure.</w:t>
      </w:r>
    </w:p>
    <w:p>
      <w:pPr>
        <w:spacing w:after="0" w:line="135" w:lineRule="exact"/>
        <w:rPr>
          <w:sz w:val="20"/>
          <w:szCs w:val="20"/>
          <w:color w:val="auto"/>
        </w:rPr>
      </w:pPr>
    </w:p>
    <w:p>
      <w:pPr>
        <w:jc w:val="both"/>
        <w:ind w:left="1720" w:right="1239"/>
        <w:spacing w:after="0" w:line="237" w:lineRule="auto"/>
        <w:rPr>
          <w:sz w:val="20"/>
          <w:szCs w:val="20"/>
          <w:color w:val="auto"/>
        </w:rPr>
      </w:pPr>
      <w:r>
        <w:rPr>
          <w:rFonts w:ascii="Times New Roman" w:cs="Times New Roman" w:eastAsia="Times New Roman" w:hAnsi="Times New Roman"/>
          <w:sz w:val="17"/>
          <w:szCs w:val="17"/>
          <w:color w:val="auto"/>
        </w:rPr>
        <w:t>The Receiver shall not disclose information to any third party without the prior written and express consent of the Discloser, except as set forth in Section 2.4 below. The Receiver will treat information in the same manner and with the same degree of care as the Receiver treats its own confidential information. Furthermore, the Receiver undertakes an obligation not to make use of Confidential Information other than for purposes of the Evaluation Studies without the prior written and express consent of the Discloser in each case, except as otherwise allowed under this Agreement.</w:t>
      </w:r>
    </w:p>
    <w:p>
      <w:pPr>
        <w:spacing w:after="0" w:line="141" w:lineRule="exact"/>
        <w:rPr>
          <w:sz w:val="20"/>
          <w:szCs w:val="20"/>
          <w:color w:val="auto"/>
        </w:rPr>
      </w:pPr>
    </w:p>
    <w:p>
      <w:pPr>
        <w:jc w:val="both"/>
        <w:ind w:left="1720" w:right="1239" w:hanging="503"/>
        <w:spacing w:after="0" w:line="246" w:lineRule="auto"/>
        <w:tabs>
          <w:tab w:leader="none" w:pos="170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u w:val="single" w:color="auto"/>
          <w:color w:val="auto"/>
        </w:rPr>
        <w:t>Obligation of Employees</w:t>
      </w:r>
      <w:r>
        <w:rPr>
          <w:rFonts w:ascii="Times New Roman" w:cs="Times New Roman" w:eastAsia="Times New Roman" w:hAnsi="Times New Roman"/>
          <w:sz w:val="17"/>
          <w:szCs w:val="17"/>
          <w:color w:val="auto"/>
        </w:rPr>
        <w:t>. The Receiver may disclose Confidential Information only to</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employees, directors, officers, attorneys, accountants, bankers, financial advisors, CRO, clinical sites, participants in the Evaluation Studies or consultants who need to know in</w:t>
      </w:r>
    </w:p>
    <w:p>
      <w:pPr>
        <w:spacing w:after="0" w:line="200" w:lineRule="exact"/>
        <w:rPr>
          <w:sz w:val="20"/>
          <w:szCs w:val="20"/>
          <w:color w:val="auto"/>
        </w:rPr>
      </w:pPr>
    </w:p>
    <w:p>
      <w:pPr>
        <w:spacing w:after="0" w:line="32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14" w:name="page615"/>
    <w:bookmarkEnd w:id="61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jc w:val="both"/>
        <w:ind w:left="1720" w:right="1239"/>
        <w:spacing w:after="0" w:line="238" w:lineRule="auto"/>
        <w:rPr>
          <w:sz w:val="20"/>
          <w:szCs w:val="20"/>
          <w:color w:val="auto"/>
        </w:rPr>
      </w:pPr>
      <w:r>
        <w:rPr>
          <w:rFonts w:ascii="Times New Roman" w:cs="Times New Roman" w:eastAsia="Times New Roman" w:hAnsi="Times New Roman"/>
          <w:sz w:val="17"/>
          <w:szCs w:val="17"/>
          <w:color w:val="auto"/>
        </w:rPr>
        <w:t>order to carry out an Evaluation Study or related to the Evaluation Purpose set forth herein, provided that such persons are bound by obligations of confidentiality and non-use to the Receiver and will use no less stringent as those contained in this Agreement. Avalyn shall ensure that such persons are fully aware of the obligations of this Agreement and the Receiver shall be responsible and liable for any breach of these provisions by such persons.</w:t>
      </w:r>
    </w:p>
    <w:p>
      <w:pPr>
        <w:spacing w:after="0" w:line="140" w:lineRule="exact"/>
        <w:rPr>
          <w:sz w:val="20"/>
          <w:szCs w:val="20"/>
          <w:color w:val="auto"/>
        </w:rPr>
      </w:pPr>
    </w:p>
    <w:p>
      <w:pPr>
        <w:jc w:val="both"/>
        <w:ind w:left="1720" w:right="1239" w:hanging="503"/>
        <w:spacing w:after="0" w:line="234" w:lineRule="auto"/>
        <w:tabs>
          <w:tab w:leader="none" w:pos="1700" w:val="left"/>
        </w:tabs>
        <w:rPr>
          <w:sz w:val="20"/>
          <w:szCs w:val="20"/>
          <w:color w:val="auto"/>
        </w:rPr>
      </w:pPr>
      <w:r>
        <w:rPr>
          <w:rFonts w:ascii="Times New Roman" w:cs="Times New Roman" w:eastAsia="Times New Roman" w:hAnsi="Times New Roman"/>
          <w:sz w:val="17"/>
          <w:szCs w:val="17"/>
          <w:color w:val="auto"/>
        </w:rPr>
        <w:t>2.5</w:t>
      </w:r>
      <w:r>
        <w:rPr>
          <w:sz w:val="20"/>
          <w:szCs w:val="20"/>
          <w:color w:val="auto"/>
        </w:rPr>
        <w:tab/>
      </w:r>
      <w:r>
        <w:rPr>
          <w:rFonts w:ascii="Times New Roman" w:cs="Times New Roman" w:eastAsia="Times New Roman" w:hAnsi="Times New Roman"/>
          <w:sz w:val="17"/>
          <w:szCs w:val="17"/>
          <w:u w:val="single" w:color="auto"/>
          <w:color w:val="auto"/>
        </w:rPr>
        <w:t xml:space="preserve">Return of Confidential Information </w:t>
      </w:r>
      <w:r>
        <w:rPr>
          <w:rFonts w:ascii="Times New Roman" w:cs="Times New Roman" w:eastAsia="Times New Roman" w:hAnsi="Times New Roman"/>
          <w:sz w:val="17"/>
          <w:szCs w:val="17"/>
          <w:color w:val="auto"/>
        </w:rPr>
        <w:t>Upon the request of the Discloser, the Receiver shall</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within [***] of such request return all tangible items relating to Discloser’s Confidential Information, including all written material, photographs, models, compounds, compositions and the like made available or supplied by the Discloser to the Receiver, and erase or destroy any and all notes, documents and physical or electronic copies thereof or derived from the Confidential Information; provided, however, the Receiver may retain one copy of the Confidential Information in the possession of its legal counsel solely for the purpose of monitoring its obligations under this Agreement, and, provided further that, in the case of the Study Results, Avalyn has the right to retain the Study Results as Avalyn deems fit, regardless of whether such Study Results are derived from Confidential Information. Upon the Discloser’s request, an authorized representative of the Receiver shall certify in writing that all Confidential Information has been returned or destroyed Subsequent to any return of the Confidential Information, the Receiver will continue to be bound by its obligations hereunder.</w:t>
      </w:r>
    </w:p>
    <w:p>
      <w:pPr>
        <w:spacing w:after="0" w:line="145" w:lineRule="exact"/>
        <w:rPr>
          <w:sz w:val="20"/>
          <w:szCs w:val="20"/>
          <w:color w:val="auto"/>
        </w:rPr>
      </w:pPr>
    </w:p>
    <w:p>
      <w:pPr>
        <w:ind w:left="1720" w:hanging="496"/>
        <w:spacing w:after="0"/>
        <w:tabs>
          <w:tab w:leader="none" w:pos="1720" w:val="left"/>
        </w:tabs>
        <w:numPr>
          <w:ilvl w:val="0"/>
          <w:numId w:val="5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STUDY RESULTS AND INTELLECTUAL PROPERTY</w:t>
      </w:r>
    </w:p>
    <w:p>
      <w:pPr>
        <w:spacing w:after="0" w:line="166" w:lineRule="exact"/>
        <w:rPr>
          <w:sz w:val="20"/>
          <w:szCs w:val="20"/>
          <w:color w:val="auto"/>
        </w:rPr>
      </w:pPr>
    </w:p>
    <w:p>
      <w:pPr>
        <w:jc w:val="both"/>
        <w:ind w:left="1720" w:right="1239" w:hanging="503"/>
        <w:spacing w:after="0" w:line="234" w:lineRule="auto"/>
        <w:tabs>
          <w:tab w:leader="none" w:pos="1700" w:val="left"/>
        </w:tabs>
        <w:rPr>
          <w:sz w:val="20"/>
          <w:szCs w:val="20"/>
          <w:color w:val="auto"/>
        </w:rPr>
      </w:pPr>
      <w:r>
        <w:rPr>
          <w:rFonts w:ascii="Times New Roman" w:cs="Times New Roman" w:eastAsia="Times New Roman" w:hAnsi="Times New Roman"/>
          <w:sz w:val="17"/>
          <w:szCs w:val="17"/>
          <w:color w:val="auto"/>
        </w:rPr>
        <w:t>3.1</w:t>
      </w:r>
      <w:r>
        <w:rPr>
          <w:sz w:val="20"/>
          <w:szCs w:val="20"/>
          <w:color w:val="auto"/>
        </w:rPr>
        <w:tab/>
      </w:r>
      <w:r>
        <w:rPr>
          <w:rFonts w:ascii="Times New Roman" w:cs="Times New Roman" w:eastAsia="Times New Roman" w:hAnsi="Times New Roman"/>
          <w:sz w:val="17"/>
          <w:szCs w:val="17"/>
          <w:u w:val="single" w:color="auto"/>
          <w:color w:val="auto"/>
        </w:rPr>
        <w:t>Ownership of PARI Intellectual Property</w:t>
      </w:r>
      <w:r>
        <w:rPr>
          <w:rFonts w:ascii="Times New Roman" w:cs="Times New Roman" w:eastAsia="Times New Roman" w:hAnsi="Times New Roman"/>
          <w:sz w:val="17"/>
          <w:szCs w:val="17"/>
          <w:color w:val="auto"/>
        </w:rPr>
        <w:t>: Avalyn acknowledges that PARI or its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affiliates owns, possesses or controls certain inventions, discoveries, technologies, expertise, processes, know-how, trade secrets, technologies, other intellectual property rights related to PARI’s proprietary nebulizer devices, including but not limited to, the eFlow® electronic nebulizer, [***], the Material and improvements to all of the foregoing (collectively the “PARI Property”). The foregoing PARI Property includes, but is not limited to, all rights, title and interest in and to any patents, trademarks, mask works, copyrights or trade secrets associated with the PARI Property. Avalyn and PARI agree that, as between the Parties, PARI shall exclusively own any and all PARI Property and improvements thereto (i) owned by or licensed to PARI as of the Effective Date hereof, and/or (ii) used, improved, modified or developed by either Party under or during the term of this Agreement, but expressly excluding the Avalyn Rights or use thereof Avalyn hereby assigns all rights in the PARI Property to PARI, but only to the extent that said PARI Property is not specifically related to the Avalyn Rights.</w:t>
      </w:r>
    </w:p>
    <w:p>
      <w:pPr>
        <w:spacing w:after="0" w:line="149" w:lineRule="exact"/>
        <w:rPr>
          <w:sz w:val="20"/>
          <w:szCs w:val="20"/>
          <w:color w:val="auto"/>
        </w:rPr>
      </w:pPr>
    </w:p>
    <w:p>
      <w:pPr>
        <w:jc w:val="both"/>
        <w:ind w:left="1720" w:right="1239" w:hanging="503"/>
        <w:spacing w:after="0" w:line="235" w:lineRule="auto"/>
        <w:tabs>
          <w:tab w:leader="none" w:pos="170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u w:val="single" w:color="auto"/>
          <w:color w:val="auto"/>
        </w:rPr>
        <w:t>Ownership of Avalyn Intellectual Property</w:t>
      </w:r>
      <w:r>
        <w:rPr>
          <w:rFonts w:ascii="Times New Roman" w:cs="Times New Roman" w:eastAsia="Times New Roman" w:hAnsi="Times New Roman"/>
          <w:sz w:val="17"/>
          <w:szCs w:val="17"/>
          <w:color w:val="auto"/>
        </w:rPr>
        <w:t>: PARI acknowledges that Avalyn or its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affiliates owns, possesses or controls certain inventions, discoveries, technologies, expertise, processes, know-how, trade secrets, technologies, other intellectual property rights and improvements to all of the foregoing, related to the Avalyn Rights (collectively the “Avalyn Property”). The foregoing Avalyn Property includes, but is not limited to, all rights, title and interest in and to any patents, trademarks, mask works, copyrights or trade secrets associated with the Avalyn Property. Avalyn and PARI agree that, as between the Parties, Avalyn shall exclusively own any and all Avalyn Property and improvements thereto (i) owned by or licensed to Avalyn as of the Effective Date hereof, and/or (ii) used,</w:t>
      </w:r>
    </w:p>
    <w:p>
      <w:pPr>
        <w:spacing w:after="0" w:line="200" w:lineRule="exact"/>
        <w:rPr>
          <w:sz w:val="20"/>
          <w:szCs w:val="20"/>
          <w:color w:val="auto"/>
        </w:rPr>
      </w:pPr>
    </w:p>
    <w:p>
      <w:pPr>
        <w:spacing w:after="0" w:line="3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15" w:name="page616"/>
    <w:bookmarkEnd w:id="61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ind w:left="1720" w:right="1239"/>
        <w:spacing w:after="0" w:line="259" w:lineRule="auto"/>
        <w:rPr>
          <w:sz w:val="20"/>
          <w:szCs w:val="20"/>
          <w:color w:val="auto"/>
        </w:rPr>
      </w:pPr>
      <w:r>
        <w:rPr>
          <w:rFonts w:ascii="Times New Roman" w:cs="Times New Roman" w:eastAsia="Times New Roman" w:hAnsi="Times New Roman"/>
          <w:sz w:val="17"/>
          <w:szCs w:val="17"/>
          <w:color w:val="auto"/>
        </w:rPr>
        <w:t>improved, modified or developed by either Party under or during the term of this Agreement, but expressly excluding the PARI Property.</w:t>
      </w:r>
    </w:p>
    <w:p>
      <w:pPr>
        <w:spacing w:after="0" w:line="125" w:lineRule="exact"/>
        <w:rPr>
          <w:sz w:val="20"/>
          <w:szCs w:val="20"/>
          <w:color w:val="auto"/>
        </w:rPr>
      </w:pPr>
    </w:p>
    <w:p>
      <w:pPr>
        <w:jc w:val="both"/>
        <w:ind w:left="1720" w:right="1239" w:hanging="503"/>
        <w:spacing w:after="0" w:line="233" w:lineRule="auto"/>
        <w:tabs>
          <w:tab w:leader="none" w:pos="170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u w:val="single" w:color="auto"/>
          <w:color w:val="auto"/>
        </w:rPr>
        <w:t>Ownership of Study Results</w:t>
      </w:r>
      <w:r>
        <w:rPr>
          <w:rFonts w:ascii="Times New Roman" w:cs="Times New Roman" w:eastAsia="Times New Roman" w:hAnsi="Times New Roman"/>
          <w:sz w:val="17"/>
          <w:szCs w:val="17"/>
          <w:color w:val="auto"/>
        </w:rPr>
        <w:t>: All information, data, writings, test results, and similar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information generated as a result of each of the Evaluation Studies (collectively, the “Study Results”), shall be the sole and exclusive property of Avalyn. Notwithstanding the foregoing, Avalyn shall in no event (other than under and in accordance with the License Agreement or another license agreement as set forth below in this Section 3.3) file any patent application and/or amendments that claim any part of the [***] (collectively “Device Related Disclosures”). For the avoidance of doubt, Avalyn shall neither amend nor modify (including without limitation by way of continuation, continuation In part, divisional or re-issue) claims of patents or patent applications filed prior to the Effective Date resulting in claims containing Device Related Disclosures (other than under and in accordance with the License Agreement or another license agreement as set forth below in this Section 3.3). PARI hereby assigns all rights in the Study Results to Avalyn, but only to the extent that said Study Results are not specifically related to the PARI Property. Device Related Disclosures shall specifically not mean [***]. In the event that Avalyn nevertheless wishes to file a patent application and/or amendments or modifications with Device Related Disclosures, Avalyn shall only do so In case the Parties will have entered into a license agreement with respect to Nintedanib as the sole active ingredient or Nintedanib in combination with Pirfenidone, with similar terms and conditions with respect to the allocation of intellectual property rights and the right to file patents as the License Agreement being applicable to such patent application and/or amendment and to the extent such patent application and/or amendment is permitted under such terms and conditions. If Avalyn files such patent application and/or amendment or modification prior to the execution of the above mentioned license agreement, then:</w:t>
      </w:r>
    </w:p>
    <w:p>
      <w:pPr>
        <w:spacing w:after="0" w:line="155" w:lineRule="exact"/>
        <w:rPr>
          <w:sz w:val="20"/>
          <w:szCs w:val="20"/>
          <w:color w:val="auto"/>
        </w:rPr>
      </w:pPr>
    </w:p>
    <w:p>
      <w:pPr>
        <w:jc w:val="both"/>
        <w:ind w:left="2240" w:right="1239" w:hanging="511"/>
        <w:spacing w:after="0" w:line="237" w:lineRule="auto"/>
        <w:tabs>
          <w:tab w:leader="none" w:pos="224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PARI shall receive a non-exclusive, perpetual, world-wide, fully paid-up, sublicensable, unrestricted right and license under any such right, title, or interest, including any patents resulting from such patent application for PARI to research, formulate, develop, seek regulatory approval for, make, have made, use, sell, have sold, offer for sale, market, promote, import, export, display, make derivative works of, copy, distribute, perform, license, sublicense or otherwise commercialize or dispose of PARI Property, and</w:t>
      </w:r>
    </w:p>
    <w:p>
      <w:pPr>
        <w:spacing w:after="0" w:line="141" w:lineRule="exact"/>
        <w:rPr>
          <w:rFonts w:ascii="Times New Roman" w:cs="Times New Roman" w:eastAsia="Times New Roman" w:hAnsi="Times New Roman"/>
          <w:sz w:val="17"/>
          <w:szCs w:val="17"/>
          <w:color w:val="auto"/>
        </w:rPr>
      </w:pPr>
    </w:p>
    <w:p>
      <w:pPr>
        <w:jc w:val="both"/>
        <w:ind w:left="2240" w:right="1239" w:hanging="511"/>
        <w:spacing w:after="0" w:line="238" w:lineRule="auto"/>
        <w:tabs>
          <w:tab w:leader="none" w:pos="2240"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filing shall constitute a breach of this Agreement and PARI shall be entitled to seek any and all applicable legal and equitable remedies for such breach, in addition to the license set forth in Section 3.3(a) above. Any delay or failure by PARI to seek such remedies shall neither constitute a waiver or acceptance of such breach of this Agreement nor an acceptance of the acquisition of such right, title or interest by Avalyn.</w:t>
      </w:r>
    </w:p>
    <w:p>
      <w:pPr>
        <w:spacing w:after="0" w:line="200" w:lineRule="exact"/>
        <w:rPr>
          <w:sz w:val="20"/>
          <w:szCs w:val="20"/>
          <w:color w:val="auto"/>
        </w:rPr>
      </w:pPr>
    </w:p>
    <w:p>
      <w:pPr>
        <w:spacing w:after="0" w:line="3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16" w:name="page617"/>
    <w:bookmarkEnd w:id="61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jc w:val="both"/>
        <w:ind w:left="1720" w:right="1239" w:hanging="503"/>
        <w:spacing w:after="0" w:line="235" w:lineRule="auto"/>
        <w:tabs>
          <w:tab w:leader="none" w:pos="1700" w:val="left"/>
        </w:tabs>
        <w:rPr>
          <w:sz w:val="20"/>
          <w:szCs w:val="20"/>
          <w:color w:val="auto"/>
        </w:rPr>
      </w:pPr>
      <w:r>
        <w:rPr>
          <w:rFonts w:ascii="Times New Roman" w:cs="Times New Roman" w:eastAsia="Times New Roman" w:hAnsi="Times New Roman"/>
          <w:sz w:val="17"/>
          <w:szCs w:val="17"/>
          <w:color w:val="auto"/>
        </w:rPr>
        <w:t>3.4</w:t>
      </w:r>
      <w:r>
        <w:rPr>
          <w:sz w:val="20"/>
          <w:szCs w:val="20"/>
          <w:color w:val="auto"/>
        </w:rPr>
        <w:tab/>
      </w:r>
      <w:r>
        <w:rPr>
          <w:rFonts w:ascii="Times New Roman" w:cs="Times New Roman" w:eastAsia="Times New Roman" w:hAnsi="Times New Roman"/>
          <w:sz w:val="17"/>
          <w:szCs w:val="17"/>
          <w:u w:val="single" w:color="auto"/>
          <w:color w:val="auto"/>
        </w:rPr>
        <w:t>License Rights</w:t>
      </w:r>
      <w:r>
        <w:rPr>
          <w:rFonts w:ascii="Times New Roman" w:cs="Times New Roman" w:eastAsia="Times New Roman" w:hAnsi="Times New Roman"/>
          <w:sz w:val="17"/>
          <w:szCs w:val="17"/>
          <w:color w:val="auto"/>
        </w:rPr>
        <w:t>: Subject to the terms and conditions of this Agreement, including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transfer of the Material, PARI hereby grants Avalyn a limited non-exclusive license to temporarily maintain and conduct the Evaluation Studies using the Material solely in accordance with the Evaluation Purpose and the synopsis of the Evaluation Studies set forth in the respective Device Order and incorporated by reference herein (the “Study Protocol Synopsis”). Material shall not be used by Avalyn in any research that is subject to consulting or commercial licensing or contracted research obligations to another person or entity. No express or implied license in or to the Material is granted to Avalyn under this Agreement, except for the limited right of use specifically set forth herein. Avalyn shall have no right to sublicense (or to subcontract, other than to its CRO and clinical sites) any rights granted hereunder to any third party. PARI remains free, in its sole discretion, to use the Material for its own purposes and to distribute or license the Material to parties other than Avalyn.</w:t>
      </w:r>
    </w:p>
    <w:p>
      <w:pPr>
        <w:spacing w:after="0" w:line="136" w:lineRule="exact"/>
        <w:rPr>
          <w:sz w:val="20"/>
          <w:szCs w:val="20"/>
          <w:color w:val="auto"/>
        </w:rPr>
      </w:pPr>
    </w:p>
    <w:p>
      <w:pPr>
        <w:ind w:left="1720" w:hanging="496"/>
        <w:spacing w:after="0"/>
        <w:tabs>
          <w:tab w:leader="none" w:pos="1720" w:val="left"/>
        </w:tabs>
        <w:numPr>
          <w:ilvl w:val="0"/>
          <w:numId w:val="5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USE OF DATA</w:t>
      </w:r>
    </w:p>
    <w:p>
      <w:pPr>
        <w:spacing w:after="0" w:line="166" w:lineRule="exact"/>
        <w:rPr>
          <w:sz w:val="20"/>
          <w:szCs w:val="20"/>
          <w:color w:val="auto"/>
        </w:rPr>
      </w:pPr>
    </w:p>
    <w:p>
      <w:pPr>
        <w:jc w:val="both"/>
        <w:ind w:left="1720" w:right="1239" w:hanging="503"/>
        <w:spacing w:after="0" w:line="241" w:lineRule="auto"/>
        <w:tabs>
          <w:tab w:leader="none" w:pos="1700" w:val="left"/>
        </w:tabs>
        <w:rPr>
          <w:sz w:val="20"/>
          <w:szCs w:val="20"/>
          <w:color w:val="auto"/>
        </w:rPr>
      </w:pPr>
      <w:r>
        <w:rPr>
          <w:rFonts w:ascii="Times New Roman" w:cs="Times New Roman" w:eastAsia="Times New Roman" w:hAnsi="Times New Roman"/>
          <w:sz w:val="17"/>
          <w:szCs w:val="17"/>
          <w:color w:val="auto"/>
        </w:rPr>
        <w:t>4.1</w:t>
      </w:r>
      <w:r>
        <w:rPr>
          <w:sz w:val="20"/>
          <w:szCs w:val="20"/>
          <w:color w:val="auto"/>
        </w:rPr>
        <w:tab/>
      </w:r>
      <w:r>
        <w:rPr>
          <w:rFonts w:ascii="Times New Roman" w:cs="Times New Roman" w:eastAsia="Times New Roman" w:hAnsi="Times New Roman"/>
          <w:sz w:val="17"/>
          <w:szCs w:val="17"/>
          <w:u w:val="single" w:color="auto"/>
          <w:color w:val="auto"/>
        </w:rPr>
        <w:t>Report</w:t>
      </w:r>
      <w:r>
        <w:rPr>
          <w:rFonts w:ascii="Times New Roman" w:cs="Times New Roman" w:eastAsia="Times New Roman" w:hAnsi="Times New Roman"/>
          <w:sz w:val="17"/>
          <w:szCs w:val="17"/>
          <w:color w:val="auto"/>
        </w:rPr>
        <w:t>. The Study Results generated under this Agreement shall be shared with PARI in</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way of a preliminary written report sent to PARI within [***] of conclusion of each of the Evaluation Studies. Furthermore, once available, a copy of the final report of each of the Evaluation Studies will be sent to PARI.</w:t>
      </w:r>
    </w:p>
    <w:p>
      <w:pPr>
        <w:spacing w:after="0" w:line="140" w:lineRule="exact"/>
        <w:rPr>
          <w:sz w:val="20"/>
          <w:szCs w:val="20"/>
          <w:color w:val="auto"/>
        </w:rPr>
      </w:pPr>
    </w:p>
    <w:p>
      <w:pPr>
        <w:jc w:val="both"/>
        <w:ind w:left="1720" w:right="1239" w:hanging="503"/>
        <w:spacing w:after="0" w:line="235" w:lineRule="auto"/>
        <w:tabs>
          <w:tab w:leader="none" w:pos="170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7"/>
          <w:szCs w:val="17"/>
          <w:u w:val="single" w:color="auto"/>
          <w:color w:val="auto"/>
        </w:rPr>
        <w:t>Publications</w:t>
      </w:r>
      <w:r>
        <w:rPr>
          <w:rFonts w:ascii="Times New Roman" w:cs="Times New Roman" w:eastAsia="Times New Roman" w:hAnsi="Times New Roman"/>
          <w:sz w:val="17"/>
          <w:szCs w:val="17"/>
          <w:color w:val="auto"/>
        </w:rPr>
        <w:t>. Avalyn agrees to provide appropriate acknowledgment of the source of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Material in all publications, and further agrees to send PARI a copy of any proposed public disclosure (including proposed publications in initial patent applications, continuations, divisionals submitted the first time to patent examination offices such as the USPTO or the EPO) regarding the Evaluation Studies including, but not limited to, manuscripts, posters or presentations and seek PARI’s written approval prior to submission or public disclosure. PARI has the right to reasonably revise information disclosed in any such publication relating to the use of the Material and/or the Material itself. Notwithstanding any other statement in this Agreement, PARI may not directly or indirectly reference Avalyn, or any relationship between Avalyn and PARI in any press release without Avalyn’s prior written consent.</w:t>
      </w:r>
    </w:p>
    <w:p>
      <w:pPr>
        <w:spacing w:after="0" w:line="140" w:lineRule="exact"/>
        <w:rPr>
          <w:sz w:val="20"/>
          <w:szCs w:val="20"/>
          <w:color w:val="auto"/>
        </w:rPr>
      </w:pPr>
    </w:p>
    <w:p>
      <w:pPr>
        <w:ind w:left="1720" w:hanging="496"/>
        <w:spacing w:after="0"/>
        <w:tabs>
          <w:tab w:leader="none" w:pos="1720" w:val="left"/>
        </w:tabs>
        <w:numPr>
          <w:ilvl w:val="0"/>
          <w:numId w:val="5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CLINICAL STUDIES</w:t>
      </w:r>
    </w:p>
    <w:p>
      <w:pPr>
        <w:spacing w:after="0" w:line="166" w:lineRule="exact"/>
        <w:rPr>
          <w:sz w:val="20"/>
          <w:szCs w:val="20"/>
          <w:color w:val="auto"/>
        </w:rPr>
      </w:pPr>
    </w:p>
    <w:p>
      <w:pPr>
        <w:ind w:left="1220"/>
        <w:spacing w:after="0"/>
        <w:tabs>
          <w:tab w:leader="none" w:pos="1700" w:val="left"/>
        </w:tabs>
        <w:rPr>
          <w:sz w:val="20"/>
          <w:szCs w:val="20"/>
          <w:color w:val="auto"/>
        </w:rPr>
      </w:pPr>
      <w:r>
        <w:rPr>
          <w:rFonts w:ascii="Times New Roman" w:cs="Times New Roman" w:eastAsia="Times New Roman" w:hAnsi="Times New Roman"/>
          <w:sz w:val="17"/>
          <w:szCs w:val="17"/>
          <w:color w:val="auto"/>
        </w:rPr>
        <w:t>5.1</w:t>
      </w:r>
      <w:r>
        <w:rPr>
          <w:sz w:val="20"/>
          <w:szCs w:val="20"/>
          <w:color w:val="auto"/>
        </w:rPr>
        <w:tab/>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720" w:right="1239" w:hanging="503"/>
        <w:spacing w:after="0" w:line="246" w:lineRule="auto"/>
        <w:tabs>
          <w:tab w:leader="none" w:pos="170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u w:val="single" w:color="auto"/>
          <w:color w:val="auto"/>
        </w:rPr>
        <w:t>Study Protocol</w:t>
      </w:r>
      <w:r>
        <w:rPr>
          <w:rFonts w:ascii="Times New Roman" w:cs="Times New Roman" w:eastAsia="Times New Roman" w:hAnsi="Times New Roman"/>
          <w:sz w:val="17"/>
          <w:szCs w:val="17"/>
          <w:color w:val="auto"/>
        </w:rPr>
        <w:t>. Each of the Evaluation Studies conducted by Avalyn will be conducted</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pursuant to the Study Protocol Synopsis as set forth in the respective Device Order Avalyn is responsible for the proper design of the associated Study Protocol.</w:t>
      </w:r>
    </w:p>
    <w:p>
      <w:pPr>
        <w:spacing w:after="0" w:line="135" w:lineRule="exact"/>
        <w:rPr>
          <w:sz w:val="20"/>
          <w:szCs w:val="20"/>
          <w:color w:val="auto"/>
        </w:rPr>
      </w:pPr>
    </w:p>
    <w:p>
      <w:pPr>
        <w:jc w:val="both"/>
        <w:ind w:left="1720" w:right="1239" w:hanging="503"/>
        <w:spacing w:after="0" w:line="255" w:lineRule="auto"/>
        <w:tabs>
          <w:tab w:leader="none" w:pos="1700" w:val="left"/>
        </w:tabs>
        <w:rPr>
          <w:sz w:val="20"/>
          <w:szCs w:val="20"/>
          <w:color w:val="auto"/>
        </w:rPr>
      </w:pPr>
      <w:r>
        <w:rPr>
          <w:rFonts w:ascii="Times New Roman" w:cs="Times New Roman" w:eastAsia="Times New Roman" w:hAnsi="Times New Roman"/>
          <w:sz w:val="17"/>
          <w:szCs w:val="17"/>
          <w:color w:val="auto"/>
        </w:rPr>
        <w:t>5.3</w:t>
      </w:r>
      <w:r>
        <w:rPr>
          <w:sz w:val="20"/>
          <w:szCs w:val="20"/>
          <w:color w:val="auto"/>
        </w:rPr>
        <w:tab/>
      </w:r>
      <w:r>
        <w:rPr>
          <w:rFonts w:ascii="Times New Roman" w:cs="Times New Roman" w:eastAsia="Times New Roman" w:hAnsi="Times New Roman"/>
          <w:sz w:val="16"/>
          <w:szCs w:val="16"/>
          <w:u w:val="single" w:color="auto"/>
          <w:color w:val="auto"/>
        </w:rPr>
        <w:t>Regulatory Matters</w:t>
      </w:r>
      <w:r>
        <w:rPr>
          <w:rFonts w:ascii="Times New Roman" w:cs="Times New Roman" w:eastAsia="Times New Roman" w:hAnsi="Times New Roman"/>
          <w:sz w:val="16"/>
          <w:szCs w:val="16"/>
          <w:color w:val="auto"/>
        </w:rPr>
        <w:t>. Avalyn shall be responsible, at its sole cost, for filing, obtaining and</w:t>
      </w:r>
      <w:r>
        <w:rPr>
          <w:rFonts w:ascii="Times New Roman" w:cs="Times New Roman" w:eastAsia="Times New Roman" w:hAnsi="Times New Roman"/>
          <w:sz w:val="16"/>
          <w:szCs w:val="16"/>
          <w:u w:val="single" w:color="auto"/>
          <w:color w:val="auto"/>
        </w:rPr>
        <w:t xml:space="preserve"> </w:t>
      </w:r>
      <w:r>
        <w:rPr>
          <w:rFonts w:ascii="Times New Roman" w:cs="Times New Roman" w:eastAsia="Times New Roman" w:hAnsi="Times New Roman"/>
          <w:sz w:val="16"/>
          <w:szCs w:val="16"/>
          <w:color w:val="auto"/>
        </w:rPr>
        <w:t>maintaining regulatory approvals for the development and commercialization of the Avalyn Rights. PARI agrees to reasonably cooperate with Avalyn in such efforts and provide Avalyn with information in PARI’s possession or control relating to the Material to the extent reasonably necessary for any regulatory filing or submission and to make any required filings with any regulatory authorities with respect to the Material, provided,</w:t>
      </w:r>
    </w:p>
    <w:p>
      <w:pPr>
        <w:spacing w:after="0" w:line="200" w:lineRule="exact"/>
        <w:rPr>
          <w:sz w:val="20"/>
          <w:szCs w:val="20"/>
          <w:color w:val="auto"/>
        </w:rPr>
      </w:pPr>
    </w:p>
    <w:p>
      <w:pPr>
        <w:spacing w:after="0" w:line="32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17" w:name="page618"/>
    <w:bookmarkEnd w:id="61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jc w:val="both"/>
        <w:ind w:left="1720" w:right="1239"/>
        <w:spacing w:after="0" w:line="236" w:lineRule="auto"/>
        <w:rPr>
          <w:sz w:val="20"/>
          <w:szCs w:val="20"/>
          <w:color w:val="auto"/>
        </w:rPr>
      </w:pPr>
      <w:r>
        <w:rPr>
          <w:rFonts w:ascii="Times New Roman" w:cs="Times New Roman" w:eastAsia="Times New Roman" w:hAnsi="Times New Roman"/>
          <w:sz w:val="17"/>
          <w:szCs w:val="17"/>
          <w:color w:val="auto"/>
        </w:rPr>
        <w:t>however, that prior to the submission of a marketing authorization request to the FDA, the EMA or any other regulatory agency (i.e., a New Drug Application or its foreign equivalent) claiming on the label any Avalyn Right administered via the Material, Avalyn has entered into an appropriate license agreement with PARI. Avalyn will not file any documentation relating to the Material with any regulatory authority without PARI’s review and therefore will first provide PARI with a draft of such submission and an opportunity to review and comment on such submission. PARI will have the right to reasonably review and comment upon any portion of such filings specifically related to the Material and Avalyn will consider such comments in the final version of such filing.</w:t>
      </w:r>
    </w:p>
    <w:p>
      <w:pPr>
        <w:spacing w:after="0" w:line="137" w:lineRule="exact"/>
        <w:rPr>
          <w:sz w:val="20"/>
          <w:szCs w:val="20"/>
          <w:color w:val="auto"/>
        </w:rPr>
      </w:pPr>
    </w:p>
    <w:p>
      <w:pPr>
        <w:ind w:left="1720" w:hanging="496"/>
        <w:spacing w:after="0"/>
        <w:tabs>
          <w:tab w:leader="none" w:pos="1720" w:val="left"/>
        </w:tabs>
        <w:numPr>
          <w:ilvl w:val="0"/>
          <w:numId w:val="5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166" w:lineRule="exact"/>
        <w:rPr>
          <w:sz w:val="20"/>
          <w:szCs w:val="20"/>
          <w:color w:val="auto"/>
        </w:rPr>
      </w:pPr>
    </w:p>
    <w:p>
      <w:pPr>
        <w:jc w:val="both"/>
        <w:ind w:left="1720" w:right="1239" w:hanging="503"/>
        <w:spacing w:after="0" w:line="235" w:lineRule="auto"/>
        <w:tabs>
          <w:tab w:leader="none" w:pos="170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u w:val="single" w:color="auto"/>
          <w:color w:val="auto"/>
        </w:rPr>
        <w:t>Term and Termination</w:t>
      </w:r>
      <w:r>
        <w:rPr>
          <w:rFonts w:ascii="Times New Roman" w:cs="Times New Roman" w:eastAsia="Times New Roman" w:hAnsi="Times New Roman"/>
          <w:sz w:val="17"/>
          <w:szCs w:val="17"/>
          <w:color w:val="auto"/>
        </w:rPr>
        <w:t>. This Agreement shall expire [***] from the Effective Date unless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otherwise agreed to in writing by the Parties. Avalyn may terminate this Agreement upon thirty (30) days’ written notice. Either Party may terminate this Agreement upon written notice to the other Party in the event a material breach of this Agreement by such other Party is incurable or remains uncured [***] after notice of such breach was received by such other Party. Notwithstanding the termination of this Agreement, the provisions of Sections 2, 3.1, 3.2, 3.3, 4, 5.3 and 6 shall survive the termination of this Agreement. In case of expiration or early termination Avalyn shall immediately stop using the Material and return all Material in the possession of and/or used by or on behalf of Avalyn, its affiliates, any of its representatives, CROs or subjects enrolled in the Evaluation Studies to PARI.</w:t>
      </w:r>
    </w:p>
    <w:p>
      <w:pPr>
        <w:spacing w:after="0" w:line="144" w:lineRule="exact"/>
        <w:rPr>
          <w:sz w:val="20"/>
          <w:szCs w:val="20"/>
          <w:color w:val="auto"/>
        </w:rPr>
      </w:pPr>
    </w:p>
    <w:p>
      <w:pPr>
        <w:jc w:val="both"/>
        <w:ind w:left="1720" w:right="1239" w:hanging="503"/>
        <w:spacing w:after="0" w:line="234" w:lineRule="auto"/>
        <w:tabs>
          <w:tab w:leader="none" w:pos="170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7"/>
          <w:szCs w:val="17"/>
          <w:u w:val="single" w:color="auto"/>
          <w:color w:val="auto"/>
        </w:rPr>
        <w:t>Disclaimer of Warranties and Limitation of Liability</w:t>
      </w:r>
      <w:r>
        <w:rPr>
          <w:rFonts w:ascii="Times New Roman" w:cs="Times New Roman" w:eastAsia="Times New Roman" w:hAnsi="Times New Roman"/>
          <w:sz w:val="17"/>
          <w:szCs w:val="17"/>
          <w:color w:val="auto"/>
        </w:rPr>
        <w:t>: ALL MATERIAL AND</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CONFIDENTIAL INFORMATION IS PROVIDED “AS IS” AND PARI MAKES NO REPRESENTATION OR WARRANTY, EITHER EXPRESSED OR IMPLIED, CONCERNING THE MATERIAL OR THE CONFIDENTIAL INFORMATION CONTAINED THEREIN PARI DISCLAIMS ALL EXPRESS AND IMPLIED WARRANTIES RELATED TO THE MATERIAL AND CONFIDENTIAL INFORMATION, INCLUDING BUT NOT LIMITED TO THE IMPLIED WARRANTY OF MERCHANTABILITY AND THE IMPLIED WARRANTY OF FITNESS FOR A PARTICULAR PURPOSE IN NO EVENT SHALL EITHER PARTY BE LIABLE TO THE OTHER PARTY FOR ANY SPECIAL, INDIRECT, INCIDENTAL, CONSEQUENTIAL DAMAGES OR DAMAGES FOR LOST PROFITS ARISING FROM THE USE OF THE MATERIAL OR CONFIDENTIAL INFORMATION OR STUDY RESULTS, HOWEVER CAUSED AND ON ANY THEORY OF LIABILITY</w:t>
      </w:r>
    </w:p>
    <w:p>
      <w:pPr>
        <w:spacing w:after="0" w:line="149" w:lineRule="exact"/>
        <w:rPr>
          <w:sz w:val="20"/>
          <w:szCs w:val="20"/>
          <w:color w:val="auto"/>
        </w:rPr>
      </w:pPr>
    </w:p>
    <w:p>
      <w:pPr>
        <w:jc w:val="both"/>
        <w:ind w:left="1720" w:right="1239" w:hanging="503"/>
        <w:spacing w:after="0" w:line="235" w:lineRule="auto"/>
        <w:tabs>
          <w:tab w:leader="none" w:pos="170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u w:val="single" w:color="auto"/>
          <w:color w:val="auto"/>
        </w:rPr>
        <w:t>Indemnification</w:t>
      </w:r>
      <w:r>
        <w:rPr>
          <w:rFonts w:ascii="Times New Roman" w:cs="Times New Roman" w:eastAsia="Times New Roman" w:hAnsi="Times New Roman"/>
          <w:sz w:val="17"/>
          <w:szCs w:val="17"/>
          <w:color w:val="auto"/>
        </w:rPr>
        <w:t>. Avalyn agrees to defend, indemnify and hold harmless PARI, its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affiliates and each of their respective officers, directors, employees and agents from and against any and all liabilities, losses, damages, obligations, penalties, judgments, awards, costs, expenses (including reasonable attorneys’ fees) and disbursements resulting from third party claims (collectively “Claims”) arising out of Avalyn’s (i) breach of this Agreement, (ii) use of the Study Results, (iii) use of the Material, (iv) negligence or willful misconduct, or (v) failure to adhere to the Evaluation Purpose, the Study Protocol or any instructions or precautions for the Material which have been communicated by PARI to Avalyn. Notwithstanding the foregoing, Avalyn shall have no obligation under this Section 6.3 to</w:t>
      </w:r>
    </w:p>
    <w:p>
      <w:pPr>
        <w:spacing w:after="0" w:line="200" w:lineRule="exact"/>
        <w:rPr>
          <w:sz w:val="20"/>
          <w:szCs w:val="20"/>
          <w:color w:val="auto"/>
        </w:rPr>
      </w:pPr>
    </w:p>
    <w:p>
      <w:pPr>
        <w:spacing w:after="0" w:line="33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18" w:name="page619"/>
    <w:bookmarkEnd w:id="618"/>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ind w:left="1720" w:right="1239"/>
        <w:spacing w:after="0" w:line="259" w:lineRule="auto"/>
        <w:rPr>
          <w:sz w:val="20"/>
          <w:szCs w:val="20"/>
          <w:color w:val="auto"/>
        </w:rPr>
      </w:pPr>
      <w:r>
        <w:rPr>
          <w:rFonts w:ascii="Times New Roman" w:cs="Times New Roman" w:eastAsia="Times New Roman" w:hAnsi="Times New Roman"/>
          <w:sz w:val="17"/>
          <w:szCs w:val="17"/>
          <w:color w:val="auto"/>
        </w:rPr>
        <w:t>the extent any such Claims were the result of the willful misconduct or gross negligence of PARI.</w:t>
      </w:r>
    </w:p>
    <w:p>
      <w:pPr>
        <w:spacing w:after="0" w:line="125" w:lineRule="exact"/>
        <w:rPr>
          <w:sz w:val="20"/>
          <w:szCs w:val="20"/>
          <w:color w:val="auto"/>
        </w:rPr>
      </w:pPr>
    </w:p>
    <w:p>
      <w:pPr>
        <w:jc w:val="both"/>
        <w:ind w:left="1720" w:right="1239" w:hanging="503"/>
        <w:spacing w:after="0" w:line="234" w:lineRule="auto"/>
        <w:tabs>
          <w:tab w:leader="none" w:pos="170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 PARI and Avalyn shall endeavor to resolve any dispute arising under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this Agreement informally by good faith negotiation between the senior executives, officers or management of PARI and Avalyn. Either Party may give the other Party written notice of any claim or controversy not resolved in the normal course of business (the “Disputing Party Notice”). Within [***] after the delivery of the Disputing Party Notice, the receiving Party shall submit to the other Party a written response (the “Response”). The Disputing Party Notice and Response shall include a statement of each Party’s position and a summary of the arguments supporting that position. Within [***] after the Disputing Party Notice, such designated senior executives, officers or management of PARI and Avalyn shall meet at a mutually acceptable time and place and thereafter as often as they reasonably deem necessary to attempt to resolve the claim or controversy. All negotiations pursuant to this Section 6.4 are confidential and without prejudice and shall be treated as compromise and settlement negotiations for purposes of applicable rules of evidence. If the Parties cannot resolve the dispute pursuant to this Section 6.4, then the provisions of Section 6.9 shall apply. 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foregoing discussions between the Parties.</w:t>
      </w:r>
    </w:p>
    <w:p>
      <w:pPr>
        <w:spacing w:after="0" w:line="141" w:lineRule="exact"/>
        <w:rPr>
          <w:sz w:val="20"/>
          <w:szCs w:val="20"/>
          <w:color w:val="auto"/>
        </w:rPr>
      </w:pPr>
    </w:p>
    <w:p>
      <w:pPr>
        <w:jc w:val="both"/>
        <w:ind w:left="1720" w:right="1239" w:hanging="503"/>
        <w:spacing w:after="0" w:line="239" w:lineRule="auto"/>
        <w:tabs>
          <w:tab w:leader="none" w:pos="1700" w:val="left"/>
        </w:tabs>
        <w:rPr>
          <w:sz w:val="20"/>
          <w:szCs w:val="20"/>
          <w:color w:val="auto"/>
        </w:rPr>
      </w:pPr>
      <w:r>
        <w:rPr>
          <w:rFonts w:ascii="Times New Roman" w:cs="Times New Roman" w:eastAsia="Times New Roman" w:hAnsi="Times New Roman"/>
          <w:sz w:val="17"/>
          <w:szCs w:val="17"/>
          <w:color w:val="auto"/>
        </w:rPr>
        <w:t>6.5</w:t>
      </w:r>
      <w:r>
        <w:rPr>
          <w:sz w:val="20"/>
          <w:szCs w:val="20"/>
          <w:color w:val="auto"/>
        </w:rPr>
        <w:tab/>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or other communications that are required or permitted under this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Agreement shall be in writing and shall be sent by Federal Express or other reliable overnight courier, or hand delivered or mailed by registered or certified mail, postage prepaid and return receipt requested, to the appropriate Party addresses as set forth in the opening paragraph of this Agreement.</w:t>
      </w:r>
    </w:p>
    <w:p>
      <w:pPr>
        <w:spacing w:after="0" w:line="141" w:lineRule="exact"/>
        <w:rPr>
          <w:sz w:val="20"/>
          <w:szCs w:val="20"/>
          <w:color w:val="auto"/>
        </w:rPr>
      </w:pPr>
    </w:p>
    <w:p>
      <w:pPr>
        <w:jc w:val="both"/>
        <w:ind w:left="1720" w:right="1239" w:hanging="503"/>
        <w:spacing w:after="0" w:line="246" w:lineRule="auto"/>
        <w:tabs>
          <w:tab w:leader="none" w:pos="170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7"/>
          <w:szCs w:val="17"/>
          <w:u w:val="single" w:color="auto"/>
          <w:color w:val="auto"/>
        </w:rPr>
        <w:t>No Guaranty of Transaction</w:t>
      </w:r>
      <w:r>
        <w:rPr>
          <w:rFonts w:ascii="Times New Roman" w:cs="Times New Roman" w:eastAsia="Times New Roman" w:hAnsi="Times New Roman"/>
          <w:sz w:val="17"/>
          <w:szCs w:val="17"/>
          <w:color w:val="auto"/>
        </w:rPr>
        <w:t>: Each Party understands and acknowledges that neither Party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shall be obligated to enter into a business transaction by virtue of having entered into this Agreement.</w:t>
      </w:r>
    </w:p>
    <w:p>
      <w:pPr>
        <w:spacing w:after="0" w:line="135" w:lineRule="exact"/>
        <w:rPr>
          <w:sz w:val="20"/>
          <w:szCs w:val="20"/>
          <w:color w:val="auto"/>
        </w:rPr>
      </w:pPr>
    </w:p>
    <w:p>
      <w:pPr>
        <w:jc w:val="both"/>
        <w:ind w:left="1720" w:right="1239" w:hanging="503"/>
        <w:spacing w:after="0" w:line="259" w:lineRule="auto"/>
        <w:tabs>
          <w:tab w:leader="none" w:pos="1700" w:val="left"/>
        </w:tabs>
        <w:rPr>
          <w:sz w:val="20"/>
          <w:szCs w:val="20"/>
          <w:color w:val="auto"/>
        </w:rPr>
      </w:pPr>
      <w:r>
        <w:rPr>
          <w:rFonts w:ascii="Times New Roman" w:cs="Times New Roman" w:eastAsia="Times New Roman" w:hAnsi="Times New Roman"/>
          <w:sz w:val="17"/>
          <w:szCs w:val="17"/>
          <w:color w:val="auto"/>
        </w:rPr>
        <w:t>6.7</w:t>
      </w:r>
      <w:r>
        <w:rPr>
          <w:sz w:val="20"/>
          <w:szCs w:val="20"/>
          <w:color w:val="auto"/>
        </w:rPr>
        <w:tab/>
      </w:r>
      <w:r>
        <w:rPr>
          <w:rFonts w:ascii="Times New Roman" w:cs="Times New Roman" w:eastAsia="Times New Roman" w:hAnsi="Times New Roman"/>
          <w:sz w:val="17"/>
          <w:szCs w:val="17"/>
          <w:u w:val="single" w:color="auto"/>
          <w:color w:val="auto"/>
        </w:rPr>
        <w:t>Relationship of the Parties</w:t>
      </w:r>
      <w:r>
        <w:rPr>
          <w:rFonts w:ascii="Times New Roman" w:cs="Times New Roman" w:eastAsia="Times New Roman" w:hAnsi="Times New Roman"/>
          <w:sz w:val="17"/>
          <w:szCs w:val="17"/>
          <w:color w:val="auto"/>
        </w:rPr>
        <w:t>. This Agreement does not create a joint venture or any agency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or partnership relationship between the Parties.</w:t>
      </w:r>
    </w:p>
    <w:p>
      <w:pPr>
        <w:spacing w:after="0" w:line="125" w:lineRule="exact"/>
        <w:rPr>
          <w:sz w:val="20"/>
          <w:szCs w:val="20"/>
          <w:color w:val="auto"/>
        </w:rPr>
      </w:pPr>
    </w:p>
    <w:p>
      <w:pPr>
        <w:jc w:val="both"/>
        <w:ind w:left="1720" w:right="1239" w:hanging="503"/>
        <w:spacing w:after="0" w:line="238" w:lineRule="auto"/>
        <w:tabs>
          <w:tab w:leader="none" w:pos="1700" w:val="left"/>
        </w:tabs>
        <w:rPr>
          <w:sz w:val="20"/>
          <w:szCs w:val="20"/>
          <w:color w:val="auto"/>
        </w:rPr>
      </w:pPr>
      <w:r>
        <w:rPr>
          <w:rFonts w:ascii="Times New Roman" w:cs="Times New Roman" w:eastAsia="Times New Roman" w:hAnsi="Times New Roman"/>
          <w:sz w:val="17"/>
          <w:szCs w:val="17"/>
          <w:color w:val="auto"/>
        </w:rPr>
        <w:t>6.8</w:t>
      </w:r>
      <w:r>
        <w:rPr>
          <w:sz w:val="20"/>
          <w:szCs w:val="20"/>
          <w:color w:val="auto"/>
        </w:rPr>
        <w:tab/>
      </w: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color w:val="auto"/>
        </w:rPr>
        <w:t>. This Agreement shall be governed by and construed in accordance with</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the laws of the State of New York, without giving effect to the conflicts of law principles thereof. Each of the Parties hereto (i) agrees that any dispute arising hereunder shall be brought exclusively in the federal or state courts in Manhattan within the City of New York, and (ii) consents to the jurisdiction and venue of such courts, and waives any objections to the jurisdiction and venue thereof.</w:t>
      </w:r>
    </w:p>
    <w:p>
      <w:pPr>
        <w:spacing w:after="0" w:line="200" w:lineRule="exact"/>
        <w:rPr>
          <w:sz w:val="20"/>
          <w:szCs w:val="20"/>
          <w:color w:val="auto"/>
        </w:rPr>
      </w:pPr>
    </w:p>
    <w:p>
      <w:pPr>
        <w:spacing w:after="0" w:line="3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19" w:right="1440" w:bottom="1440" w:gutter="0" w:footer="0" w:header="0"/>
        </w:sectPr>
      </w:pPr>
    </w:p>
    <w:bookmarkStart w:id="619" w:name="page620"/>
    <w:bookmarkEnd w:id="61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CONFIDENTIAL</w:t>
      </w:r>
    </w:p>
    <w:p>
      <w:pPr>
        <w:spacing w:after="0" w:line="313" w:lineRule="exact"/>
        <w:rPr>
          <w:sz w:val="20"/>
          <w:szCs w:val="20"/>
          <w:color w:val="auto"/>
        </w:rPr>
      </w:pPr>
    </w:p>
    <w:p>
      <w:pPr>
        <w:jc w:val="both"/>
        <w:ind w:left="1720" w:right="1239" w:hanging="503"/>
        <w:spacing w:after="0" w:line="246" w:lineRule="auto"/>
        <w:tabs>
          <w:tab w:leader="none" w:pos="1700" w:val="left"/>
        </w:tabs>
        <w:rPr>
          <w:sz w:val="20"/>
          <w:szCs w:val="20"/>
          <w:color w:val="auto"/>
        </w:rPr>
      </w:pPr>
      <w:r>
        <w:rPr>
          <w:rFonts w:ascii="Times New Roman" w:cs="Times New Roman" w:eastAsia="Times New Roman" w:hAnsi="Times New Roman"/>
          <w:sz w:val="17"/>
          <w:szCs w:val="17"/>
          <w:color w:val="auto"/>
        </w:rPr>
        <w:t>6.9</w:t>
      </w:r>
      <w:r>
        <w:rPr>
          <w:sz w:val="20"/>
          <w:szCs w:val="20"/>
          <w:color w:val="auto"/>
        </w:rPr>
        <w:tab/>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of</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which shall be deemed an original, but all of which together shall constitute one and the same instrument.</w:t>
      </w:r>
    </w:p>
    <w:p>
      <w:pPr>
        <w:spacing w:after="0" w:line="135" w:lineRule="exact"/>
        <w:rPr>
          <w:sz w:val="20"/>
          <w:szCs w:val="20"/>
          <w:color w:val="auto"/>
        </w:rPr>
      </w:pPr>
    </w:p>
    <w:p>
      <w:pPr>
        <w:jc w:val="both"/>
        <w:ind w:left="1720" w:right="1239" w:hanging="503"/>
        <w:spacing w:after="0" w:line="241" w:lineRule="auto"/>
        <w:tabs>
          <w:tab w:leader="none" w:pos="1700" w:val="left"/>
        </w:tabs>
        <w:rPr>
          <w:sz w:val="20"/>
          <w:szCs w:val="20"/>
          <w:color w:val="auto"/>
        </w:rPr>
      </w:pPr>
      <w:r>
        <w:rPr>
          <w:rFonts w:ascii="Times New Roman" w:cs="Times New Roman" w:eastAsia="Times New Roman" w:hAnsi="Times New Roman"/>
          <w:sz w:val="17"/>
          <w:szCs w:val="17"/>
          <w:color w:val="auto"/>
        </w:rPr>
        <w:t>6.10</w:t>
      </w:r>
      <w:r>
        <w:rPr>
          <w:sz w:val="20"/>
          <w:szCs w:val="20"/>
          <w:color w:val="auto"/>
        </w:rPr>
        <w:tab/>
      </w:r>
      <w:r>
        <w:rPr>
          <w:rFonts w:ascii="Times New Roman" w:cs="Times New Roman" w:eastAsia="Times New Roman" w:hAnsi="Times New Roman"/>
          <w:sz w:val="17"/>
          <w:szCs w:val="17"/>
          <w:u w:val="single" w:color="auto"/>
          <w:color w:val="auto"/>
        </w:rPr>
        <w:t>Payment &amp; Delivery</w:t>
      </w:r>
      <w:r>
        <w:rPr>
          <w:rFonts w:ascii="Times New Roman" w:cs="Times New Roman" w:eastAsia="Times New Roman" w:hAnsi="Times New Roman"/>
          <w:sz w:val="17"/>
          <w:szCs w:val="17"/>
          <w:color w:val="auto"/>
        </w:rPr>
        <w:t>. The Parties acknowledge and agree that all Material intended for</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use in the United States of America and Canada will be delivered via PARI Respiratory Equipment, Inc. (“PRE”) and that PRE may issue the respective invoices for the technology access fee to Avalyn.</w:t>
      </w:r>
    </w:p>
    <w:p>
      <w:pPr>
        <w:spacing w:after="0" w:line="140" w:lineRule="exact"/>
        <w:rPr>
          <w:sz w:val="20"/>
          <w:szCs w:val="20"/>
          <w:color w:val="auto"/>
        </w:rPr>
      </w:pPr>
    </w:p>
    <w:p>
      <w:pPr>
        <w:jc w:val="both"/>
        <w:ind w:left="1720" w:right="1239" w:hanging="503"/>
        <w:spacing w:after="0" w:line="246" w:lineRule="auto"/>
        <w:tabs>
          <w:tab w:leader="none" w:pos="1700" w:val="left"/>
        </w:tabs>
        <w:rPr>
          <w:sz w:val="20"/>
          <w:szCs w:val="20"/>
          <w:color w:val="auto"/>
        </w:rPr>
      </w:pPr>
      <w:r>
        <w:rPr>
          <w:rFonts w:ascii="Times New Roman" w:cs="Times New Roman" w:eastAsia="Times New Roman" w:hAnsi="Times New Roman"/>
          <w:sz w:val="17"/>
          <w:szCs w:val="17"/>
          <w:color w:val="auto"/>
        </w:rPr>
        <w:t>6.11</w:t>
      </w:r>
      <w:r>
        <w:rPr>
          <w:sz w:val="20"/>
          <w:szCs w:val="20"/>
          <w:color w:val="auto"/>
        </w:rPr>
        <w:tab/>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portion of this Agreement is determined unenforceable or invalid by</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any court, the rest shall remain in force and shall be construed as if not containing the unenforceable or invalid provision.</w:t>
      </w:r>
    </w:p>
    <w:p>
      <w:pPr>
        <w:spacing w:after="0" w:line="135" w:lineRule="exact"/>
        <w:rPr>
          <w:sz w:val="20"/>
          <w:szCs w:val="20"/>
          <w:color w:val="auto"/>
        </w:rPr>
      </w:pPr>
    </w:p>
    <w:p>
      <w:pPr>
        <w:jc w:val="both"/>
        <w:ind w:left="1720" w:right="1239" w:hanging="503"/>
        <w:spacing w:after="0" w:line="241" w:lineRule="auto"/>
        <w:tabs>
          <w:tab w:leader="none" w:pos="1700" w:val="left"/>
        </w:tabs>
        <w:rPr>
          <w:sz w:val="20"/>
          <w:szCs w:val="20"/>
          <w:color w:val="auto"/>
        </w:rPr>
      </w:pPr>
      <w:r>
        <w:rPr>
          <w:rFonts w:ascii="Times New Roman" w:cs="Times New Roman" w:eastAsia="Times New Roman" w:hAnsi="Times New Roman"/>
          <w:sz w:val="17"/>
          <w:szCs w:val="17"/>
          <w:color w:val="auto"/>
        </w:rPr>
        <w:t>6.12</w:t>
      </w:r>
      <w:r>
        <w:rPr>
          <w:sz w:val="20"/>
          <w:szCs w:val="20"/>
          <w:color w:val="auto"/>
        </w:rPr>
        <w:tab/>
      </w:r>
      <w:r>
        <w:rPr>
          <w:rFonts w:ascii="Times New Roman" w:cs="Times New Roman" w:eastAsia="Times New Roman" w:hAnsi="Times New Roman"/>
          <w:sz w:val="17"/>
          <w:szCs w:val="17"/>
          <w:u w:val="single" w:color="auto"/>
          <w:color w:val="auto"/>
        </w:rPr>
        <w:t>Language</w:t>
      </w:r>
      <w:r>
        <w:rPr>
          <w:rFonts w:ascii="Times New Roman" w:cs="Times New Roman" w:eastAsia="Times New Roman" w:hAnsi="Times New Roman"/>
          <w:sz w:val="17"/>
          <w:szCs w:val="17"/>
          <w:color w:val="auto"/>
        </w:rPr>
        <w:t>: This Agreement is prepared and executed in the English language. The</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English language version shall govern the Parties’ relationship. Any translation of this Agreement into any other languages shall be for convenience of reference only and shall have no legal effect.</w:t>
      </w:r>
    </w:p>
    <w:p>
      <w:pPr>
        <w:spacing w:after="0" w:line="140" w:lineRule="exact"/>
        <w:rPr>
          <w:sz w:val="20"/>
          <w:szCs w:val="20"/>
          <w:color w:val="auto"/>
        </w:rPr>
      </w:pPr>
    </w:p>
    <w:p>
      <w:pPr>
        <w:jc w:val="both"/>
        <w:ind w:left="1720" w:right="1239" w:hanging="503"/>
        <w:spacing w:after="0" w:line="237" w:lineRule="auto"/>
        <w:tabs>
          <w:tab w:leader="none" w:pos="1700" w:val="left"/>
        </w:tabs>
        <w:rPr>
          <w:sz w:val="20"/>
          <w:szCs w:val="20"/>
          <w:color w:val="auto"/>
        </w:rPr>
      </w:pPr>
      <w:r>
        <w:rPr>
          <w:rFonts w:ascii="Times New Roman" w:cs="Times New Roman" w:eastAsia="Times New Roman" w:hAnsi="Times New Roman"/>
          <w:sz w:val="17"/>
          <w:szCs w:val="17"/>
          <w:color w:val="auto"/>
        </w:rPr>
        <w:t>6.13</w:t>
      </w:r>
      <w:r>
        <w:rPr>
          <w:sz w:val="20"/>
          <w:szCs w:val="20"/>
          <w:color w:val="auto"/>
        </w:rPr>
        <w:tab/>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Neither Party may assign or otherwise transfer any rights or obligations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conferred by this Agreement, whether by operation of law or otherwise, without the prior written consent of the other Party; provided, however, either Party shall have the right to assign this Agreement and its rights and obligations hereunder to any of its affiliates, successors in interest or acquirers of all or substantially all of its assets related to this Agreement. The obligations in this Agreement shall be binding upon each Party’s permitted successors, assigns, executors, administrators and other legal representatives.</w:t>
      </w:r>
    </w:p>
    <w:p>
      <w:pPr>
        <w:spacing w:after="0" w:line="141" w:lineRule="exact"/>
        <w:rPr>
          <w:sz w:val="20"/>
          <w:szCs w:val="20"/>
          <w:color w:val="auto"/>
        </w:rPr>
      </w:pPr>
    </w:p>
    <w:p>
      <w:pPr>
        <w:jc w:val="both"/>
        <w:ind w:left="1720" w:right="1239" w:hanging="503"/>
        <w:spacing w:after="0" w:line="238" w:lineRule="auto"/>
        <w:tabs>
          <w:tab w:leader="none" w:pos="1700" w:val="left"/>
        </w:tabs>
        <w:rPr>
          <w:sz w:val="20"/>
          <w:szCs w:val="20"/>
          <w:color w:val="auto"/>
        </w:rPr>
      </w:pPr>
      <w:r>
        <w:rPr>
          <w:rFonts w:ascii="Times New Roman" w:cs="Times New Roman" w:eastAsia="Times New Roman" w:hAnsi="Times New Roman"/>
          <w:sz w:val="17"/>
          <w:szCs w:val="17"/>
          <w:color w:val="auto"/>
        </w:rPr>
        <w:t>6.14</w:t>
      </w:r>
      <w:r>
        <w:rPr>
          <w:sz w:val="20"/>
          <w:szCs w:val="20"/>
          <w:color w:val="auto"/>
        </w:rPr>
        <w:tab/>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represents the entire agreement between the Parties</w:t>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regarding the subject matter hereof and shall supersede all previous communications, representations, understandings and agreements, whether oral or written, by or between the Parties. No change, modification, extension, termination or waiver of the Agreement, or any of the provisions herein contained, shall be valid unless made in writing and signed by duly authorized representatives of the Parties hereto.</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 WITNESS WHEREOF, the Parties have entered into the Agreement as of the Effective Date:</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620" w:name="page621"/>
    <w:bookmarkEnd w:id="620"/>
    <w:p>
      <w:pPr>
        <w:jc w:val="center"/>
        <w:spacing w:after="0"/>
        <w:rPr>
          <w:sz w:val="20"/>
          <w:szCs w:val="20"/>
          <w:color w:val="auto"/>
        </w:rPr>
      </w:pPr>
      <w:r>
        <w:rPr>
          <w:rFonts w:ascii="Times New Roman" w:cs="Times New Roman" w:eastAsia="Times New Roman" w:hAnsi="Times New Roman"/>
          <w:sz w:val="16"/>
          <w:szCs w:val="16"/>
          <w:b w:val="1"/>
          <w:bCs w:val="1"/>
          <w:color w:val="auto"/>
        </w:rPr>
        <w:t>Exhibit A</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3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621" w:name="page622"/>
    <w:bookmarkEnd w:id="621"/>
    <w:p>
      <w:pPr>
        <w:jc w:val="center"/>
        <w:spacing w:after="0"/>
        <w:rPr>
          <w:sz w:val="20"/>
          <w:szCs w:val="20"/>
          <w:color w:val="auto"/>
        </w:rPr>
      </w:pPr>
      <w:r>
        <w:rPr>
          <w:rFonts w:ascii="Times New Roman" w:cs="Times New Roman" w:eastAsia="Times New Roman" w:hAnsi="Times New Roman"/>
          <w:sz w:val="16"/>
          <w:szCs w:val="16"/>
          <w:color w:val="auto"/>
        </w:rPr>
        <w:t>Appendix A</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5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ACTIVE/204255669.3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622" w:name="page623"/>
    <w:bookmarkEnd w:id="622"/>
    <w:p>
      <w:pPr>
        <w:jc w:val="center"/>
        <w:ind w:left="1220" w:right="1279"/>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10.20</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THE MATERIAL TRANSFER AGREEMENT</w:t>
      </w:r>
    </w:p>
    <w:p>
      <w:pPr>
        <w:spacing w:after="0" w:line="102"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This Amendment No. 1 to the material transfer agreement (this “</w:t>
      </w:r>
      <w:r>
        <w:rPr>
          <w:rFonts w:ascii="Times New Roman" w:cs="Times New Roman" w:eastAsia="Times New Roman" w:hAnsi="Times New Roman"/>
          <w:sz w:val="17"/>
          <w:szCs w:val="17"/>
          <w:u w:val="single" w:color="auto"/>
          <w:color w:val="auto"/>
        </w:rPr>
        <w:t>Amendment No. 1</w:t>
      </w:r>
      <w:r>
        <w:rPr>
          <w:rFonts w:ascii="Times New Roman" w:cs="Times New Roman" w:eastAsia="Times New Roman" w:hAnsi="Times New Roman"/>
          <w:sz w:val="17"/>
          <w:szCs w:val="17"/>
          <w:color w:val="auto"/>
        </w:rPr>
        <w:t xml:space="preserve">”) is effective as of November 22, 2021, by and between </w:t>
      </w:r>
      <w:r>
        <w:rPr>
          <w:rFonts w:ascii="Times New Roman" w:cs="Times New Roman" w:eastAsia="Times New Roman" w:hAnsi="Times New Roman"/>
          <w:sz w:val="17"/>
          <w:szCs w:val="17"/>
          <w:b w:val="1"/>
          <w:bCs w:val="1"/>
          <w:color w:val="auto"/>
        </w:rPr>
        <w:t>Avalyn Pharma Inc.,</w:t>
      </w:r>
      <w:r>
        <w:rPr>
          <w:rFonts w:ascii="Times New Roman" w:cs="Times New Roman" w:eastAsia="Times New Roman" w:hAnsi="Times New Roman"/>
          <w:sz w:val="17"/>
          <w:szCs w:val="17"/>
          <w:color w:val="auto"/>
        </w:rPr>
        <w:t xml:space="preserve"> having its registered office at 701 Pike Street, Suite 1500, Seattle, Washington 98101, USA (“</w:t>
      </w:r>
      <w:r>
        <w:rPr>
          <w:rFonts w:ascii="Times New Roman" w:cs="Times New Roman" w:eastAsia="Times New Roman" w:hAnsi="Times New Roman"/>
          <w:sz w:val="17"/>
          <w:szCs w:val="17"/>
          <w:u w:val="single" w:color="auto"/>
          <w:color w:val="auto"/>
        </w:rPr>
        <w:t>Avalyn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PARI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Pharma GmbH</w:t>
      </w:r>
      <w:r>
        <w:rPr>
          <w:rFonts w:ascii="Times New Roman" w:cs="Times New Roman" w:eastAsia="Times New Roman" w:hAnsi="Times New Roman"/>
          <w:sz w:val="17"/>
          <w:szCs w:val="17"/>
          <w:color w:val="auto"/>
        </w:rPr>
        <w:t>, having its principal place of business at Moosstrasse 3, 8231.9 Starnberg,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Germany (“</w:t>
      </w:r>
      <w:r>
        <w:rPr>
          <w:rFonts w:ascii="Times New Roman" w:cs="Times New Roman" w:eastAsia="Times New Roman" w:hAnsi="Times New Roman"/>
          <w:sz w:val="17"/>
          <w:szCs w:val="17"/>
          <w:u w:val="single" w:color="auto"/>
          <w:color w:val="auto"/>
        </w:rPr>
        <w:t>PARI</w:t>
      </w:r>
      <w:r>
        <w:rPr>
          <w:rFonts w:ascii="Times New Roman" w:cs="Times New Roman" w:eastAsia="Times New Roman" w:hAnsi="Times New Roman"/>
          <w:sz w:val="17"/>
          <w:szCs w:val="17"/>
          <w:color w:val="auto"/>
        </w:rPr>
        <w:t>”) (each of Avalyn and PARI being individually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94" w:lineRule="exact"/>
        <w:rPr>
          <w:sz w:val="20"/>
          <w:szCs w:val="20"/>
          <w:color w:val="auto"/>
        </w:rPr>
      </w:pPr>
    </w:p>
    <w:p>
      <w:pPr>
        <w:ind w:left="1220" w:right="1239" w:firstLine="509"/>
        <w:spacing w:after="0" w:line="264" w:lineRule="auto"/>
        <w:tabs>
          <w:tab w:leader="none" w:pos="2061" w:val="left"/>
        </w:tabs>
        <w:numPr>
          <w:ilvl w:val="0"/>
          <w:numId w:val="5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WHEREAS </w:t>
      </w:r>
      <w:r>
        <w:rPr>
          <w:rFonts w:ascii="Times New Roman" w:cs="Times New Roman" w:eastAsia="Times New Roman" w:hAnsi="Times New Roman"/>
          <w:sz w:val="17"/>
          <w:szCs w:val="17"/>
          <w:color w:val="auto"/>
        </w:rPr>
        <w:t>, PARI and Avalyn are parties to that certain Material 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dated as of January 23, 2020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w:t>
      </w:r>
    </w:p>
    <w:p>
      <w:pPr>
        <w:spacing w:after="0" w:line="74" w:lineRule="exact"/>
        <w:rPr>
          <w:rFonts w:ascii="Times New Roman" w:cs="Times New Roman" w:eastAsia="Times New Roman" w:hAnsi="Times New Roman"/>
          <w:sz w:val="17"/>
          <w:szCs w:val="17"/>
          <w:b w:val="1"/>
          <w:bCs w:val="1"/>
          <w:color w:val="auto"/>
        </w:rPr>
      </w:pPr>
    </w:p>
    <w:p>
      <w:pPr>
        <w:ind w:left="2060" w:hanging="331"/>
        <w:spacing w:after="0"/>
        <w:tabs>
          <w:tab w:leader="none" w:pos="2060" w:val="left"/>
        </w:tabs>
        <w:numPr>
          <w:ilvl w:val="0"/>
          <w:numId w:val="5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the Parties wish to amend the Agreement as set forth herein.</w:t>
      </w:r>
    </w:p>
    <w:p>
      <w:pPr>
        <w:spacing w:after="0" w:line="12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covenants and agreements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herein and for good and valuable consideration, the receipt and adequacy of which are hereby acknowledged, the Parties hereby agree as follows:</w:t>
      </w:r>
    </w:p>
    <w:p>
      <w:pPr>
        <w:spacing w:after="0" w:line="92" w:lineRule="exact"/>
        <w:rPr>
          <w:sz w:val="20"/>
          <w:szCs w:val="20"/>
          <w:color w:val="auto"/>
        </w:rPr>
      </w:pPr>
    </w:p>
    <w:p>
      <w:pPr>
        <w:ind w:left="1720" w:right="1239" w:firstLine="513"/>
        <w:spacing w:after="0" w:line="259" w:lineRule="auto"/>
        <w:tabs>
          <w:tab w:leader="none" w:pos="2588"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but not defined in this Amendment No. 1 will have the meanings ascribed to them in the Agreement.</w:t>
      </w:r>
    </w:p>
    <w:p>
      <w:pPr>
        <w:spacing w:after="0" w:line="82" w:lineRule="exact"/>
        <w:rPr>
          <w:rFonts w:ascii="Times New Roman" w:cs="Times New Roman" w:eastAsia="Times New Roman" w:hAnsi="Times New Roman"/>
          <w:sz w:val="17"/>
          <w:szCs w:val="17"/>
          <w:color w:val="auto"/>
        </w:rPr>
      </w:pPr>
    </w:p>
    <w:p>
      <w:pPr>
        <w:jc w:val="both"/>
        <w:ind w:left="1720" w:right="1239" w:firstLine="513"/>
        <w:spacing w:after="0" w:line="246" w:lineRule="auto"/>
        <w:tabs>
          <w:tab w:leader="none" w:pos="2588" w:val="left"/>
        </w:tabs>
        <w:numPr>
          <w:ilvl w:val="0"/>
          <w:numId w:val="5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wish to extend the scope of the Agreement by adding a second active ingredient, besides [***]. Therefore, the second WHEREAS clause shall be deleted and replaced with the following:</w:t>
      </w:r>
    </w:p>
    <w:p>
      <w:pPr>
        <w:spacing w:after="0" w:line="93" w:lineRule="exact"/>
        <w:rPr>
          <w:sz w:val="20"/>
          <w:szCs w:val="20"/>
          <w:color w:val="auto"/>
        </w:rPr>
      </w:pPr>
    </w:p>
    <w:p>
      <w:pPr>
        <w:jc w:val="both"/>
        <w:ind w:left="1720" w:right="1239"/>
        <w:spacing w:after="0" w:line="238" w:lineRule="auto"/>
        <w:rPr>
          <w:sz w:val="20"/>
          <w:szCs w:val="20"/>
          <w:color w:val="auto"/>
        </w:rPr>
      </w:pPr>
      <w:r>
        <w:rPr>
          <w:rFonts w:ascii="Times New Roman" w:cs="Times New Roman" w:eastAsia="Times New Roman" w:hAnsi="Times New Roman"/>
          <w:sz w:val="17"/>
          <w:szCs w:val="17"/>
          <w:color w:val="auto"/>
        </w:rPr>
        <w:t>“WHEREAS, Avalyn has developed and produced certain formulation rights, namely with respect to liquid formulations which contain (i) Nintedanib as the sole active ingredient or Nintedanib in combination with Pirfenidone, or (ii) Imatinib as the sole active ingredient (collectively the “Avalyn Rights”), and Avalyn desires to conduct certain research and appropriate studies using or incorporating the Material and the Avalyn Rights; and”</w:t>
      </w:r>
    </w:p>
    <w:p>
      <w:pPr>
        <w:spacing w:after="0" w:line="98" w:lineRule="exact"/>
        <w:rPr>
          <w:sz w:val="20"/>
          <w:szCs w:val="20"/>
          <w:color w:val="auto"/>
        </w:rPr>
      </w:pPr>
    </w:p>
    <w:p>
      <w:pPr>
        <w:ind w:left="1720" w:right="1239" w:firstLine="513"/>
        <w:spacing w:after="0" w:line="259" w:lineRule="auto"/>
        <w:tabs>
          <w:tab w:leader="none" w:pos="2588"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3.3 (</w:t>
      </w:r>
      <w:r>
        <w:rPr>
          <w:rFonts w:ascii="Times New Roman" w:cs="Times New Roman" w:eastAsia="Times New Roman" w:hAnsi="Times New Roman"/>
          <w:sz w:val="17"/>
          <w:szCs w:val="17"/>
          <w:u w:val="single" w:color="auto"/>
          <w:color w:val="auto"/>
        </w:rPr>
        <w:t>Ownership of Study Results</w:t>
      </w:r>
      <w:r>
        <w:rPr>
          <w:rFonts w:ascii="Times New Roman" w:cs="Times New Roman" w:eastAsia="Times New Roman" w:hAnsi="Times New Roman"/>
          <w:sz w:val="17"/>
          <w:szCs w:val="17"/>
          <w:color w:val="auto"/>
        </w:rPr>
        <w:t>), line 26, the first two sentences following enumeration letter (C) shall be deleted and replaced with the following:</w:t>
      </w:r>
    </w:p>
    <w:p>
      <w:pPr>
        <w:spacing w:after="0" w:line="82" w:lineRule="exact"/>
        <w:rPr>
          <w:rFonts w:ascii="Times New Roman" w:cs="Times New Roman" w:eastAsia="Times New Roman" w:hAnsi="Times New Roman"/>
          <w:sz w:val="17"/>
          <w:szCs w:val="17"/>
          <w:color w:val="auto"/>
        </w:rPr>
      </w:pPr>
    </w:p>
    <w:p>
      <w:pPr>
        <w:jc w:val="both"/>
        <w:ind w:left="1720" w:right="1239" w:firstLine="513"/>
        <w:spacing w:after="0" w:line="236" w:lineRule="auto"/>
        <w:tabs>
          <w:tab w:leader="none" w:pos="2588" w:val="left"/>
        </w:tabs>
        <w:numPr>
          <w:ilvl w:val="0"/>
          <w:numId w:val="5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lung dose of at least [***]. In the event that Avalyn nevertheless wishes to file a patent application and/or amendments or modifications with Device Related Disclosures, Avalyn shall only do so in case the Parties will have entered into a license agreement with respect to (i) Nintedanib as the sole active ingredient, or Nintedanib in combination with Pirfenidone, or (ii) Imatinib as the sole active ingredient, as applicable in each case; with similar terms and conditions with respect to the allocation of intellectual property rights and the right to file patents as the License Agreement being applicable to such patent application and/or amendment and to the extent such patent application and/or amendment is permitted under such terms and conditions.”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23" w:name="page624"/>
    <w:bookmarkEnd w:id="623"/>
    <w:p>
      <w:pPr>
        <w:jc w:val="center"/>
        <w:ind w:left="200" w:right="259"/>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7" w:lineRule="exact"/>
        <w:rPr>
          <w:sz w:val="20"/>
          <w:szCs w:val="20"/>
          <w:color w:val="auto"/>
        </w:rPr>
      </w:pPr>
    </w:p>
    <w:p>
      <w:pPr>
        <w:jc w:val="both"/>
        <w:ind w:left="1720" w:right="1239" w:firstLine="513"/>
        <w:spacing w:after="0" w:line="241" w:lineRule="auto"/>
        <w:tabs>
          <w:tab w:leader="none" w:pos="2588" w:val="left"/>
        </w:tabs>
        <w:numPr>
          <w:ilvl w:val="0"/>
          <w:numId w:val="5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execution, this Amendment No. 1 shall be made a part of the Agreement and shall be incorporated by reference. Except as provided herein, all other terms and conditions of the Agreement shall remain unchanged and in full force and effect.</w:t>
      </w:r>
    </w:p>
    <w:p>
      <w:pPr>
        <w:spacing w:after="0" w:line="136" w:lineRule="exact"/>
        <w:rPr>
          <w:sz w:val="20"/>
          <w:szCs w:val="20"/>
          <w:color w:val="auto"/>
        </w:rPr>
      </w:pPr>
    </w:p>
    <w:p>
      <w:pPr>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IN WITNESS WHEREOF</w:t>
      </w:r>
      <w:r>
        <w:rPr>
          <w:rFonts w:ascii="Times New Roman" w:cs="Times New Roman" w:eastAsia="Times New Roman" w:hAnsi="Times New Roman"/>
          <w:sz w:val="17"/>
          <w:szCs w:val="17"/>
          <w:color w:val="auto"/>
        </w:rPr>
        <w:t>, each of the Parties has caused this Amendment No. 1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by its duly authorized representatives.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42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PARI PHARMA GMBH</w:t>
            </w:r>
          </w:p>
        </w:tc>
        <w:tc>
          <w:tcPr>
            <w:tcW w:w="5180" w:type="dxa"/>
            <w:vAlign w:val="bottom"/>
          </w:tcPr>
          <w:p>
            <w:pPr>
              <w:ind w:left="520"/>
              <w:spacing w:after="0"/>
              <w:rPr>
                <w:sz w:val="20"/>
                <w:szCs w:val="20"/>
                <w:color w:val="auto"/>
              </w:rPr>
            </w:pPr>
            <w:r>
              <w:rPr>
                <w:rFonts w:ascii="Times New Roman" w:cs="Times New Roman" w:eastAsia="Times New Roman" w:hAnsi="Times New Roman"/>
                <w:sz w:val="17"/>
                <w:szCs w:val="17"/>
                <w:b w:val="1"/>
                <w:bCs w:val="1"/>
                <w:color w:val="auto"/>
              </w:rPr>
              <w:t>AVALYN PHARMA INC.</w:t>
            </w:r>
          </w:p>
        </w:tc>
      </w:tr>
      <w:tr>
        <w:trPr>
          <w:trHeight w:val="547"/>
        </w:trPr>
        <w:tc>
          <w:tcPr>
            <w:tcW w:w="3420" w:type="dxa"/>
            <w:vAlign w:val="bottom"/>
          </w:tcPr>
          <w:p>
            <w:pPr>
              <w:ind w:left="1100"/>
              <w:spacing w:after="0"/>
              <w:rPr>
                <w:sz w:val="20"/>
                <w:szCs w:val="20"/>
                <w:color w:val="auto"/>
              </w:rPr>
            </w:pPr>
            <w:r>
              <w:rPr>
                <w:rFonts w:ascii="Times New Roman" w:cs="Times New Roman" w:eastAsia="Times New Roman" w:hAnsi="Times New Roman"/>
                <w:sz w:val="17"/>
                <w:szCs w:val="17"/>
                <w:color w:val="auto"/>
              </w:rPr>
              <w:t>[***]</w:t>
            </w:r>
          </w:p>
        </w:tc>
        <w:tc>
          <w:tcPr>
            <w:tcW w:w="51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w:t>
            </w:r>
          </w:p>
        </w:tc>
      </w:tr>
      <w:tr>
        <w:trPr>
          <w:trHeight w:val="673"/>
        </w:trPr>
        <w:tc>
          <w:tcPr>
            <w:tcW w:w="3420" w:type="dxa"/>
            <w:vAlign w:val="bottom"/>
          </w:tcPr>
          <w:p>
            <w:pPr>
              <w:spacing w:after="0"/>
              <w:rPr>
                <w:sz w:val="24"/>
                <w:szCs w:val="24"/>
                <w:color w:val="auto"/>
              </w:rPr>
            </w:pPr>
          </w:p>
        </w:tc>
        <w:tc>
          <w:tcPr>
            <w:tcW w:w="5180" w:type="dxa"/>
            <w:vAlign w:val="bottom"/>
          </w:tcPr>
          <w:p>
            <w:pPr>
              <w:jc w:val="right"/>
              <w:ind w:right="4176"/>
              <w:spacing w:after="0"/>
              <w:rPr>
                <w:sz w:val="20"/>
                <w:szCs w:val="20"/>
                <w:color w:val="auto"/>
              </w:rPr>
            </w:pPr>
            <w:r>
              <w:rPr>
                <w:rFonts w:ascii="Times New Roman" w:cs="Times New Roman" w:eastAsia="Times New Roman" w:hAnsi="Times New Roman"/>
                <w:sz w:val="17"/>
                <w:szCs w:val="17"/>
                <w:color w:val="auto"/>
              </w:rPr>
              <w:t>2</w:t>
            </w:r>
          </w:p>
        </w:tc>
      </w:tr>
      <w:tr>
        <w:trPr>
          <w:trHeight w:val="582"/>
        </w:trPr>
        <w:tc>
          <w:tcPr>
            <w:tcW w:w="342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24" w:name="page625"/>
    <w:bookmarkEnd w:id="624"/>
    <w:p>
      <w:pPr>
        <w:ind w:left="1300" w:right="1319" w:firstLine="293"/>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Certain identified information has been excluded from this exhibit because it is both not material and is the type that the registrant treats as private or confidential. Information that</w:t>
      </w:r>
    </w:p>
    <w:p>
      <w:pPr>
        <w:jc w:val="center"/>
        <w:ind w:right="59"/>
        <w:spacing w:after="0" w:line="232" w:lineRule="auto"/>
        <w:rPr>
          <w:sz w:val="20"/>
          <w:szCs w:val="20"/>
          <w:color w:val="auto"/>
        </w:rPr>
      </w:pPr>
      <w:r>
        <w:rPr>
          <w:rFonts w:ascii="Times New Roman" w:cs="Times New Roman" w:eastAsia="Times New Roman" w:hAnsi="Times New Roman"/>
          <w:sz w:val="17"/>
          <w:szCs w:val="17"/>
          <w:b w:val="1"/>
          <w:bCs w:val="1"/>
          <w:i w:val="1"/>
          <w:iCs w:val="1"/>
          <w:color w:val="auto"/>
        </w:rPr>
        <w:t>was omitted has been noted in this document with a placeholder identified by the mark</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i w:val="1"/>
          <w:iCs w:val="1"/>
          <w:color w:val="auto"/>
        </w:rPr>
        <w:t>“[***]”.</w:t>
      </w:r>
    </w:p>
    <w:p>
      <w:pPr>
        <w:spacing w:after="0" w:line="140"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10.21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2</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THE MATERIAL TRANSFER AGREEMENT</w:t>
      </w:r>
    </w:p>
    <w:p>
      <w:pPr>
        <w:spacing w:after="0" w:line="144" w:lineRule="exact"/>
        <w:rPr>
          <w:sz w:val="20"/>
          <w:szCs w:val="20"/>
          <w:color w:val="auto"/>
        </w:rPr>
      </w:pPr>
    </w:p>
    <w:p>
      <w:pPr>
        <w:jc w:val="both"/>
        <w:ind w:left="1220" w:right="1239" w:firstLine="505"/>
        <w:spacing w:after="0" w:line="255" w:lineRule="auto"/>
        <w:rPr>
          <w:sz w:val="20"/>
          <w:szCs w:val="20"/>
          <w:color w:val="auto"/>
        </w:rPr>
      </w:pPr>
      <w:r>
        <w:rPr>
          <w:rFonts w:ascii="Times New Roman" w:cs="Times New Roman" w:eastAsia="Times New Roman" w:hAnsi="Times New Roman"/>
          <w:sz w:val="16"/>
          <w:szCs w:val="16"/>
          <w:color w:val="auto"/>
        </w:rPr>
        <w:t>This Amendment No. 2 to the material transfer agreement (this “</w:t>
      </w:r>
      <w:r>
        <w:rPr>
          <w:rFonts w:ascii="Times New Roman" w:cs="Times New Roman" w:eastAsia="Times New Roman" w:hAnsi="Times New Roman"/>
          <w:sz w:val="16"/>
          <w:szCs w:val="16"/>
          <w:u w:val="single" w:color="auto"/>
          <w:color w:val="auto"/>
        </w:rPr>
        <w:t>Amendment No. 2</w:t>
      </w:r>
      <w:r>
        <w:rPr>
          <w:rFonts w:ascii="Times New Roman" w:cs="Times New Roman" w:eastAsia="Times New Roman" w:hAnsi="Times New Roman"/>
          <w:sz w:val="16"/>
          <w:szCs w:val="16"/>
          <w:color w:val="auto"/>
        </w:rPr>
        <w:t>”) is retroactively effective as of January 22, 2023 (the “</w:t>
      </w:r>
      <w:r>
        <w:rPr>
          <w:rFonts w:ascii="Times New Roman" w:cs="Times New Roman" w:eastAsia="Times New Roman" w:hAnsi="Times New Roman"/>
          <w:sz w:val="16"/>
          <w:szCs w:val="16"/>
          <w:u w:val="single" w:color="auto"/>
          <w:color w:val="auto"/>
        </w:rPr>
        <w:t>Amendment No. 2 Effective Date</w:t>
      </w:r>
      <w:r>
        <w:rPr>
          <w:rFonts w:ascii="Times New Roman" w:cs="Times New Roman" w:eastAsia="Times New Roman" w:hAnsi="Times New Roman"/>
          <w:sz w:val="16"/>
          <w:szCs w:val="16"/>
          <w:color w:val="auto"/>
        </w:rPr>
        <w:t xml:space="preserve">”) and executed as of March 6, 2024, by and between </w:t>
      </w:r>
      <w:r>
        <w:rPr>
          <w:rFonts w:ascii="Times New Roman" w:cs="Times New Roman" w:eastAsia="Times New Roman" w:hAnsi="Times New Roman"/>
          <w:sz w:val="16"/>
          <w:szCs w:val="16"/>
          <w:b w:val="1"/>
          <w:bCs w:val="1"/>
          <w:color w:val="auto"/>
        </w:rPr>
        <w:t>Avalyn Pharma Inc.</w:t>
      </w:r>
      <w:r>
        <w:rPr>
          <w:rFonts w:ascii="Times New Roman" w:cs="Times New Roman" w:eastAsia="Times New Roman" w:hAnsi="Times New Roman"/>
          <w:sz w:val="16"/>
          <w:szCs w:val="16"/>
          <w:color w:val="auto"/>
        </w:rPr>
        <w:t>, having its registered office at 701 Pike Street, Suite 1500, Seattle, Washington 98101, USA (“</w:t>
      </w:r>
      <w:r>
        <w:rPr>
          <w:rFonts w:ascii="Times New Roman" w:cs="Times New Roman" w:eastAsia="Times New Roman" w:hAnsi="Times New Roman"/>
          <w:sz w:val="16"/>
          <w:szCs w:val="16"/>
          <w:u w:val="single" w:color="auto"/>
          <w:color w:val="auto"/>
        </w:rPr>
        <w:t>Avalyn</w:t>
      </w:r>
      <w:r>
        <w:rPr>
          <w:rFonts w:ascii="Times New Roman" w:cs="Times New Roman" w:eastAsia="Times New Roman" w:hAnsi="Times New Roman"/>
          <w:sz w:val="16"/>
          <w:szCs w:val="16"/>
          <w:color w:val="auto"/>
        </w:rPr>
        <w:t xml:space="preserve">”), and </w:t>
      </w:r>
      <w:r>
        <w:rPr>
          <w:rFonts w:ascii="Times New Roman" w:cs="Times New Roman" w:eastAsia="Times New Roman" w:hAnsi="Times New Roman"/>
          <w:sz w:val="16"/>
          <w:szCs w:val="16"/>
          <w:b w:val="1"/>
          <w:bCs w:val="1"/>
          <w:color w:val="auto"/>
        </w:rPr>
        <w:t>PARI Pharma</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GmbH</w:t>
      </w:r>
      <w:r>
        <w:rPr>
          <w:rFonts w:ascii="Times New Roman" w:cs="Times New Roman" w:eastAsia="Times New Roman" w:hAnsi="Times New Roman"/>
          <w:sz w:val="16"/>
          <w:szCs w:val="16"/>
          <w:color w:val="auto"/>
        </w:rPr>
        <w:t>, having its principal place of business at Moosstrasse 3, 82319 Starnberg, Germany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auto"/>
        </w:rPr>
        <w:t>PARI</w:t>
      </w:r>
      <w:r>
        <w:rPr>
          <w:rFonts w:ascii="Times New Roman" w:cs="Times New Roman" w:eastAsia="Times New Roman" w:hAnsi="Times New Roman"/>
          <w:sz w:val="16"/>
          <w:szCs w:val="16"/>
          <w:color w:val="auto"/>
        </w:rPr>
        <w:t>”) (each of Avalyn and PARI being individually a “</w:t>
      </w:r>
      <w:r>
        <w:rPr>
          <w:rFonts w:ascii="Times New Roman" w:cs="Times New Roman" w:eastAsia="Times New Roman" w:hAnsi="Times New Roman"/>
          <w:sz w:val="16"/>
          <w:szCs w:val="16"/>
          <w:u w:val="single" w:color="auto"/>
          <w:color w:val="auto"/>
        </w:rPr>
        <w:t>Party</w:t>
      </w:r>
      <w:r>
        <w:rPr>
          <w:rFonts w:ascii="Times New Roman" w:cs="Times New Roman" w:eastAsia="Times New Roman" w:hAnsi="Times New Roman"/>
          <w:sz w:val="16"/>
          <w:szCs w:val="16"/>
          <w:color w:val="auto"/>
        </w:rPr>
        <w:t>” and together the “</w:t>
      </w:r>
      <w:r>
        <w:rPr>
          <w:rFonts w:ascii="Times New Roman" w:cs="Times New Roman" w:eastAsia="Times New Roman" w:hAnsi="Times New Roman"/>
          <w:sz w:val="16"/>
          <w:szCs w:val="16"/>
          <w:u w:val="single" w:color="auto"/>
          <w:color w:val="auto"/>
        </w:rPr>
        <w:t>Parties</w:t>
      </w:r>
      <w:r>
        <w:rPr>
          <w:rFonts w:ascii="Times New Roman" w:cs="Times New Roman" w:eastAsia="Times New Roman" w:hAnsi="Times New Roman"/>
          <w:sz w:val="16"/>
          <w:szCs w:val="16"/>
          <w:color w:val="auto"/>
        </w:rPr>
        <w:t>”).</w:t>
      </w:r>
    </w:p>
    <w:p>
      <w:pPr>
        <w:spacing w:after="0" w:line="127"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A.WHEREAS, </w:t>
      </w:r>
      <w:r>
        <w:rPr>
          <w:rFonts w:ascii="Times New Roman" w:cs="Times New Roman" w:eastAsia="Times New Roman" w:hAnsi="Times New Roman"/>
          <w:sz w:val="17"/>
          <w:szCs w:val="17"/>
          <w:color w:val="auto"/>
        </w:rPr>
        <w:t>PARI and Avalyn are parties to that certain Material 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dated as of January 23, 2020, as amended by Amendment No. 1, dated as of November 22, 2021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w:t>
      </w:r>
    </w:p>
    <w:p>
      <w:pPr>
        <w:spacing w:after="0" w:line="13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B. WHEREAS, </w:t>
      </w:r>
      <w:r>
        <w:rPr>
          <w:rFonts w:ascii="Times New Roman" w:cs="Times New Roman" w:eastAsia="Times New Roman" w:hAnsi="Times New Roman"/>
          <w:sz w:val="17"/>
          <w:szCs w:val="17"/>
          <w:color w:val="auto"/>
        </w:rPr>
        <w:t>the Parties agree to extend the scope of the Agreement by additional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to be provided by PARI to Avalyn and therefore wish to amend the Agreement as set forth herein.</w:t>
      </w:r>
    </w:p>
    <w:p>
      <w:pPr>
        <w:spacing w:after="0" w:line="130"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covenants and agreements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herein and for good and valuable consideration, the receipt and adequacy of which are hereby acknowledged, the Parties hereby agree as follows:</w:t>
      </w:r>
    </w:p>
    <w:p>
      <w:pPr>
        <w:spacing w:after="0" w:line="134" w:lineRule="exact"/>
        <w:rPr>
          <w:sz w:val="20"/>
          <w:szCs w:val="20"/>
          <w:color w:val="auto"/>
        </w:rPr>
      </w:pPr>
    </w:p>
    <w:p>
      <w:pPr>
        <w:ind w:left="1720" w:right="1239" w:firstLine="513"/>
        <w:spacing w:after="0" w:line="259" w:lineRule="auto"/>
        <w:tabs>
          <w:tab w:leader="none" w:pos="2588"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but not defined in this Amendment No. 2 will have the meanings ascribed to them in the Agreement.</w:t>
      </w:r>
    </w:p>
    <w:p>
      <w:pPr>
        <w:spacing w:after="0" w:line="124" w:lineRule="exact"/>
        <w:rPr>
          <w:rFonts w:ascii="Times New Roman" w:cs="Times New Roman" w:eastAsia="Times New Roman" w:hAnsi="Times New Roman"/>
          <w:sz w:val="17"/>
          <w:szCs w:val="17"/>
          <w:color w:val="auto"/>
        </w:rPr>
      </w:pPr>
    </w:p>
    <w:p>
      <w:pPr>
        <w:ind w:left="1720" w:right="1239" w:firstLine="513"/>
        <w:spacing w:after="0" w:line="259" w:lineRule="auto"/>
        <w:tabs>
          <w:tab w:leader="none" w:pos="2588" w:val="left"/>
        </w:tabs>
        <w:numPr>
          <w:ilvl w:val="0"/>
          <w:numId w:val="5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additional WHEREAS clause shall be added to the Agreement after the fifth WHEREAS clause and shall read as follows:</w:t>
      </w:r>
    </w:p>
    <w:p>
      <w:pPr>
        <w:spacing w:after="0" w:line="125" w:lineRule="exact"/>
        <w:rPr>
          <w:sz w:val="20"/>
          <w:szCs w:val="20"/>
          <w:color w:val="auto"/>
        </w:rPr>
      </w:pPr>
    </w:p>
    <w:p>
      <w:pPr>
        <w:jc w:val="both"/>
        <w:ind w:left="1720" w:right="1239" w:firstLine="505"/>
        <w:spacing w:after="0" w:line="246" w:lineRule="auto"/>
        <w:rPr>
          <w:sz w:val="20"/>
          <w:szCs w:val="20"/>
          <w:color w:val="auto"/>
        </w:rPr>
      </w:pPr>
      <w:r>
        <w:rPr>
          <w:rFonts w:ascii="Times New Roman" w:cs="Times New Roman" w:eastAsia="Times New Roman" w:hAnsi="Times New Roman"/>
          <w:sz w:val="17"/>
          <w:szCs w:val="17"/>
          <w:color w:val="auto"/>
        </w:rPr>
        <w:t>“WHEREAS, in addition to the transfer of Material, Avalyn may, from time to time, request that PARI perform certain services pursuant to Work Orders (as hereinafter defined) agreed in writing by the Parties.”</w:t>
      </w:r>
    </w:p>
    <w:p>
      <w:pPr>
        <w:spacing w:after="0" w:line="135" w:lineRule="exact"/>
        <w:rPr>
          <w:sz w:val="20"/>
          <w:szCs w:val="20"/>
          <w:color w:val="auto"/>
        </w:rPr>
      </w:pPr>
    </w:p>
    <w:p>
      <w:pPr>
        <w:ind w:left="1720" w:right="1239" w:firstLine="513"/>
        <w:spacing w:after="0" w:line="259" w:lineRule="auto"/>
        <w:tabs>
          <w:tab w:leader="none" w:pos="2588" w:val="left"/>
        </w:tabs>
        <w:numPr>
          <w:ilvl w:val="0"/>
          <w:numId w:val="5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heading of Article 1 (USE OF MATERIAL) of the Agreement shall be deleted and replaced by the following:</w:t>
      </w:r>
    </w:p>
    <w:p>
      <w:pPr>
        <w:spacing w:after="0" w:line="121" w:lineRule="exact"/>
        <w:rPr>
          <w:sz w:val="20"/>
          <w:szCs w:val="20"/>
          <w:color w:val="auto"/>
        </w:rPr>
      </w:pPr>
    </w:p>
    <w:p>
      <w:pPr>
        <w:ind w:left="2240"/>
        <w:spacing w:after="0"/>
        <w:tabs>
          <w:tab w:leader="none" w:pos="2540" w:val="left"/>
        </w:tabs>
        <w:rPr>
          <w:sz w:val="20"/>
          <w:szCs w:val="20"/>
          <w:color w:val="auto"/>
        </w:rPr>
      </w:pPr>
      <w:r>
        <w:rPr>
          <w:rFonts w:ascii="Times New Roman" w:cs="Times New Roman" w:eastAsia="Times New Roman" w:hAnsi="Times New Roman"/>
          <w:sz w:val="17"/>
          <w:szCs w:val="17"/>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PROVISION OF MATERIAL AND SERVICES”</w:t>
      </w:r>
    </w:p>
    <w:p>
      <w:pPr>
        <w:spacing w:after="0" w:line="166" w:lineRule="exact"/>
        <w:rPr>
          <w:sz w:val="20"/>
          <w:szCs w:val="20"/>
          <w:color w:val="auto"/>
        </w:rPr>
      </w:pPr>
    </w:p>
    <w:p>
      <w:pPr>
        <w:ind w:left="1720" w:right="1239" w:firstLine="513"/>
        <w:spacing w:after="0" w:line="259" w:lineRule="auto"/>
        <w:tabs>
          <w:tab w:leader="none" w:pos="2588" w:val="left"/>
        </w:tabs>
        <w:numPr>
          <w:ilvl w:val="0"/>
          <w:numId w:val="5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1.2(a) (Restrictions of Use), the definition of “Applicable Laws and Standards” shall be revised as follows:</w:t>
      </w:r>
    </w:p>
    <w:p>
      <w:pPr>
        <w:spacing w:after="0" w:line="125" w:lineRule="exact"/>
        <w:rPr>
          <w:sz w:val="20"/>
          <w:szCs w:val="20"/>
          <w:color w:val="auto"/>
        </w:rPr>
      </w:pPr>
    </w:p>
    <w:p>
      <w:pPr>
        <w:jc w:val="both"/>
        <w:ind w:left="1220" w:right="1239" w:firstLine="505"/>
        <w:spacing w:after="0" w:line="24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Applicable Laws and Standards</w:t>
      </w:r>
      <w:r>
        <w:rPr>
          <w:rFonts w:ascii="Times New Roman" w:cs="Times New Roman" w:eastAsia="Times New Roman" w:hAnsi="Times New Roman"/>
          <w:sz w:val="17"/>
          <w:szCs w:val="17"/>
          <w:color w:val="auto"/>
        </w:rPr>
        <w:t>” means (a) all laws, ordinances, rules, directives and regulations applicable to the Materials, the Evaluation Purpose, the Evaluation Studies, the Services or this Agreement, including without limitation applicable local laws and regulations in each relevant country, (b) applicable regulations and guidelines of the U.S. Food and Drug</w:t>
      </w:r>
    </w:p>
    <w:p>
      <w:pPr>
        <w:spacing w:after="0" w:line="36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1"/>
          <w:szCs w:val="11"/>
          <w:color w:val="auto"/>
        </w:rPr>
        <w:t>ACTIVE/204255671.1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365125</wp:posOffset>
            </wp:positionV>
            <wp:extent cx="5485765" cy="3873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0" w:right="1440" w:bottom="1440" w:gutter="0" w:footer="0" w:header="0"/>
        </w:sectPr>
      </w:pPr>
    </w:p>
    <w:bookmarkStart w:id="625" w:name="page626"/>
    <w:bookmarkEnd w:id="625"/>
    <w:p>
      <w:pPr>
        <w:jc w:val="both"/>
        <w:ind w:left="1220" w:right="1239"/>
        <w:spacing w:after="0" w:line="238" w:lineRule="auto"/>
        <w:rPr>
          <w:sz w:val="20"/>
          <w:szCs w:val="20"/>
          <w:color w:val="auto"/>
        </w:rPr>
      </w:pPr>
      <w:r>
        <w:rPr>
          <w:rFonts w:ascii="Times New Roman" w:cs="Times New Roman" w:eastAsia="Times New Roman" w:hAnsi="Times New Roman"/>
          <w:sz w:val="17"/>
          <w:szCs w:val="17"/>
          <w:color w:val="auto"/>
        </w:rPr>
        <w:t>Administration (“</w:t>
      </w:r>
      <w:r>
        <w:rPr>
          <w:rFonts w:ascii="Times New Roman" w:cs="Times New Roman" w:eastAsia="Times New Roman" w:hAnsi="Times New Roman"/>
          <w:sz w:val="17"/>
          <w:szCs w:val="17"/>
          <w:u w:val="single" w:color="auto"/>
          <w:color w:val="auto"/>
        </w:rPr>
        <w:t>FDA</w:t>
      </w:r>
      <w:r>
        <w:rPr>
          <w:rFonts w:ascii="Times New Roman" w:cs="Times New Roman" w:eastAsia="Times New Roman" w:hAnsi="Times New Roman"/>
          <w:sz w:val="17"/>
          <w:szCs w:val="17"/>
          <w:color w:val="auto"/>
        </w:rPr>
        <w:t>”) and other regulatory authorities and applicable guidelines of the International Conference on Harmonisation of Technical Requirements for Registration of Pharmaceuticals for Human Use (“</w:t>
      </w:r>
      <w:r>
        <w:rPr>
          <w:rFonts w:ascii="Times New Roman" w:cs="Times New Roman" w:eastAsia="Times New Roman" w:hAnsi="Times New Roman"/>
          <w:sz w:val="17"/>
          <w:szCs w:val="17"/>
          <w:u w:val="single" w:color="auto"/>
          <w:color w:val="auto"/>
        </w:rPr>
        <w:t>ICH</w:t>
      </w:r>
      <w:r>
        <w:rPr>
          <w:rFonts w:ascii="Times New Roman" w:cs="Times New Roman" w:eastAsia="Times New Roman" w:hAnsi="Times New Roman"/>
          <w:sz w:val="17"/>
          <w:szCs w:val="17"/>
          <w:color w:val="auto"/>
        </w:rPr>
        <w:t>”), (c) as applicable to the particular activities performed under this Agreement, Good Manufacturing Practices, Good Laboratory Practices and Good Clinical Practices promulgated by the FDA and other regulatory authorities or the ICH, and (d) all applicable industry and trade standards.”</w:t>
      </w:r>
    </w:p>
    <w:p>
      <w:pPr>
        <w:spacing w:after="0" w:line="140" w:lineRule="exact"/>
        <w:rPr>
          <w:sz w:val="20"/>
          <w:szCs w:val="20"/>
          <w:color w:val="auto"/>
        </w:rPr>
      </w:pPr>
    </w:p>
    <w:p>
      <w:pPr>
        <w:ind w:left="2600" w:hanging="367"/>
        <w:spacing w:after="0"/>
        <w:tabs>
          <w:tab w:leader="none" w:pos="2600" w:val="left"/>
        </w:tabs>
        <w:numPr>
          <w:ilvl w:val="0"/>
          <w:numId w:val="5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section shall be added to the Agreement as Section 1.4 and shall read</w:t>
      </w:r>
    </w:p>
    <w:p>
      <w:pPr>
        <w:spacing w:after="0" w:line="23" w:lineRule="exact"/>
        <w:rPr>
          <w:rFonts w:ascii="Times New Roman" w:cs="Times New Roman" w:eastAsia="Times New Roman" w:hAnsi="Times New Roman"/>
          <w:sz w:val="16"/>
          <w:szCs w:val="16"/>
          <w:color w:val="auto"/>
        </w:rPr>
      </w:pPr>
    </w:p>
    <w:p>
      <w:pPr>
        <w:ind w:left="1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 follows: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 xml:space="preserve">“1.4 </w:t>
      </w:r>
      <w:r>
        <w:rPr>
          <w:rFonts w:ascii="Times New Roman" w:cs="Times New Roman" w:eastAsia="Times New Roman" w:hAnsi="Times New Roman"/>
          <w:sz w:val="17"/>
          <w:szCs w:val="17"/>
          <w:u w:val="single" w:color="auto"/>
          <w:color w:val="auto"/>
        </w:rPr>
        <w:t>Statement of Work:</w:t>
      </w:r>
    </w:p>
    <w:p>
      <w:pPr>
        <w:spacing w:after="0" w:line="162" w:lineRule="exact"/>
        <w:rPr>
          <w:sz w:val="20"/>
          <w:szCs w:val="20"/>
          <w:color w:val="auto"/>
        </w:rPr>
      </w:pPr>
    </w:p>
    <w:p>
      <w:pPr>
        <w:ind w:left="1720" w:right="1239" w:hanging="496"/>
        <w:spacing w:after="0" w:line="259" w:lineRule="auto"/>
        <w:tabs>
          <w:tab w:leader="none" w:pos="1720" w:val="left"/>
        </w:tabs>
        <w:numPr>
          <w:ilvl w:val="0"/>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Services</w:t>
      </w:r>
      <w:r>
        <w:rPr>
          <w:rFonts w:ascii="Times New Roman" w:cs="Times New Roman" w:eastAsia="Times New Roman" w:hAnsi="Times New Roman"/>
          <w:sz w:val="17"/>
          <w:szCs w:val="17"/>
          <w:color w:val="auto"/>
        </w:rPr>
        <w:t>” means the services to be provided by PARI under this Agreement which will be specified in a Work Order (as hereinafter defined) as provided in Section 1.4(c).</w:t>
      </w:r>
    </w:p>
    <w:p>
      <w:pPr>
        <w:spacing w:after="0" w:line="124" w:lineRule="exact"/>
        <w:rPr>
          <w:rFonts w:ascii="Times New Roman" w:cs="Times New Roman" w:eastAsia="Times New Roman" w:hAnsi="Times New Roman"/>
          <w:sz w:val="17"/>
          <w:szCs w:val="17"/>
          <w:color w:val="auto"/>
        </w:rPr>
      </w:pPr>
    </w:p>
    <w:p>
      <w:pPr>
        <w:jc w:val="both"/>
        <w:ind w:left="1720" w:right="1239" w:hanging="496"/>
        <w:spacing w:after="0" w:line="246" w:lineRule="auto"/>
        <w:tabs>
          <w:tab w:leader="none" w:pos="1720" w:val="left"/>
        </w:tabs>
        <w:numPr>
          <w:ilvl w:val="0"/>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of this Agreement, Avalyn hereby engages PARI, as an independent contractor, on the terms and conditions set forth hereinafter, for PARI to provide the Services.</w:t>
      </w:r>
    </w:p>
    <w:p>
      <w:pPr>
        <w:spacing w:after="0" w:line="134" w:lineRule="exact"/>
        <w:rPr>
          <w:rFonts w:ascii="Times New Roman" w:cs="Times New Roman" w:eastAsia="Times New Roman" w:hAnsi="Times New Roman"/>
          <w:sz w:val="17"/>
          <w:szCs w:val="17"/>
          <w:color w:val="auto"/>
        </w:rPr>
      </w:pPr>
    </w:p>
    <w:p>
      <w:pPr>
        <w:jc w:val="both"/>
        <w:ind w:left="1720" w:right="1239" w:hanging="496"/>
        <w:spacing w:after="0" w:line="249" w:lineRule="auto"/>
        <w:tabs>
          <w:tab w:leader="none" w:pos="1720" w:val="left"/>
        </w:tabs>
        <w:numPr>
          <w:ilvl w:val="0"/>
          <w:numId w:val="5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Any Services to be performed by PARI and any Deliverables shall be formalized in a written work order agreed upon by the Parties in the form of the template set forth in </w:t>
      </w:r>
      <w:r>
        <w:rPr>
          <w:rFonts w:ascii="Times New Roman" w:cs="Times New Roman" w:eastAsia="Times New Roman" w:hAnsi="Times New Roman"/>
          <w:sz w:val="16"/>
          <w:szCs w:val="16"/>
          <w:u w:val="single" w:color="auto"/>
          <w:color w:val="auto"/>
        </w:rPr>
        <w:t>Exhibit B</w:t>
      </w:r>
      <w:r>
        <w:rPr>
          <w:rFonts w:ascii="Times New Roman" w:cs="Times New Roman" w:eastAsia="Times New Roman" w:hAnsi="Times New Roman"/>
          <w:sz w:val="16"/>
          <w:szCs w:val="16"/>
          <w:color w:val="auto"/>
        </w:rPr>
        <w:t xml:space="preserve"> attached hereto, outlining the respective specifications including: (i) the work order number, (ii) the nature and the description of the Services to be carried out, (iii) Services delivery deadlines, (iv) estimated number of hours required in order to deliver the Services, (v) total estimated cost for the requested Services whereas the invoiced cost shall not exceed such estimated cost by more than ten percent (10%) without Avalyn’s prior written approval, (vi) the related department and the contact persons at Avalyn and at PARI involved in the Services, (vii) the invoice destination and payment terms, and</w:t>
      </w:r>
    </w:p>
    <w:p>
      <w:pPr>
        <w:spacing w:after="0" w:line="3" w:lineRule="exact"/>
        <w:rPr>
          <w:rFonts w:ascii="Times New Roman" w:cs="Times New Roman" w:eastAsia="Times New Roman" w:hAnsi="Times New Roman"/>
          <w:sz w:val="16"/>
          <w:szCs w:val="16"/>
          <w:color w:val="auto"/>
        </w:rPr>
      </w:pPr>
    </w:p>
    <w:p>
      <w:pPr>
        <w:jc w:val="both"/>
        <w:ind w:left="1720" w:right="1239" w:firstLine="9"/>
        <w:spacing w:after="0" w:line="234" w:lineRule="auto"/>
        <w:tabs>
          <w:tab w:leader="none" w:pos="2138" w:val="left"/>
        </w:tabs>
        <w:numPr>
          <w:ilvl w:val="1"/>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approved expenses (collectively a “</w:t>
      </w:r>
      <w:r>
        <w:rPr>
          <w:rFonts w:ascii="Times New Roman" w:cs="Times New Roman" w:eastAsia="Times New Roman" w:hAnsi="Times New Roman"/>
          <w:sz w:val="17"/>
          <w:szCs w:val="17"/>
          <w:u w:val="single" w:color="auto"/>
          <w:color w:val="auto"/>
        </w:rPr>
        <w:t>Work Order</w:t>
      </w:r>
      <w:r>
        <w:rPr>
          <w:rFonts w:ascii="Times New Roman" w:cs="Times New Roman" w:eastAsia="Times New Roman" w:hAnsi="Times New Roman"/>
          <w:sz w:val="17"/>
          <w:szCs w:val="17"/>
          <w:color w:val="auto"/>
        </w:rPr>
        <w:t>”). To the extent any terms or provisions of a Work Order conflict with the terms and provisions of this Agreement, the terms and provisions of this Agreement shall control, except to the extent such Work Order specifically states the Parties’ intent that such Work Order control with respect to a particular matter. No change or amendment to an existing Work Order shall be in effect unless and until a written change order amending such Work Order is mutually executed by the Parties (“</w:t>
      </w:r>
      <w:r>
        <w:rPr>
          <w:rFonts w:ascii="Times New Roman" w:cs="Times New Roman" w:eastAsia="Times New Roman" w:hAnsi="Times New Roman"/>
          <w:sz w:val="17"/>
          <w:szCs w:val="17"/>
          <w:u w:val="single" w:color="auto"/>
          <w:color w:val="auto"/>
        </w:rPr>
        <w:t>Change Order</w:t>
      </w:r>
      <w:r>
        <w:rPr>
          <w:rFonts w:ascii="Times New Roman" w:cs="Times New Roman" w:eastAsia="Times New Roman" w:hAnsi="Times New Roman"/>
          <w:sz w:val="17"/>
          <w:szCs w:val="17"/>
          <w:color w:val="auto"/>
        </w:rPr>
        <w:t>”).</w:t>
      </w:r>
    </w:p>
    <w:p>
      <w:pPr>
        <w:spacing w:after="0" w:line="140" w:lineRule="exact"/>
        <w:rPr>
          <w:rFonts w:ascii="Times New Roman" w:cs="Times New Roman" w:eastAsia="Times New Roman" w:hAnsi="Times New Roman"/>
          <w:sz w:val="17"/>
          <w:szCs w:val="17"/>
          <w:color w:val="auto"/>
        </w:rPr>
      </w:pPr>
    </w:p>
    <w:p>
      <w:pPr>
        <w:jc w:val="both"/>
        <w:ind w:left="1720" w:right="1239" w:hanging="496"/>
        <w:spacing w:after="0" w:line="239" w:lineRule="auto"/>
        <w:tabs>
          <w:tab w:leader="none" w:pos="1720" w:val="left"/>
        </w:tabs>
        <w:numPr>
          <w:ilvl w:val="0"/>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Work Order must be signed by both Parties to be effective. Each fully executed Work Order shall be appended to this Agreement and made a part hereof. For clarity, neither Party has any obligation towards the other Party to provide any particular services or to pay for any particular services in absence of a Work Order executed by both Parties covering such services and payment for such services.”</w:t>
      </w:r>
    </w:p>
    <w:p>
      <w:pPr>
        <w:spacing w:after="0" w:line="28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626" w:name="page627"/>
    <w:bookmarkEnd w:id="626"/>
    <w:p>
      <w:pPr>
        <w:ind w:left="2600" w:hanging="367"/>
        <w:spacing w:after="0"/>
        <w:tabs>
          <w:tab w:leader="none" w:pos="2600" w:val="left"/>
        </w:tabs>
        <w:numPr>
          <w:ilvl w:val="0"/>
          <w:numId w:val="5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section shall be added to the Agreement as Section 1.5 and shall read</w:t>
      </w:r>
    </w:p>
    <w:p>
      <w:pPr>
        <w:spacing w:after="0" w:line="23" w:lineRule="exact"/>
        <w:rPr>
          <w:rFonts w:ascii="Times New Roman" w:cs="Times New Roman" w:eastAsia="Times New Roman" w:hAnsi="Times New Roman"/>
          <w:sz w:val="16"/>
          <w:szCs w:val="16"/>
          <w:color w:val="auto"/>
        </w:rPr>
      </w:pPr>
    </w:p>
    <w:p>
      <w:pPr>
        <w:ind w:left="1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 follows: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 xml:space="preserve">“1.5 </w:t>
      </w:r>
      <w:r>
        <w:rPr>
          <w:rFonts w:ascii="Times New Roman" w:cs="Times New Roman" w:eastAsia="Times New Roman" w:hAnsi="Times New Roman"/>
          <w:sz w:val="17"/>
          <w:szCs w:val="17"/>
          <w:u w:val="single" w:color="auto"/>
          <w:color w:val="auto"/>
        </w:rPr>
        <w:t>Provision of Services:</w:t>
      </w:r>
    </w:p>
    <w:p>
      <w:pPr>
        <w:spacing w:after="0" w:line="162" w:lineRule="exact"/>
        <w:rPr>
          <w:sz w:val="20"/>
          <w:szCs w:val="20"/>
          <w:color w:val="auto"/>
        </w:rPr>
      </w:pPr>
    </w:p>
    <w:p>
      <w:pPr>
        <w:jc w:val="both"/>
        <w:ind w:left="1720" w:right="1239" w:hanging="496"/>
        <w:spacing w:after="0" w:line="235" w:lineRule="auto"/>
        <w:tabs>
          <w:tab w:leader="none" w:pos="172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PARI shall provide the Services, perform the tasks allocated to it and provide each Deliverable (as defined in Section 3.5(a)) by the dates indicated, in each case in accordance with the relevant Work Order. PARI shall deliver all Deliverables in accordance with any schedule therefor specified in the applicable Work Order. Upon receipt of each Deliverable, Avalyn shall have an opportunity to evaluate the Deliverable for compliance with any specifications or conditions in accordance with the applicable Work Order and to approve or reject such Deliverable accordingly. Approval of a Deliverable shall be deemed if no rejection has been received by PARI in writing within</w:t>
      </w:r>
    </w:p>
    <w:p>
      <w:pPr>
        <w:jc w:val="both"/>
        <w:ind w:left="1720" w:right="1239" w:firstLine="9"/>
        <w:spacing w:after="0" w:line="233" w:lineRule="auto"/>
        <w:tabs>
          <w:tab w:leader="none" w:pos="2181" w:val="left"/>
        </w:tabs>
        <w:numPr>
          <w:ilvl w:val="1"/>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delivery of such Deliverable. Avalyn shall timely provide its required contribution and assistance (such as required information or material) as specifically set forth in the relevant Work Order or otherwise mutually agreed by the Parties. Any delay by PARI in rendering the Services caused by the delayed provision of information, material or other assistance of Avalyn required to provide the particular Service as specifically set forth in the relevant Work Order or otherwise mutually agreed by the Parties shall not be deemed to be a default of PARI and the relevant timelines for performance of such Service by PARI as set forth in the respective Work Order shall be extended proportionately to such delay. In the case of any such delay, PARI will [***] notify Avalyn thereof, including any actions or omissions by Avalyn that PARI believes has caused such delay, and the Parties will meet as soon as possible to (i) mutually agree to create a revised plan and timeline to complete the applicable Services as near to and of the same quality as set forth in the original Work Order and (ii) execute a Change Order to such Work Order.</w:t>
      </w:r>
    </w:p>
    <w:p>
      <w:pPr>
        <w:spacing w:after="0" w:line="142" w:lineRule="exact"/>
        <w:rPr>
          <w:rFonts w:ascii="Times New Roman" w:cs="Times New Roman" w:eastAsia="Times New Roman" w:hAnsi="Times New Roman"/>
          <w:sz w:val="17"/>
          <w:szCs w:val="17"/>
          <w:color w:val="auto"/>
        </w:rPr>
      </w:pPr>
    </w:p>
    <w:p>
      <w:pPr>
        <w:jc w:val="both"/>
        <w:ind w:left="1720" w:right="1239" w:hanging="496"/>
        <w:spacing w:after="0" w:line="237" w:lineRule="auto"/>
        <w:tabs>
          <w:tab w:leader="none" w:pos="172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Avalyn and PARI will meet periodically virtually or telephonically if agreed in the relevant Work Order. At such meetings, PARI will report to Avalyn the progress and status of the Services and Deliverables described in the Work Order. PARI will use commercially reasonable efforts to consider proposals from Avalyn in good faith and shall take reasonable actions requested by Avalyn in relation to any such Services or Deliverables to ensure due and proper completion of all Services and Deliverables in accordance with this Agreement, including the agreed upon dates and quality standards.</w:t>
      </w:r>
    </w:p>
    <w:p>
      <w:pPr>
        <w:spacing w:after="0" w:line="141" w:lineRule="exact"/>
        <w:rPr>
          <w:rFonts w:ascii="Times New Roman" w:cs="Times New Roman" w:eastAsia="Times New Roman" w:hAnsi="Times New Roman"/>
          <w:sz w:val="17"/>
          <w:szCs w:val="17"/>
          <w:color w:val="auto"/>
        </w:rPr>
      </w:pPr>
    </w:p>
    <w:p>
      <w:pPr>
        <w:jc w:val="both"/>
        <w:ind w:left="1720" w:right="1239" w:hanging="496"/>
        <w:spacing w:after="0" w:line="239" w:lineRule="auto"/>
        <w:tabs>
          <w:tab w:leader="none" w:pos="172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Services shall be carried out only by properly qualified employees of PARI in a professional manner and in accordance with (i) the standards of care and diligence practiced by recognized organizations in performing services of a similar nature at the time the Services are performed, (ii) the terms of the relevant Work Order and this Agreement, and (iii) all Applicable Laws and Standards.</w:t>
      </w:r>
    </w:p>
    <w:p>
      <w:pPr>
        <w:spacing w:after="0" w:line="140" w:lineRule="exact"/>
        <w:rPr>
          <w:rFonts w:ascii="Times New Roman" w:cs="Times New Roman" w:eastAsia="Times New Roman" w:hAnsi="Times New Roman"/>
          <w:sz w:val="17"/>
          <w:szCs w:val="17"/>
          <w:color w:val="auto"/>
        </w:rPr>
      </w:pPr>
    </w:p>
    <w:p>
      <w:pPr>
        <w:jc w:val="both"/>
        <w:ind w:left="1720" w:right="1239" w:hanging="496"/>
        <w:spacing w:after="0" w:line="241" w:lineRule="auto"/>
        <w:tabs>
          <w:tab w:leader="none" w:pos="1720" w:val="left"/>
        </w:tabs>
        <w:numPr>
          <w:ilvl w:val="0"/>
          <w:numId w:val="5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PARI may not subcontract any of the Services under a Work Order without first obtaining Avalyn’s prior written consent. PARI shall at all times remain responsible and liable for the performance and compliance of its permitted subcontractors with this Agreement and the applicable Work Order.”</w:t>
      </w:r>
    </w:p>
    <w:p>
      <w:pPr>
        <w:spacing w:after="0" w:line="287"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627" w:name="page628"/>
    <w:bookmarkEnd w:id="627"/>
    <w:p>
      <w:pPr>
        <w:ind w:left="2600" w:hanging="367"/>
        <w:spacing w:after="0"/>
        <w:tabs>
          <w:tab w:leader="none" w:pos="2600" w:val="left"/>
        </w:tabs>
        <w:numPr>
          <w:ilvl w:val="0"/>
          <w:numId w:val="5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section shall be added to the Agreement as Section 1.6 and shall read</w:t>
      </w:r>
    </w:p>
    <w:p>
      <w:pPr>
        <w:spacing w:after="0" w:line="23" w:lineRule="exact"/>
        <w:rPr>
          <w:rFonts w:ascii="Times New Roman" w:cs="Times New Roman" w:eastAsia="Times New Roman" w:hAnsi="Times New Roman"/>
          <w:sz w:val="16"/>
          <w:szCs w:val="16"/>
          <w:color w:val="auto"/>
        </w:rPr>
      </w:pPr>
    </w:p>
    <w:p>
      <w:pPr>
        <w:ind w:left="1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 follows: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 xml:space="preserve">“1.6 </w:t>
      </w:r>
      <w:r>
        <w:rPr>
          <w:rFonts w:ascii="Times New Roman" w:cs="Times New Roman" w:eastAsia="Times New Roman" w:hAnsi="Times New Roman"/>
          <w:sz w:val="17"/>
          <w:szCs w:val="17"/>
          <w:u w:val="single" w:color="auto"/>
          <w:color w:val="auto"/>
        </w:rPr>
        <w:t>Payment of Fees and Expenses:</w:t>
      </w:r>
    </w:p>
    <w:p>
      <w:pPr>
        <w:spacing w:after="0" w:line="162" w:lineRule="exact"/>
        <w:rPr>
          <w:sz w:val="20"/>
          <w:szCs w:val="20"/>
          <w:color w:val="auto"/>
        </w:rPr>
      </w:pPr>
    </w:p>
    <w:p>
      <w:pPr>
        <w:jc w:val="both"/>
        <w:ind w:left="1720" w:right="1239" w:hanging="496"/>
        <w:spacing w:after="0" w:line="238" w:lineRule="auto"/>
        <w:tabs>
          <w:tab w:leader="none" w:pos="172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Avalyn shall pay to PARI the amounts specified in any Work Order for the Services performed in accordance with this Agreement, and unless otherwise set forth in the Work Order, the hourly rate shall be [***] per Billable Hour. “</w:t>
      </w:r>
      <w:r>
        <w:rPr>
          <w:rFonts w:ascii="Times New Roman" w:cs="Times New Roman" w:eastAsia="Times New Roman" w:hAnsi="Times New Roman"/>
          <w:sz w:val="17"/>
          <w:szCs w:val="17"/>
          <w:u w:val="single" w:color="auto"/>
          <w:color w:val="auto"/>
        </w:rPr>
        <w:t>Billable Hour</w:t>
      </w:r>
      <w:r>
        <w:rPr>
          <w:rFonts w:ascii="Times New Roman" w:cs="Times New Roman" w:eastAsia="Times New Roman" w:hAnsi="Times New Roman"/>
          <w:sz w:val="17"/>
          <w:szCs w:val="17"/>
          <w:color w:val="auto"/>
        </w:rPr>
        <w:t>” means an hour (60 minutes, calculated pro rata in 10 minute increments, rounded up to the next 10 minute increment of billable time) of activities performed by or on behalf of PARI in accordance with this Agreement and the relevant Work Order.</w:t>
      </w:r>
    </w:p>
    <w:p>
      <w:pPr>
        <w:spacing w:after="0" w:line="140" w:lineRule="exact"/>
        <w:rPr>
          <w:rFonts w:ascii="Times New Roman" w:cs="Times New Roman" w:eastAsia="Times New Roman" w:hAnsi="Times New Roman"/>
          <w:sz w:val="17"/>
          <w:szCs w:val="17"/>
          <w:color w:val="auto"/>
        </w:rPr>
      </w:pPr>
    </w:p>
    <w:p>
      <w:pPr>
        <w:jc w:val="both"/>
        <w:ind w:left="1720" w:right="1239" w:hanging="496"/>
        <w:spacing w:after="0" w:line="237" w:lineRule="auto"/>
        <w:tabs>
          <w:tab w:leader="none" w:pos="172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Avalyn shall reimburse PARI for reasonable expenses paid or incurred directly by PARI in connection with performing the Services and that are specified in the relevant Work Order or otherwise approved in writing in advance by Avalyn, provided that such expenses are documented and incurred by reason of the delivery of Services requested in the Work Order. For clarity, Avalyn shall not be obligated to pay any amounts in excess of the amounts specified in a Work Order and in accordance with Section 1.4(c) unless such excess amounts have been approved in writing in advance by Avalyn.</w:t>
      </w:r>
    </w:p>
    <w:p>
      <w:pPr>
        <w:spacing w:after="0" w:line="141" w:lineRule="exact"/>
        <w:rPr>
          <w:rFonts w:ascii="Times New Roman" w:cs="Times New Roman" w:eastAsia="Times New Roman" w:hAnsi="Times New Roman"/>
          <w:sz w:val="17"/>
          <w:szCs w:val="17"/>
          <w:color w:val="auto"/>
        </w:rPr>
      </w:pPr>
    </w:p>
    <w:p>
      <w:pPr>
        <w:ind w:left="1720" w:hanging="496"/>
        <w:spacing w:after="0"/>
        <w:tabs>
          <w:tab w:leader="none" w:pos="1720" w:val="left"/>
        </w:tabs>
        <w:numPr>
          <w:ilvl w:val="0"/>
          <w:numId w:val="5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Invoices</w:t>
      </w:r>
    </w:p>
    <w:p>
      <w:pPr>
        <w:spacing w:after="0" w:line="161" w:lineRule="exact"/>
        <w:rPr>
          <w:rFonts w:ascii="Times New Roman" w:cs="Times New Roman" w:eastAsia="Times New Roman" w:hAnsi="Times New Roman"/>
          <w:sz w:val="17"/>
          <w:szCs w:val="17"/>
          <w:color w:val="auto"/>
        </w:rPr>
      </w:pPr>
    </w:p>
    <w:p>
      <w:pPr>
        <w:jc w:val="both"/>
        <w:ind w:left="1720" w:right="1239"/>
        <w:spacing w:after="0" w:line="2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PARI will keep a timesheet of the time spent on the agreed Services and will invoice Avalyn upon completion of the relevant Services or on a monthly basis or other invoice term as may be agreed by the Parties and set forth in the relevant Work Order.</w:t>
      </w:r>
    </w:p>
    <w:p>
      <w:pPr>
        <w:spacing w:after="0" w:line="135" w:lineRule="exact"/>
        <w:rPr>
          <w:sz w:val="20"/>
          <w:szCs w:val="20"/>
          <w:color w:val="auto"/>
        </w:rPr>
      </w:pPr>
    </w:p>
    <w:p>
      <w:pPr>
        <w:jc w:val="both"/>
        <w:ind w:left="1720" w:right="1239"/>
        <w:spacing w:after="0" w:line="234" w:lineRule="auto"/>
        <w:rPr>
          <w:sz w:val="20"/>
          <w:szCs w:val="20"/>
          <w:color w:val="auto"/>
        </w:rPr>
      </w:pPr>
      <w:r>
        <w:rPr>
          <w:rFonts w:ascii="Times New Roman" w:cs="Times New Roman" w:eastAsia="Times New Roman" w:hAnsi="Times New Roman"/>
          <w:sz w:val="17"/>
          <w:szCs w:val="17"/>
          <w:color w:val="auto"/>
        </w:rPr>
        <w:t>(ii)Each payment shall be made within [***] from Avalyn’s receipt of PARI’s invoice and bank account. Each invoice must be detailed and consistent with the relevant Work Order and/or Device Order, and the reference number of the Work Order and/or Device Order shall be mentioned. Amounts set forth in each Work Order or Device Order (unless the Services or Materials, as applicable, are supplied by PRE for use within the United States of America or Canada) will be invoiced and payable in Euros and payment by Avalyn shall be made in Euros. The Materials, which are intended for use within the United States of America and/or Canada will be invoiced and payable in US Dollars. The conversion of Euros to US Dollars will be based on the exchange rate published by the European Central Bank on the date of the last signature of the respective Work Order and/or Device Order. Avalyn may, in good faith, dispute any amount invoiced under this Agreement by notifying PARI within [***] of receipt of the applicable invoice and shall specify the particular respects in which such invoice is inaccurate or inappropriate. The Parties shall thereafter negotiate in good faith to resolve any such dispute and shall exchange all documentation that may assist with such resolution. Upon resolution of any such dispute, Avalyn shall make the agreed upon payment (if any) within [***] of such resolution.</w:t>
      </w:r>
    </w:p>
    <w:p>
      <w:pPr>
        <w:spacing w:after="0" w:line="145" w:lineRule="exact"/>
        <w:rPr>
          <w:sz w:val="20"/>
          <w:szCs w:val="20"/>
          <w:color w:val="auto"/>
        </w:rPr>
      </w:pPr>
    </w:p>
    <w:p>
      <w:pPr>
        <w:jc w:val="both"/>
        <w:ind w:left="1720" w:right="1239"/>
        <w:spacing w:after="0" w:line="246" w:lineRule="auto"/>
        <w:rPr>
          <w:sz w:val="20"/>
          <w:szCs w:val="20"/>
          <w:color w:val="auto"/>
        </w:rPr>
      </w:pPr>
      <w:r>
        <w:rPr>
          <w:rFonts w:ascii="Times New Roman" w:cs="Times New Roman" w:eastAsia="Times New Roman" w:hAnsi="Times New Roman"/>
          <w:sz w:val="17"/>
          <w:szCs w:val="17"/>
          <w:color w:val="auto"/>
        </w:rPr>
        <w:t>(iii)It is understood and agreed by the Parties that any undisputed payment by Avalyn of the fees, any undisputed expenses set forth in Section 1.6 (b), or any Device Order fee, which is not paid when due, shall bear interest equal to the prime rate as reported by the</w:t>
      </w:r>
    </w:p>
    <w:p>
      <w:pPr>
        <w:spacing w:after="0" w:line="28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628" w:name="page629"/>
    <w:bookmarkEnd w:id="628"/>
    <w:p>
      <w:pPr>
        <w:jc w:val="both"/>
        <w:ind w:left="1720" w:right="1239" w:firstLine="181"/>
        <w:spacing w:after="0" w:line="246" w:lineRule="auto"/>
        <w:rPr>
          <w:sz w:val="20"/>
          <w:szCs w:val="20"/>
          <w:color w:val="auto"/>
        </w:rPr>
      </w:pPr>
      <w:r>
        <w:rPr>
          <w:rFonts w:ascii="Times New Roman" w:cs="Times New Roman" w:eastAsia="Times New Roman" w:hAnsi="Times New Roman"/>
          <w:sz w:val="17"/>
          <w:szCs w:val="17"/>
          <w:color w:val="auto"/>
        </w:rPr>
        <w:t>European Central Bank, on the date such payment is due (but in no event less than zero percent (0%)), plus an additional [***] per year, calculated on the number of days such payment is delinquent.</w:t>
      </w:r>
    </w:p>
    <w:p>
      <w:pPr>
        <w:spacing w:after="0" w:line="135" w:lineRule="exact"/>
        <w:rPr>
          <w:sz w:val="20"/>
          <w:szCs w:val="20"/>
          <w:color w:val="auto"/>
        </w:rPr>
      </w:pPr>
    </w:p>
    <w:p>
      <w:pPr>
        <w:jc w:val="both"/>
        <w:ind w:left="1720" w:right="1239"/>
        <w:spacing w:after="0" w:line="252" w:lineRule="auto"/>
        <w:rPr>
          <w:sz w:val="20"/>
          <w:szCs w:val="20"/>
          <w:color w:val="auto"/>
        </w:rPr>
      </w:pPr>
      <w:r>
        <w:rPr>
          <w:rFonts w:ascii="Times New Roman" w:cs="Times New Roman" w:eastAsia="Times New Roman" w:hAnsi="Times New Roman"/>
          <w:sz w:val="16"/>
          <w:szCs w:val="16"/>
          <w:color w:val="auto"/>
        </w:rPr>
        <w:t>(iv)PARI shall be responsible for taxes, including import taxes and withholding taxes, arising from compensation and other amounts paid by Avalyn to PARI under this Agreement. Avalyn may withhold from payments to PARI amounts for payment of any withholding tax that is required by law to be paid to any taxing authority with respect to such payments. Avalyn shall provide to PARI all necessary documents and correspondence and written evidence to demonstrate the payment of such tax, and shall also provide to PARI any other co-operation or assistance before or after the payment of such tax, as may be necessary to enable PARI to claim exemption from such withholding taxes and to receive a full refund of such withholding tax or claim a foreign tax credit.”</w:t>
      </w:r>
    </w:p>
    <w:p>
      <w:pPr>
        <w:spacing w:after="0" w:line="133" w:lineRule="exact"/>
        <w:rPr>
          <w:sz w:val="20"/>
          <w:szCs w:val="20"/>
          <w:color w:val="auto"/>
        </w:rPr>
      </w:pPr>
    </w:p>
    <w:p>
      <w:pPr>
        <w:ind w:left="2600" w:hanging="367"/>
        <w:spacing w:after="0"/>
        <w:tabs>
          <w:tab w:leader="none" w:pos="2600" w:val="left"/>
        </w:tabs>
        <w:numPr>
          <w:ilvl w:val="0"/>
          <w:numId w:val="5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new section shall be added to the Agreement as Section 3.5 and shall read</w:t>
      </w:r>
    </w:p>
    <w:p>
      <w:pPr>
        <w:spacing w:after="0" w:line="23" w:lineRule="exact"/>
        <w:rPr>
          <w:rFonts w:ascii="Times New Roman" w:cs="Times New Roman" w:eastAsia="Times New Roman" w:hAnsi="Times New Roman"/>
          <w:sz w:val="16"/>
          <w:szCs w:val="16"/>
          <w:color w:val="auto"/>
        </w:rPr>
      </w:pPr>
    </w:p>
    <w:p>
      <w:pPr>
        <w:ind w:left="17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as follows: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Ownership of Deliverables</w:t>
      </w:r>
    </w:p>
    <w:p>
      <w:pPr>
        <w:spacing w:after="0" w:line="162" w:lineRule="exact"/>
        <w:rPr>
          <w:sz w:val="20"/>
          <w:szCs w:val="20"/>
          <w:color w:val="auto"/>
        </w:rPr>
      </w:pPr>
    </w:p>
    <w:p>
      <w:pPr>
        <w:jc w:val="both"/>
        <w:ind w:left="1720" w:right="1239" w:hanging="496"/>
        <w:spacing w:after="0" w:line="235" w:lineRule="auto"/>
        <w:tabs>
          <w:tab w:leader="none" w:pos="1720" w:val="left"/>
        </w:tabs>
        <w:numPr>
          <w:ilvl w:val="0"/>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Deliverables</w:t>
      </w:r>
      <w:r>
        <w:rPr>
          <w:rFonts w:ascii="Times New Roman" w:cs="Times New Roman" w:eastAsia="Times New Roman" w:hAnsi="Times New Roman"/>
          <w:sz w:val="17"/>
          <w:szCs w:val="17"/>
          <w:color w:val="auto"/>
        </w:rPr>
        <w:t>” means information, data, writings, test results, and similar information or other work products, whether or not patentable or copyrightable, that is generated, developed, perfected or designed by or on behalf of PARI, either solely or jointly with others, in the course of, as a result of or otherwise arising from the Services and as set forth in a Work Order. Without Avalyn’s prior written consent, PARI shall not engage in any activities, on its own or in collaboration with a third party, or use any third party facilities in performing the Services which could result in claims of ownership to any Deliverables being made by such third party. PARI represents and warrants to Avalyn that all persons performing the Services under this Agreement have assigned or are under an obligation to assign their rights in any Deliverables to PARI.</w:t>
      </w:r>
    </w:p>
    <w:p>
      <w:pPr>
        <w:spacing w:after="0" w:line="146" w:lineRule="exact"/>
        <w:rPr>
          <w:rFonts w:ascii="Times New Roman" w:cs="Times New Roman" w:eastAsia="Times New Roman" w:hAnsi="Times New Roman"/>
          <w:sz w:val="17"/>
          <w:szCs w:val="17"/>
          <w:color w:val="auto"/>
        </w:rPr>
      </w:pPr>
    </w:p>
    <w:p>
      <w:pPr>
        <w:jc w:val="both"/>
        <w:ind w:left="1720" w:right="1239"/>
        <w:spacing w:after="0" w:line="23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Avalyn shall exclusively own (a) all Deliverables which are solely and specifically related to the Avalyn Property and (b) all intellectual property rights therein. PARI shall exclusively own (i) all other Deliverables and (ii) all intellectual property rights therein. PARI hereby assigns to Avalyn all of PARI’s rights to and interest in any Deliverables which are solely and specifically related to Avalyn Property. To the extent that any of Avalyn’s ownership rights contemplated under this Section 3.5(b) are not perfected, fail to arise, revert or terminate by operation of law, then in lieu of such ownership rights, PARI hereby grants to Avalyn an irrevocable, perpetual, worldwide, fully paid-up, exclusive (even as to PARI), sublicensable (through multiple tiers), transferable license to all rights, title and interest in the Deliverables solely and specifically related to Avalyn Property for which such ownership rights failed to arise, reverted or terminated by operation of law. (b) PARI hereby grants to Avalyn a non-exclusive, perpetual, irrevocable, world-wide, license to use the Deliverables internally for the Evaluation Purpose and to reference Deliverables solely for the purpose of submitting and filing such Deliverables or parts thereof with the US Food and Drug Administration (FDA) or any other regulatory authority in connection with the Avalyn Rights for administration via the Material or any other eFlow technology nebulizer solely for clinical trial applications and in no case for marketing authorization</w:t>
      </w:r>
    </w:p>
    <w:p>
      <w:pPr>
        <w:spacing w:after="0" w:line="29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629" w:name="page630"/>
    <w:bookmarkEnd w:id="629"/>
    <w:p>
      <w:pPr>
        <w:ind w:left="1720" w:right="1239"/>
        <w:spacing w:after="0" w:line="259" w:lineRule="auto"/>
        <w:rPr>
          <w:sz w:val="20"/>
          <w:szCs w:val="20"/>
          <w:color w:val="auto"/>
        </w:rPr>
      </w:pPr>
      <w:r>
        <w:rPr>
          <w:rFonts w:ascii="Times New Roman" w:cs="Times New Roman" w:eastAsia="Times New Roman" w:hAnsi="Times New Roman"/>
          <w:sz w:val="17"/>
          <w:szCs w:val="17"/>
          <w:color w:val="auto"/>
        </w:rPr>
        <w:t>applications. The use of the Deliverables is subject to the restrictions set forth in Section 3.3 for Study Results which shall apply mutatis mutandis.”</w:t>
      </w:r>
    </w:p>
    <w:p>
      <w:pPr>
        <w:spacing w:after="0" w:line="125" w:lineRule="exact"/>
        <w:rPr>
          <w:sz w:val="20"/>
          <w:szCs w:val="20"/>
          <w:color w:val="auto"/>
        </w:rPr>
      </w:pPr>
    </w:p>
    <w:p>
      <w:pPr>
        <w:ind w:left="1720" w:right="1239" w:firstLine="513"/>
        <w:spacing w:after="0" w:line="259" w:lineRule="auto"/>
        <w:tabs>
          <w:tab w:leader="none" w:pos="2588" w:val="left"/>
        </w:tabs>
        <w:numPr>
          <w:ilvl w:val="0"/>
          <w:numId w:val="5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section shall be added to the Agreement as Section 6.15 and shall read as follows:</w:t>
      </w:r>
    </w:p>
    <w:p>
      <w:pPr>
        <w:spacing w:after="0" w:line="125" w:lineRule="exact"/>
        <w:rPr>
          <w:sz w:val="20"/>
          <w:szCs w:val="20"/>
          <w:color w:val="auto"/>
        </w:rPr>
      </w:pPr>
    </w:p>
    <w:p>
      <w:pPr>
        <w:jc w:val="both"/>
        <w:ind w:left="1720" w:right="1239"/>
        <w:spacing w:after="0" w:line="239" w:lineRule="auto"/>
        <w:rPr>
          <w:sz w:val="20"/>
          <w:szCs w:val="20"/>
          <w:color w:val="auto"/>
        </w:rPr>
      </w:pPr>
      <w:r>
        <w:rPr>
          <w:rFonts w:ascii="Times New Roman" w:cs="Times New Roman" w:eastAsia="Times New Roman" w:hAnsi="Times New Roman"/>
          <w:sz w:val="17"/>
          <w:szCs w:val="17"/>
          <w:color w:val="auto"/>
        </w:rPr>
        <w:t>“6.15 As of the Amendment No. 2 Effective Date, PARI represents that it has not received any currently outstanding or unresolved written notice from third parties that its Material (i) infringes any third party patents; (ii) misappropriates any know-how belonging to a third party, or (iii) makes unauthorized use of any confidential information belonging to a third party.”</w:t>
      </w:r>
    </w:p>
    <w:p>
      <w:pPr>
        <w:spacing w:after="0" w:line="141" w:lineRule="exact"/>
        <w:rPr>
          <w:sz w:val="20"/>
          <w:szCs w:val="20"/>
          <w:color w:val="auto"/>
        </w:rPr>
      </w:pPr>
    </w:p>
    <w:p>
      <w:pPr>
        <w:ind w:left="1720" w:right="1239" w:firstLine="513"/>
        <w:spacing w:after="0" w:line="259" w:lineRule="auto"/>
        <w:tabs>
          <w:tab w:leader="none" w:pos="2588" w:val="left"/>
        </w:tabs>
        <w:numPr>
          <w:ilvl w:val="0"/>
          <w:numId w:val="5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sentence of Section 6.1 (</w:t>
      </w:r>
      <w:r>
        <w:rPr>
          <w:rFonts w:ascii="Times New Roman" w:cs="Times New Roman" w:eastAsia="Times New Roman" w:hAnsi="Times New Roman"/>
          <w:sz w:val="17"/>
          <w:szCs w:val="17"/>
          <w:u w:val="single" w:color="auto"/>
          <w:color w:val="auto"/>
        </w:rPr>
        <w:t>Term and Termination</w:t>
      </w:r>
      <w:r>
        <w:rPr>
          <w:rFonts w:ascii="Times New Roman" w:cs="Times New Roman" w:eastAsia="Times New Roman" w:hAnsi="Times New Roman"/>
          <w:sz w:val="17"/>
          <w:szCs w:val="17"/>
          <w:color w:val="auto"/>
        </w:rPr>
        <w:t>) of the Agreement shall be deleted and replaced with the following sentence:</w:t>
      </w:r>
    </w:p>
    <w:p>
      <w:pPr>
        <w:spacing w:after="0" w:line="135" w:lineRule="exact"/>
        <w:rPr>
          <w:sz w:val="20"/>
          <w:szCs w:val="20"/>
          <w:color w:val="auto"/>
        </w:rPr>
      </w:pPr>
    </w:p>
    <w:p>
      <w:pPr>
        <w:ind w:left="1720" w:right="1239"/>
        <w:spacing w:after="0" w:line="217" w:lineRule="auto"/>
        <w:rPr>
          <w:sz w:val="20"/>
          <w:szCs w:val="20"/>
          <w:color w:val="auto"/>
        </w:rPr>
      </w:pPr>
      <w:r>
        <w:rPr>
          <w:rFonts w:ascii="Times New Roman" w:cs="Times New Roman" w:eastAsia="Times New Roman" w:hAnsi="Times New Roman"/>
          <w:sz w:val="17"/>
          <w:szCs w:val="17"/>
          <w:color w:val="auto"/>
        </w:rPr>
        <w:t>“This Agreement shall expire on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2027 unless otherwise agreed to in writing by the Parties.”</w:t>
      </w:r>
    </w:p>
    <w:p>
      <w:pPr>
        <w:spacing w:after="0" w:line="141" w:lineRule="exact"/>
        <w:rPr>
          <w:sz w:val="20"/>
          <w:szCs w:val="20"/>
          <w:color w:val="auto"/>
        </w:rPr>
      </w:pPr>
    </w:p>
    <w:p>
      <w:pPr>
        <w:ind w:left="1720" w:right="1239" w:firstLine="513"/>
        <w:spacing w:after="0" w:line="259" w:lineRule="auto"/>
        <w:tabs>
          <w:tab w:leader="none" w:pos="2588" w:val="left"/>
        </w:tabs>
        <w:numPr>
          <w:ilvl w:val="0"/>
          <w:numId w:val="5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last sentence of Section 6.1 (</w:t>
      </w:r>
      <w:r>
        <w:rPr>
          <w:rFonts w:ascii="Times New Roman" w:cs="Times New Roman" w:eastAsia="Times New Roman" w:hAnsi="Times New Roman"/>
          <w:sz w:val="17"/>
          <w:szCs w:val="17"/>
          <w:u w:val="single" w:color="auto"/>
          <w:color w:val="auto"/>
        </w:rPr>
        <w:t>Term and Termination</w:t>
      </w:r>
      <w:r>
        <w:rPr>
          <w:rFonts w:ascii="Times New Roman" w:cs="Times New Roman" w:eastAsia="Times New Roman" w:hAnsi="Times New Roman"/>
          <w:sz w:val="17"/>
          <w:szCs w:val="17"/>
          <w:color w:val="auto"/>
        </w:rPr>
        <w:t>) of the Agreement the following sentences shall be inserted:</w:t>
      </w:r>
    </w:p>
    <w:p>
      <w:pPr>
        <w:spacing w:after="0" w:line="125" w:lineRule="exact"/>
        <w:rPr>
          <w:sz w:val="20"/>
          <w:szCs w:val="20"/>
          <w:color w:val="auto"/>
        </w:rPr>
      </w:pPr>
    </w:p>
    <w:p>
      <w:pPr>
        <w:jc w:val="both"/>
        <w:ind w:left="1720" w:right="1239"/>
        <w:spacing w:after="0" w:line="252" w:lineRule="auto"/>
        <w:rPr>
          <w:sz w:val="20"/>
          <w:szCs w:val="20"/>
          <w:color w:val="auto"/>
        </w:rPr>
      </w:pPr>
      <w:r>
        <w:rPr>
          <w:rFonts w:ascii="Times New Roman" w:cs="Times New Roman" w:eastAsia="Times New Roman" w:hAnsi="Times New Roman"/>
          <w:sz w:val="16"/>
          <w:szCs w:val="16"/>
          <w:color w:val="auto"/>
        </w:rPr>
        <w:t>“Upon any termination of this Agreement, (a) Avalyn shall pay PARI, within [***] of receipt by Avalyn of an itemized invoice detailing the charges for all Services performed and all Devices delivered, in each case, in accordance with this Agreement prior to the effective date of the termination and reimburse PARI for all costs and expenses incurred in performing those Services in accordance with this Agreement up to the effective date of such termination, provided that PARI shall use reasonable efforts to mitigate all such costs and expenses as of the date PARI receives or dispatches a notice of termination under this Agreement; and (b) PARI shall [***] refund to Avalyn any payments made by Avalyn for Services not performed (excluding reasonable wind-down costs) by PARI.”</w:t>
      </w:r>
    </w:p>
    <w:p>
      <w:pPr>
        <w:spacing w:after="0" w:line="133" w:lineRule="exact"/>
        <w:rPr>
          <w:sz w:val="20"/>
          <w:szCs w:val="20"/>
          <w:color w:val="auto"/>
        </w:rPr>
      </w:pPr>
    </w:p>
    <w:p>
      <w:pPr>
        <w:jc w:val="center"/>
        <w:ind w:right="-100"/>
        <w:spacing w:after="0"/>
        <w:tabs>
          <w:tab w:leader="none" w:pos="14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6"/>
          <w:szCs w:val="16"/>
          <w:color w:val="auto"/>
        </w:rPr>
        <w:t>In Section 6.2, the following sentence shall be added at the end:</w:t>
      </w:r>
    </w:p>
    <w:p>
      <w:pPr>
        <w:spacing w:after="0" w:line="162" w:lineRule="exact"/>
        <w:rPr>
          <w:sz w:val="20"/>
          <w:szCs w:val="20"/>
          <w:color w:val="auto"/>
        </w:rPr>
      </w:pPr>
    </w:p>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“SECTION 6.2 SHALL NOT BE CONSTRUED TO LIMIT EITHER PARTY’S INDEMNIFICATION OBLIGATIONS UNDER SECTION 6.3, BREACH OF SECTION 2 OR GROSS NEGLIGENCE OR INTENTIONAL MISCONDUCT.”</w:t>
      </w:r>
    </w:p>
    <w:p>
      <w:pPr>
        <w:spacing w:after="0" w:line="135" w:lineRule="exact"/>
        <w:rPr>
          <w:sz w:val="20"/>
          <w:szCs w:val="20"/>
          <w:color w:val="auto"/>
        </w:rPr>
      </w:pPr>
    </w:p>
    <w:p>
      <w:pPr>
        <w:ind w:left="1720" w:right="1239" w:firstLine="513"/>
        <w:spacing w:after="0" w:line="259" w:lineRule="auto"/>
        <w:tabs>
          <w:tab w:leader="none" w:pos="2588" w:val="left"/>
        </w:tabs>
        <w:numPr>
          <w:ilvl w:val="0"/>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6.3, sequential number (ii) of the Agreement, after the words “Study Results”, the words “ or Deliverables” shall be added.</w:t>
      </w:r>
    </w:p>
    <w:p>
      <w:pPr>
        <w:spacing w:after="0" w:line="124" w:lineRule="exact"/>
        <w:rPr>
          <w:rFonts w:ascii="Times New Roman" w:cs="Times New Roman" w:eastAsia="Times New Roman" w:hAnsi="Times New Roman"/>
          <w:sz w:val="17"/>
          <w:szCs w:val="17"/>
          <w:color w:val="auto"/>
        </w:rPr>
      </w:pPr>
    </w:p>
    <w:p>
      <w:pPr>
        <w:ind w:left="2600" w:hanging="367"/>
        <w:spacing w:after="0"/>
        <w:tabs>
          <w:tab w:leader="none" w:pos="2600" w:val="left"/>
        </w:tabs>
        <w:numPr>
          <w:ilvl w:val="0"/>
          <w:numId w:val="5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6.3, the following sentence shall be added at the end:</w:t>
      </w:r>
    </w:p>
    <w:p>
      <w:pPr>
        <w:spacing w:after="0" w:line="162"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6"/>
          <w:szCs w:val="16"/>
          <w:color w:val="auto"/>
        </w:rPr>
        <w:t>“PARI agrees to defend, indemnify and hold harmless Avalyn, its affiliates and each of their respective officers, directors, employees and agents from and against any and all Claims arising out of PARI’s (A) breach of this Agreement, or (B) negligence or willful misconduct. Notwithstanding the foregoing, PARI shall have no obligation under this Section 6.3 to the extent any such Claims were the result of the willful misconduct or gross negligence of Avalyn.”</w:t>
      </w:r>
    </w:p>
    <w:p>
      <w:pPr>
        <w:spacing w:after="0" w:line="27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630" w:name="page631"/>
    <w:bookmarkEnd w:id="630"/>
    <w:p>
      <w:pPr>
        <w:ind w:left="1720" w:right="1239" w:firstLine="513"/>
        <w:spacing w:after="0" w:line="259" w:lineRule="auto"/>
        <w:tabs>
          <w:tab w:leader="none" w:pos="2588" w:val="left"/>
        </w:tabs>
        <w:numPr>
          <w:ilvl w:val="0"/>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section shall be added to the Agreement as Section 6.15 and shall read as follows:</w:t>
      </w:r>
    </w:p>
    <w:p>
      <w:pPr>
        <w:spacing w:after="0" w:line="125"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color w:val="auto"/>
        </w:rPr>
        <w:t>“6.15 “</w:t>
      </w:r>
      <w:r>
        <w:rPr>
          <w:rFonts w:ascii="Times New Roman" w:cs="Times New Roman" w:eastAsia="Times New Roman" w:hAnsi="Times New Roman"/>
          <w:sz w:val="17"/>
          <w:szCs w:val="17"/>
          <w:u w:val="single" w:color="auto"/>
          <w:color w:val="auto"/>
        </w:rPr>
        <w:t>Debarment</w:t>
      </w:r>
      <w:r>
        <w:rPr>
          <w:rFonts w:ascii="Times New Roman" w:cs="Times New Roman" w:eastAsia="Times New Roman" w:hAnsi="Times New Roman"/>
          <w:sz w:val="17"/>
          <w:szCs w:val="17"/>
          <w:color w:val="auto"/>
        </w:rPr>
        <w:t>. PARI hereby represents and warrants that it has not been debarred under the provisions of 21 United States Code § 335a or any foreign equivalent thereof (“</w:t>
      </w:r>
      <w:r>
        <w:rPr>
          <w:rFonts w:ascii="Times New Roman" w:cs="Times New Roman" w:eastAsia="Times New Roman" w:hAnsi="Times New Roman"/>
          <w:sz w:val="17"/>
          <w:szCs w:val="17"/>
          <w:u w:val="single" w:color="auto"/>
          <w:color w:val="auto"/>
        </w:rPr>
        <w:t>Debarred</w:t>
      </w:r>
      <w:r>
        <w:rPr>
          <w:rFonts w:ascii="Times New Roman" w:cs="Times New Roman" w:eastAsia="Times New Roman" w:hAnsi="Times New Roman"/>
          <w:sz w:val="17"/>
          <w:szCs w:val="17"/>
          <w:color w:val="auto"/>
        </w:rPr>
        <w:t>”). In the event that during the term of this Agreement PARI becomes Debarred or receives notice of action or threat of action to have PARI Debarred, PARI agrees to notify Avalyn immediately. In either such event, Avalyn will have the right to terminate this Agreement immediately upon written notice to PARI. PARI further represents and warrants that it has not used, and covenants that it will not use, in any capacity, the services of any individual, corporation, partnership, institution or association which has been Debarred. In the event PARI becomes aware that any individual, corporation, partnership, institution or association providing services to PARI which directly or indirectly relate to PARI’s activities under this Agreement has been Debarred, or has received notice of action or threat of action to have such entity Debarred, PARI will notify Avalyn immediately, in which event Avalyn will have the right to terminate this Agreement immediately upon written notice to PARI.”</w:t>
      </w:r>
    </w:p>
    <w:p>
      <w:pPr>
        <w:spacing w:after="0" w:line="140" w:lineRule="exact"/>
        <w:rPr>
          <w:sz w:val="20"/>
          <w:szCs w:val="20"/>
          <w:color w:val="auto"/>
        </w:rPr>
      </w:pPr>
    </w:p>
    <w:p>
      <w:pPr>
        <w:ind w:left="1720" w:right="1239" w:firstLine="513"/>
        <w:spacing w:after="0" w:line="259" w:lineRule="auto"/>
        <w:tabs>
          <w:tab w:leader="none" w:pos="2588" w:val="left"/>
        </w:tabs>
        <w:numPr>
          <w:ilvl w:val="0"/>
          <w:numId w:val="5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new section shall be added to the Agreement as Section 6.16 and shall read as follows:</w:t>
      </w:r>
    </w:p>
    <w:p>
      <w:pPr>
        <w:spacing w:after="0" w:line="125" w:lineRule="exact"/>
        <w:rPr>
          <w:sz w:val="20"/>
          <w:szCs w:val="20"/>
          <w:color w:val="auto"/>
        </w:rPr>
      </w:pPr>
    </w:p>
    <w:p>
      <w:pPr>
        <w:jc w:val="both"/>
        <w:ind w:left="1220" w:right="1239" w:firstLine="505"/>
        <w:spacing w:after="0" w:line="253" w:lineRule="auto"/>
        <w:rPr>
          <w:sz w:val="20"/>
          <w:szCs w:val="20"/>
          <w:color w:val="auto"/>
        </w:rPr>
      </w:pPr>
      <w:r>
        <w:rPr>
          <w:rFonts w:ascii="Times New Roman" w:cs="Times New Roman" w:eastAsia="Times New Roman" w:hAnsi="Times New Roman"/>
          <w:sz w:val="16"/>
          <w:szCs w:val="16"/>
          <w:color w:val="auto"/>
        </w:rPr>
        <w:t>“6.16 “</w:t>
      </w:r>
      <w:r>
        <w:rPr>
          <w:rFonts w:ascii="Times New Roman" w:cs="Times New Roman" w:eastAsia="Times New Roman" w:hAnsi="Times New Roman"/>
          <w:sz w:val="16"/>
          <w:szCs w:val="16"/>
          <w:u w:val="single" w:color="auto"/>
          <w:color w:val="auto"/>
        </w:rPr>
        <w:t>Headings; Interpretation</w:t>
      </w:r>
      <w:r>
        <w:rPr>
          <w:rFonts w:ascii="Times New Roman" w:cs="Times New Roman" w:eastAsia="Times New Roman" w:hAnsi="Times New Roman"/>
          <w:sz w:val="16"/>
          <w:szCs w:val="16"/>
          <w:color w:val="auto"/>
        </w:rPr>
        <w:t>. Headings are provided for convenience only and are not to be used in interpreting this Agreement. Whenever the context so requires, the use of the singular is deemed to include the plural and vice versa. The word “or” is disjunctive but not necessarily exclusive. The world “including” means “including, without limitation”. All references to days in this Agreement shall mean calendar days, unless otherwise specified. The word “will” shall be construed to have the same meaning and effect as the word “shall” wherever context requires. Ambiguities, if any, in this Agreement will not be construed against any Party, irrespective of which Party may be deemed to have authored the ambiguous provision.”</w:t>
      </w:r>
    </w:p>
    <w:p>
      <w:pPr>
        <w:spacing w:after="0" w:line="130" w:lineRule="exact"/>
        <w:rPr>
          <w:sz w:val="20"/>
          <w:szCs w:val="20"/>
          <w:color w:val="auto"/>
        </w:rPr>
      </w:pPr>
    </w:p>
    <w:p>
      <w:pPr>
        <w:ind w:left="1720" w:right="1239" w:firstLine="513"/>
        <w:spacing w:after="0" w:line="259" w:lineRule="auto"/>
        <w:tabs>
          <w:tab w:leader="none" w:pos="2588"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 B which is attached to this Amendment No. 2 shall be attached to the Agreement as Exhibit B and shall be incorporated therein.</w:t>
      </w:r>
    </w:p>
    <w:p>
      <w:pPr>
        <w:spacing w:after="0" w:line="124" w:lineRule="exact"/>
        <w:rPr>
          <w:rFonts w:ascii="Times New Roman" w:cs="Times New Roman" w:eastAsia="Times New Roman" w:hAnsi="Times New Roman"/>
          <w:sz w:val="17"/>
          <w:szCs w:val="17"/>
          <w:color w:val="auto"/>
        </w:rPr>
      </w:pPr>
    </w:p>
    <w:p>
      <w:pPr>
        <w:jc w:val="both"/>
        <w:ind w:left="1720" w:right="1239" w:firstLine="513"/>
        <w:spacing w:after="0" w:line="241" w:lineRule="auto"/>
        <w:tabs>
          <w:tab w:leader="none" w:pos="2588" w:val="left"/>
        </w:tabs>
        <w:numPr>
          <w:ilvl w:val="0"/>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execution, this Amendment No. 2 shall be made a part of the Agreement and shall be incorporated by reference. Except as provided herein, all other terms and conditions of the Agreement shall remain unchanged and in full force and effect.</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Follows</w:t>
      </w:r>
      <w:r>
        <w:rPr>
          <w:rFonts w:ascii="Times New Roman" w:cs="Times New Roman" w:eastAsia="Times New Roman" w:hAnsi="Times New Roman"/>
          <w:sz w:val="17"/>
          <w:szCs w:val="17"/>
          <w:color w:val="auto"/>
        </w:rPr>
        <w:t>]</w:t>
      </w:r>
    </w:p>
    <w:p>
      <w:pPr>
        <w:spacing w:after="0" w:line="31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631" w:name="page632"/>
    <w:bookmarkEnd w:id="631"/>
    <w:p>
      <w:pPr>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each of the Parties has caused this Amendment No. 2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by its duly authorized representatives.</w:t>
      </w:r>
    </w:p>
    <w:p>
      <w:pPr>
        <w:sectPr>
          <w:pgSz w:w="11900" w:h="16838" w:orient="portrait"/>
          <w:cols w:equalWidth="0" w:num="1">
            <w:col w:w="9019"/>
          </w:cols>
          <w:pgMar w:left="1440" w:top="129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b w:val="1"/>
          <w:bCs w:val="1"/>
          <w:color w:val="auto"/>
        </w:rPr>
        <w:t>PARI PHARMA GMBH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AVALYN PHARMA INC.</w:t>
      </w:r>
    </w:p>
    <w:p>
      <w:pPr>
        <w:spacing w:after="0" w:line="200" w:lineRule="exact"/>
        <w:rPr>
          <w:sz w:val="20"/>
          <w:szCs w:val="20"/>
          <w:color w:val="auto"/>
        </w:rPr>
      </w:pPr>
    </w:p>
    <w:p>
      <w:pPr>
        <w:sectPr>
          <w:pgSz w:w="11900" w:h="16838" w:orient="portrait"/>
          <w:cols w:equalWidth="0" w:num="2">
            <w:col w:w="4040" w:space="720"/>
            <w:col w:w="4259"/>
          </w:cols>
          <w:pgMar w:left="1440" w:top="1293" w:right="1440" w:bottom="1440" w:gutter="0" w:footer="0" w:header="0"/>
          <w:type w:val="continuous"/>
        </w:sectPr>
      </w:pP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p>
    <w:p>
      <w:pPr>
        <w:spacing w:after="0" w:line="200" w:lineRule="exact"/>
        <w:rPr>
          <w:sz w:val="20"/>
          <w:szCs w:val="20"/>
          <w:color w:val="auto"/>
        </w:rPr>
      </w:pPr>
    </w:p>
    <w:p>
      <w:pPr>
        <w:sectPr>
          <w:pgSz w:w="11900" w:h="16838" w:orient="portrait"/>
          <w:cols w:equalWidth="0" w:num="2">
            <w:col w:w="4060" w:space="720"/>
            <w:col w:w="4239"/>
          </w:cols>
          <w:pgMar w:left="1440" w:top="129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type w:val="continuous"/>
        </w:sectPr>
      </w:pPr>
    </w:p>
    <w:bookmarkStart w:id="632" w:name="page633"/>
    <w:bookmarkEnd w:id="63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B</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Work Order Template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Work Order No. [***] (rev. [***])</w:t>
      </w:r>
    </w:p>
    <w:p>
      <w:pPr>
        <w:spacing w:after="0" w:line="166" w:lineRule="exact"/>
        <w:rPr>
          <w:sz w:val="20"/>
          <w:szCs w:val="20"/>
          <w:color w:val="auto"/>
        </w:rPr>
      </w:pPr>
    </w:p>
    <w:p>
      <w:pPr>
        <w:jc w:val="both"/>
        <w:ind w:left="1220" w:right="1299"/>
        <w:spacing w:after="0" w:line="246" w:lineRule="auto"/>
        <w:rPr>
          <w:sz w:val="20"/>
          <w:szCs w:val="20"/>
          <w:color w:val="auto"/>
        </w:rPr>
      </w:pPr>
      <w:r>
        <w:rPr>
          <w:rFonts w:ascii="Times New Roman" w:cs="Times New Roman" w:eastAsia="Times New Roman" w:hAnsi="Times New Roman"/>
          <w:sz w:val="17"/>
          <w:szCs w:val="17"/>
          <w:color w:val="auto"/>
        </w:rPr>
        <w:t>This Work Order is generated in accordance to the Material Transfer Agreement effective as of January 23, 2020 (as amended), by and between AVALYN PHARMA INC. (formerly known as Genoa Pharmaceuticals, Inc.) and PARI PHARMA GmbH.</w:t>
      </w:r>
    </w:p>
    <w:p>
      <w:pPr>
        <w:spacing w:after="0" w:line="135" w:lineRule="exact"/>
        <w:rPr>
          <w:sz w:val="20"/>
          <w:szCs w:val="20"/>
          <w:color w:val="auto"/>
        </w:rPr>
      </w:pPr>
    </w:p>
    <w:p>
      <w:pPr>
        <w:ind w:left="1220" w:right="1479"/>
        <w:spacing w:after="0" w:line="259" w:lineRule="auto"/>
        <w:rPr>
          <w:sz w:val="20"/>
          <w:szCs w:val="20"/>
          <w:color w:val="auto"/>
        </w:rPr>
      </w:pPr>
      <w:r>
        <w:rPr>
          <w:rFonts w:ascii="Times New Roman" w:cs="Times New Roman" w:eastAsia="Times New Roman" w:hAnsi="Times New Roman"/>
          <w:sz w:val="17"/>
          <w:szCs w:val="17"/>
          <w:color w:val="auto"/>
        </w:rPr>
        <w:t>For the development of [[***]] ([[***]]) PARI will provide Services to Avalyn with regard to “Amendment No. 2” of above mentioned Material Transfer Agreement.</w:t>
      </w:r>
    </w:p>
    <w:p>
      <w:pPr>
        <w:spacing w:after="0" w:line="125" w:lineRule="exact"/>
        <w:rPr>
          <w:sz w:val="20"/>
          <w:szCs w:val="20"/>
          <w:color w:val="auto"/>
        </w:rPr>
      </w:pPr>
    </w:p>
    <w:p>
      <w:pPr>
        <w:ind w:left="2240" w:right="3879" w:firstLine="336"/>
        <w:spacing w:after="0" w:line="438" w:lineRule="auto"/>
        <w:rPr>
          <w:sz w:val="20"/>
          <w:szCs w:val="20"/>
          <w:color w:val="auto"/>
        </w:rPr>
      </w:pPr>
      <w:r>
        <w:rPr>
          <w:rFonts w:ascii="Times New Roman" w:cs="Times New Roman" w:eastAsia="Times New Roman" w:hAnsi="Times New Roman"/>
          <w:sz w:val="17"/>
          <w:szCs w:val="17"/>
          <w:color w:val="auto"/>
        </w:rPr>
        <w:t>Description of Tasks and Deliverables [***]</w:t>
      </w:r>
    </w:p>
    <w:p>
      <w:pPr>
        <w:spacing w:after="0" w:line="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Resources, Time &amp; Effort</w:t>
      </w:r>
    </w:p>
    <w:p>
      <w:pPr>
        <w:spacing w:after="0" w:line="16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Estimated Costs</w:t>
      </w:r>
    </w:p>
    <w:p>
      <w:pPr>
        <w:spacing w:after="0" w:line="162" w:lineRule="exact"/>
        <w:rPr>
          <w:sz w:val="20"/>
          <w:szCs w:val="20"/>
          <w:color w:val="auto"/>
        </w:rPr>
      </w:pPr>
    </w:p>
    <w:p>
      <w:pPr>
        <w:jc w:val="both"/>
        <w:ind w:left="1720" w:right="1299"/>
        <w:spacing w:after="0" w:line="246" w:lineRule="auto"/>
        <w:rPr>
          <w:sz w:val="20"/>
          <w:szCs w:val="20"/>
          <w:color w:val="auto"/>
        </w:rPr>
      </w:pPr>
      <w:r>
        <w:rPr>
          <w:rFonts w:ascii="Times New Roman" w:cs="Times New Roman" w:eastAsia="Times New Roman" w:hAnsi="Times New Roman"/>
          <w:sz w:val="17"/>
          <w:szCs w:val="17"/>
          <w:color w:val="auto"/>
        </w:rPr>
        <w:t>The Parties acknowledge and agree that the above total estimated cost is an estimate and the total actual cost invoiced under this Work Order shall not exceed such total estimated cost by more than ten percent (10%) without Avalyn’s prior written approval.</w:t>
      </w:r>
    </w:p>
    <w:p>
      <w:pPr>
        <w:spacing w:after="0" w:line="13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720" w:right="1419"/>
        <w:spacing w:after="0" w:line="246" w:lineRule="auto"/>
        <w:rPr>
          <w:sz w:val="20"/>
          <w:szCs w:val="20"/>
          <w:color w:val="auto"/>
        </w:rPr>
      </w:pPr>
      <w:r>
        <w:rPr>
          <w:rFonts w:ascii="Times New Roman" w:cs="Times New Roman" w:eastAsia="Times New Roman" w:hAnsi="Times New Roman"/>
          <w:sz w:val="17"/>
          <w:szCs w:val="17"/>
          <w:color w:val="auto"/>
        </w:rPr>
        <w:t>PARI will start to process in accordance to the items defined above after receipt of the countersigned Work Order in accordance to the Development Time Schedule provided. PARI hereby confirms that the Work Order reflects its best knowledge:</w:t>
      </w:r>
    </w:p>
    <w:p>
      <w:pPr>
        <w:spacing w:after="0" w:line="152" w:lineRule="exact"/>
        <w:rPr>
          <w:sz w:val="20"/>
          <w:szCs w:val="20"/>
          <w:color w:val="auto"/>
        </w:rPr>
      </w:pPr>
    </w:p>
    <w:tbl>
      <w:tblPr>
        <w:tblLayout w:type="fixed"/>
        <w:tblInd w:w="1730" w:type="dxa"/>
        <w:tblCellMar>
          <w:top w:w="0" w:type="dxa"/>
          <w:left w:w="0" w:type="dxa"/>
          <w:bottom w:w="0" w:type="dxa"/>
          <w:right w:w="0" w:type="dxa"/>
        </w:tblCellMar>
      </w:tblPr>
      <w:tr>
        <w:trPr>
          <w:trHeight w:val="200"/>
        </w:trPr>
        <w:tc>
          <w:tcPr>
            <w:tcW w:w="1600" w:type="dxa"/>
            <w:vAlign w:val="bottom"/>
            <w:tcBorders>
              <w:top w:val="single" w:sz="8" w:color="auto"/>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58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7"/>
                <w:szCs w:val="17"/>
                <w:b w:val="1"/>
                <w:bCs w:val="1"/>
                <w:color w:val="auto"/>
              </w:rPr>
              <w:t>Job Title</w:t>
            </w:r>
          </w:p>
        </w:tc>
        <w:tc>
          <w:tcPr>
            <w:tcW w:w="15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42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7"/>
                <w:szCs w:val="17"/>
                <w:b w:val="1"/>
                <w:bCs w:val="1"/>
                <w:color w:val="auto"/>
              </w:rPr>
              <w:t>Signature</w:t>
            </w:r>
          </w:p>
        </w:tc>
      </w:tr>
      <w:tr>
        <w:trPr>
          <w:trHeight w:val="3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r>
        <w:trPr>
          <w:trHeight w:val="348"/>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bl>
    <w:p>
      <w:pPr>
        <w:spacing w:after="0" w:line="6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Avalyn hereby agrees to the Work Order:</w:t>
      </w:r>
    </w:p>
    <w:p>
      <w:pPr>
        <w:spacing w:after="0" w:line="179" w:lineRule="exact"/>
        <w:rPr>
          <w:sz w:val="20"/>
          <w:szCs w:val="20"/>
          <w:color w:val="auto"/>
        </w:rPr>
      </w:pPr>
    </w:p>
    <w:tbl>
      <w:tblPr>
        <w:tblLayout w:type="fixed"/>
        <w:tblInd w:w="1730" w:type="dxa"/>
        <w:tblCellMar>
          <w:top w:w="0" w:type="dxa"/>
          <w:left w:w="0" w:type="dxa"/>
          <w:bottom w:w="0" w:type="dxa"/>
          <w:right w:w="0" w:type="dxa"/>
        </w:tblCellMar>
      </w:tblPr>
      <w:tr>
        <w:trPr>
          <w:trHeight w:val="200"/>
        </w:trPr>
        <w:tc>
          <w:tcPr>
            <w:tcW w:w="1600" w:type="dxa"/>
            <w:vAlign w:val="bottom"/>
            <w:tcBorders>
              <w:top w:val="single" w:sz="8" w:color="auto"/>
              <w:left w:val="single" w:sz="8" w:color="auto"/>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7"/>
                <w:szCs w:val="17"/>
                <w:b w:val="1"/>
                <w:bCs w:val="1"/>
                <w:color w:val="auto"/>
              </w:rPr>
              <w:t>Name</w:t>
            </w:r>
          </w:p>
        </w:tc>
        <w:tc>
          <w:tcPr>
            <w:tcW w:w="158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7"/>
                <w:szCs w:val="17"/>
                <w:b w:val="1"/>
                <w:bCs w:val="1"/>
                <w:color w:val="auto"/>
              </w:rPr>
              <w:t>Job Title</w:t>
            </w:r>
          </w:p>
        </w:tc>
        <w:tc>
          <w:tcPr>
            <w:tcW w:w="158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7"/>
                <w:szCs w:val="17"/>
                <w:b w:val="1"/>
                <w:bCs w:val="1"/>
                <w:color w:val="auto"/>
              </w:rPr>
              <w:t>Date</w:t>
            </w:r>
          </w:p>
        </w:tc>
        <w:tc>
          <w:tcPr>
            <w:tcW w:w="1420" w:type="dxa"/>
            <w:vAlign w:val="bottom"/>
            <w:tcBorders>
              <w:top w:val="single" w:sz="8" w:color="auto"/>
              <w:bottom w:val="single" w:sz="8" w:color="auto"/>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7"/>
                <w:szCs w:val="17"/>
                <w:b w:val="1"/>
                <w:bCs w:val="1"/>
                <w:color w:val="auto"/>
              </w:rPr>
              <w:t>Signature</w:t>
            </w:r>
          </w:p>
        </w:tc>
      </w:tr>
      <w:tr>
        <w:trPr>
          <w:trHeight w:val="353"/>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580" w:type="dxa"/>
            <w:vAlign w:val="bottom"/>
            <w:tcBorders>
              <w:bottom w:val="single" w:sz="8" w:color="auto"/>
              <w:right w:val="single" w:sz="8" w:color="auto"/>
            </w:tcBorders>
          </w:tcPr>
          <w:p>
            <w:pPr>
              <w:spacing w:after="0"/>
              <w:rPr>
                <w:sz w:val="24"/>
                <w:szCs w:val="24"/>
                <w:color w:val="auto"/>
              </w:rPr>
            </w:pPr>
          </w:p>
        </w:tc>
        <w:tc>
          <w:tcPr>
            <w:tcW w:w="14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63"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633" w:name="page634"/>
    <w:bookmarkEnd w:id="633"/>
    <w:p>
      <w:pPr>
        <w:jc w:val="center"/>
        <w:ind w:left="200" w:right="259"/>
        <w:spacing w:after="0" w:line="243" w:lineRule="auto"/>
        <w:rPr>
          <w:sz w:val="20"/>
          <w:szCs w:val="20"/>
          <w:color w:val="auto"/>
        </w:rPr>
      </w:pPr>
      <w:r>
        <w:rPr>
          <w:rFonts w:ascii="Times New Roman" w:cs="Times New Roman" w:eastAsia="Times New Roman" w:hAnsi="Times New Roman"/>
          <w:sz w:val="17"/>
          <w:szCs w:val="17"/>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10.22</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AMENDMENT NO. 3</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THE MATERIAL TRANSFER AGREEMENT</w:t>
      </w:r>
    </w:p>
    <w:p>
      <w:pPr>
        <w:spacing w:after="0" w:line="144"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This Amendment No. 3 to the material transfer agreement (this “</w:t>
      </w:r>
      <w:r>
        <w:rPr>
          <w:rFonts w:ascii="Times New Roman" w:cs="Times New Roman" w:eastAsia="Times New Roman" w:hAnsi="Times New Roman"/>
          <w:sz w:val="17"/>
          <w:szCs w:val="17"/>
          <w:u w:val="single" w:color="auto"/>
          <w:color w:val="auto"/>
        </w:rPr>
        <w:t>Amendment No. 3</w:t>
      </w:r>
      <w:r>
        <w:rPr>
          <w:rFonts w:ascii="Times New Roman" w:cs="Times New Roman" w:eastAsia="Times New Roman" w:hAnsi="Times New Roman"/>
          <w:sz w:val="17"/>
          <w:szCs w:val="17"/>
          <w:color w:val="auto"/>
        </w:rPr>
        <w:t>”) is effective as of March 20, 2025 (the “</w:t>
      </w:r>
      <w:r>
        <w:rPr>
          <w:rFonts w:ascii="Times New Roman" w:cs="Times New Roman" w:eastAsia="Times New Roman" w:hAnsi="Times New Roman"/>
          <w:sz w:val="17"/>
          <w:szCs w:val="17"/>
          <w:u w:val="single" w:color="auto"/>
          <w:color w:val="auto"/>
        </w:rPr>
        <w:t>Amendment No. 3 Effective Date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Avalyn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Pharma, Inc.</w:t>
      </w:r>
      <w:r>
        <w:rPr>
          <w:rFonts w:ascii="Times New Roman" w:cs="Times New Roman" w:eastAsia="Times New Roman" w:hAnsi="Times New Roman"/>
          <w:sz w:val="17"/>
          <w:szCs w:val="17"/>
          <w:color w:val="auto"/>
        </w:rPr>
        <w:t>, having its registered office at 245 First Street, 18th Floor, Cambridge, MA 02142,</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USA (“</w:t>
      </w:r>
      <w:r>
        <w:rPr>
          <w:rFonts w:ascii="Times New Roman" w:cs="Times New Roman" w:eastAsia="Times New Roman" w:hAnsi="Times New Roman"/>
          <w:sz w:val="17"/>
          <w:szCs w:val="17"/>
          <w:u w:val="single" w:color="auto"/>
          <w:color w:val="auto"/>
        </w:rPr>
        <w:t>Avalyn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PARI Pharma GmbH</w:t>
      </w:r>
      <w:r>
        <w:rPr>
          <w:rFonts w:ascii="Times New Roman" w:cs="Times New Roman" w:eastAsia="Times New Roman" w:hAnsi="Times New Roman"/>
          <w:sz w:val="17"/>
          <w:szCs w:val="17"/>
          <w:color w:val="auto"/>
        </w:rPr>
        <w:t>, having its principal place of business at Moosstrasse 3, 82319 Starnberg, Germany (“</w:t>
      </w:r>
      <w:r>
        <w:rPr>
          <w:rFonts w:ascii="Times New Roman" w:cs="Times New Roman" w:eastAsia="Times New Roman" w:hAnsi="Times New Roman"/>
          <w:sz w:val="17"/>
          <w:szCs w:val="17"/>
          <w:u w:val="single" w:color="auto"/>
          <w:color w:val="auto"/>
        </w:rPr>
        <w:t>PARI</w:t>
      </w:r>
      <w:r>
        <w:rPr>
          <w:rFonts w:ascii="Times New Roman" w:cs="Times New Roman" w:eastAsia="Times New Roman" w:hAnsi="Times New Roman"/>
          <w:sz w:val="17"/>
          <w:szCs w:val="17"/>
          <w:color w:val="auto"/>
        </w:rPr>
        <w:t>”) (each of Avalyn and PARI being individually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together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36" w:lineRule="exact"/>
        <w:rPr>
          <w:sz w:val="20"/>
          <w:szCs w:val="20"/>
          <w:color w:val="auto"/>
        </w:rPr>
      </w:pPr>
    </w:p>
    <w:p>
      <w:pPr>
        <w:jc w:val="both"/>
        <w:ind w:left="1220" w:right="1239" w:firstLine="505"/>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A.WHEREAS, </w:t>
      </w:r>
      <w:r>
        <w:rPr>
          <w:rFonts w:ascii="Times New Roman" w:cs="Times New Roman" w:eastAsia="Times New Roman" w:hAnsi="Times New Roman"/>
          <w:sz w:val="17"/>
          <w:szCs w:val="17"/>
          <w:color w:val="auto"/>
        </w:rPr>
        <w:t>PARI and Avalyn are parties to that certain Material Transfer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dated as of January 23, 2020, as amended by Amendment No. 1, dated as of November 22, 2021, and Amendment No. 2, dated as of January 22, 2023 (the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w:t>
      </w:r>
    </w:p>
    <w:p>
      <w:pPr>
        <w:spacing w:after="0" w:line="133"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 xml:space="preserve">B. WHEREAS, </w:t>
      </w:r>
      <w:r>
        <w:rPr>
          <w:rFonts w:ascii="Times New Roman" w:cs="Times New Roman" w:eastAsia="Times New Roman" w:hAnsi="Times New Roman"/>
          <w:sz w:val="17"/>
          <w:szCs w:val="17"/>
          <w:color w:val="auto"/>
        </w:rPr>
        <w:t>the Parties wish to further amend the Agreement as set forth herein.</w:t>
      </w:r>
    </w:p>
    <w:p>
      <w:pPr>
        <w:spacing w:after="0" w:line="162"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b w:val="1"/>
          <w:bCs w:val="1"/>
          <w:color w:val="auto"/>
        </w:rPr>
        <w:t>NOW, THEREFORE</w:t>
      </w:r>
      <w:r>
        <w:rPr>
          <w:rFonts w:ascii="Times New Roman" w:cs="Times New Roman" w:eastAsia="Times New Roman" w:hAnsi="Times New Roman"/>
          <w:sz w:val="17"/>
          <w:szCs w:val="17"/>
          <w:color w:val="auto"/>
        </w:rPr>
        <w:t>, in consideration of the mutual covenants and agreements set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forth herein and for good and valuable consideration, the receipt and adequacy of which are hereby acknowledged, the Parties hereby agree as follows:</w:t>
      </w:r>
    </w:p>
    <w:p>
      <w:pPr>
        <w:spacing w:after="0" w:line="134" w:lineRule="exact"/>
        <w:rPr>
          <w:sz w:val="20"/>
          <w:szCs w:val="20"/>
          <w:color w:val="auto"/>
        </w:rPr>
      </w:pPr>
    </w:p>
    <w:p>
      <w:pPr>
        <w:ind w:left="1720" w:right="1239" w:firstLine="513"/>
        <w:spacing w:after="0" w:line="259" w:lineRule="auto"/>
        <w:tabs>
          <w:tab w:leader="none" w:pos="2588"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Capitalized terms used but not defined in this Amendment No. 3 will have the meanings ascribed to them in the Agreement.</w:t>
      </w:r>
    </w:p>
    <w:p>
      <w:pPr>
        <w:spacing w:after="0" w:line="124" w:lineRule="exact"/>
        <w:rPr>
          <w:rFonts w:ascii="Times New Roman" w:cs="Times New Roman" w:eastAsia="Times New Roman" w:hAnsi="Times New Roman"/>
          <w:sz w:val="17"/>
          <w:szCs w:val="17"/>
          <w:color w:val="auto"/>
        </w:rPr>
      </w:pPr>
    </w:p>
    <w:p>
      <w:pPr>
        <w:ind w:left="1720" w:right="1239" w:firstLine="513"/>
        <w:spacing w:after="0" w:line="259" w:lineRule="auto"/>
        <w:tabs>
          <w:tab w:leader="none" w:pos="2588" w:val="left"/>
        </w:tabs>
        <w:numPr>
          <w:ilvl w:val="0"/>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Section 1.1 (Provision of Material) of the Agreement, the first two sentences shall be deleted and replaced with the following:</w:t>
      </w:r>
    </w:p>
    <w:p>
      <w:pPr>
        <w:spacing w:after="0" w:line="125"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“Material shall mean the following configurations:</w:t>
      </w:r>
    </w:p>
    <w:p>
      <w:pPr>
        <w:spacing w:after="0" w:line="16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ind w:left="1720" w:right="1239" w:firstLine="513"/>
        <w:spacing w:after="0" w:line="241" w:lineRule="auto"/>
        <w:tabs>
          <w:tab w:leader="none" w:pos="2588" w:val="left"/>
        </w:tabs>
        <w:numPr>
          <w:ilvl w:val="0"/>
          <w:numId w:val="5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execution, this Amendment No. 3 shall be made a part of the Agreement and shall be incorporated by reference. Except as provided herein, all other terms and conditions of the Agreement shall remain unchanged and in full force and effect.</w:t>
      </w:r>
    </w:p>
    <w:p>
      <w:pPr>
        <w:spacing w:after="0" w:line="136" w:lineRule="exact"/>
        <w:rPr>
          <w:sz w:val="20"/>
          <w:szCs w:val="20"/>
          <w:color w:val="auto"/>
        </w:rPr>
      </w:pPr>
    </w:p>
    <w:p>
      <w:pPr>
        <w:ind w:left="1220" w:right="1239" w:firstLine="505"/>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each of the Parties has caused this Amendment No. 2 to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executed by its duly authorized representatives.</w:t>
      </w:r>
    </w:p>
    <w:p>
      <w:pPr>
        <w:spacing w:after="0" w:line="13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386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PARI PHARMA GMBH</w:t>
            </w:r>
          </w:p>
        </w:tc>
        <w:tc>
          <w:tcPr>
            <w:tcW w:w="474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AVALYN PHARMA INC.</w:t>
            </w:r>
          </w:p>
        </w:tc>
      </w:tr>
      <w:tr>
        <w:trPr>
          <w:trHeight w:val="273"/>
        </w:trPr>
        <w:tc>
          <w:tcPr>
            <w:tcW w:w="3860" w:type="dxa"/>
            <w:vAlign w:val="bottom"/>
          </w:tcPr>
          <w:p>
            <w:pPr>
              <w:ind w:left="1100"/>
              <w:spacing w:after="0"/>
              <w:rPr>
                <w:sz w:val="20"/>
                <w:szCs w:val="20"/>
                <w:color w:val="auto"/>
              </w:rPr>
            </w:pPr>
            <w:r>
              <w:rPr>
                <w:rFonts w:ascii="Times New Roman" w:cs="Times New Roman" w:eastAsia="Times New Roman" w:hAnsi="Times New Roman"/>
                <w:sz w:val="17"/>
                <w:szCs w:val="17"/>
                <w:b w:val="1"/>
                <w:bCs w:val="1"/>
                <w:color w:val="auto"/>
              </w:rPr>
              <w:t>[***]</w:t>
            </w:r>
          </w:p>
        </w:tc>
        <w:tc>
          <w:tcPr>
            <w:tcW w:w="474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w:t>
            </w:r>
          </w:p>
        </w:tc>
      </w:tr>
      <w:tr>
        <w:trPr>
          <w:trHeight w:val="1339"/>
        </w:trPr>
        <w:tc>
          <w:tcPr>
            <w:tcW w:w="386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634" w:name="page635"/>
    <w:bookmarkEnd w:id="634"/>
    <w:p>
      <w:pPr>
        <w:jc w:val="center"/>
        <w:ind w:left="1260" w:right="1319"/>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43"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5"/>
          <w:szCs w:val="15"/>
          <w:b w:val="1"/>
          <w:bCs w:val="1"/>
          <w:color w:val="auto"/>
        </w:rPr>
        <w:t>Exhibit 10.23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1732915</wp:posOffset>
            </wp:positionV>
            <wp:extent cx="4165600" cy="1333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4165600"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Option Agreement</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by and between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PARI Pharma GmbH</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and</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January 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177165</wp:posOffset>
            </wp:positionV>
            <wp:extent cx="4165600" cy="1333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4165600" cy="1333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792" w:right="1440" w:bottom="1440" w:gutter="0" w:footer="0" w:header="0"/>
        </w:sectPr>
      </w:pPr>
    </w:p>
    <w:bookmarkStart w:id="635" w:name="page636"/>
    <w:bookmarkEnd w:id="635"/>
    <w:p>
      <w:pPr>
        <w:jc w:val="center"/>
        <w:ind w:right="19"/>
        <w:spacing w:after="0"/>
        <w:rPr>
          <w:sz w:val="20"/>
          <w:szCs w:val="20"/>
          <w:color w:val="auto"/>
        </w:rPr>
      </w:pPr>
      <w:r>
        <w:rPr>
          <w:rFonts w:ascii="Times New Roman" w:cs="Times New Roman" w:eastAsia="Times New Roman" w:hAnsi="Times New Roman"/>
          <w:sz w:val="15"/>
          <w:szCs w:val="15"/>
          <w:b w:val="1"/>
          <w:bCs w:val="1"/>
          <w:u w:val="single" w:color="auto"/>
          <w:color w:val="auto"/>
        </w:rPr>
        <w:t>OPTION AGREEMENT</w:t>
      </w:r>
    </w:p>
    <w:p>
      <w:pPr>
        <w:spacing w:after="0" w:line="185" w:lineRule="exact"/>
        <w:rPr>
          <w:sz w:val="20"/>
          <w:szCs w:val="20"/>
          <w:color w:val="auto"/>
        </w:rPr>
      </w:pPr>
    </w:p>
    <w:p>
      <w:pPr>
        <w:jc w:val="both"/>
        <w:ind w:left="1220" w:right="1239" w:firstLine="505"/>
        <w:spacing w:after="0" w:line="239" w:lineRule="auto"/>
        <w:rPr>
          <w:sz w:val="20"/>
          <w:szCs w:val="20"/>
          <w:color w:val="auto"/>
        </w:rPr>
      </w:pPr>
      <w:r>
        <w:rPr>
          <w:rFonts w:ascii="Times New Roman" w:cs="Times New Roman" w:eastAsia="Times New Roman" w:hAnsi="Times New Roman"/>
          <w:sz w:val="15"/>
          <w:szCs w:val="15"/>
          <w:b w:val="1"/>
          <w:bCs w:val="1"/>
          <w:color w:val="auto"/>
        </w:rPr>
        <w:t xml:space="preserve">This Option Agreement </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Agreement</w:t>
      </w:r>
      <w:r>
        <w:rPr>
          <w:rFonts w:ascii="Times New Roman" w:cs="Times New Roman" w:eastAsia="Times New Roman" w:hAnsi="Times New Roman"/>
          <w:sz w:val="15"/>
          <w:szCs w:val="15"/>
          <w:color w:val="auto"/>
        </w:rPr>
        <w:t>”) is effective as of January 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5"/>
          <w:szCs w:val="15"/>
          <w:color w:val="auto"/>
        </w:rPr>
        <w:t>, 2024 (the “</w:t>
      </w:r>
      <w:r>
        <w:rPr>
          <w:rFonts w:ascii="Times New Roman" w:cs="Times New Roman" w:eastAsia="Times New Roman" w:hAnsi="Times New Roman"/>
          <w:sz w:val="15"/>
          <w:szCs w:val="15"/>
          <w:u w:val="single" w:color="auto"/>
          <w:color w:val="auto"/>
        </w:rPr>
        <w:t>Effective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u w:val="single" w:color="auto"/>
          <w:color w:val="auto"/>
        </w:rPr>
        <w:t>Date</w:t>
      </w:r>
      <w:r>
        <w:rPr>
          <w:rFonts w:ascii="Times New Roman" w:cs="Times New Roman" w:eastAsia="Times New Roman" w:hAnsi="Times New Roman"/>
          <w:sz w:val="15"/>
          <w:szCs w:val="15"/>
          <w:color w:val="auto"/>
        </w:rPr>
        <w:t xml:space="preserve">”), and is by and between </w:t>
      </w:r>
      <w:r>
        <w:rPr>
          <w:rFonts w:ascii="Times New Roman" w:cs="Times New Roman" w:eastAsia="Times New Roman" w:hAnsi="Times New Roman"/>
          <w:sz w:val="15"/>
          <w:szCs w:val="15"/>
          <w:b w:val="1"/>
          <w:bCs w:val="1"/>
          <w:color w:val="auto"/>
        </w:rPr>
        <w:t>PARI Pharma GmbH</w:t>
      </w:r>
      <w:r>
        <w:rPr>
          <w:rFonts w:ascii="Times New Roman" w:cs="Times New Roman" w:eastAsia="Times New Roman" w:hAnsi="Times New Roman"/>
          <w:sz w:val="15"/>
          <w:szCs w:val="15"/>
          <w:color w:val="auto"/>
        </w:rPr>
        <w:t>, a German corporation having its principal place of business at Moosstrasse 3, 82319 Starnberg, Germany (“</w:t>
      </w:r>
      <w:r>
        <w:rPr>
          <w:rFonts w:ascii="Times New Roman" w:cs="Times New Roman" w:eastAsia="Times New Roman" w:hAnsi="Times New Roman"/>
          <w:sz w:val="15"/>
          <w:szCs w:val="15"/>
          <w:u w:val="single" w:color="auto"/>
          <w:color w:val="auto"/>
        </w:rPr>
        <w:t>PARI</w:t>
      </w:r>
      <w:r>
        <w:rPr>
          <w:rFonts w:ascii="Times New Roman" w:cs="Times New Roman" w:eastAsia="Times New Roman" w:hAnsi="Times New Roman"/>
          <w:sz w:val="15"/>
          <w:szCs w:val="15"/>
          <w:color w:val="auto"/>
        </w:rPr>
        <w:t xml:space="preserve">”) and </w:t>
      </w:r>
      <w:r>
        <w:rPr>
          <w:rFonts w:ascii="Times New Roman" w:cs="Times New Roman" w:eastAsia="Times New Roman" w:hAnsi="Times New Roman"/>
          <w:sz w:val="15"/>
          <w:szCs w:val="15"/>
          <w:b w:val="1"/>
          <w:bCs w:val="1"/>
          <w:color w:val="auto"/>
        </w:rPr>
        <w:t>Avalyn Pharma, Inc.</w:t>
      </w:r>
      <w:r>
        <w:rPr>
          <w:rFonts w:ascii="Times New Roman" w:cs="Times New Roman" w:eastAsia="Times New Roman" w:hAnsi="Times New Roman"/>
          <w:sz w:val="15"/>
          <w:szCs w:val="15"/>
          <w:color w:val="auto"/>
        </w:rPr>
        <w:t xml:space="preserve"> with its registered office at 701 Pike Street, Suite 1500, Seattle, Washington 98101, USA (“</w:t>
      </w:r>
      <w:r>
        <w:rPr>
          <w:rFonts w:ascii="Times New Roman" w:cs="Times New Roman" w:eastAsia="Times New Roman" w:hAnsi="Times New Roman"/>
          <w:sz w:val="15"/>
          <w:szCs w:val="15"/>
          <w:u w:val="single" w:color="auto"/>
          <w:color w:val="auto"/>
        </w:rPr>
        <w:t>Avalyn</w:t>
      </w:r>
      <w:r>
        <w:rPr>
          <w:rFonts w:ascii="Times New Roman" w:cs="Times New Roman" w:eastAsia="Times New Roman" w:hAnsi="Times New Roman"/>
          <w:sz w:val="15"/>
          <w:szCs w:val="15"/>
          <w:color w:val="auto"/>
        </w:rPr>
        <w:t>”). PARI and Avalyn are individually a “</w:t>
      </w:r>
      <w:r>
        <w:rPr>
          <w:rFonts w:ascii="Times New Roman" w:cs="Times New Roman" w:eastAsia="Times New Roman" w:hAnsi="Times New Roman"/>
          <w:sz w:val="15"/>
          <w:szCs w:val="15"/>
          <w:u w:val="single" w:color="auto"/>
          <w:color w:val="auto"/>
        </w:rPr>
        <w:t>Party</w:t>
      </w:r>
      <w:r>
        <w:rPr>
          <w:rFonts w:ascii="Times New Roman" w:cs="Times New Roman" w:eastAsia="Times New Roman" w:hAnsi="Times New Roman"/>
          <w:sz w:val="15"/>
          <w:szCs w:val="15"/>
          <w:color w:val="auto"/>
        </w:rPr>
        <w:t>” or collectively “</w:t>
      </w:r>
      <w:r>
        <w:rPr>
          <w:rFonts w:ascii="Times New Roman" w:cs="Times New Roman" w:eastAsia="Times New Roman" w:hAnsi="Times New Roman"/>
          <w:sz w:val="15"/>
          <w:szCs w:val="15"/>
          <w:u w:val="single" w:color="auto"/>
          <w:color w:val="auto"/>
        </w:rPr>
        <w:t>Parties</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85" w:lineRule="exact"/>
        <w:rPr>
          <w:sz w:val="20"/>
          <w:szCs w:val="20"/>
          <w:color w:val="auto"/>
        </w:rPr>
      </w:pPr>
    </w:p>
    <w:p>
      <w:pPr>
        <w:jc w:val="both"/>
        <w:ind w:left="1220" w:right="1239" w:firstLine="505"/>
        <w:spacing w:after="0" w:line="227"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Avalyn and PARI are Parties to a license agreement effective as of April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5"/>
          <w:szCs w:val="15"/>
          <w:color w:val="auto"/>
        </w:rPr>
        <w:t>, 2017, as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amended (the “</w:t>
      </w:r>
      <w:r>
        <w:rPr>
          <w:rFonts w:ascii="Times New Roman" w:cs="Times New Roman" w:eastAsia="Times New Roman" w:hAnsi="Times New Roman"/>
          <w:sz w:val="15"/>
          <w:szCs w:val="15"/>
          <w:u w:val="single" w:color="auto"/>
          <w:color w:val="auto"/>
        </w:rPr>
        <w:t>Pirfenidone LDA</w:t>
      </w:r>
      <w:r>
        <w:rPr>
          <w:rFonts w:ascii="Times New Roman" w:cs="Times New Roman" w:eastAsia="Times New Roman" w:hAnsi="Times New Roman"/>
          <w:sz w:val="15"/>
          <w:szCs w:val="15"/>
          <w:color w:val="auto"/>
        </w:rPr>
        <w:t>”);</w:t>
      </w:r>
    </w:p>
    <w:p>
      <w:pPr>
        <w:spacing w:after="0" w:line="145" w:lineRule="exact"/>
        <w:rPr>
          <w:sz w:val="20"/>
          <w:szCs w:val="20"/>
          <w:color w:val="auto"/>
        </w:rPr>
      </w:pPr>
    </w:p>
    <w:p>
      <w:pPr>
        <w:jc w:val="both"/>
        <w:ind w:left="1220" w:right="1239" w:firstLine="505"/>
        <w:spacing w:after="0" w:line="241"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Avalyn and PARI are parties to the material transfer agreement dated January 23,</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2020, as amended by Amendment No. 1 dated November 22, 2021, and Amendment No. 2 dated March 6</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5"/>
          <w:szCs w:val="15"/>
          <w:color w:val="auto"/>
        </w:rPr>
        <w:t>, 2024 (the “</w:t>
      </w:r>
      <w:r>
        <w:rPr>
          <w:rFonts w:ascii="Times New Roman" w:cs="Times New Roman" w:eastAsia="Times New Roman" w:hAnsi="Times New Roman"/>
          <w:sz w:val="15"/>
          <w:szCs w:val="15"/>
          <w:u w:val="single" w:color="auto"/>
          <w:color w:val="auto"/>
        </w:rPr>
        <w:t>MTA</w:t>
      </w:r>
      <w:r>
        <w:rPr>
          <w:rFonts w:ascii="Times New Roman" w:cs="Times New Roman" w:eastAsia="Times New Roman" w:hAnsi="Times New Roman"/>
          <w:sz w:val="15"/>
          <w:szCs w:val="15"/>
          <w:color w:val="auto"/>
        </w:rPr>
        <w:t>”) under which Avalyn is conducting certain non-clinical and clinical research for the purpose of evaluating PARI’s technology;</w:t>
      </w:r>
    </w:p>
    <w:p>
      <w:pPr>
        <w:spacing w:after="0" w:line="143" w:lineRule="exact"/>
        <w:rPr>
          <w:sz w:val="20"/>
          <w:szCs w:val="20"/>
          <w:color w:val="auto"/>
        </w:rPr>
      </w:pPr>
    </w:p>
    <w:p>
      <w:pPr>
        <w:jc w:val="both"/>
        <w:ind w:left="1220" w:right="1239" w:firstLine="505"/>
        <w:spacing w:after="0" w:line="262"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Avalyn is interested in conducting clinical development and commercialization of one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or both of the Drug Products (as defined below) with eFlow Technology Nebulizer (as defined below) devices from PARI under a license and development agreement which Avalyn and PARI intend to negotiate if certain conditions are met (the “</w:t>
      </w:r>
      <w:r>
        <w:rPr>
          <w:rFonts w:ascii="Times New Roman" w:cs="Times New Roman" w:eastAsia="Times New Roman" w:hAnsi="Times New Roman"/>
          <w:sz w:val="15"/>
          <w:szCs w:val="15"/>
          <w:u w:val="single" w:color="auto"/>
          <w:color w:val="auto"/>
        </w:rPr>
        <w:t>LDA</w:t>
      </w:r>
      <w:r>
        <w:rPr>
          <w:rFonts w:ascii="Times New Roman" w:cs="Times New Roman" w:eastAsia="Times New Roman" w:hAnsi="Times New Roman"/>
          <w:sz w:val="15"/>
          <w:szCs w:val="15"/>
          <w:color w:val="auto"/>
        </w:rPr>
        <w:t>”); and</w:t>
      </w:r>
    </w:p>
    <w:p>
      <w:pPr>
        <w:spacing w:after="0" w:line="130" w:lineRule="exact"/>
        <w:rPr>
          <w:sz w:val="20"/>
          <w:szCs w:val="20"/>
          <w:color w:val="auto"/>
        </w:rPr>
      </w:pPr>
    </w:p>
    <w:p>
      <w:pPr>
        <w:jc w:val="both"/>
        <w:ind w:left="1220" w:right="1239" w:firstLine="505"/>
        <w:spacing w:after="0" w:line="270" w:lineRule="auto"/>
        <w:rPr>
          <w:sz w:val="20"/>
          <w:szCs w:val="20"/>
          <w:color w:val="auto"/>
        </w:rPr>
      </w:pPr>
      <w:r>
        <w:rPr>
          <w:rFonts w:ascii="Times New Roman" w:cs="Times New Roman" w:eastAsia="Times New Roman" w:hAnsi="Times New Roman"/>
          <w:sz w:val="15"/>
          <w:szCs w:val="15"/>
          <w:b w:val="1"/>
          <w:bCs w:val="1"/>
          <w:color w:val="auto"/>
        </w:rPr>
        <w:t>Whereas</w:t>
      </w:r>
      <w:r>
        <w:rPr>
          <w:rFonts w:ascii="Times New Roman" w:cs="Times New Roman" w:eastAsia="Times New Roman" w:hAnsi="Times New Roman"/>
          <w:sz w:val="15"/>
          <w:szCs w:val="15"/>
          <w:color w:val="auto"/>
        </w:rPr>
        <w:t>, Avalyn desires to secure an option to exclusively negotiate the LDA for a certain</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period of time as contemplated herein and PARI is willing to grant such an option subject to the terms and condition set forth herein.</w:t>
      </w:r>
    </w:p>
    <w:p>
      <w:pPr>
        <w:spacing w:after="0" w:line="122" w:lineRule="exact"/>
        <w:rPr>
          <w:sz w:val="20"/>
          <w:szCs w:val="20"/>
          <w:color w:val="auto"/>
        </w:rPr>
      </w:pPr>
    </w:p>
    <w:p>
      <w:pPr>
        <w:jc w:val="both"/>
        <w:ind w:left="1220" w:right="1239" w:firstLine="505"/>
        <w:spacing w:after="0" w:line="262" w:lineRule="auto"/>
        <w:rPr>
          <w:sz w:val="20"/>
          <w:szCs w:val="20"/>
          <w:color w:val="auto"/>
        </w:rPr>
      </w:pPr>
      <w:r>
        <w:rPr>
          <w:rFonts w:ascii="Times New Roman" w:cs="Times New Roman" w:eastAsia="Times New Roman" w:hAnsi="Times New Roman"/>
          <w:sz w:val="15"/>
          <w:szCs w:val="15"/>
          <w:b w:val="1"/>
          <w:bCs w:val="1"/>
          <w:color w:val="auto"/>
        </w:rPr>
        <w:t>Now, therefore</w:t>
      </w:r>
      <w:r>
        <w:rPr>
          <w:rFonts w:ascii="Times New Roman" w:cs="Times New Roman" w:eastAsia="Times New Roman" w:hAnsi="Times New Roman"/>
          <w:sz w:val="15"/>
          <w:szCs w:val="15"/>
          <w:color w:val="auto"/>
        </w:rPr>
        <w:t>, for and in consideration of the above-described recitals, the mutual covenants of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the Parties hereinafter contained and other good and valuable consideration, the receipt and sufficiency of which is hereby acknowledged by the Parties, the Parties hereto, intending to be legally bound, enter into the agreements contained herein.</w:t>
      </w:r>
    </w:p>
    <w:p>
      <w:pPr>
        <w:spacing w:after="0" w:line="130" w:lineRule="exact"/>
        <w:rPr>
          <w:sz w:val="20"/>
          <w:szCs w:val="20"/>
          <w:color w:val="auto"/>
        </w:rPr>
      </w:pPr>
    </w:p>
    <w:p>
      <w:pPr>
        <w:ind w:left="1720" w:hanging="496"/>
        <w:spacing w:after="0"/>
        <w:tabs>
          <w:tab w:leader="none" w:pos="1720" w:val="left"/>
        </w:tabs>
        <w:numPr>
          <w:ilvl w:val="0"/>
          <w:numId w:val="56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DEFINITIONS</w:t>
      </w:r>
    </w:p>
    <w:p>
      <w:pPr>
        <w:spacing w:after="0" w:line="178"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Capitalized terms used but not defined in this Agreement will have the meanings ascribed to them in the MTA. In addition, for purposes of this Agreement, the following terms shall have the meanings set forth below:</w:t>
      </w:r>
    </w:p>
    <w:p>
      <w:pPr>
        <w:spacing w:after="0" w:line="1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Device</w:t>
      </w:r>
      <w:r>
        <w:rPr>
          <w:rFonts w:ascii="Times New Roman" w:cs="Times New Roman" w:eastAsia="Times New Roman" w:hAnsi="Times New Roman"/>
          <w:sz w:val="15"/>
          <w:szCs w:val="15"/>
          <w:color w:val="auto"/>
        </w:rPr>
        <w:t>” means (i) the Handset together with the eBase Starter Kit.</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Disputing Party Notice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Drug Product</w:t>
      </w:r>
      <w:r>
        <w:rPr>
          <w:rFonts w:ascii="Times New Roman" w:cs="Times New Roman" w:eastAsia="Times New Roman" w:hAnsi="Times New Roman"/>
          <w:sz w:val="15"/>
          <w:szCs w:val="15"/>
          <w:color w:val="auto"/>
        </w:rPr>
        <w:t>” means Avalyn’s proprietary liquid formulation of nintedanib as the sole active pharmaceutical ingredient (“AP02”) or the fixed combination of nintedanib and pirfenidone as the exclusive active pharmaceutical ingredients (“AP03”).</w:t>
      </w:r>
    </w:p>
    <w:p>
      <w:pPr>
        <w:spacing w:after="0" w:line="1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eBase Starter Kit</w:t>
      </w:r>
      <w:r>
        <w:rPr>
          <w:rFonts w:ascii="Times New Roman" w:cs="Times New Roman" w:eastAsia="Times New Roman" w:hAnsi="Times New Roman"/>
          <w:sz w:val="15"/>
          <w:szCs w:val="15"/>
          <w:color w:val="auto"/>
        </w:rPr>
        <w:t>” means PARI’s eBase controller and accessories (but excluding the Handset).</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Effective Date</w:t>
      </w:r>
      <w:r>
        <w:rPr>
          <w:rFonts w:ascii="Times New Roman" w:cs="Times New Roman" w:eastAsia="Times New Roman" w:hAnsi="Times New Roman"/>
          <w:sz w:val="15"/>
          <w:szCs w:val="15"/>
          <w:color w:val="auto"/>
        </w:rPr>
        <w:t>” shall have the meaning set forth in the introduction.</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636" w:name="page637"/>
    <w:bookmarkEnd w:id="636"/>
    <w:p>
      <w:pPr>
        <w:jc w:val="both"/>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eFlow Technology Nebulizer</w:t>
      </w:r>
      <w:r>
        <w:rPr>
          <w:rFonts w:ascii="Times New Roman" w:cs="Times New Roman" w:eastAsia="Times New Roman" w:hAnsi="Times New Roman"/>
          <w:sz w:val="15"/>
          <w:szCs w:val="15"/>
          <w:color w:val="auto"/>
        </w:rPr>
        <w:t>” means a nebulizer proprietary to PARI or its affiliates that is based on a perforated vibrating membrane technology.</w:t>
      </w:r>
    </w:p>
    <w:p>
      <w:pPr>
        <w:spacing w:after="0" w:line="116"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Handset</w:t>
      </w:r>
      <w:r>
        <w:rPr>
          <w:rFonts w:ascii="Times New Roman" w:cs="Times New Roman" w:eastAsia="Times New Roman" w:hAnsi="Times New Roman"/>
          <w:sz w:val="15"/>
          <w:szCs w:val="15"/>
          <w:color w:val="auto"/>
        </w:rPr>
        <w:t>” means an eFlow Technology Nebulizer for spontaneously breathing patients with [***], that is optimized and intended for exclusive administration of the Drug Product(s) [***], and any changes and improvements thereto.</w:t>
      </w:r>
    </w:p>
    <w:p>
      <w:pPr>
        <w:spacing w:after="0" w:line="129"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LDA</w:t>
      </w:r>
      <w:r>
        <w:rPr>
          <w:rFonts w:ascii="Times New Roman" w:cs="Times New Roman" w:eastAsia="Times New Roman" w:hAnsi="Times New Roman"/>
          <w:sz w:val="15"/>
          <w:szCs w:val="15"/>
          <w:color w:val="auto"/>
        </w:rPr>
        <w:t>” shall have the meaning set forth in the Recitals.</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MTA</w:t>
      </w:r>
      <w:r>
        <w:rPr>
          <w:rFonts w:ascii="Times New Roman" w:cs="Times New Roman" w:eastAsia="Times New Roman" w:hAnsi="Times New Roman"/>
          <w:sz w:val="15"/>
          <w:szCs w:val="15"/>
          <w:color w:val="auto"/>
        </w:rPr>
        <w:t>” shall have the meaning set forth in the Recitals.</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Option</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Option Fee</w:t>
      </w:r>
      <w:r>
        <w:rPr>
          <w:rFonts w:ascii="Times New Roman" w:cs="Times New Roman" w:eastAsia="Times New Roman" w:hAnsi="Times New Roman"/>
          <w:sz w:val="15"/>
          <w:szCs w:val="15"/>
          <w:color w:val="auto"/>
        </w:rPr>
        <w:t>” means a fee of [***] per each commenced 12-month period.</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Option Field</w:t>
      </w:r>
      <w:r>
        <w:rPr>
          <w:rFonts w:ascii="Times New Roman" w:cs="Times New Roman" w:eastAsia="Times New Roman" w:hAnsi="Times New Roman"/>
          <w:sz w:val="15"/>
          <w:szCs w:val="15"/>
          <w:color w:val="auto"/>
        </w:rPr>
        <w:t>” means [***] to humans.</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Option Notice”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2.2.</w:t>
      </w:r>
    </w:p>
    <w:p>
      <w:pPr>
        <w:spacing w:after="0" w:line="174" w:lineRule="exact"/>
        <w:rPr>
          <w:sz w:val="20"/>
          <w:szCs w:val="20"/>
          <w:color w:val="auto"/>
        </w:rPr>
      </w:pPr>
    </w:p>
    <w:p>
      <w:pPr>
        <w:jc w:val="both"/>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Option Period</w:t>
      </w:r>
      <w:r>
        <w:rPr>
          <w:rFonts w:ascii="Times New Roman" w:cs="Times New Roman" w:eastAsia="Times New Roman" w:hAnsi="Times New Roman"/>
          <w:sz w:val="15"/>
          <w:szCs w:val="15"/>
          <w:color w:val="auto"/>
        </w:rPr>
        <w:t>” means the period of time commencing with the Effective Date and terminating on 31st of December, 2027 at midnight.</w:t>
      </w:r>
    </w:p>
    <w:p>
      <w:pPr>
        <w:spacing w:after="0" w:line="1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Response</w:t>
      </w:r>
      <w:r>
        <w:rPr>
          <w:rFonts w:ascii="Times New Roman" w:cs="Times New Roman" w:eastAsia="Times New Roman" w:hAnsi="Times New Roman"/>
          <w:sz w:val="15"/>
          <w:szCs w:val="15"/>
          <w:color w:val="auto"/>
        </w:rPr>
        <w:t xml:space="preserve">” shall have the meaning set forth in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w:t>
      </w:r>
    </w:p>
    <w:p>
      <w:pPr>
        <w:spacing w:after="0" w:line="174" w:lineRule="exact"/>
        <w:rPr>
          <w:sz w:val="20"/>
          <w:szCs w:val="20"/>
          <w:color w:val="auto"/>
        </w:rPr>
      </w:pPr>
    </w:p>
    <w:p>
      <w:pPr>
        <w:jc w:val="both"/>
        <w:ind w:left="1220" w:right="1239" w:firstLine="505"/>
        <w:spacing w:after="0" w:line="253" w:lineRule="auto"/>
        <w:rPr>
          <w:sz w:val="20"/>
          <w:szCs w:val="20"/>
          <w:color w:val="auto"/>
        </w:rPr>
      </w:pPr>
      <w:r>
        <w:rPr>
          <w:rFonts w:ascii="Times New Roman" w:cs="Times New Roman" w:eastAsia="Times New Roman" w:hAnsi="Times New Roman"/>
          <w:sz w:val="15"/>
          <w:szCs w:val="15"/>
          <w:color w:val="auto"/>
        </w:rPr>
        <w:t>Unless the context of this Agreement otherwise requires: (a) words of any gender include each other gender; (b) words using the singular or plural number also include the plural or singular number, respectively; (c) the terms “hereof,” “herein,” “hereby,” and derivative or similar words refer to this entire Agreement; (d) the terms “Section” or “Exhibit” refer to the specified Section or Exhibit of this Agreement; (e) the term “or” has, except where otherwise indicated, the inclusive meaning represented by the phrase, “and/or”; (f) the term “including” means “including, without limitation”; and (g) “days” refers to calendar days. All accounting terms used but not otherwise defined herein shall have the meanings ascribed to such terms under GAAP. All payments due hereunder shall be made in Euros unless otherwise specified.</w:t>
      </w:r>
    </w:p>
    <w:p>
      <w:pPr>
        <w:spacing w:after="0" w:line="318" w:lineRule="exact"/>
        <w:rPr>
          <w:sz w:val="20"/>
          <w:szCs w:val="20"/>
          <w:color w:val="auto"/>
        </w:rPr>
      </w:pPr>
    </w:p>
    <w:p>
      <w:pPr>
        <w:ind w:left="1720" w:hanging="496"/>
        <w:spacing w:after="0"/>
        <w:tabs>
          <w:tab w:leader="none" w:pos="1720" w:val="left"/>
        </w:tabs>
        <w:numPr>
          <w:ilvl w:val="0"/>
          <w:numId w:val="5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OPTION</w:t>
      </w:r>
    </w:p>
    <w:p>
      <w:pPr>
        <w:spacing w:after="0" w:line="178"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Option Grant</w:t>
      </w:r>
      <w:r>
        <w:rPr>
          <w:rFonts w:ascii="Times New Roman" w:cs="Times New Roman" w:eastAsia="Times New Roman" w:hAnsi="Times New Roman"/>
          <w:sz w:val="15"/>
          <w:szCs w:val="15"/>
          <w:color w:val="auto"/>
        </w:rPr>
        <w:t>. PARI hereby grants to Avalyn an exclusive option during the Option Period, to negotiate the LDA with substantially the same terms and conditions as in the Pirfenidone LDA with adjustments to financial terms due to (i) inflation, (ii) new features and/or improvements to the Device, and (iii) the exchange of the Device with [***] which is not compatible with the Device; in each case of (ii) or (iii) if applicable (the “</w:t>
      </w:r>
      <w:r>
        <w:rPr>
          <w:rFonts w:ascii="Times New Roman" w:cs="Times New Roman" w:eastAsia="Times New Roman" w:hAnsi="Times New Roman"/>
          <w:sz w:val="15"/>
          <w:szCs w:val="15"/>
          <w:u w:val="single" w:color="auto"/>
          <w:color w:val="auto"/>
        </w:rPr>
        <w:t>Option</w:t>
      </w:r>
      <w:r>
        <w:rPr>
          <w:rFonts w:ascii="Times New Roman" w:cs="Times New Roman" w:eastAsia="Times New Roman" w:hAnsi="Times New Roman"/>
          <w:sz w:val="15"/>
          <w:szCs w:val="15"/>
          <w:color w:val="auto"/>
        </w:rPr>
        <w:t>”).</w:t>
      </w:r>
    </w:p>
    <w:p>
      <w:pPr>
        <w:spacing w:after="0" w:line="138" w:lineRule="exact"/>
        <w:rPr>
          <w:sz w:val="20"/>
          <w:szCs w:val="20"/>
          <w:color w:val="auto"/>
        </w:rPr>
      </w:pPr>
    </w:p>
    <w:p>
      <w:pPr>
        <w:jc w:val="both"/>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Exercise of Option</w:t>
      </w:r>
      <w:r>
        <w:rPr>
          <w:rFonts w:ascii="Times New Roman" w:cs="Times New Roman" w:eastAsia="Times New Roman" w:hAnsi="Times New Roman"/>
          <w:sz w:val="15"/>
          <w:szCs w:val="15"/>
          <w:color w:val="auto"/>
        </w:rPr>
        <w:t>. In the event that Avalyn wishes to exercise the Option, Avalyn shall provide notice in writing thereof to PARI within the Option Period (the “</w:t>
      </w:r>
      <w:r>
        <w:rPr>
          <w:rFonts w:ascii="Times New Roman" w:cs="Times New Roman" w:eastAsia="Times New Roman" w:hAnsi="Times New Roman"/>
          <w:sz w:val="15"/>
          <w:szCs w:val="15"/>
          <w:u w:val="single" w:color="auto"/>
          <w:color w:val="auto"/>
        </w:rPr>
        <w:t>Option Notice</w:t>
      </w:r>
      <w:r>
        <w:rPr>
          <w:rFonts w:ascii="Times New Roman" w:cs="Times New Roman" w:eastAsia="Times New Roman" w:hAnsi="Times New Roman"/>
          <w:sz w:val="15"/>
          <w:szCs w:val="15"/>
          <w:color w:val="auto"/>
        </w:rPr>
        <w:t>”).</w:t>
      </w:r>
    </w:p>
    <w:p>
      <w:pPr>
        <w:spacing w:after="0" w:line="116"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 xml:space="preserve">2.3. </w:t>
      </w:r>
      <w:r>
        <w:rPr>
          <w:rFonts w:ascii="Times New Roman" w:cs="Times New Roman" w:eastAsia="Times New Roman" w:hAnsi="Times New Roman"/>
          <w:sz w:val="15"/>
          <w:szCs w:val="15"/>
          <w:u w:val="single" w:color="auto"/>
          <w:color w:val="auto"/>
        </w:rPr>
        <w:t>Exclusivity</w:t>
      </w:r>
      <w:r>
        <w:rPr>
          <w:rFonts w:ascii="Times New Roman" w:cs="Times New Roman" w:eastAsia="Times New Roman" w:hAnsi="Times New Roman"/>
          <w:sz w:val="15"/>
          <w:szCs w:val="15"/>
          <w:color w:val="auto"/>
        </w:rPr>
        <w:t>. During the Option Period PARI will neither (i) grant any rights or licenses regarding the Device within the Option Field to third parties; nor (ii) engage in negotiations with third parties with respect to such rights or licenses within the Option Field.</w:t>
      </w:r>
    </w:p>
    <w:p>
      <w:pPr>
        <w:spacing w:after="0" w:line="129"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 xml:space="preserve">2.4. </w:t>
      </w:r>
      <w:r>
        <w:rPr>
          <w:rFonts w:ascii="Times New Roman" w:cs="Times New Roman" w:eastAsia="Times New Roman" w:hAnsi="Times New Roman"/>
          <w:sz w:val="15"/>
          <w:szCs w:val="15"/>
          <w:u w:val="single" w:color="auto"/>
          <w:color w:val="auto"/>
        </w:rPr>
        <w:t>Option Fee</w:t>
      </w:r>
      <w:r>
        <w:rPr>
          <w:rFonts w:ascii="Times New Roman" w:cs="Times New Roman" w:eastAsia="Times New Roman" w:hAnsi="Times New Roman"/>
          <w:sz w:val="15"/>
          <w:szCs w:val="15"/>
          <w:color w:val="auto"/>
        </w:rPr>
        <w:t>. In consideration for the grant of the Option, Avalyn shall pay to PARI an annual Option Fee to be paid the first time within [***] after the Effective Date, and each anniversary thereof until the expiration of the Option Period or termination of the Option. [***]</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37" w:name="page638"/>
    <w:bookmarkEnd w:id="637"/>
    <w:p>
      <w:pPr>
        <w:jc w:val="both"/>
        <w:ind w:left="1220" w:right="1239" w:firstLine="505"/>
        <w:spacing w:after="0" w:line="256" w:lineRule="auto"/>
        <w:rPr>
          <w:sz w:val="20"/>
          <w:szCs w:val="20"/>
          <w:color w:val="auto"/>
        </w:rPr>
      </w:pPr>
      <w:r>
        <w:rPr>
          <w:rFonts w:ascii="Times New Roman" w:cs="Times New Roman" w:eastAsia="Times New Roman" w:hAnsi="Times New Roman"/>
          <w:sz w:val="15"/>
          <w:szCs w:val="15"/>
          <w:color w:val="auto"/>
        </w:rPr>
        <w:t xml:space="preserve">2.5. </w:t>
      </w:r>
      <w:r>
        <w:rPr>
          <w:rFonts w:ascii="Times New Roman" w:cs="Times New Roman" w:eastAsia="Times New Roman" w:hAnsi="Times New Roman"/>
          <w:sz w:val="15"/>
          <w:szCs w:val="15"/>
          <w:u w:val="single" w:color="auto"/>
          <w:color w:val="auto"/>
        </w:rPr>
        <w:t>Termination of Option</w:t>
      </w:r>
      <w:r>
        <w:rPr>
          <w:rFonts w:ascii="Times New Roman" w:cs="Times New Roman" w:eastAsia="Times New Roman" w:hAnsi="Times New Roman"/>
          <w:sz w:val="15"/>
          <w:szCs w:val="15"/>
          <w:color w:val="auto"/>
        </w:rPr>
        <w:t>. In the event that (i) Avalyn fails to pay the Option Fee in due time; or (ii) the LDA is not executed by both Parties within the Option Period; or (iii) during the Option Period Avalyn gives written notice that it is no longer interested in negotiating the LDA; or (iv) the Parties fail to agree on the terms of the LDA within six (6) months (or any other period mutually agreed in writing by the Parties) from the Option Notice; or (v) the Parties execute the LDA; then this Agreement shall terminate and PARI is no longer bound to any exclusivity obligations towards Avalyn hereunder.</w:t>
      </w:r>
    </w:p>
    <w:p>
      <w:pPr>
        <w:spacing w:after="0" w:line="137" w:lineRule="exact"/>
        <w:rPr>
          <w:sz w:val="20"/>
          <w:szCs w:val="20"/>
          <w:color w:val="auto"/>
        </w:rPr>
      </w:pPr>
    </w:p>
    <w:p>
      <w:pPr>
        <w:jc w:val="both"/>
        <w:ind w:left="1220" w:right="1239" w:firstLine="505"/>
        <w:spacing w:after="0" w:line="255" w:lineRule="auto"/>
        <w:rPr>
          <w:sz w:val="20"/>
          <w:szCs w:val="20"/>
          <w:color w:val="auto"/>
        </w:rPr>
      </w:pPr>
      <w:r>
        <w:rPr>
          <w:rFonts w:ascii="Times New Roman" w:cs="Times New Roman" w:eastAsia="Times New Roman" w:hAnsi="Times New Roman"/>
          <w:sz w:val="15"/>
          <w:szCs w:val="15"/>
          <w:color w:val="auto"/>
        </w:rPr>
        <w:t xml:space="preserve">2.6. </w:t>
      </w:r>
      <w:r>
        <w:rPr>
          <w:rFonts w:ascii="Times New Roman" w:cs="Times New Roman" w:eastAsia="Times New Roman" w:hAnsi="Times New Roman"/>
          <w:sz w:val="15"/>
          <w:szCs w:val="15"/>
          <w:u w:val="single" w:color="auto"/>
          <w:color w:val="auto"/>
        </w:rPr>
        <w:t>Termination by PARI</w:t>
      </w:r>
      <w:r>
        <w:rPr>
          <w:rFonts w:ascii="Times New Roman" w:cs="Times New Roman" w:eastAsia="Times New Roman" w:hAnsi="Times New Roman"/>
          <w:sz w:val="15"/>
          <w:szCs w:val="15"/>
          <w:color w:val="auto"/>
        </w:rPr>
        <w:t xml:space="preserve">. In the event Avalyn initiates a clinical trial (i.e. opens the first site for the conduct of such clinical trial) for inhaled delivery of a Drug Product not including the Device, then Avalyn shall immediately inform PARI about such event and PARI shall have a right to terminate this Agreement by giving [***] written notice to Avalyn. In case of termination due to Avalyn’s initiation of a clinical trial that does not include the Device as contemplated in this </w:t>
      </w:r>
      <w:r>
        <w:rPr>
          <w:rFonts w:ascii="Times New Roman" w:cs="Times New Roman" w:eastAsia="Times New Roman" w:hAnsi="Times New Roman"/>
          <w:sz w:val="15"/>
          <w:szCs w:val="15"/>
          <w:u w:val="single" w:color="auto"/>
          <w:color w:val="auto"/>
        </w:rPr>
        <w:t>Section 2.6</w:t>
      </w:r>
      <w:r>
        <w:rPr>
          <w:rFonts w:ascii="Times New Roman" w:cs="Times New Roman" w:eastAsia="Times New Roman" w:hAnsi="Times New Roman"/>
          <w:sz w:val="15"/>
          <w:szCs w:val="15"/>
          <w:color w:val="auto"/>
        </w:rPr>
        <w:t>, the full Option Fee for the current year of this Agreement shall be due and payable to PARI within [***] after such termination becomes effective.</w:t>
      </w:r>
    </w:p>
    <w:p>
      <w:pPr>
        <w:spacing w:after="0" w:line="320" w:lineRule="exact"/>
        <w:rPr>
          <w:sz w:val="20"/>
          <w:szCs w:val="20"/>
          <w:color w:val="auto"/>
        </w:rPr>
      </w:pPr>
    </w:p>
    <w:p>
      <w:pPr>
        <w:jc w:val="both"/>
        <w:ind w:left="1220" w:right="1239" w:firstLine="505"/>
        <w:spacing w:after="0" w:line="253" w:lineRule="auto"/>
        <w:rPr>
          <w:sz w:val="20"/>
          <w:szCs w:val="20"/>
          <w:color w:val="auto"/>
        </w:rPr>
      </w:pPr>
      <w:r>
        <w:rPr>
          <w:rFonts w:ascii="Times New Roman" w:cs="Times New Roman" w:eastAsia="Times New Roman" w:hAnsi="Times New Roman"/>
          <w:sz w:val="15"/>
          <w:szCs w:val="15"/>
          <w:color w:val="auto"/>
        </w:rPr>
        <w:t xml:space="preserve">2.7. </w:t>
      </w:r>
      <w:r>
        <w:rPr>
          <w:rFonts w:ascii="Times New Roman" w:cs="Times New Roman" w:eastAsia="Times New Roman" w:hAnsi="Times New Roman"/>
          <w:sz w:val="15"/>
          <w:szCs w:val="15"/>
          <w:u w:val="single" w:color="auto"/>
          <w:color w:val="auto"/>
        </w:rPr>
        <w:t>Termination for Breach</w:t>
      </w:r>
      <w:r>
        <w:rPr>
          <w:rFonts w:ascii="Times New Roman" w:cs="Times New Roman" w:eastAsia="Times New Roman" w:hAnsi="Times New Roman"/>
          <w:sz w:val="15"/>
          <w:szCs w:val="15"/>
          <w:color w:val="auto"/>
        </w:rPr>
        <w:t xml:space="preserve">. Each Party may terminate this Agreement (i) for breach of any material provision of this Agreement, or (ii) in case the </w:t>
      </w:r>
      <w:r>
        <w:rPr>
          <w:rFonts w:ascii="Times New Roman" w:cs="Times New Roman" w:eastAsia="Times New Roman" w:hAnsi="Times New Roman"/>
          <w:sz w:val="15"/>
          <w:szCs w:val="15"/>
          <w:u w:val="single" w:color="auto"/>
          <w:color w:val="auto"/>
        </w:rPr>
        <w:t>Pirfenidone</w:t>
      </w:r>
      <w:r>
        <w:rPr>
          <w:rFonts w:ascii="Times New Roman" w:cs="Times New Roman" w:eastAsia="Times New Roman" w:hAnsi="Times New Roman"/>
          <w:sz w:val="15"/>
          <w:szCs w:val="15"/>
          <w:color w:val="auto"/>
        </w:rPr>
        <w:t xml:space="preserve"> LDA and/or the MTA is terminated for breach by the other Party; by giving [***] written notice to the breaching Party (specifying in reasonable detail the basis for such termination), provided such breaching Party, in case of breach of this Agreement, has not cured such breach within such [***] period. If applicable, the termination for breach shall become effective immediately after the cure period has expired without curing the breach. In case of termination due to Avalyn’s breach of this Agreement, the </w:t>
      </w:r>
      <w:r>
        <w:rPr>
          <w:rFonts w:ascii="Times New Roman" w:cs="Times New Roman" w:eastAsia="Times New Roman" w:hAnsi="Times New Roman"/>
          <w:sz w:val="15"/>
          <w:szCs w:val="15"/>
          <w:u w:val="single" w:color="auto"/>
          <w:color w:val="auto"/>
        </w:rPr>
        <w:t>Pirfenidone</w:t>
      </w:r>
      <w:r>
        <w:rPr>
          <w:rFonts w:ascii="Times New Roman" w:cs="Times New Roman" w:eastAsia="Times New Roman" w:hAnsi="Times New Roman"/>
          <w:sz w:val="15"/>
          <w:szCs w:val="15"/>
          <w:color w:val="auto"/>
        </w:rPr>
        <w:t xml:space="preserve"> LDA or the MTA, the full Option Fee of the current year of this Agreement shall be due and payable to PARI within [***] after such termination becomes effective.</w:t>
      </w:r>
    </w:p>
    <w:p>
      <w:pPr>
        <w:spacing w:after="0" w:line="318" w:lineRule="exact"/>
        <w:rPr>
          <w:sz w:val="20"/>
          <w:szCs w:val="20"/>
          <w:color w:val="auto"/>
        </w:rPr>
      </w:pPr>
    </w:p>
    <w:p>
      <w:pPr>
        <w:ind w:left="1720" w:hanging="496"/>
        <w:spacing w:after="0"/>
        <w:tabs>
          <w:tab w:leader="none" w:pos="1720" w:val="left"/>
        </w:tabs>
        <w:numPr>
          <w:ilvl w:val="0"/>
          <w:numId w:val="5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CONFIDENTIALITY</w:t>
      </w:r>
    </w:p>
    <w:p>
      <w:pPr>
        <w:spacing w:after="0" w:line="178" w:lineRule="exact"/>
        <w:rPr>
          <w:sz w:val="20"/>
          <w:szCs w:val="20"/>
          <w:color w:val="auto"/>
        </w:rPr>
      </w:pPr>
    </w:p>
    <w:p>
      <w:pPr>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This Agreement and any information exchanged under it shall be subject to the confidentiality provisions set forth in Article 2 of the MTA and shall be considered as exchanged under the MTA.</w:t>
      </w:r>
    </w:p>
    <w:p>
      <w:pPr>
        <w:spacing w:after="0" w:line="112" w:lineRule="exact"/>
        <w:rPr>
          <w:sz w:val="20"/>
          <w:szCs w:val="20"/>
          <w:color w:val="auto"/>
        </w:rPr>
      </w:pPr>
    </w:p>
    <w:p>
      <w:pPr>
        <w:ind w:left="1720" w:hanging="496"/>
        <w:spacing w:after="0"/>
        <w:tabs>
          <w:tab w:leader="none" w:pos="1720" w:val="left"/>
        </w:tabs>
        <w:numPr>
          <w:ilvl w:val="0"/>
          <w:numId w:val="5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MISCELLANEOUS</w:t>
      </w:r>
    </w:p>
    <w:p>
      <w:pPr>
        <w:spacing w:after="0" w:line="178" w:lineRule="exact"/>
        <w:rPr>
          <w:sz w:val="20"/>
          <w:szCs w:val="20"/>
          <w:color w:val="auto"/>
        </w:rPr>
      </w:pPr>
    </w:p>
    <w:p>
      <w:pPr>
        <w:jc w:val="both"/>
        <w:ind w:left="1220" w:right="1239" w:firstLine="505"/>
        <w:spacing w:after="0" w:line="256" w:lineRule="auto"/>
        <w:rPr>
          <w:sz w:val="20"/>
          <w:szCs w:val="20"/>
          <w:color w:val="auto"/>
        </w:rPr>
      </w:pPr>
      <w:r>
        <w:rPr>
          <w:rFonts w:ascii="Times New Roman" w:cs="Times New Roman" w:eastAsia="Times New Roman" w:hAnsi="Times New Roman"/>
          <w:sz w:val="15"/>
          <w:szCs w:val="15"/>
          <w:color w:val="auto"/>
        </w:rPr>
        <w:t xml:space="preserve">4.1. </w:t>
      </w:r>
      <w:r>
        <w:rPr>
          <w:rFonts w:ascii="Times New Roman" w:cs="Times New Roman" w:eastAsia="Times New Roman" w:hAnsi="Times New Roman"/>
          <w:sz w:val="15"/>
          <w:szCs w:val="15"/>
          <w:u w:val="single" w:color="auto"/>
          <w:color w:val="auto"/>
        </w:rPr>
        <w:t>Withholding Taxes</w:t>
      </w:r>
      <w:r>
        <w:rPr>
          <w:rFonts w:ascii="Times New Roman" w:cs="Times New Roman" w:eastAsia="Times New Roman" w:hAnsi="Times New Roman"/>
          <w:sz w:val="15"/>
          <w:szCs w:val="15"/>
          <w:color w:val="auto"/>
        </w:rPr>
        <w:t>. Where required to do so by applicable law or order of a governmental body, Avalyn shall withhold taxes required to be paid to a taxing authority in connection with any payments to PARI hereunder, and, upon request of PARI, Avalyn shall furnish PARI with satisfactory evidence of such withholding and payment. Avalyn shall, and shall cause its Affiliates to, cooperate with PARI in obtaining exemption from withholding taxes where available under applicable law or receiving a full refund of such withholding tax or claim a foreign tax credit.</w:t>
      </w:r>
    </w:p>
    <w:p>
      <w:pPr>
        <w:spacing w:after="0" w:line="137"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5"/>
          <w:szCs w:val="15"/>
          <w:color w:val="auto"/>
        </w:rPr>
        <w:t xml:space="preserve">4.2. </w:t>
      </w:r>
      <w:r>
        <w:rPr>
          <w:rFonts w:ascii="Times New Roman" w:cs="Times New Roman" w:eastAsia="Times New Roman" w:hAnsi="Times New Roman"/>
          <w:sz w:val="15"/>
          <w:szCs w:val="15"/>
          <w:u w:val="single" w:color="auto"/>
          <w:color w:val="auto"/>
        </w:rPr>
        <w:t>Unenforceability</w:t>
      </w:r>
      <w:r>
        <w:rPr>
          <w:rFonts w:ascii="Times New Roman" w:cs="Times New Roman" w:eastAsia="Times New Roman" w:hAnsi="Times New Roman"/>
          <w:sz w:val="15"/>
          <w:szCs w:val="15"/>
          <w:color w:val="auto"/>
        </w:rPr>
        <w:t>. Both Parties hereby expressly state that it is the intention of neither Party to violate any law. If any of the provisions of this Agreement are held to be void or unenforceable, the validity and force of the remainder of this Agreement shall not be affected thereby and such void or unenforceable provisions shall be replaced by valid and enforceable provisions which will achieve as far as possible the economic business intentions of the Parties.</w:t>
      </w:r>
    </w:p>
    <w:p>
      <w:pPr>
        <w:spacing w:after="0" w:line="138" w:lineRule="exact"/>
        <w:rPr>
          <w:sz w:val="20"/>
          <w:szCs w:val="20"/>
          <w:color w:val="auto"/>
        </w:rPr>
      </w:pPr>
    </w:p>
    <w:p>
      <w:pPr>
        <w:jc w:val="both"/>
        <w:ind w:left="1220" w:right="1239" w:firstLine="505"/>
        <w:spacing w:after="0" w:line="276" w:lineRule="auto"/>
        <w:rPr>
          <w:sz w:val="20"/>
          <w:szCs w:val="20"/>
          <w:color w:val="auto"/>
        </w:rPr>
      </w:pPr>
      <w:r>
        <w:rPr>
          <w:rFonts w:ascii="Times New Roman" w:cs="Times New Roman" w:eastAsia="Times New Roman" w:hAnsi="Times New Roman"/>
          <w:sz w:val="15"/>
          <w:szCs w:val="15"/>
          <w:color w:val="auto"/>
        </w:rPr>
        <w:t xml:space="preserve">4.3. </w:t>
      </w:r>
      <w:r>
        <w:rPr>
          <w:rFonts w:ascii="Times New Roman" w:cs="Times New Roman" w:eastAsia="Times New Roman" w:hAnsi="Times New Roman"/>
          <w:sz w:val="15"/>
          <w:szCs w:val="15"/>
          <w:u w:val="single" w:color="auto"/>
          <w:color w:val="auto"/>
        </w:rPr>
        <w:t>No Waiver</w:t>
      </w:r>
      <w:r>
        <w:rPr>
          <w:rFonts w:ascii="Times New Roman" w:cs="Times New Roman" w:eastAsia="Times New Roman" w:hAnsi="Times New Roman"/>
          <w:sz w:val="15"/>
          <w:szCs w:val="15"/>
          <w:color w:val="auto"/>
        </w:rPr>
        <w:t>. The failure by either Party to take any action or assert any right hereunder shall in no way be construed to be a waiver of such right, nor in any way be deemed to affect the validity of this</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38" w:name="page639"/>
    <w:bookmarkEnd w:id="638"/>
    <w:p>
      <w:pPr>
        <w:jc w:val="both"/>
        <w:ind w:left="1220" w:right="1239"/>
        <w:spacing w:after="0" w:line="285" w:lineRule="auto"/>
        <w:rPr>
          <w:sz w:val="20"/>
          <w:szCs w:val="20"/>
          <w:color w:val="auto"/>
        </w:rPr>
      </w:pPr>
      <w:r>
        <w:rPr>
          <w:rFonts w:ascii="Times New Roman" w:cs="Times New Roman" w:eastAsia="Times New Roman" w:hAnsi="Times New Roman"/>
          <w:sz w:val="15"/>
          <w:szCs w:val="15"/>
          <w:color w:val="auto"/>
        </w:rPr>
        <w:t>Agreement or any part hereof, or the right of a Party to thereafter enforce each and every provision of this Agreement.</w:t>
      </w:r>
    </w:p>
    <w:p>
      <w:pPr>
        <w:spacing w:after="0" w:line="116"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 xml:space="preserve">4.4. </w:t>
      </w:r>
      <w:r>
        <w:rPr>
          <w:rFonts w:ascii="Times New Roman" w:cs="Times New Roman" w:eastAsia="Times New Roman" w:hAnsi="Times New Roman"/>
          <w:sz w:val="15"/>
          <w:szCs w:val="15"/>
          <w:u w:val="single" w:color="auto"/>
          <w:color w:val="auto"/>
        </w:rPr>
        <w:t>Drafting</w:t>
      </w:r>
      <w:r>
        <w:rPr>
          <w:rFonts w:ascii="Times New Roman" w:cs="Times New Roman" w:eastAsia="Times New Roman" w:hAnsi="Times New Roman"/>
          <w:sz w:val="15"/>
          <w:szCs w:val="15"/>
          <w:color w:val="auto"/>
        </w:rPr>
        <w:t>. This Agreement shall not be construed more strictly against one Party than the other because it may have been drafted by one of the Parties or its counsel, each Party having contributed through its counsel substantially and materially to the negotiation and drafting thereof.</w:t>
      </w:r>
    </w:p>
    <w:p>
      <w:pPr>
        <w:spacing w:after="0" w:line="129" w:lineRule="exact"/>
        <w:rPr>
          <w:sz w:val="20"/>
          <w:szCs w:val="20"/>
          <w:color w:val="auto"/>
        </w:rPr>
      </w:pPr>
    </w:p>
    <w:p>
      <w:pPr>
        <w:jc w:val="both"/>
        <w:ind w:left="1220" w:right="1239" w:firstLine="505"/>
        <w:spacing w:after="0" w:line="267" w:lineRule="auto"/>
        <w:rPr>
          <w:sz w:val="20"/>
          <w:szCs w:val="20"/>
          <w:color w:val="auto"/>
        </w:rPr>
      </w:pPr>
      <w:r>
        <w:rPr>
          <w:rFonts w:ascii="Times New Roman" w:cs="Times New Roman" w:eastAsia="Times New Roman" w:hAnsi="Times New Roman"/>
          <w:sz w:val="15"/>
          <w:szCs w:val="15"/>
          <w:color w:val="auto"/>
        </w:rPr>
        <w:t xml:space="preserve">4.5. </w:t>
      </w:r>
      <w:r>
        <w:rPr>
          <w:rFonts w:ascii="Times New Roman" w:cs="Times New Roman" w:eastAsia="Times New Roman" w:hAnsi="Times New Roman"/>
          <w:sz w:val="15"/>
          <w:szCs w:val="15"/>
          <w:u w:val="single" w:color="auto"/>
          <w:color w:val="auto"/>
        </w:rPr>
        <w:t>Assignment</w:t>
      </w:r>
      <w:r>
        <w:rPr>
          <w:rFonts w:ascii="Times New Roman" w:cs="Times New Roman" w:eastAsia="Times New Roman" w:hAnsi="Times New Roman"/>
          <w:sz w:val="15"/>
          <w:szCs w:val="15"/>
          <w:color w:val="auto"/>
        </w:rPr>
        <w:t>. This Agreement and the Parties’ rights and obligations hereunder shall not be assignable except with the prior written consent of the other Party, not to be unreasonably withheld, conditioned or delayed.</w:t>
      </w:r>
    </w:p>
    <w:p>
      <w:pPr>
        <w:spacing w:after="0" w:line="129" w:lineRule="exact"/>
        <w:rPr>
          <w:sz w:val="20"/>
          <w:szCs w:val="20"/>
          <w:color w:val="auto"/>
        </w:rPr>
      </w:pPr>
    </w:p>
    <w:p>
      <w:pPr>
        <w:jc w:val="both"/>
        <w:ind w:left="1220" w:right="1239" w:firstLine="505"/>
        <w:spacing w:after="0" w:line="254" w:lineRule="auto"/>
        <w:rPr>
          <w:sz w:val="20"/>
          <w:szCs w:val="20"/>
          <w:color w:val="auto"/>
        </w:rPr>
      </w:pPr>
      <w:r>
        <w:rPr>
          <w:rFonts w:ascii="Times New Roman" w:cs="Times New Roman" w:eastAsia="Times New Roman" w:hAnsi="Times New Roman"/>
          <w:sz w:val="15"/>
          <w:szCs w:val="15"/>
          <w:color w:val="auto"/>
        </w:rPr>
        <w:t xml:space="preserve">4.6. </w:t>
      </w:r>
      <w:r>
        <w:rPr>
          <w:rFonts w:ascii="Times New Roman" w:cs="Times New Roman" w:eastAsia="Times New Roman" w:hAnsi="Times New Roman"/>
          <w:sz w:val="15"/>
          <w:szCs w:val="15"/>
          <w:u w:val="single" w:color="auto"/>
          <w:color w:val="auto"/>
        </w:rPr>
        <w:t>Relationship of the Parties</w:t>
      </w:r>
      <w:r>
        <w:rPr>
          <w:rFonts w:ascii="Times New Roman" w:cs="Times New Roman" w:eastAsia="Times New Roman" w:hAnsi="Times New Roman"/>
          <w:sz w:val="15"/>
          <w:szCs w:val="15"/>
          <w:color w:val="auto"/>
        </w:rPr>
        <w:t>. In making and performing this Agreement, the Parties are acting, and intend to be treated, as independent entities and nothing contained in this Agreement shall be construed or implied to create an agency, partnership, joint venture, or employer and employee relationship between or among any of the Parties. Except as otherwise provided herein, no Party may make any representation, warranty or commitment, whether express or implied, on behalf of or incur any charges or expenses for or in the name of any other Party. No Party shall be liable for the act of any other Party unless such act is expressly authorized in writing by such Party.</w:t>
      </w:r>
    </w:p>
    <w:p>
      <w:pPr>
        <w:spacing w:after="0" w:line="141" w:lineRule="exact"/>
        <w:rPr>
          <w:sz w:val="20"/>
          <w:szCs w:val="20"/>
          <w:color w:val="auto"/>
        </w:rPr>
      </w:pPr>
    </w:p>
    <w:p>
      <w:pPr>
        <w:jc w:val="both"/>
        <w:ind w:left="1220" w:right="1239" w:firstLine="505"/>
        <w:spacing w:after="0" w:line="251" w:lineRule="auto"/>
        <w:rPr>
          <w:sz w:val="20"/>
          <w:szCs w:val="20"/>
          <w:color w:val="auto"/>
        </w:rPr>
      </w:pPr>
      <w:r>
        <w:rPr>
          <w:rFonts w:ascii="Times New Roman" w:cs="Times New Roman" w:eastAsia="Times New Roman" w:hAnsi="Times New Roman"/>
          <w:sz w:val="15"/>
          <w:szCs w:val="15"/>
          <w:color w:val="auto"/>
        </w:rPr>
        <w:t xml:space="preserve">4.7. </w:t>
      </w:r>
      <w:r>
        <w:rPr>
          <w:rFonts w:ascii="Times New Roman" w:cs="Times New Roman" w:eastAsia="Times New Roman" w:hAnsi="Times New Roman"/>
          <w:sz w:val="15"/>
          <w:szCs w:val="15"/>
          <w:u w:val="single" w:color="auto"/>
          <w:color w:val="auto"/>
        </w:rPr>
        <w:t>Dispute Resolution.</w:t>
      </w:r>
      <w:r>
        <w:rPr>
          <w:rFonts w:ascii="Times New Roman" w:cs="Times New Roman" w:eastAsia="Times New Roman" w:hAnsi="Times New Roman"/>
          <w:sz w:val="15"/>
          <w:szCs w:val="15"/>
          <w:color w:val="auto"/>
        </w:rPr>
        <w:t xml:space="preserve"> PARI and Avalyn shall endeavor to resolve any dispute arising under this Agreement informally by good faith negotiation between the senior executives, officers or management of PARI and Avalyn. Either Party may give the other Party written notice of any claim or controversy not resolved in the normal course of business (the “</w:t>
      </w:r>
      <w:r>
        <w:rPr>
          <w:rFonts w:ascii="Times New Roman" w:cs="Times New Roman" w:eastAsia="Times New Roman" w:hAnsi="Times New Roman"/>
          <w:sz w:val="15"/>
          <w:szCs w:val="15"/>
          <w:u w:val="single" w:color="auto"/>
          <w:color w:val="auto"/>
        </w:rPr>
        <w:t>Disputing Party Notice</w:t>
      </w:r>
      <w:r>
        <w:rPr>
          <w:rFonts w:ascii="Times New Roman" w:cs="Times New Roman" w:eastAsia="Times New Roman" w:hAnsi="Times New Roman"/>
          <w:sz w:val="15"/>
          <w:szCs w:val="15"/>
          <w:color w:val="auto"/>
        </w:rPr>
        <w:t>”). Within [***] after the delivery of the Disputing Party Notice, the receiving Party shall submit to the other Party a written response (the “</w:t>
      </w:r>
      <w:r>
        <w:rPr>
          <w:rFonts w:ascii="Times New Roman" w:cs="Times New Roman" w:eastAsia="Times New Roman" w:hAnsi="Times New Roman"/>
          <w:sz w:val="15"/>
          <w:szCs w:val="15"/>
          <w:u w:val="single" w:color="auto"/>
          <w:color w:val="auto"/>
        </w:rPr>
        <w:t>Response</w:t>
      </w:r>
      <w:r>
        <w:rPr>
          <w:rFonts w:ascii="Times New Roman" w:cs="Times New Roman" w:eastAsia="Times New Roman" w:hAnsi="Times New Roman"/>
          <w:sz w:val="15"/>
          <w:szCs w:val="15"/>
          <w:color w:val="auto"/>
        </w:rPr>
        <w:t xml:space="preserve">”). The Disputing Party Notice and Response shall include a statement of each Party’s position and a summary of the arguments supporting that position. Within [***] after the Disputing Party Notice, such designated senior executives, officers or management of PARI and Avalyn shall meet at a mutually acceptable time and place and thereafter as often as they reasonably deem necessary to attempt to resolve the claim or controversy. All negotiations pursuant to this </w:t>
      </w:r>
      <w:r>
        <w:rPr>
          <w:rFonts w:ascii="Times New Roman" w:cs="Times New Roman" w:eastAsia="Times New Roman" w:hAnsi="Times New Roman"/>
          <w:sz w:val="15"/>
          <w:szCs w:val="15"/>
          <w:u w:val="single" w:color="auto"/>
          <w:color w:val="auto"/>
        </w:rPr>
        <w:t>Section 4.7</w:t>
      </w:r>
      <w:r>
        <w:rPr>
          <w:rFonts w:ascii="Times New Roman" w:cs="Times New Roman" w:eastAsia="Times New Roman" w:hAnsi="Times New Roman"/>
          <w:sz w:val="15"/>
          <w:szCs w:val="15"/>
          <w:color w:val="auto"/>
        </w:rPr>
        <w:t xml:space="preserve"> are confidential and without prejudice and shall be treated as compromise and settlement negotiations for purposes of applicable rules of evidence. If the Parties cannot resolve the dispute pursuant to this </w:t>
      </w:r>
      <w:r>
        <w:rPr>
          <w:rFonts w:ascii="Times New Roman" w:cs="Times New Roman" w:eastAsia="Times New Roman" w:hAnsi="Times New Roman"/>
          <w:sz w:val="15"/>
          <w:szCs w:val="15"/>
          <w:u w:val="single" w:color="auto"/>
          <w:color w:val="auto"/>
        </w:rPr>
        <w:t>Section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4.7</w:t>
      </w:r>
      <w:r>
        <w:rPr>
          <w:rFonts w:ascii="Times New Roman" w:cs="Times New Roman" w:eastAsia="Times New Roman" w:hAnsi="Times New Roman"/>
          <w:sz w:val="15"/>
          <w:szCs w:val="15"/>
          <w:color w:val="auto"/>
        </w:rPr>
        <w:t xml:space="preserve">, then the provisions of </w:t>
      </w:r>
      <w:r>
        <w:rPr>
          <w:rFonts w:ascii="Times New Roman" w:cs="Times New Roman" w:eastAsia="Times New Roman" w:hAnsi="Times New Roman"/>
          <w:sz w:val="15"/>
          <w:szCs w:val="15"/>
          <w:u w:val="single" w:color="auto"/>
          <w:color w:val="auto"/>
        </w:rPr>
        <w:t>Section 4.8</w:t>
      </w:r>
      <w:r>
        <w:rPr>
          <w:rFonts w:ascii="Times New Roman" w:cs="Times New Roman" w:eastAsia="Times New Roman" w:hAnsi="Times New Roman"/>
          <w:sz w:val="15"/>
          <w:szCs w:val="15"/>
          <w:color w:val="auto"/>
        </w:rPr>
        <w:t xml:space="preserve"> shall apply. Notwithstanding the foregoing, either Party shall have the right, without waiving any right or remedy available to such Party under this Agreement or otherwise, to seek and obtain from any court of competent jurisdiction any interim or provisional relief that is necessary or desirable to protect the rights or property of such Party, pending the foregoing discussions between the Parties.</w:t>
      </w:r>
    </w:p>
    <w:p>
      <w:pPr>
        <w:spacing w:after="0" w:line="320"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5"/>
          <w:szCs w:val="15"/>
          <w:color w:val="auto"/>
        </w:rPr>
        <w:t xml:space="preserve">4.8.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Agreement shall be governed by and construed in accordance with the laws of the State of New York, without giving effect to the conflicts of law principles thereof. Each of the Parties hereto (i) agrees that any dispute arising hereunder shall be brought exclusively in the federal or state courts in Manhattan within the City of New York, and (ii) consents to the jurisdiction and venue of such courts, and waives any objections to the jurisdiction and venue thereof.</w:t>
      </w:r>
    </w:p>
    <w:p>
      <w:pPr>
        <w:spacing w:after="0" w:line="138" w:lineRule="exact"/>
        <w:rPr>
          <w:sz w:val="20"/>
          <w:szCs w:val="20"/>
          <w:color w:val="auto"/>
        </w:rPr>
      </w:pPr>
    </w:p>
    <w:p>
      <w:pPr>
        <w:jc w:val="both"/>
        <w:ind w:left="1220" w:right="1239" w:firstLine="505"/>
        <w:spacing w:after="0" w:line="263" w:lineRule="auto"/>
        <w:rPr>
          <w:sz w:val="20"/>
          <w:szCs w:val="20"/>
          <w:color w:val="auto"/>
        </w:rPr>
      </w:pPr>
      <w:r>
        <w:rPr>
          <w:rFonts w:ascii="Times New Roman" w:cs="Times New Roman" w:eastAsia="Times New Roman" w:hAnsi="Times New Roman"/>
          <w:sz w:val="15"/>
          <w:szCs w:val="15"/>
          <w:color w:val="auto"/>
        </w:rPr>
        <w:t xml:space="preserve">4.9.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All notices or other communications that are required or permitted under this Agreement shall be in writing and shall be sent (i) by Federal Express or other reliable overnight courier, or hand delivered or mailed by registered or certified mail, postage prepaid and return receipt requested, to</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39" w:name="page640"/>
    <w:bookmarkEnd w:id="639"/>
    <w:p>
      <w:pPr>
        <w:jc w:val="both"/>
        <w:ind w:left="1220" w:right="1239"/>
        <w:spacing w:after="0" w:line="285" w:lineRule="auto"/>
        <w:rPr>
          <w:sz w:val="20"/>
          <w:szCs w:val="20"/>
          <w:color w:val="auto"/>
        </w:rPr>
      </w:pPr>
      <w:r>
        <w:rPr>
          <w:rFonts w:ascii="Times New Roman" w:cs="Times New Roman" w:eastAsia="Times New Roman" w:hAnsi="Times New Roman"/>
          <w:sz w:val="15"/>
          <w:szCs w:val="15"/>
          <w:color w:val="auto"/>
        </w:rPr>
        <w:t>the appropriate Party addresses as set forth in the opening paragraph of this Agreement; or (ii) by email to the following addresses:</w:t>
      </w:r>
    </w:p>
    <w:p>
      <w:pPr>
        <w:spacing w:after="0" w:line="11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color w:val="auto"/>
        </w:rPr>
        <w:t>[***]</w:t>
      </w:r>
    </w:p>
    <w:p>
      <w:pPr>
        <w:spacing w:after="0" w:line="17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5"/>
          <w:szCs w:val="15"/>
          <w:u w:val="single" w:color="auto"/>
          <w:color w:val="auto"/>
        </w:rPr>
        <w:t>For Avalyn</w:t>
      </w:r>
      <w:r>
        <w:rPr>
          <w:rFonts w:ascii="Times New Roman" w:cs="Times New Roman" w:eastAsia="Times New Roman" w:hAnsi="Times New Roman"/>
          <w:sz w:val="15"/>
          <w:szCs w:val="15"/>
          <w:color w:val="auto"/>
        </w:rPr>
        <w:t>: [***]</w:t>
      </w:r>
    </w:p>
    <w:p>
      <w:pPr>
        <w:spacing w:after="0" w:line="174" w:lineRule="exact"/>
        <w:rPr>
          <w:sz w:val="20"/>
          <w:szCs w:val="20"/>
          <w:color w:val="auto"/>
        </w:rPr>
      </w:pPr>
    </w:p>
    <w:p>
      <w:pPr>
        <w:jc w:val="both"/>
        <w:ind w:left="1220" w:right="1239" w:firstLine="505"/>
        <w:spacing w:after="0" w:line="285" w:lineRule="auto"/>
        <w:rPr>
          <w:sz w:val="20"/>
          <w:szCs w:val="20"/>
          <w:color w:val="auto"/>
        </w:rPr>
      </w:pPr>
      <w:r>
        <w:rPr>
          <w:rFonts w:ascii="Times New Roman" w:cs="Times New Roman" w:eastAsia="Times New Roman" w:hAnsi="Times New Roman"/>
          <w:sz w:val="15"/>
          <w:szCs w:val="15"/>
          <w:color w:val="auto"/>
        </w:rPr>
        <w:t xml:space="preserve">4.10. </w:t>
      </w:r>
      <w:r>
        <w:rPr>
          <w:rFonts w:ascii="Times New Roman" w:cs="Times New Roman" w:eastAsia="Times New Roman" w:hAnsi="Times New Roman"/>
          <w:sz w:val="15"/>
          <w:szCs w:val="15"/>
          <w:u w:val="single" w:color="auto"/>
          <w:color w:val="auto"/>
        </w:rPr>
        <w:t>Headings</w:t>
      </w:r>
      <w:r>
        <w:rPr>
          <w:rFonts w:ascii="Times New Roman" w:cs="Times New Roman" w:eastAsia="Times New Roman" w:hAnsi="Times New Roman"/>
          <w:sz w:val="15"/>
          <w:szCs w:val="15"/>
          <w:color w:val="auto"/>
        </w:rPr>
        <w:t>. The captions to the Sections hereof are not a part of this Agreement, but are merely guides or labels to assist in locating and reading the several Sections hereof.</w:t>
      </w:r>
    </w:p>
    <w:p>
      <w:pPr>
        <w:spacing w:after="0" w:line="116" w:lineRule="exact"/>
        <w:rPr>
          <w:sz w:val="20"/>
          <w:szCs w:val="20"/>
          <w:color w:val="auto"/>
        </w:rPr>
      </w:pPr>
    </w:p>
    <w:p>
      <w:pPr>
        <w:jc w:val="both"/>
        <w:ind w:left="1220" w:right="1239" w:firstLine="505"/>
        <w:spacing w:after="0" w:line="261" w:lineRule="auto"/>
        <w:rPr>
          <w:sz w:val="20"/>
          <w:szCs w:val="20"/>
          <w:color w:val="auto"/>
        </w:rPr>
      </w:pPr>
      <w:r>
        <w:rPr>
          <w:rFonts w:ascii="Times New Roman" w:cs="Times New Roman" w:eastAsia="Times New Roman" w:hAnsi="Times New Roman"/>
          <w:sz w:val="15"/>
          <w:szCs w:val="15"/>
          <w:color w:val="auto"/>
        </w:rPr>
        <w:t xml:space="preserve">4.11.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Agreement may be executed in counterparts and each such counterpart shall be deemed an original hereof. Delivery of an executed counterpart of a signature page to this Agreement by facsimile or by email in portable document form (.pdf) shall constitute delivery of a manually executed counterpart of this Agreement.</w:t>
      </w:r>
    </w:p>
    <w:p>
      <w:pPr>
        <w:spacing w:after="0" w:line="1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[Signature Page Follows]</w:t>
      </w: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40" w:name="page641"/>
    <w:bookmarkEnd w:id="640"/>
    <w:p>
      <w:pPr>
        <w:ind w:left="1720"/>
        <w:spacing w:after="0"/>
        <w:rPr>
          <w:sz w:val="20"/>
          <w:szCs w:val="20"/>
          <w:color w:val="auto"/>
        </w:rPr>
      </w:pPr>
      <w:r>
        <w:rPr>
          <w:rFonts w:ascii="Times New Roman" w:cs="Times New Roman" w:eastAsia="Times New Roman" w:hAnsi="Times New Roman"/>
          <w:sz w:val="15"/>
          <w:szCs w:val="15"/>
          <w:b w:val="1"/>
          <w:bCs w:val="1"/>
          <w:color w:val="auto"/>
        </w:rPr>
        <w:t>I</w:t>
      </w:r>
      <w:r>
        <w:rPr>
          <w:rFonts w:ascii="Times New Roman" w:cs="Times New Roman" w:eastAsia="Times New Roman" w:hAnsi="Times New Roman"/>
          <w:sz w:val="10"/>
          <w:szCs w:val="10"/>
          <w:b w:val="1"/>
          <w:bCs w:val="1"/>
          <w:color w:val="auto"/>
        </w:rPr>
        <w:t>n</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0"/>
          <w:szCs w:val="10"/>
          <w:b w:val="1"/>
          <w:bCs w:val="1"/>
          <w:color w:val="auto"/>
        </w:rPr>
        <w:t>itness</w:t>
      </w:r>
      <w:r>
        <w:rPr>
          <w:rFonts w:ascii="Times New Roman" w:cs="Times New Roman" w:eastAsia="Times New Roman" w:hAnsi="Times New Roman"/>
          <w:sz w:val="15"/>
          <w:szCs w:val="15"/>
          <w:b w:val="1"/>
          <w:bCs w:val="1"/>
          <w:color w:val="auto"/>
        </w:rPr>
        <w:t xml:space="preserve"> W</w:t>
      </w:r>
      <w:r>
        <w:rPr>
          <w:rFonts w:ascii="Times New Roman" w:cs="Times New Roman" w:eastAsia="Times New Roman" w:hAnsi="Times New Roman"/>
          <w:sz w:val="10"/>
          <w:szCs w:val="10"/>
          <w:b w:val="1"/>
          <w:bCs w:val="1"/>
          <w:color w:val="auto"/>
        </w:rPr>
        <w:t>hereof</w:t>
      </w:r>
      <w:r>
        <w:rPr>
          <w:rFonts w:ascii="Times New Roman" w:cs="Times New Roman" w:eastAsia="Times New Roman" w:hAnsi="Times New Roman"/>
          <w:sz w:val="15"/>
          <w:szCs w:val="15"/>
          <w:color w:val="auto"/>
        </w:rPr>
        <w:t>, the Parties hereto have executed this</w:t>
      </w:r>
      <w:r>
        <w:rPr>
          <w:rFonts w:ascii="Times New Roman" w:cs="Times New Roman" w:eastAsia="Times New Roman" w:hAnsi="Times New Roman"/>
          <w:sz w:val="15"/>
          <w:szCs w:val="15"/>
          <w:b w:val="1"/>
          <w:bCs w:val="1"/>
          <w:color w:val="auto"/>
        </w:rPr>
        <w:t xml:space="preserve"> Agreement </w:t>
      </w:r>
      <w:r>
        <w:rPr>
          <w:rFonts w:ascii="Times New Roman" w:cs="Times New Roman" w:eastAsia="Times New Roman" w:hAnsi="Times New Roman"/>
          <w:sz w:val="15"/>
          <w:szCs w:val="15"/>
          <w:color w:val="auto"/>
        </w:rPr>
        <w:t>as of the Effective Date.</w:t>
      </w:r>
    </w:p>
    <w:p>
      <w:pPr>
        <w:sectPr>
          <w:pgSz w:w="11900" w:h="16838" w:orient="portrait"/>
          <w:cols w:equalWidth="0" w:num="1">
            <w:col w:w="9019"/>
          </w:cols>
          <w:pgMar w:left="1440" w:top="1297" w:right="1440" w:bottom="1440" w:gutter="0" w:footer="0" w:header="0"/>
        </w:sectPr>
      </w:pP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5"/>
          <w:szCs w:val="15"/>
          <w:b w:val="1"/>
          <w:bCs w:val="1"/>
          <w:color w:val="auto"/>
        </w:rPr>
        <w:t>Avalyn Pharma, Inc.</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PARI Pharma GmbH</w:t>
      </w:r>
    </w:p>
    <w:p>
      <w:pPr>
        <w:spacing w:after="0" w:line="189" w:lineRule="exact"/>
        <w:rPr>
          <w:sz w:val="20"/>
          <w:szCs w:val="20"/>
          <w:color w:val="auto"/>
        </w:rPr>
      </w:pPr>
    </w:p>
    <w:p>
      <w:pPr>
        <w:sectPr>
          <w:pgSz w:w="11900" w:h="16838" w:orient="portrait"/>
          <w:cols w:equalWidth="0" w:num="2">
            <w:col w:w="4000" w:space="720"/>
            <w:col w:w="4299"/>
          </w:cols>
          <w:pgMar w:left="1440" w:top="1297"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w:t>
      </w:r>
    </w:p>
    <w:p>
      <w:pPr>
        <w:spacing w:after="0" w:line="200" w:lineRule="exact"/>
        <w:rPr>
          <w:sz w:val="20"/>
          <w:szCs w:val="20"/>
          <w:color w:val="auto"/>
        </w:rPr>
      </w:pPr>
    </w:p>
    <w:p>
      <w:pPr>
        <w:sectPr>
          <w:pgSz w:w="11900" w:h="16838" w:orient="portrait"/>
          <w:cols w:equalWidth="0" w:num="2">
            <w:col w:w="4000" w:space="720"/>
            <w:col w:w="4299"/>
          </w:cols>
          <w:pgMar w:left="1440" w:top="1297" w:right="1440" w:bottom="1440" w:gutter="0" w:footer="0" w:header="0"/>
          <w:type w:val="continuous"/>
        </w:sectPr>
      </w:pPr>
    </w:p>
    <w:p>
      <w:pPr>
        <w:spacing w:after="0" w:line="200" w:lineRule="exact"/>
        <w:rPr>
          <w:sz w:val="20"/>
          <w:szCs w:val="20"/>
          <w:color w:val="auto"/>
        </w:rPr>
      </w:pPr>
    </w:p>
    <w:p>
      <w:pPr>
        <w:spacing w:after="0" w:line="307"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b w:val="1"/>
          <w:bCs w:val="1"/>
          <w:color w:val="auto"/>
        </w:rPr>
        <w:t>PARI Pharma GmbH</w:t>
      </w:r>
    </w:p>
    <w:p>
      <w:pPr>
        <w:spacing w:after="0" w:line="18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5"/>
          <w:szCs w:val="15"/>
          <w:color w:val="auto"/>
        </w:rPr>
        <w:t>[***]</w:t>
      </w:r>
    </w:p>
    <w:p>
      <w:pPr>
        <w:sectPr>
          <w:pgSz w:w="11900" w:h="16838" w:orient="portrait"/>
          <w:cols w:equalWidth="0" w:num="1">
            <w:col w:w="9019"/>
          </w:cols>
          <w:pgMar w:left="1440" w:top="12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377825</wp:posOffset>
            </wp:positionV>
            <wp:extent cx="5485765" cy="3873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type w:val="continuous"/>
        </w:sectPr>
      </w:pPr>
    </w:p>
    <w:bookmarkStart w:id="641" w:name="page642"/>
    <w:bookmarkEnd w:id="641"/>
    <w:p>
      <w:pPr>
        <w:jc w:val="center"/>
        <w:ind w:left="1220" w:right="1279"/>
        <w:spacing w:after="0" w:line="257" w:lineRule="auto"/>
        <w:rPr>
          <w:sz w:val="20"/>
          <w:szCs w:val="20"/>
          <w:color w:val="auto"/>
        </w:rPr>
      </w:pPr>
      <w:r>
        <w:rPr>
          <w:rFonts w:ascii="Arial" w:cs="Arial" w:eastAsia="Arial" w:hAnsi="Arial"/>
          <w:sz w:val="14"/>
          <w:szCs w:val="14"/>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39" w:lineRule="exact"/>
        <w:rPr>
          <w:sz w:val="20"/>
          <w:szCs w:val="20"/>
          <w:color w:val="auto"/>
        </w:rPr>
      </w:pPr>
    </w:p>
    <w:p>
      <w:pPr>
        <w:ind w:left="6840"/>
        <w:spacing w:after="0"/>
        <w:rPr>
          <w:sz w:val="20"/>
          <w:szCs w:val="20"/>
          <w:color w:val="auto"/>
        </w:rPr>
      </w:pPr>
      <w:r>
        <w:rPr>
          <w:rFonts w:ascii="Arial" w:cs="Arial" w:eastAsia="Arial" w:hAnsi="Arial"/>
          <w:sz w:val="15"/>
          <w:szCs w:val="15"/>
          <w:b w:val="1"/>
          <w:bCs w:val="1"/>
          <w:color w:val="auto"/>
        </w:rPr>
        <w:t>Exhibit 10.24</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SUBLEASE</w:t>
      </w:r>
    </w:p>
    <w:p>
      <w:pPr>
        <w:spacing w:after="0" w:line="164" w:lineRule="exact"/>
        <w:rPr>
          <w:sz w:val="20"/>
          <w:szCs w:val="20"/>
          <w:color w:val="auto"/>
        </w:rPr>
      </w:pPr>
    </w:p>
    <w:p>
      <w:pPr>
        <w:jc w:val="both"/>
        <w:ind w:left="1220" w:right="1239" w:firstLine="505"/>
        <w:spacing w:after="0" w:line="247" w:lineRule="auto"/>
        <w:rPr>
          <w:sz w:val="20"/>
          <w:szCs w:val="20"/>
          <w:color w:val="auto"/>
        </w:rPr>
      </w:pPr>
      <w:r>
        <w:rPr>
          <w:rFonts w:ascii="Arial" w:cs="Arial" w:eastAsia="Arial" w:hAnsi="Arial"/>
          <w:sz w:val="15"/>
          <w:szCs w:val="15"/>
          <w:color w:val="auto"/>
        </w:rPr>
        <w:t>CRISPR THERAPEUTICS, INC., a Delaware corporation, with a place of business at 105 West First Street, Boston, MA 02127 (</w:t>
      </w:r>
      <w:r>
        <w:rPr>
          <w:rFonts w:ascii="Arial" w:cs="Arial" w:eastAsia="Arial" w:hAnsi="Arial"/>
          <w:sz w:val="15"/>
          <w:szCs w:val="15"/>
          <w:b w:val="1"/>
          <w:bCs w:val="1"/>
          <w:color w:val="auto"/>
        </w:rPr>
        <w:t>“Sublandlord”</w:t>
      </w:r>
      <w:r>
        <w:rPr>
          <w:rFonts w:ascii="Arial" w:cs="Arial" w:eastAsia="Arial" w:hAnsi="Arial"/>
          <w:sz w:val="15"/>
          <w:szCs w:val="15"/>
          <w:color w:val="auto"/>
        </w:rPr>
        <w:t>), and AVALYN PHARMA INC., a Delaware corporation with a place of business at 245 First Street, Cambridge, MA 02142 (</w:t>
      </w:r>
      <w:r>
        <w:rPr>
          <w:rFonts w:ascii="Arial" w:cs="Arial" w:eastAsia="Arial" w:hAnsi="Arial"/>
          <w:sz w:val="15"/>
          <w:szCs w:val="15"/>
          <w:b w:val="1"/>
          <w:bCs w:val="1"/>
          <w:color w:val="auto"/>
        </w:rPr>
        <w:t>“Subtenant”</w:t>
      </w:r>
      <w:r>
        <w:rPr>
          <w:rFonts w:ascii="Arial" w:cs="Arial" w:eastAsia="Arial" w:hAnsi="Arial"/>
          <w:sz w:val="15"/>
          <w:szCs w:val="15"/>
          <w:color w:val="auto"/>
        </w:rPr>
        <w:t xml:space="preserve">), make this sublease (this </w:t>
      </w:r>
      <w:r>
        <w:rPr>
          <w:rFonts w:ascii="Arial" w:cs="Arial" w:eastAsia="Arial" w:hAnsi="Arial"/>
          <w:sz w:val="15"/>
          <w:szCs w:val="15"/>
          <w:b w:val="1"/>
          <w:bCs w:val="1"/>
          <w:color w:val="auto"/>
        </w:rPr>
        <w:t>“Sublease”</w:t>
      </w:r>
      <w:r>
        <w:rPr>
          <w:rFonts w:ascii="Arial" w:cs="Arial" w:eastAsia="Arial" w:hAnsi="Arial"/>
          <w:sz w:val="15"/>
          <w:szCs w:val="15"/>
          <w:color w:val="auto"/>
        </w:rPr>
        <w:t xml:space="preserve">) as of August </w:t>
      </w:r>
      <w:r>
        <w:rPr>
          <w:rFonts w:ascii="Arial" w:cs="Arial" w:eastAsia="Arial" w:hAnsi="Arial"/>
          <w:sz w:val="15"/>
          <w:szCs w:val="15"/>
          <w:u w:val="single" w:color="auto"/>
          <w:color w:val="auto"/>
        </w:rPr>
        <w:t>29</w:t>
      </w:r>
      <w:r>
        <w:rPr>
          <w:rFonts w:ascii="Arial" w:cs="Arial" w:eastAsia="Arial" w:hAnsi="Arial"/>
          <w:sz w:val="15"/>
          <w:szCs w:val="15"/>
          <w:color w:val="auto"/>
        </w:rPr>
        <w:t>, 2025 (</w:t>
      </w:r>
      <w:r>
        <w:rPr>
          <w:rFonts w:ascii="Arial" w:cs="Arial" w:eastAsia="Arial" w:hAnsi="Arial"/>
          <w:sz w:val="15"/>
          <w:szCs w:val="15"/>
          <w:b w:val="1"/>
          <w:bCs w:val="1"/>
          <w:color w:val="auto"/>
        </w:rPr>
        <w:t>“Effective</w:t>
      </w:r>
      <w:r>
        <w:rPr>
          <w:rFonts w:ascii="Arial" w:cs="Arial" w:eastAsia="Arial" w:hAnsi="Arial"/>
          <w:sz w:val="15"/>
          <w:szCs w:val="15"/>
          <w:color w:val="auto"/>
        </w:rPr>
        <w:t xml:space="preserve"> </w:t>
      </w:r>
      <w:r>
        <w:rPr>
          <w:rFonts w:ascii="Arial" w:cs="Arial" w:eastAsia="Arial" w:hAnsi="Arial"/>
          <w:sz w:val="15"/>
          <w:szCs w:val="15"/>
          <w:b w:val="1"/>
          <w:bCs w:val="1"/>
          <w:color w:val="auto"/>
        </w:rPr>
        <w:t>Date”</w:t>
      </w:r>
      <w:r>
        <w:rPr>
          <w:rFonts w:ascii="Arial" w:cs="Arial" w:eastAsia="Arial" w:hAnsi="Arial"/>
          <w:sz w:val="15"/>
          <w:szCs w:val="15"/>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Preliminary Statement</w:t>
      </w:r>
    </w:p>
    <w:p>
      <w:pPr>
        <w:spacing w:after="0" w:line="162" w:lineRule="exact"/>
        <w:rPr>
          <w:sz w:val="20"/>
          <w:szCs w:val="20"/>
          <w:color w:val="auto"/>
        </w:rPr>
      </w:pPr>
    </w:p>
    <w:p>
      <w:pPr>
        <w:jc w:val="both"/>
        <w:ind w:left="1220" w:right="1239" w:firstLine="509"/>
        <w:spacing w:after="0" w:line="241" w:lineRule="auto"/>
        <w:tabs>
          <w:tab w:leader="none" w:pos="2012" w:val="left"/>
        </w:tabs>
        <w:numPr>
          <w:ilvl w:val="0"/>
          <w:numId w:val="568"/>
        </w:numPr>
        <w:rPr>
          <w:rFonts w:ascii="Arial" w:cs="Arial" w:eastAsia="Arial" w:hAnsi="Arial"/>
          <w:sz w:val="15"/>
          <w:szCs w:val="15"/>
          <w:color w:val="auto"/>
        </w:rPr>
      </w:pPr>
      <w:r>
        <w:rPr>
          <w:rFonts w:ascii="Arial" w:cs="Arial" w:eastAsia="Arial" w:hAnsi="Arial"/>
          <w:sz w:val="15"/>
          <w:szCs w:val="15"/>
          <w:color w:val="auto"/>
        </w:rPr>
        <w:t xml:space="preserve">By that certain Lease dated July 24, 2020 (the </w:t>
      </w:r>
      <w:r>
        <w:rPr>
          <w:rFonts w:ascii="Arial" w:cs="Arial" w:eastAsia="Arial" w:hAnsi="Arial"/>
          <w:sz w:val="15"/>
          <w:szCs w:val="15"/>
          <w:b w:val="1"/>
          <w:bCs w:val="1"/>
          <w:color w:val="auto"/>
        </w:rPr>
        <w:t>“Master Lease”</w:t>
      </w:r>
      <w:r>
        <w:rPr>
          <w:rFonts w:ascii="Arial" w:cs="Arial" w:eastAsia="Arial" w:hAnsi="Arial"/>
          <w:sz w:val="15"/>
          <w:szCs w:val="15"/>
          <w:color w:val="auto"/>
        </w:rPr>
        <w:t xml:space="preserve">), 105 W First Street Owner, L.L.C. (the </w:t>
      </w:r>
      <w:r>
        <w:rPr>
          <w:rFonts w:ascii="Arial" w:cs="Arial" w:eastAsia="Arial" w:hAnsi="Arial"/>
          <w:sz w:val="15"/>
          <w:szCs w:val="15"/>
          <w:b w:val="1"/>
          <w:bCs w:val="1"/>
          <w:color w:val="auto"/>
        </w:rPr>
        <w:t>“Master Landlord”</w:t>
      </w:r>
      <w:r>
        <w:rPr>
          <w:rFonts w:ascii="Arial" w:cs="Arial" w:eastAsia="Arial" w:hAnsi="Arial"/>
          <w:sz w:val="15"/>
          <w:szCs w:val="15"/>
          <w:color w:val="auto"/>
        </w:rPr>
        <w:t xml:space="preserve">) leased to Sublandlord approximately 263,500 square feet of rentable area (the </w:t>
      </w:r>
      <w:r>
        <w:rPr>
          <w:rFonts w:ascii="Arial" w:cs="Arial" w:eastAsia="Arial" w:hAnsi="Arial"/>
          <w:sz w:val="15"/>
          <w:szCs w:val="15"/>
          <w:b w:val="1"/>
          <w:bCs w:val="1"/>
          <w:color w:val="auto"/>
        </w:rPr>
        <w:t>“Premises”</w:t>
      </w:r>
      <w:r>
        <w:rPr>
          <w:rFonts w:ascii="Arial" w:cs="Arial" w:eastAsia="Arial" w:hAnsi="Arial"/>
          <w:sz w:val="15"/>
          <w:szCs w:val="15"/>
          <w:color w:val="auto"/>
        </w:rPr>
        <w:t xml:space="preserve">) in the entire building located at 105 West First Street, Boston Massachusetts (the </w:t>
      </w:r>
      <w:r>
        <w:rPr>
          <w:rFonts w:ascii="Arial" w:cs="Arial" w:eastAsia="Arial" w:hAnsi="Arial"/>
          <w:sz w:val="15"/>
          <w:szCs w:val="15"/>
          <w:b w:val="1"/>
          <w:bCs w:val="1"/>
          <w:color w:val="auto"/>
        </w:rPr>
        <w:t>“Building”</w:t>
      </w:r>
      <w:r>
        <w:rPr>
          <w:rFonts w:ascii="Arial" w:cs="Arial" w:eastAsia="Arial" w:hAnsi="Arial"/>
          <w:sz w:val="15"/>
          <w:szCs w:val="15"/>
          <w:color w:val="auto"/>
        </w:rPr>
        <w:t xml:space="preserve">), subject to and upon the terms and conditions set forth in the Master Lease. A redacted copy of the Master Lease is attached hereto as </w:t>
      </w:r>
      <w:r>
        <w:rPr>
          <w:rFonts w:ascii="Arial" w:cs="Arial" w:eastAsia="Arial" w:hAnsi="Arial"/>
          <w:sz w:val="15"/>
          <w:szCs w:val="15"/>
          <w:b w:val="1"/>
          <w:bCs w:val="1"/>
          <w:u w:val="single" w:color="auto"/>
          <w:color w:val="auto"/>
        </w:rPr>
        <w:t>Exhibit B</w:t>
      </w:r>
      <w:r>
        <w:rPr>
          <w:rFonts w:ascii="Arial" w:cs="Arial" w:eastAsia="Arial" w:hAnsi="Arial"/>
          <w:sz w:val="15"/>
          <w:szCs w:val="15"/>
          <w:color w:val="auto"/>
        </w:rPr>
        <w:t>. Capitalized terms used but not defined in this Sublease shall have the meaning ascribed to such terms in the Master Lease.</w:t>
      </w:r>
    </w:p>
    <w:p>
      <w:pPr>
        <w:spacing w:after="0" w:line="135" w:lineRule="exact"/>
        <w:rPr>
          <w:rFonts w:ascii="Arial" w:cs="Arial" w:eastAsia="Arial" w:hAnsi="Arial"/>
          <w:sz w:val="15"/>
          <w:szCs w:val="15"/>
          <w:color w:val="auto"/>
        </w:rPr>
      </w:pPr>
    </w:p>
    <w:p>
      <w:pPr>
        <w:jc w:val="both"/>
        <w:ind w:left="1220" w:right="1239" w:firstLine="509"/>
        <w:spacing w:after="0" w:line="251" w:lineRule="auto"/>
        <w:tabs>
          <w:tab w:leader="none" w:pos="2046" w:val="left"/>
        </w:tabs>
        <w:numPr>
          <w:ilvl w:val="0"/>
          <w:numId w:val="568"/>
        </w:numPr>
        <w:rPr>
          <w:rFonts w:ascii="Arial" w:cs="Arial" w:eastAsia="Arial" w:hAnsi="Arial"/>
          <w:sz w:val="15"/>
          <w:szCs w:val="15"/>
          <w:color w:val="auto"/>
        </w:rPr>
      </w:pPr>
      <w:r>
        <w:rPr>
          <w:rFonts w:ascii="Arial" w:cs="Arial" w:eastAsia="Arial" w:hAnsi="Arial"/>
          <w:sz w:val="15"/>
          <w:szCs w:val="15"/>
          <w:color w:val="auto"/>
        </w:rPr>
        <w:t xml:space="preserve">Sublandlord desires to sublet to Subtenant, and Subtenant desires to accept from Sublandlord, a portion of the Premises containing 8,774 rentable square feet on the second floor of the Building as more fully shown on </w:t>
      </w:r>
      <w:r>
        <w:rPr>
          <w:rFonts w:ascii="Arial" w:cs="Arial" w:eastAsia="Arial" w:hAnsi="Arial"/>
          <w:sz w:val="15"/>
          <w:szCs w:val="15"/>
          <w:b w:val="1"/>
          <w:bCs w:val="1"/>
          <w:u w:val="single" w:color="auto"/>
          <w:color w:val="auto"/>
        </w:rPr>
        <w:t>Exhibit A</w:t>
      </w:r>
      <w:r>
        <w:rPr>
          <w:rFonts w:ascii="Arial" w:cs="Arial" w:eastAsia="Arial" w:hAnsi="Arial"/>
          <w:sz w:val="15"/>
          <w:szCs w:val="15"/>
          <w:color w:val="auto"/>
        </w:rPr>
        <w:t xml:space="preserve"> attached hereto (the </w:t>
      </w:r>
      <w:r>
        <w:rPr>
          <w:rFonts w:ascii="Arial" w:cs="Arial" w:eastAsia="Arial" w:hAnsi="Arial"/>
          <w:sz w:val="15"/>
          <w:szCs w:val="15"/>
          <w:b w:val="1"/>
          <w:bCs w:val="1"/>
          <w:color w:val="auto"/>
        </w:rPr>
        <w:t>“Subleased</w:t>
      </w:r>
      <w:r>
        <w:rPr>
          <w:rFonts w:ascii="Arial" w:cs="Arial" w:eastAsia="Arial" w:hAnsi="Arial"/>
          <w:sz w:val="15"/>
          <w:szCs w:val="15"/>
          <w:color w:val="auto"/>
        </w:rPr>
        <w:t xml:space="preserve"> </w:t>
      </w:r>
      <w:r>
        <w:rPr>
          <w:rFonts w:ascii="Arial" w:cs="Arial" w:eastAsia="Arial" w:hAnsi="Arial"/>
          <w:sz w:val="15"/>
          <w:szCs w:val="15"/>
          <w:b w:val="1"/>
          <w:bCs w:val="1"/>
          <w:color w:val="auto"/>
        </w:rPr>
        <w:t>Premises”</w:t>
      </w:r>
      <w:r>
        <w:rPr>
          <w:rFonts w:ascii="Arial" w:cs="Arial" w:eastAsia="Arial" w:hAnsi="Arial"/>
          <w:sz w:val="15"/>
          <w:szCs w:val="15"/>
          <w:color w:val="auto"/>
        </w:rPr>
        <w:t>), on the terms and conditions set forth in this Sublease.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Agreement</w:t>
      </w:r>
    </w:p>
    <w:p>
      <w:pPr>
        <w:spacing w:after="0" w:line="164" w:lineRule="exact"/>
        <w:rPr>
          <w:sz w:val="20"/>
          <w:szCs w:val="20"/>
          <w:color w:val="auto"/>
        </w:rPr>
      </w:pPr>
    </w:p>
    <w:p>
      <w:pPr>
        <w:jc w:val="both"/>
        <w:ind w:left="1220" w:right="1239" w:firstLine="504"/>
        <w:spacing w:after="0" w:line="254" w:lineRule="auto"/>
        <w:rPr>
          <w:sz w:val="20"/>
          <w:szCs w:val="20"/>
          <w:color w:val="auto"/>
        </w:rPr>
      </w:pPr>
      <w:r>
        <w:rPr>
          <w:rFonts w:ascii="Arial" w:cs="Arial" w:eastAsia="Arial" w:hAnsi="Arial"/>
          <w:sz w:val="15"/>
          <w:szCs w:val="15"/>
          <w:color w:val="auto"/>
        </w:rPr>
        <w:t>In consideration of the mutual covenants of this Sublease and other valuable consideration, the receipt and sufficiency of which Subtenant and Sublandlord hereby acknowledge, Sublandlord and Subtenant agree as follows:</w:t>
      </w:r>
    </w:p>
    <w:p>
      <w:pPr>
        <w:spacing w:after="0" w:line="125" w:lineRule="exact"/>
        <w:rPr>
          <w:sz w:val="20"/>
          <w:szCs w:val="20"/>
          <w:color w:val="auto"/>
        </w:rPr>
      </w:pPr>
    </w:p>
    <w:p>
      <w:pPr>
        <w:ind w:left="1980" w:hanging="251"/>
        <w:spacing w:after="0"/>
        <w:tabs>
          <w:tab w:leader="none" w:pos="1980" w:val="left"/>
        </w:tabs>
        <w:numPr>
          <w:ilvl w:val="0"/>
          <w:numId w:val="569"/>
        </w:numPr>
        <w:rPr>
          <w:rFonts w:ascii="Arial" w:cs="Arial" w:eastAsia="Arial" w:hAnsi="Arial"/>
          <w:sz w:val="15"/>
          <w:szCs w:val="15"/>
          <w:color w:val="auto"/>
        </w:rPr>
      </w:pPr>
      <w:r>
        <w:rPr>
          <w:rFonts w:ascii="Arial" w:cs="Arial" w:eastAsia="Arial" w:hAnsi="Arial"/>
          <w:sz w:val="15"/>
          <w:szCs w:val="15"/>
          <w:u w:val="single" w:color="auto"/>
          <w:color w:val="auto"/>
        </w:rPr>
        <w:t>Subleased Premises</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jc w:val="both"/>
        <w:ind w:left="1720" w:right="1239" w:firstLine="513"/>
        <w:spacing w:after="0" w:line="236" w:lineRule="auto"/>
        <w:tabs>
          <w:tab w:leader="none" w:pos="2588" w:val="left"/>
        </w:tabs>
        <w:numPr>
          <w:ilvl w:val="1"/>
          <w:numId w:val="569"/>
        </w:numPr>
        <w:rPr>
          <w:rFonts w:ascii="Times New Roman" w:cs="Times New Roman" w:eastAsia="Times New Roman" w:hAnsi="Times New Roman"/>
          <w:sz w:val="17"/>
          <w:szCs w:val="17"/>
          <w:color w:val="auto"/>
        </w:rPr>
      </w:pPr>
      <w:r>
        <w:rPr>
          <w:rFonts w:ascii="Arial" w:cs="Arial" w:eastAsia="Arial" w:hAnsi="Arial"/>
          <w:sz w:val="15"/>
          <w:szCs w:val="15"/>
          <w:color w:val="auto"/>
        </w:rPr>
        <w:t>Sublandlord hereby subleases to Subtenant, and Subtenant hereby subleases from Sublandlord, the Subleased Premises subject to the terms and conditions of this Sublease. Sublandlord shall deliver the Subleased Premises to Subtenant on the Commencement Date (as hereinafter defined) in such “AS IS, WHERE IS” condition as exists on the date delivered to Subtenant, free of all occupants. Upon delivery of possession of the Subleased Premises to Subtenant in accordance with the terms hereof, Subtenant shall conclusively be deemed to have accepted the Subleased Premises in the condition delivered and to have acknowledged that the same are in good condition and satisfactory to Subtenant in all respects and Sublandlord has no obligation to make any improvements to such portion of the Sublease Premises. Subtenant acknowledges that Sublandlord has made no representations or warranties concerning the Subleased Premises or the Building or their fitness for Subtenant’s purposes, except as expressly set forth in this Sublease.</w:t>
      </w:r>
    </w:p>
    <w:p>
      <w:pPr>
        <w:spacing w:after="0" w:line="148" w:lineRule="exact"/>
        <w:rPr>
          <w:rFonts w:ascii="Times New Roman" w:cs="Times New Roman" w:eastAsia="Times New Roman" w:hAnsi="Times New Roman"/>
          <w:sz w:val="17"/>
          <w:szCs w:val="17"/>
          <w:color w:val="auto"/>
        </w:rPr>
      </w:pPr>
    </w:p>
    <w:p>
      <w:pPr>
        <w:jc w:val="both"/>
        <w:ind w:left="1720" w:right="1239" w:firstLine="513"/>
        <w:spacing w:after="0" w:line="241" w:lineRule="auto"/>
        <w:tabs>
          <w:tab w:leader="none" w:pos="2588" w:val="left"/>
        </w:tabs>
        <w:numPr>
          <w:ilvl w:val="1"/>
          <w:numId w:val="569"/>
        </w:numPr>
        <w:rPr>
          <w:rFonts w:ascii="Times New Roman" w:cs="Times New Roman" w:eastAsia="Times New Roman" w:hAnsi="Times New Roman"/>
          <w:sz w:val="17"/>
          <w:szCs w:val="17"/>
          <w:color w:val="auto"/>
        </w:rPr>
      </w:pPr>
      <w:r>
        <w:rPr>
          <w:rFonts w:ascii="Arial" w:cs="Arial" w:eastAsia="Arial" w:hAnsi="Arial"/>
          <w:sz w:val="15"/>
          <w:szCs w:val="15"/>
          <w:color w:val="auto"/>
        </w:rPr>
        <w:t>Subtenant shall have, as appurtenant to the Subleased Premises, the non-exclusive right to use, and permit its invitees to use in common with Sublandlord and others, (i) public or common lobbies, hallways, stairways, elevators and common walkways necessary for access to the Building and the Subleased Premises, and if the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32" w:right="1440" w:bottom="1440" w:gutter="0" w:footer="0" w:header="0"/>
        </w:sectPr>
      </w:pPr>
    </w:p>
    <w:bookmarkStart w:id="642" w:name="page643"/>
    <w:bookmarkEnd w:id="642"/>
    <w:p>
      <w:pPr>
        <w:jc w:val="both"/>
        <w:ind w:left="1720" w:right="1239"/>
        <w:spacing w:after="0" w:line="238" w:lineRule="auto"/>
        <w:rPr>
          <w:sz w:val="20"/>
          <w:szCs w:val="20"/>
          <w:color w:val="auto"/>
        </w:rPr>
      </w:pPr>
      <w:r>
        <w:rPr>
          <w:rFonts w:ascii="Arial" w:cs="Arial" w:eastAsia="Arial" w:hAnsi="Arial"/>
          <w:sz w:val="15"/>
          <w:szCs w:val="15"/>
          <w:color w:val="auto"/>
        </w:rPr>
        <w:t>portion of the Subleased Premises on any floor includes less than the entire floor, the common toilets, corridors and elevator lobby of such floor; (ii) the access roads, driveways, loading areas, pedestrian sidewalks, landscaped areas, trash enclosures and other areas or facilities, if any, which are located in or on the Property and designated by Sublandlord from time to time for the non-exclusive use of tenants and other occupants of the Property, including the Lobby Café, the Innovation Area (subject to Section 3.5 of the Master Lease), fitness center, and bicycle storage area; but such rights shall always be subject to reasonable rules and regulations from time to time established by Sublandlord and to the right of Sublandlord to designate and change from time to time such areas and facilities so to be used.</w:t>
      </w:r>
    </w:p>
    <w:p>
      <w:pPr>
        <w:spacing w:after="0" w:line="150" w:lineRule="exact"/>
        <w:rPr>
          <w:sz w:val="20"/>
          <w:szCs w:val="20"/>
          <w:color w:val="auto"/>
        </w:rPr>
      </w:pPr>
    </w:p>
    <w:p>
      <w:pPr>
        <w:jc w:val="both"/>
        <w:ind w:left="1720" w:right="1239" w:firstLine="513"/>
        <w:spacing w:after="0"/>
        <w:tabs>
          <w:tab w:leader="none" w:pos="2588" w:val="left"/>
        </w:tabs>
        <w:numPr>
          <w:ilvl w:val="1"/>
          <w:numId w:val="570"/>
        </w:numPr>
        <w:rPr>
          <w:rFonts w:ascii="Times New Roman" w:cs="Times New Roman" w:eastAsia="Times New Roman" w:hAnsi="Times New Roman"/>
          <w:sz w:val="17"/>
          <w:szCs w:val="17"/>
          <w:color w:val="auto"/>
        </w:rPr>
      </w:pPr>
      <w:r>
        <w:rPr>
          <w:rFonts w:ascii="Arial" w:cs="Arial" w:eastAsia="Arial" w:hAnsi="Arial"/>
          <w:sz w:val="15"/>
          <w:szCs w:val="15"/>
          <w:color w:val="auto"/>
        </w:rPr>
        <w:t>Provided that Subtenant is then in occupancy of the Subleased Premises and is not then in default under this Sublease, Subtenant shall have the right to use the board room located on the first floor of the Building at least four times per year and to non-exclusive use of the conference rooms on the first floor, in each case subject to advance scheduling with Sublandlord and the then availability of such areas for the requested times.</w:t>
      </w:r>
    </w:p>
    <w:p>
      <w:pPr>
        <w:spacing w:after="0" w:line="312" w:lineRule="exact"/>
        <w:rPr>
          <w:rFonts w:ascii="Times New Roman" w:cs="Times New Roman" w:eastAsia="Times New Roman" w:hAnsi="Times New Roman"/>
          <w:sz w:val="17"/>
          <w:szCs w:val="17"/>
          <w:color w:val="auto"/>
        </w:rPr>
      </w:pPr>
    </w:p>
    <w:p>
      <w:pPr>
        <w:jc w:val="both"/>
        <w:ind w:left="1720" w:right="1239" w:firstLine="513"/>
        <w:spacing w:after="0" w:line="238" w:lineRule="auto"/>
        <w:tabs>
          <w:tab w:leader="none" w:pos="2588" w:val="left"/>
        </w:tabs>
        <w:numPr>
          <w:ilvl w:val="1"/>
          <w:numId w:val="570"/>
        </w:numPr>
        <w:rPr>
          <w:rFonts w:ascii="Times New Roman" w:cs="Times New Roman" w:eastAsia="Times New Roman" w:hAnsi="Times New Roman"/>
          <w:sz w:val="17"/>
          <w:szCs w:val="17"/>
          <w:color w:val="auto"/>
        </w:rPr>
      </w:pPr>
      <w:r>
        <w:rPr>
          <w:rFonts w:ascii="Arial" w:cs="Arial" w:eastAsia="Arial" w:hAnsi="Arial"/>
          <w:sz w:val="15"/>
          <w:szCs w:val="15"/>
          <w:color w:val="auto"/>
        </w:rPr>
        <w:t>Provided that Subtenant is in occupancy of the Subleased Premises and is not then in default under this Sublease, Subtenant shall have the right to have its name at the exterior entrance to the Building and in any tenant directory in the main lobby of the Building. Any signage at the exterior entrance of the Building shall be subject to the prior written approval of Master Landlord and Sublandlord, which approval of Sublandlord shall not be unreasonably withheld, conditioned or delayed, and subject to compliance by Subtenant with Article 32 of the Master Lease.</w:t>
      </w:r>
    </w:p>
    <w:p>
      <w:pPr>
        <w:spacing w:after="0" w:line="133" w:lineRule="exact"/>
        <w:rPr>
          <w:rFonts w:ascii="Times New Roman" w:cs="Times New Roman" w:eastAsia="Times New Roman" w:hAnsi="Times New Roman"/>
          <w:sz w:val="17"/>
          <w:szCs w:val="17"/>
          <w:color w:val="auto"/>
        </w:rPr>
      </w:pPr>
    </w:p>
    <w:p>
      <w:pPr>
        <w:jc w:val="both"/>
        <w:ind w:left="1220" w:right="1239" w:firstLine="509"/>
        <w:spacing w:after="0"/>
        <w:tabs>
          <w:tab w:leader="none" w:pos="2044" w:val="left"/>
        </w:tabs>
        <w:numPr>
          <w:ilvl w:val="0"/>
          <w:numId w:val="571"/>
        </w:numPr>
        <w:rPr>
          <w:rFonts w:ascii="Arial" w:cs="Arial" w:eastAsia="Arial" w:hAnsi="Arial"/>
          <w:sz w:val="15"/>
          <w:szCs w:val="15"/>
          <w:color w:val="auto"/>
        </w:rPr>
      </w:pPr>
      <w:r>
        <w:rPr>
          <w:rFonts w:ascii="Arial" w:cs="Arial" w:eastAsia="Arial" w:hAnsi="Arial"/>
          <w:sz w:val="15"/>
          <w:szCs w:val="15"/>
          <w:u w:val="single" w:color="auto"/>
          <w:color w:val="auto"/>
        </w:rPr>
        <w:t>Term</w:t>
      </w:r>
      <w:r>
        <w:rPr>
          <w:rFonts w:ascii="Arial" w:cs="Arial" w:eastAsia="Arial" w:hAnsi="Arial"/>
          <w:sz w:val="15"/>
          <w:szCs w:val="15"/>
          <w:color w:val="auto"/>
        </w:rPr>
        <w:t xml:space="preserve">. The term of this Sublease (the </w:t>
      </w:r>
      <w:r>
        <w:rPr>
          <w:rFonts w:ascii="Arial" w:cs="Arial" w:eastAsia="Arial" w:hAnsi="Arial"/>
          <w:sz w:val="15"/>
          <w:szCs w:val="15"/>
          <w:b w:val="1"/>
          <w:bCs w:val="1"/>
          <w:color w:val="auto"/>
        </w:rPr>
        <w:t>“Sublease Term”</w:t>
      </w:r>
      <w:r>
        <w:rPr>
          <w:rFonts w:ascii="Arial" w:cs="Arial" w:eastAsia="Arial" w:hAnsi="Arial"/>
          <w:sz w:val="15"/>
          <w:szCs w:val="15"/>
          <w:color w:val="auto"/>
        </w:rPr>
        <w:t xml:space="preserve">) shall commence on the later to occur of (a) the Effective Date of this Sublease and (b) the date that Master Landlord consents to this Sublease as required under the Master Lease (the </w:t>
      </w:r>
      <w:r>
        <w:rPr>
          <w:rFonts w:ascii="Arial" w:cs="Arial" w:eastAsia="Arial" w:hAnsi="Arial"/>
          <w:sz w:val="15"/>
          <w:szCs w:val="15"/>
          <w:b w:val="1"/>
          <w:bCs w:val="1"/>
          <w:color w:val="auto"/>
        </w:rPr>
        <w:t>“Commencement Date”</w:t>
      </w:r>
      <w:r>
        <w:rPr>
          <w:rFonts w:ascii="Arial" w:cs="Arial" w:eastAsia="Arial" w:hAnsi="Arial"/>
          <w:sz w:val="15"/>
          <w:szCs w:val="15"/>
          <w:color w:val="auto"/>
        </w:rPr>
        <w:t>) and shall terminate on the last day of the third Lease Year (as defined below), or such sooner date upon which the Sublease Term may expire or terminate under this Sublease, the Master Lease or pursuant to law, and subject to extension as provided in Section 24 below. Promptly following the final determination of the Commencement Date and upon request of Sublandlord, Sublandlord and Subtenant shall jointly execute a written declaration specifying the actual Commencement Date.</w:t>
      </w:r>
    </w:p>
    <w:p>
      <w:pPr>
        <w:spacing w:after="0" w:line="304" w:lineRule="exact"/>
        <w:rPr>
          <w:rFonts w:ascii="Arial" w:cs="Arial" w:eastAsia="Arial" w:hAnsi="Arial"/>
          <w:sz w:val="15"/>
          <w:szCs w:val="15"/>
          <w:color w:val="auto"/>
        </w:rPr>
      </w:pPr>
    </w:p>
    <w:p>
      <w:pPr>
        <w:jc w:val="both"/>
        <w:ind w:left="1220" w:right="1239" w:firstLine="509"/>
        <w:spacing w:after="0" w:line="244" w:lineRule="auto"/>
        <w:tabs>
          <w:tab w:leader="none" w:pos="2034" w:val="left"/>
        </w:tabs>
        <w:numPr>
          <w:ilvl w:val="0"/>
          <w:numId w:val="571"/>
        </w:numPr>
        <w:rPr>
          <w:rFonts w:ascii="Arial" w:cs="Arial" w:eastAsia="Arial" w:hAnsi="Arial"/>
          <w:sz w:val="15"/>
          <w:szCs w:val="15"/>
          <w:color w:val="auto"/>
        </w:rPr>
      </w:pPr>
      <w:r>
        <w:rPr>
          <w:rFonts w:ascii="Arial" w:cs="Arial" w:eastAsia="Arial" w:hAnsi="Arial"/>
          <w:sz w:val="15"/>
          <w:szCs w:val="15"/>
          <w:u w:val="single" w:color="auto"/>
          <w:color w:val="auto"/>
        </w:rPr>
        <w:t>Permitted Use</w:t>
      </w:r>
      <w:r>
        <w:rPr>
          <w:rFonts w:ascii="Arial" w:cs="Arial" w:eastAsia="Arial" w:hAnsi="Arial"/>
          <w:sz w:val="15"/>
          <w:szCs w:val="15"/>
          <w:color w:val="auto"/>
        </w:rPr>
        <w:t xml:space="preserve">. Subtenant shall use and occupy the Subleased Premises only for Office Area Permitted Uses (as defined in the Master Lease) (the </w:t>
      </w:r>
      <w:r>
        <w:rPr>
          <w:rFonts w:ascii="Arial" w:cs="Arial" w:eastAsia="Arial" w:hAnsi="Arial"/>
          <w:sz w:val="15"/>
          <w:szCs w:val="15"/>
          <w:b w:val="1"/>
          <w:bCs w:val="1"/>
          <w:color w:val="auto"/>
        </w:rPr>
        <w:t>“Premitted Uses”</w:t>
      </w:r>
      <w:r>
        <w:rPr>
          <w:rFonts w:ascii="Arial" w:cs="Arial" w:eastAsia="Arial" w:hAnsi="Arial"/>
          <w:sz w:val="15"/>
          <w:szCs w:val="15"/>
          <w:color w:val="auto"/>
        </w:rPr>
        <w:t>) Subtenant shall also comply with all laws governing or affecting Subtenant’s use of the Subleased Premises, and Subtenant acknowledges that Sublandlord has made no representations or warranties concerning whether the Permitted Uses comply with such laws.</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43" w:name="page644"/>
    <w:bookmarkEnd w:id="643"/>
    <w:p>
      <w:pPr>
        <w:jc w:val="both"/>
        <w:ind w:left="1220" w:right="1239" w:firstLine="509"/>
        <w:spacing w:after="0" w:line="242" w:lineRule="auto"/>
        <w:tabs>
          <w:tab w:leader="none" w:pos="2202" w:val="left"/>
        </w:tabs>
        <w:numPr>
          <w:ilvl w:val="0"/>
          <w:numId w:val="572"/>
        </w:numPr>
        <w:rPr>
          <w:rFonts w:ascii="Arial" w:cs="Arial" w:eastAsia="Arial" w:hAnsi="Arial"/>
          <w:sz w:val="15"/>
          <w:szCs w:val="15"/>
          <w:color w:val="auto"/>
        </w:rPr>
      </w:pPr>
      <w:r>
        <w:rPr>
          <w:rFonts w:ascii="Arial" w:cs="Arial" w:eastAsia="Arial" w:hAnsi="Arial"/>
          <w:sz w:val="15"/>
          <w:szCs w:val="15"/>
          <w:u w:val="single" w:color="auto"/>
          <w:color w:val="auto"/>
        </w:rPr>
        <w:t>Base Rent</w:t>
      </w:r>
      <w:r>
        <w:rPr>
          <w:rFonts w:ascii="Arial" w:cs="Arial" w:eastAsia="Arial" w:hAnsi="Arial"/>
          <w:sz w:val="15"/>
          <w:szCs w:val="15"/>
          <w:color w:val="auto"/>
        </w:rPr>
        <w:t>. Commencing on the date that is four (4) months after the Commencement Date (the “</w:t>
      </w:r>
      <w:r>
        <w:rPr>
          <w:rFonts w:ascii="Arial" w:cs="Arial" w:eastAsia="Arial" w:hAnsi="Arial"/>
          <w:sz w:val="15"/>
          <w:szCs w:val="15"/>
          <w:b w:val="1"/>
          <w:bCs w:val="1"/>
          <w:color w:val="auto"/>
        </w:rPr>
        <w:t>Rent Commencement Date”</w:t>
      </w:r>
      <w:r>
        <w:rPr>
          <w:rFonts w:ascii="Arial" w:cs="Arial" w:eastAsia="Arial" w:hAnsi="Arial"/>
          <w:sz w:val="15"/>
          <w:szCs w:val="15"/>
          <w:color w:val="auto"/>
        </w:rPr>
        <w:t>) Subtenant shall pay rent to Sublandlord (</w:t>
      </w:r>
      <w:r>
        <w:rPr>
          <w:rFonts w:ascii="Arial" w:cs="Arial" w:eastAsia="Arial" w:hAnsi="Arial"/>
          <w:sz w:val="15"/>
          <w:szCs w:val="15"/>
          <w:b w:val="1"/>
          <w:bCs w:val="1"/>
          <w:color w:val="auto"/>
        </w:rPr>
        <w:t>“Base Rent”)</w:t>
      </w:r>
      <w:r>
        <w:rPr>
          <w:rFonts w:ascii="Arial" w:cs="Arial" w:eastAsia="Arial" w:hAnsi="Arial"/>
          <w:sz w:val="15"/>
          <w:szCs w:val="15"/>
          <w:color w:val="auto"/>
        </w:rPr>
        <w:t xml:space="preserve"> in equal monthly installments in advance on the first day of each calendar month during the Sublease Term, as more fully set forth in the table below. The first monthly installment shall be delivered to Sublandlord by Subtenant upon execution of this Sublease by Subtenant.</w:t>
      </w:r>
    </w:p>
    <w:p>
      <w:pPr>
        <w:spacing w:after="0" w:line="300" w:lineRule="exact"/>
        <w:rPr>
          <w:sz w:val="20"/>
          <w:szCs w:val="20"/>
          <w:color w:val="auto"/>
        </w:rPr>
      </w:pPr>
    </w:p>
    <w:tbl>
      <w:tblPr>
        <w:tblLayout w:type="fixed"/>
        <w:tblInd w:w="1770" w:type="dxa"/>
        <w:tblCellMar>
          <w:top w:w="0" w:type="dxa"/>
          <w:left w:w="0" w:type="dxa"/>
          <w:bottom w:w="0" w:type="dxa"/>
          <w:right w:w="0" w:type="dxa"/>
        </w:tblCellMar>
      </w:tblPr>
      <w:tr>
        <w:trPr>
          <w:trHeight w:val="165"/>
        </w:trPr>
        <w:tc>
          <w:tcPr>
            <w:tcW w:w="22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RENTAL PERIOD</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5"/>
                <w:szCs w:val="15"/>
                <w:b w:val="1"/>
                <w:bCs w:val="1"/>
                <w:color w:val="auto"/>
              </w:rPr>
              <w:t>ANNUAL BASE RENT</w:t>
            </w:r>
          </w:p>
        </w:tc>
        <w:tc>
          <w:tcPr>
            <w:tcW w:w="1540" w:type="dxa"/>
            <w:vAlign w:val="bottom"/>
            <w:tcBorders>
              <w:top w:val="single" w:sz="8" w:color="auto"/>
              <w:right w:val="single" w:sz="8" w:color="auto"/>
            </w:tcBorders>
          </w:tcPr>
          <w:p>
            <w:pPr>
              <w:ind w:left="360"/>
              <w:spacing w:after="0" w:line="165" w:lineRule="exact"/>
              <w:rPr>
                <w:sz w:val="20"/>
                <w:szCs w:val="20"/>
                <w:color w:val="auto"/>
              </w:rPr>
            </w:pPr>
            <w:r>
              <w:rPr>
                <w:rFonts w:ascii="Arial" w:cs="Arial" w:eastAsia="Arial" w:hAnsi="Arial"/>
                <w:sz w:val="15"/>
                <w:szCs w:val="15"/>
                <w:b w:val="1"/>
                <w:bCs w:val="1"/>
                <w:color w:val="auto"/>
              </w:rPr>
              <w:t>MONTHLY</w:t>
            </w:r>
          </w:p>
        </w:tc>
        <w:tc>
          <w:tcPr>
            <w:tcW w:w="0" w:type="dxa"/>
            <w:vAlign w:val="bottom"/>
          </w:tcPr>
          <w:p>
            <w:pPr>
              <w:spacing w:after="0"/>
              <w:rPr>
                <w:sz w:val="1"/>
                <w:szCs w:val="1"/>
                <w:color w:val="auto"/>
              </w:rPr>
            </w:pPr>
          </w:p>
        </w:tc>
      </w:tr>
      <w:tr>
        <w:trPr>
          <w:trHeight w:val="202"/>
        </w:trPr>
        <w:tc>
          <w:tcPr>
            <w:tcW w:w="2200" w:type="dxa"/>
            <w:vAlign w:val="bottom"/>
            <w:tcBorders>
              <w:left w:val="single" w:sz="8" w:color="auto"/>
              <w:bottom w:val="single" w:sz="8" w:color="auto"/>
              <w:right w:val="single" w:sz="8" w:color="auto"/>
            </w:tcBorders>
            <w:vMerge w:val="continue"/>
          </w:tcPr>
          <w:p>
            <w:pPr>
              <w:spacing w:after="0"/>
              <w:rPr>
                <w:sz w:val="17"/>
                <w:szCs w:val="17"/>
                <w:color w:val="auto"/>
              </w:rPr>
            </w:pPr>
          </w:p>
        </w:tc>
        <w:tc>
          <w:tcPr>
            <w:tcW w:w="1780" w:type="dxa"/>
            <w:vAlign w:val="bottom"/>
            <w:tcBorders>
              <w:bottom w:val="single" w:sz="8" w:color="auto"/>
              <w:right w:val="single" w:sz="8" w:color="auto"/>
            </w:tcBorders>
            <w:vMerge w:val="continue"/>
          </w:tcPr>
          <w:p>
            <w:pPr>
              <w:spacing w:after="0"/>
              <w:rPr>
                <w:sz w:val="17"/>
                <w:szCs w:val="17"/>
                <w:color w:val="auto"/>
              </w:rPr>
            </w:pPr>
          </w:p>
        </w:tc>
        <w:tc>
          <w:tcPr>
            <w:tcW w:w="154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5"/>
                <w:szCs w:val="15"/>
                <w:b w:val="1"/>
                <w:bCs w:val="1"/>
                <w:color w:val="auto"/>
              </w:rPr>
              <w:t>PAYMENT</w:t>
            </w:r>
          </w:p>
        </w:tc>
        <w:tc>
          <w:tcPr>
            <w:tcW w:w="0" w:type="dxa"/>
            <w:vAlign w:val="bottom"/>
          </w:tcPr>
          <w:p>
            <w:pPr>
              <w:spacing w:after="0"/>
              <w:rPr>
                <w:sz w:val="1"/>
                <w:szCs w:val="1"/>
                <w:color w:val="auto"/>
              </w:rPr>
            </w:pPr>
          </w:p>
        </w:tc>
      </w:tr>
      <w:tr>
        <w:trPr>
          <w:trHeight w:val="143"/>
        </w:trPr>
        <w:tc>
          <w:tcPr>
            <w:tcW w:w="2200" w:type="dxa"/>
            <w:vAlign w:val="bottom"/>
            <w:tcBorders>
              <w:left w:val="single" w:sz="8" w:color="auto"/>
              <w:bottom w:val="single" w:sz="8" w:color="auto"/>
              <w:right w:val="single" w:sz="8" w:color="auto"/>
            </w:tcBorders>
          </w:tcPr>
          <w:p>
            <w:pPr>
              <w:jc w:val="center"/>
              <w:spacing w:after="0" w:line="144" w:lineRule="exact"/>
              <w:rPr>
                <w:sz w:val="20"/>
                <w:szCs w:val="20"/>
                <w:color w:val="auto"/>
              </w:rPr>
            </w:pPr>
            <w:r>
              <w:rPr>
                <w:rFonts w:ascii="Arial" w:cs="Arial" w:eastAsia="Arial" w:hAnsi="Arial"/>
                <w:sz w:val="15"/>
                <w:szCs w:val="15"/>
                <w:color w:val="auto"/>
              </w:rPr>
              <w:t>First Lease Year</w:t>
            </w:r>
          </w:p>
        </w:tc>
        <w:tc>
          <w:tcPr>
            <w:tcW w:w="1780" w:type="dxa"/>
            <w:vAlign w:val="bottom"/>
            <w:tcBorders>
              <w:bottom w:val="single" w:sz="8" w:color="auto"/>
              <w:right w:val="single" w:sz="8" w:color="auto"/>
            </w:tcBorders>
          </w:tcPr>
          <w:p>
            <w:pPr>
              <w:jc w:val="center"/>
              <w:spacing w:after="0" w:line="144" w:lineRule="exact"/>
              <w:rPr>
                <w:sz w:val="20"/>
                <w:szCs w:val="20"/>
                <w:color w:val="auto"/>
              </w:rPr>
            </w:pPr>
            <w:r>
              <w:rPr>
                <w:rFonts w:ascii="Arial" w:cs="Arial" w:eastAsia="Arial" w:hAnsi="Arial"/>
                <w:sz w:val="15"/>
                <w:szCs w:val="15"/>
                <w:color w:val="auto"/>
              </w:rPr>
              <w:t>$614,180.00</w:t>
            </w:r>
          </w:p>
        </w:tc>
        <w:tc>
          <w:tcPr>
            <w:tcW w:w="1540" w:type="dxa"/>
            <w:vAlign w:val="bottom"/>
            <w:tcBorders>
              <w:bottom w:val="single" w:sz="8" w:color="auto"/>
              <w:right w:val="single" w:sz="8" w:color="auto"/>
            </w:tcBorders>
          </w:tcPr>
          <w:p>
            <w:pPr>
              <w:ind w:left="360"/>
              <w:spacing w:after="0" w:line="144" w:lineRule="exact"/>
              <w:rPr>
                <w:sz w:val="20"/>
                <w:szCs w:val="20"/>
                <w:color w:val="auto"/>
              </w:rPr>
            </w:pPr>
            <w:r>
              <w:rPr>
                <w:rFonts w:ascii="Arial" w:cs="Arial" w:eastAsia="Arial" w:hAnsi="Arial"/>
                <w:sz w:val="15"/>
                <w:szCs w:val="15"/>
                <w:color w:val="auto"/>
              </w:rPr>
              <w:t>$51,181.67</w:t>
            </w:r>
          </w:p>
        </w:tc>
        <w:tc>
          <w:tcPr>
            <w:tcW w:w="0" w:type="dxa"/>
            <w:vAlign w:val="bottom"/>
          </w:tcPr>
          <w:p>
            <w:pPr>
              <w:spacing w:after="0"/>
              <w:rPr>
                <w:sz w:val="1"/>
                <w:szCs w:val="1"/>
                <w:color w:val="auto"/>
              </w:rPr>
            </w:pPr>
          </w:p>
        </w:tc>
      </w:tr>
      <w:tr>
        <w:trPr>
          <w:trHeight w:val="159"/>
        </w:trPr>
        <w:tc>
          <w:tcPr>
            <w:tcW w:w="220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Second Lease Year</w:t>
            </w:r>
          </w:p>
        </w:tc>
        <w:tc>
          <w:tcPr>
            <w:tcW w:w="17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$632,605.40</w:t>
            </w:r>
          </w:p>
        </w:tc>
        <w:tc>
          <w:tcPr>
            <w:tcW w:w="1540" w:type="dxa"/>
            <w:vAlign w:val="bottom"/>
            <w:tcBorders>
              <w:bottom w:val="single" w:sz="8" w:color="auto"/>
              <w:right w:val="single" w:sz="8" w:color="auto"/>
            </w:tcBorders>
          </w:tcPr>
          <w:p>
            <w:pPr>
              <w:ind w:left="360"/>
              <w:spacing w:after="0" w:line="159" w:lineRule="exact"/>
              <w:rPr>
                <w:sz w:val="20"/>
                <w:szCs w:val="20"/>
                <w:color w:val="auto"/>
              </w:rPr>
            </w:pPr>
            <w:r>
              <w:rPr>
                <w:rFonts w:ascii="Arial" w:cs="Arial" w:eastAsia="Arial" w:hAnsi="Arial"/>
                <w:sz w:val="15"/>
                <w:szCs w:val="15"/>
                <w:color w:val="auto"/>
              </w:rPr>
              <w:t>$52,717.12</w:t>
            </w:r>
          </w:p>
        </w:tc>
        <w:tc>
          <w:tcPr>
            <w:tcW w:w="0" w:type="dxa"/>
            <w:vAlign w:val="bottom"/>
          </w:tcPr>
          <w:p>
            <w:pPr>
              <w:spacing w:after="0"/>
              <w:rPr>
                <w:sz w:val="1"/>
                <w:szCs w:val="1"/>
                <w:color w:val="auto"/>
              </w:rPr>
            </w:pPr>
          </w:p>
        </w:tc>
      </w:tr>
      <w:tr>
        <w:trPr>
          <w:trHeight w:val="159"/>
        </w:trPr>
        <w:tc>
          <w:tcPr>
            <w:tcW w:w="2200" w:type="dxa"/>
            <w:vAlign w:val="bottom"/>
            <w:tcBorders>
              <w:left w:val="single" w:sz="8" w:color="auto"/>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Third Lease Year</w:t>
            </w:r>
          </w:p>
        </w:tc>
        <w:tc>
          <w:tcPr>
            <w:tcW w:w="1780" w:type="dxa"/>
            <w:vAlign w:val="bottom"/>
            <w:tcBorders>
              <w:bottom w:val="single" w:sz="8" w:color="auto"/>
              <w:right w:val="single" w:sz="8" w:color="auto"/>
            </w:tcBorders>
          </w:tcPr>
          <w:p>
            <w:pPr>
              <w:jc w:val="center"/>
              <w:spacing w:after="0" w:line="159" w:lineRule="exact"/>
              <w:rPr>
                <w:sz w:val="20"/>
                <w:szCs w:val="20"/>
                <w:color w:val="auto"/>
              </w:rPr>
            </w:pPr>
            <w:r>
              <w:rPr>
                <w:rFonts w:ascii="Arial" w:cs="Arial" w:eastAsia="Arial" w:hAnsi="Arial"/>
                <w:sz w:val="15"/>
                <w:szCs w:val="15"/>
                <w:color w:val="auto"/>
              </w:rPr>
              <w:t>$651,583.56</w:t>
            </w:r>
          </w:p>
        </w:tc>
        <w:tc>
          <w:tcPr>
            <w:tcW w:w="1540" w:type="dxa"/>
            <w:vAlign w:val="bottom"/>
            <w:tcBorders>
              <w:bottom w:val="single" w:sz="8" w:color="auto"/>
              <w:right w:val="single" w:sz="8" w:color="auto"/>
            </w:tcBorders>
          </w:tcPr>
          <w:p>
            <w:pPr>
              <w:ind w:left="360"/>
              <w:spacing w:after="0" w:line="159" w:lineRule="exact"/>
              <w:rPr>
                <w:sz w:val="20"/>
                <w:szCs w:val="20"/>
                <w:color w:val="auto"/>
              </w:rPr>
            </w:pPr>
            <w:r>
              <w:rPr>
                <w:rFonts w:ascii="Arial" w:cs="Arial" w:eastAsia="Arial" w:hAnsi="Arial"/>
                <w:sz w:val="15"/>
                <w:szCs w:val="15"/>
                <w:color w:val="auto"/>
              </w:rPr>
              <w:t>$54,298.63</w:t>
            </w:r>
          </w:p>
        </w:tc>
        <w:tc>
          <w:tcPr>
            <w:tcW w:w="0" w:type="dxa"/>
            <w:vAlign w:val="bottom"/>
          </w:tcPr>
          <w:p>
            <w:pPr>
              <w:spacing w:after="0"/>
              <w:rPr>
                <w:sz w:val="1"/>
                <w:szCs w:val="1"/>
                <w:color w:val="auto"/>
              </w:rPr>
            </w:pPr>
          </w:p>
        </w:tc>
      </w:tr>
    </w:tbl>
    <w:p>
      <w:pPr>
        <w:spacing w:after="0" w:line="149" w:lineRule="exact"/>
        <w:rPr>
          <w:sz w:val="20"/>
          <w:szCs w:val="20"/>
          <w:color w:val="auto"/>
        </w:rPr>
      </w:pPr>
    </w:p>
    <w:p>
      <w:pPr>
        <w:jc w:val="both"/>
        <w:ind w:left="1220" w:right="1239" w:firstLine="1"/>
        <w:spacing w:after="0" w:line="241" w:lineRule="auto"/>
        <w:rPr>
          <w:sz w:val="20"/>
          <w:szCs w:val="20"/>
          <w:color w:val="auto"/>
        </w:rPr>
      </w:pPr>
      <w:r>
        <w:rPr>
          <w:rFonts w:ascii="Arial" w:cs="Arial" w:eastAsia="Arial" w:hAnsi="Arial"/>
          <w:sz w:val="15"/>
          <w:szCs w:val="15"/>
          <w:color w:val="auto"/>
        </w:rPr>
        <w:t xml:space="preserve">As used in this Sublease, the term </w:t>
      </w:r>
      <w:r>
        <w:rPr>
          <w:rFonts w:ascii="Arial" w:cs="Arial" w:eastAsia="Arial" w:hAnsi="Arial"/>
          <w:sz w:val="15"/>
          <w:szCs w:val="15"/>
          <w:b w:val="1"/>
          <w:bCs w:val="1"/>
          <w:color w:val="auto"/>
        </w:rPr>
        <w:t>“Lease Year”</w:t>
      </w:r>
      <w:r>
        <w:rPr>
          <w:rFonts w:ascii="Arial" w:cs="Arial" w:eastAsia="Arial" w:hAnsi="Arial"/>
          <w:sz w:val="15"/>
          <w:szCs w:val="15"/>
          <w:color w:val="auto"/>
        </w:rPr>
        <w:t xml:space="preserve"> means each period of twelve (12) full calendar months during the Sublease Term commencing on the Rent Commencement Date or on any anniversary thereof, or, if the Rent Commencement Date does not fall on the first day of a calendar month, the first Lease Year shall consist of the partial calendar month following the Rent Commencement Date and the succeeding twelve full calendar months, and each succeeding Lease Year shall consist of a one-year period commencing on the first day of the calendar month following the calendar month in which the Rent Commencement Date fell.</w:t>
      </w:r>
    </w:p>
    <w:p>
      <w:pPr>
        <w:spacing w:after="0" w:line="135" w:lineRule="exact"/>
        <w:rPr>
          <w:sz w:val="20"/>
          <w:szCs w:val="20"/>
          <w:color w:val="auto"/>
        </w:rPr>
      </w:pPr>
    </w:p>
    <w:p>
      <w:pPr>
        <w:jc w:val="both"/>
        <w:ind w:left="1220" w:right="1239"/>
        <w:spacing w:after="0" w:line="236" w:lineRule="auto"/>
        <w:rPr>
          <w:sz w:val="20"/>
          <w:szCs w:val="20"/>
          <w:color w:val="auto"/>
        </w:rPr>
      </w:pPr>
      <w:r>
        <w:rPr>
          <w:rFonts w:ascii="Arial" w:cs="Arial" w:eastAsia="Arial" w:hAnsi="Arial"/>
          <w:sz w:val="15"/>
          <w:szCs w:val="15"/>
          <w:color w:val="auto"/>
        </w:rPr>
        <w:t xml:space="preserve">If the Sublease Term includes a partial calendar month at its beginning or end, the monthly installment of Base Rent for such partial month shall be prorated at the rate of 1/30 of the monthly installment for each day in such partial month within the Sublease Term and shall be payable in advance on the first day of such partial month occurring within the Sublease Term. The Base Rent shall be paid to Sublandlord at its offices located at the address set forth in the opening paragraph of this Sublease, or such other place as Sublandlord may designate in writing, in lawful money of the United States of America, without demand, deduction, offset or abatement. All sums due under this Sublease other than Base Rent shall be deemed </w:t>
      </w:r>
      <w:r>
        <w:rPr>
          <w:rFonts w:ascii="Arial" w:cs="Arial" w:eastAsia="Arial" w:hAnsi="Arial"/>
          <w:sz w:val="15"/>
          <w:szCs w:val="15"/>
          <w:b w:val="1"/>
          <w:bCs w:val="1"/>
          <w:color w:val="auto"/>
        </w:rPr>
        <w:t xml:space="preserve">“Additional Rent”. </w:t>
      </w:r>
      <w:r>
        <w:rPr>
          <w:rFonts w:ascii="Arial" w:cs="Arial" w:eastAsia="Arial" w:hAnsi="Arial"/>
          <w:sz w:val="15"/>
          <w:szCs w:val="15"/>
          <w:color w:val="auto"/>
        </w:rPr>
        <w:t>Unless a shorter period exists for payment of the same under the Master</w:t>
      </w:r>
      <w:r>
        <w:rPr>
          <w:rFonts w:ascii="Arial" w:cs="Arial" w:eastAsia="Arial" w:hAnsi="Arial"/>
          <w:sz w:val="15"/>
          <w:szCs w:val="15"/>
          <w:b w:val="1"/>
          <w:bCs w:val="1"/>
          <w:color w:val="auto"/>
        </w:rPr>
        <w:t xml:space="preserve"> </w:t>
      </w:r>
      <w:r>
        <w:rPr>
          <w:rFonts w:ascii="Arial" w:cs="Arial" w:eastAsia="Arial" w:hAnsi="Arial"/>
          <w:sz w:val="15"/>
          <w:szCs w:val="15"/>
          <w:color w:val="auto"/>
        </w:rPr>
        <w:t>Lease, all amounts for which no time period is specified herein shall be due to Sublandlord from Subtenant within twenty (20) days of billing for the same. Any installment of Base Rent or Additional Rent not paid on the date when due shall bear interest at the lesser of (a) a rate of fifteen percent (15%) or (b) the highest rate permitted by law, from the date due until the date paid, provided, however, that on the first occasion during any twelve month period, Sublandlord shall furnish Subtenant with written notice of such failure and permit Subtenant five (5) days from delivery of said notice to cure such failure prior to the application of interest.</w:t>
      </w:r>
    </w:p>
    <w:p>
      <w:pPr>
        <w:spacing w:after="0" w:line="146" w:lineRule="exact"/>
        <w:rPr>
          <w:sz w:val="20"/>
          <w:szCs w:val="20"/>
          <w:color w:val="auto"/>
        </w:rPr>
      </w:pPr>
    </w:p>
    <w:p>
      <w:pPr>
        <w:jc w:val="both"/>
        <w:ind w:left="1220" w:right="1239" w:firstLine="509"/>
        <w:spacing w:after="0" w:line="242" w:lineRule="auto"/>
        <w:tabs>
          <w:tab w:leader="none" w:pos="2307" w:val="left"/>
        </w:tabs>
        <w:numPr>
          <w:ilvl w:val="0"/>
          <w:numId w:val="573"/>
        </w:numPr>
        <w:rPr>
          <w:rFonts w:ascii="Arial" w:cs="Arial" w:eastAsia="Arial" w:hAnsi="Arial"/>
          <w:sz w:val="15"/>
          <w:szCs w:val="15"/>
          <w:color w:val="auto"/>
        </w:rPr>
      </w:pPr>
      <w:r>
        <w:rPr>
          <w:rFonts w:ascii="Arial" w:cs="Arial" w:eastAsia="Arial" w:hAnsi="Arial"/>
          <w:sz w:val="15"/>
          <w:szCs w:val="15"/>
          <w:u w:val="single" w:color="auto"/>
          <w:color w:val="auto"/>
        </w:rPr>
        <w:t>Operating Expenses, Taxes and Utilities; Property Management Fee</w:t>
      </w:r>
      <w:r>
        <w:rPr>
          <w:rFonts w:ascii="Arial" w:cs="Arial" w:eastAsia="Arial" w:hAnsi="Arial"/>
          <w:sz w:val="15"/>
          <w:szCs w:val="15"/>
          <w:color w:val="auto"/>
        </w:rPr>
        <w:t>. Notwithstanding anything to the contrary contained in this Sublease or the Master Lease, except as otherwise provided herein with respect to a property management fee, in no event shall Subtenant be required to pay any amounts in respect of Taxes, Operating Expenses, Insurance Expenses, Electricity Additional Rent (each as defined in the Master Lease) or other utilities serving the Subleased Premises.</w:t>
      </w:r>
    </w:p>
    <w:p>
      <w:pPr>
        <w:spacing w:after="0" w:line="134" w:lineRule="exact"/>
        <w:rPr>
          <w:sz w:val="20"/>
          <w:szCs w:val="20"/>
          <w:color w:val="auto"/>
        </w:rPr>
      </w:pPr>
    </w:p>
    <w:p>
      <w:pPr>
        <w:jc w:val="both"/>
        <w:ind w:left="1220" w:right="1239"/>
        <w:spacing w:after="0" w:line="242" w:lineRule="auto"/>
        <w:rPr>
          <w:sz w:val="20"/>
          <w:szCs w:val="20"/>
          <w:color w:val="auto"/>
        </w:rPr>
      </w:pPr>
      <w:r>
        <w:rPr>
          <w:rFonts w:ascii="Arial" w:cs="Arial" w:eastAsia="Arial" w:hAnsi="Arial"/>
          <w:sz w:val="15"/>
          <w:szCs w:val="15"/>
          <w:color w:val="auto"/>
        </w:rPr>
        <w:t>Notwithstanding the foregoing, Subtenant shall pay to Sublandlord, as Additional Rent, within thirty (30) days after receipt of a written invoice from Sublandlord, Subtenant’s portion of the amount payable by Sublandlord to Master Landlord under the Master Lease from time to time for property management fees as a component of Operating Expenses, as allocable to the Subleased Premises on per square foot basis. As of the Effective Date, the amount of property management fees is equal to $1.20 per square foot of the Subleased Premises per year.</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44" w:name="page645"/>
    <w:bookmarkEnd w:id="644"/>
    <w:p>
      <w:pPr>
        <w:jc w:val="both"/>
        <w:ind w:left="1220" w:right="1239" w:firstLine="509"/>
        <w:spacing w:after="0" w:line="236" w:lineRule="auto"/>
        <w:tabs>
          <w:tab w:leader="none" w:pos="2150" w:val="left"/>
        </w:tabs>
        <w:numPr>
          <w:ilvl w:val="0"/>
          <w:numId w:val="574"/>
        </w:numPr>
        <w:rPr>
          <w:rFonts w:ascii="Arial" w:cs="Arial" w:eastAsia="Arial" w:hAnsi="Arial"/>
          <w:sz w:val="15"/>
          <w:szCs w:val="15"/>
          <w:color w:val="auto"/>
        </w:rPr>
      </w:pPr>
      <w:r>
        <w:rPr>
          <w:rFonts w:ascii="Arial" w:cs="Arial" w:eastAsia="Arial" w:hAnsi="Arial"/>
          <w:sz w:val="15"/>
          <w:szCs w:val="15"/>
          <w:u w:val="single" w:color="auto"/>
          <w:color w:val="auto"/>
        </w:rPr>
        <w:t>Security Deposit.</w:t>
      </w:r>
      <w:r>
        <w:rPr>
          <w:rFonts w:ascii="Arial" w:cs="Arial" w:eastAsia="Arial" w:hAnsi="Arial"/>
          <w:sz w:val="15"/>
          <w:szCs w:val="15"/>
          <w:color w:val="auto"/>
        </w:rPr>
        <w:t xml:space="preserve"> Upon execution of this Sublease, Subtenant shall pay to Sublandlord the sum of $307,090.02 (the </w:t>
      </w:r>
      <w:r>
        <w:rPr>
          <w:rFonts w:ascii="Arial" w:cs="Arial" w:eastAsia="Arial" w:hAnsi="Arial"/>
          <w:sz w:val="15"/>
          <w:szCs w:val="15"/>
          <w:b w:val="1"/>
          <w:bCs w:val="1"/>
          <w:color w:val="auto"/>
        </w:rPr>
        <w:t>“Security Deposit”</w:t>
      </w:r>
      <w:r>
        <w:rPr>
          <w:rFonts w:ascii="Arial" w:cs="Arial" w:eastAsia="Arial" w:hAnsi="Arial"/>
          <w:sz w:val="15"/>
          <w:szCs w:val="15"/>
          <w:color w:val="auto"/>
        </w:rPr>
        <w:t>) as security for the full and timely payment and performance of Subtenant's obligations under this Sublease. If Subtenant fails to pay or perform in a full and timely manner any of its obligations under this Sublease, Sublandlord may apply all or any portion of the Security Deposit toward curing any such failure and compensating Sublandlord for any loss, damage or expenses arising from such failure. If Sublandlord so applies any portion of the Security Deposit, Subtenant shall immediately pay to Sublandlord the amount necessary to restore the Security Deposit to its original amount within ten (10) days following written notice from Sublandlord, and failure to do so within such ten (10) day period shall be deemed a Default under this Sublease, without the need for additional notice and/or cure periods. Sublandlord shall return the Security Deposit, or so much thereof as shall not have been applied in accordance with the terms of this Section, to Subtenant within ten (10) days following the expiration or earlier termination of the Term of this Sublease. Sublandlord may commingle the Security Deposit with Sublandlord’s funds and shall not be obligated to pay interest on the Security Deposit to Subtenant. If Sublandlord assigns its interest in this Sublease and transfers the Security Deposit (or any balance thereof) to its assignee, Subtenant shall look only to such assignee for the application and return of the Security Deposit.</w:t>
      </w:r>
    </w:p>
    <w:p>
      <w:pPr>
        <w:spacing w:after="0" w:line="144" w:lineRule="exact"/>
        <w:rPr>
          <w:rFonts w:ascii="Arial" w:cs="Arial" w:eastAsia="Arial" w:hAnsi="Arial"/>
          <w:sz w:val="15"/>
          <w:szCs w:val="15"/>
          <w:color w:val="auto"/>
        </w:rPr>
      </w:pPr>
    </w:p>
    <w:p>
      <w:pPr>
        <w:ind w:left="1980" w:hanging="251"/>
        <w:spacing w:after="0"/>
        <w:tabs>
          <w:tab w:leader="none" w:pos="1980" w:val="left"/>
        </w:tabs>
        <w:numPr>
          <w:ilvl w:val="0"/>
          <w:numId w:val="574"/>
        </w:numPr>
        <w:rPr>
          <w:rFonts w:ascii="Arial" w:cs="Arial" w:eastAsia="Arial" w:hAnsi="Arial"/>
          <w:sz w:val="15"/>
          <w:szCs w:val="15"/>
          <w:color w:val="auto"/>
        </w:rPr>
      </w:pPr>
      <w:r>
        <w:rPr>
          <w:rFonts w:ascii="Arial" w:cs="Arial" w:eastAsia="Arial" w:hAnsi="Arial"/>
          <w:sz w:val="15"/>
          <w:szCs w:val="15"/>
          <w:u w:val="single" w:color="auto"/>
          <w:color w:val="auto"/>
        </w:rPr>
        <w:t>Subordination to Master Lease</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jc w:val="both"/>
        <w:ind w:left="1720" w:right="1239" w:firstLine="513"/>
        <w:spacing w:after="0" w:line="237" w:lineRule="auto"/>
        <w:tabs>
          <w:tab w:leader="none" w:pos="2588" w:val="left"/>
        </w:tabs>
        <w:numPr>
          <w:ilvl w:val="1"/>
          <w:numId w:val="574"/>
        </w:numPr>
        <w:rPr>
          <w:rFonts w:ascii="Times New Roman" w:cs="Times New Roman" w:eastAsia="Times New Roman" w:hAnsi="Times New Roman"/>
          <w:sz w:val="17"/>
          <w:szCs w:val="17"/>
          <w:color w:val="auto"/>
        </w:rPr>
      </w:pPr>
      <w:r>
        <w:rPr>
          <w:rFonts w:ascii="Arial" w:cs="Arial" w:eastAsia="Arial" w:hAnsi="Arial"/>
          <w:sz w:val="15"/>
          <w:szCs w:val="15"/>
          <w:color w:val="auto"/>
        </w:rPr>
        <w:t>This Sublease is subject and subordinate to the terms and conditions of the Master Lease and Sublandlord does not purport to convey, and Subtenant does not hereby take, any greater rights in the Sublease Premises than those accorded to or taken by Sublandlord as subtenant under the Master Lease. Subtenant shall not cause a default under the Master Lease or permit its employees, agents, contractors or invitees to cause a default under the Master Lease. If the Master Lease terminates before the end of the Sublease Term, Sublandlord shall not be liable to Subtenant for any damages arising out of such termination.</w:t>
      </w:r>
    </w:p>
    <w:p>
      <w:pPr>
        <w:spacing w:after="0" w:line="149" w:lineRule="exact"/>
        <w:rPr>
          <w:rFonts w:ascii="Times New Roman" w:cs="Times New Roman" w:eastAsia="Times New Roman" w:hAnsi="Times New Roman"/>
          <w:sz w:val="17"/>
          <w:szCs w:val="17"/>
          <w:color w:val="auto"/>
        </w:rPr>
      </w:pPr>
    </w:p>
    <w:p>
      <w:pPr>
        <w:jc w:val="both"/>
        <w:ind w:left="1720" w:right="1239" w:firstLine="513"/>
        <w:spacing w:after="0"/>
        <w:tabs>
          <w:tab w:leader="none" w:pos="2588" w:val="left"/>
        </w:tabs>
        <w:numPr>
          <w:ilvl w:val="1"/>
          <w:numId w:val="574"/>
        </w:numPr>
        <w:rPr>
          <w:rFonts w:ascii="Times New Roman" w:cs="Times New Roman" w:eastAsia="Times New Roman" w:hAnsi="Times New Roman"/>
          <w:sz w:val="17"/>
          <w:szCs w:val="17"/>
          <w:color w:val="auto"/>
        </w:rPr>
      </w:pPr>
      <w:r>
        <w:rPr>
          <w:rFonts w:ascii="Arial" w:cs="Arial" w:eastAsia="Arial" w:hAnsi="Arial"/>
          <w:sz w:val="15"/>
          <w:szCs w:val="15"/>
          <w:color w:val="auto"/>
        </w:rPr>
        <w:t>Except as otherwise specified in this Sublease, all of the terms and conditions of the Master Lease are incorporated as a part of this Sublease, but all references in the Master Lease to “Landlord”, “Tenant”, “Premises”, “Term”, “Fixed Rent”, “Permitted Use”, and “Commencement Date”, and “Security Deposit” shall be deemed to refer, respectively, to Sublandlord, Subtenant, Subleased Premises, Sublease Term, Base Rent, Commencement Date, and Security Deposit, as defined in this Sublease. In the event of a conflict or ambiguity between the provisions of the Master Lease and the provisions of this Sublease, the provisions of this Sublease shall govern and control. To the extent incorporated into this Sublease, Subtenant shall perform the obligations of the Sublandlord, as tenant under the Master Lease. Notwithstanding any other provision of this Sublease, Sublandlord, as sublandlord under this Sublease, shall have the benefit of all rights, remedies and limitations of liability enjoyed by Master Landlord, as the landlord under the Master Lease, but (i) Sublandlord shall have no obligations under this Sublease to perform the obligations of Master Sublandlord, as landlord under the Master Lease, including, without limitation, any obligation to provide services, perform maintenance or repairs, or maintain insurance, and Subtenant shall seek such performance and obtain such services solely from the Master Landlord; (ii) Sublandlord shall not be bound by any representations or warranties of the Master Landlord under the Master Lease; (iii) in any instance where the consent of Master Landlord is required under the terms of the Master Lease, the consent of Sublandlord and Master Landlord shall be required; and (iv) Sublandlord shall not be liable to Subtenant for any failure or delay in Master Landlord's performance of its obligations, as landlord under the Master Lease, nor shall Subtenant</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45" w:name="page646"/>
    <w:bookmarkEnd w:id="645"/>
    <w:p>
      <w:pPr>
        <w:jc w:val="both"/>
        <w:ind w:left="1720" w:right="1239"/>
        <w:spacing w:after="0" w:line="237" w:lineRule="auto"/>
        <w:rPr>
          <w:sz w:val="20"/>
          <w:szCs w:val="20"/>
          <w:color w:val="auto"/>
        </w:rPr>
      </w:pPr>
      <w:r>
        <w:rPr>
          <w:rFonts w:ascii="Arial" w:cs="Arial" w:eastAsia="Arial" w:hAnsi="Arial"/>
          <w:sz w:val="15"/>
          <w:szCs w:val="15"/>
          <w:color w:val="auto"/>
        </w:rPr>
        <w:t>be entitled to terminate this Sublease or abate the Base Rent or Additional Rent due hereunder, provided, however, if Sublandlord is granted an abatement of Rent as provided in Section 10.13 of the Master Lease in respect of the Subleased Premises, and provided there exists no Default by Subtenant, then Subtenant shall be entitled to an abatement of the Base Rent and Additional Rent due hereunder for the same period of time as abatement occurred under the Master Lease. Upon request of Subtenant, Sublandlord shall, at Subtenant’s expense, use reasonable efforts to cooperate with Subtenant in its efforts to cause Master Landlord to perform its obligations under the Master Lease. If any right or remedy of Sublandlord or any duty or obligation of Master Landlord under the Master Lease is subject to or conditioned upon Sublandlord making any demand upon Master Landlord or giving any notice or request to Master Landlord then, if Subtenant shall so request, Sublandlord shall make such demand or give such notice or request on Subtenant’s behalf, except that Sublandlord shall not be required to do so with respect to any act or thing as to which Sublandlord shall have determined in accordance with this Sublease to withhold its consent or approval.</w:t>
      </w:r>
    </w:p>
    <w:p>
      <w:pPr>
        <w:spacing w:after="0" w:line="147" w:lineRule="exact"/>
        <w:rPr>
          <w:sz w:val="20"/>
          <w:szCs w:val="20"/>
          <w:color w:val="auto"/>
        </w:rPr>
      </w:pPr>
    </w:p>
    <w:p>
      <w:pPr>
        <w:jc w:val="both"/>
        <w:ind w:left="1720" w:right="1239" w:firstLine="513"/>
        <w:spacing w:after="0"/>
        <w:tabs>
          <w:tab w:leader="none" w:pos="2588" w:val="left"/>
        </w:tabs>
        <w:numPr>
          <w:ilvl w:val="0"/>
          <w:numId w:val="575"/>
        </w:numPr>
        <w:rPr>
          <w:rFonts w:ascii="Times New Roman" w:cs="Times New Roman" w:eastAsia="Times New Roman" w:hAnsi="Times New Roman"/>
          <w:sz w:val="17"/>
          <w:szCs w:val="17"/>
          <w:color w:val="auto"/>
        </w:rPr>
      </w:pPr>
      <w:r>
        <w:rPr>
          <w:rFonts w:ascii="Arial" w:cs="Arial" w:eastAsia="Arial" w:hAnsi="Arial"/>
          <w:sz w:val="15"/>
          <w:szCs w:val="15"/>
          <w:color w:val="auto"/>
        </w:rPr>
        <w:t>Notwithstanding the foregoing, the following terms and conditions of the Master Lease (and references thereto) are not incorporated as provisions of this Sublease: Article 1 [Basic Lease Provisions]; Article 2 [Premises, Term, Rent]; Section 3.1(except for paragraph (a) which is incorporated); Sections 3.3-3.7; Article 4 [Based Building Work; Condition of the Premises]; Article 7 [Taxes, Operating Expenses and Insurance Expenses]; Section 10.9-10.13; Section 13.6(c) [ Permitted Occupants]; Section 18.2 [Decommissioning]; Section 18.3 [Holdover Rent]; Article 28 [Letter of Credit]; Article 24 [ Broker]; Article 29 [Extension Terms]; Article 32 [Exterior Building Signs]; Article 33 [Tenant Self Help]; Article 34 [Dispute Resolution Procedures]; Exhibit A, Exhibit C; Exhibit D-1, D-2, D-3, Exhibit E; Exhibit J; Exhibit K; Exhibit L; Exhibit M; Exhibit N.</w:t>
      </w:r>
    </w:p>
    <w:p>
      <w:pPr>
        <w:spacing w:after="0" w:line="291" w:lineRule="exact"/>
        <w:rPr>
          <w:rFonts w:ascii="Times New Roman" w:cs="Times New Roman" w:eastAsia="Times New Roman" w:hAnsi="Times New Roman"/>
          <w:sz w:val="17"/>
          <w:szCs w:val="17"/>
          <w:color w:val="auto"/>
        </w:rPr>
      </w:pPr>
    </w:p>
    <w:p>
      <w:pPr>
        <w:jc w:val="both"/>
        <w:ind w:left="1720" w:right="1239" w:firstLine="513"/>
        <w:spacing w:after="0"/>
        <w:tabs>
          <w:tab w:leader="none" w:pos="2588" w:val="left"/>
        </w:tabs>
        <w:numPr>
          <w:ilvl w:val="0"/>
          <w:numId w:val="575"/>
        </w:numPr>
        <w:rPr>
          <w:rFonts w:ascii="Times New Roman" w:cs="Times New Roman" w:eastAsia="Times New Roman" w:hAnsi="Times New Roman"/>
          <w:sz w:val="17"/>
          <w:szCs w:val="17"/>
          <w:color w:val="auto"/>
        </w:rPr>
      </w:pPr>
      <w:r>
        <w:rPr>
          <w:rFonts w:ascii="Arial" w:cs="Arial" w:eastAsia="Arial" w:hAnsi="Arial"/>
          <w:sz w:val="15"/>
          <w:szCs w:val="15"/>
          <w:color w:val="auto"/>
        </w:rPr>
        <w:t>Notwithstanding any contrary provision of this Sublease, (i) in any instances where Master Landlord, as landlord under the Master Lease, has a certain period of time in which to notify Sublandlord, as tenant under the Master Lease, whether Master Landlord will or will not take some action, Sublandlord, as sublandlord under this Sublease, shall have an additional five-day period after receiving such notice in which to notify Subtenant, (ii) in any instance where Sublandlord, as tenant under the Master Lease, has a certain period of time in which to notify Master Sublandlord, as landlord under the Master Lease, whether Sublandlord will or will not take some action, Subtenant, as subtenant under this Sublease, must notify Sublandlord, as sublandlord under this Sublease, at least five business days before the end of such period, but in no event shall Subtenant have a period of less than five days in which so to notify Sublandlord unless the period under the Master Lease is five days or less, in which case the period under this Sublease shall be one day less than the period provided to Sublandlord under the Master Lease, and (iii) in any instance where a specific grace period is granted to Sublandlord, as tenant under the Master Lease, before Sublandlord is considered in default under the Master Lease, Subtenant shall be deemed to have a grace period which is ten days less than Sublandlord before Subtenant is considered in Default under this Sublease, but in no event shall any grace period be reduced to less than five days unless the period under the Master Lease is five days or less, in which case the period under this Sublease shall be one day less than the period provided to Sublandlord under the Master Lease.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2" w:right="1440" w:bottom="1440" w:gutter="0" w:footer="0" w:header="0"/>
        </w:sectPr>
      </w:pPr>
    </w:p>
    <w:bookmarkStart w:id="646" w:name="page647"/>
    <w:bookmarkEnd w:id="646"/>
    <w:p>
      <w:pPr>
        <w:jc w:val="both"/>
        <w:ind w:left="1720" w:right="1239" w:firstLine="513"/>
        <w:spacing w:after="0" w:line="241" w:lineRule="auto"/>
        <w:tabs>
          <w:tab w:leader="none" w:pos="2588" w:val="left"/>
        </w:tabs>
        <w:numPr>
          <w:ilvl w:val="2"/>
          <w:numId w:val="576"/>
        </w:numPr>
        <w:rPr>
          <w:rFonts w:ascii="Times New Roman" w:cs="Times New Roman" w:eastAsia="Times New Roman" w:hAnsi="Times New Roman"/>
          <w:sz w:val="17"/>
          <w:szCs w:val="17"/>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5647055</wp:posOffset>
            </wp:positionH>
            <wp:positionV relativeFrom="page">
              <wp:posOffset>776605</wp:posOffset>
            </wp:positionV>
            <wp:extent cx="13335" cy="1333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3335" cy="13335"/>
                    </a:xfrm>
                    <a:prstGeom prst="rect">
                      <a:avLst/>
                    </a:prstGeom>
                    <a:noFill/>
                  </pic:spPr>
                </pic:pic>
              </a:graphicData>
            </a:graphic>
          </wp:anchor>
        </w:drawing>
        <w:t>Notwithstanding anything to the contrary contained in the Master Lease, Subtenant shall be solely responsible for janitorial and other cleaning required in the Subleased Premises using a janitorial service approved by Master Landlord and Sublandlord and in accordance with Section 10.4 of the Master Lease.</w:t>
      </w:r>
    </w:p>
    <w:p>
      <w:pPr>
        <w:spacing w:after="0" w:line="135" w:lineRule="exact"/>
        <w:rPr>
          <w:rFonts w:ascii="Times New Roman" w:cs="Times New Roman" w:eastAsia="Times New Roman" w:hAnsi="Times New Roman"/>
          <w:sz w:val="17"/>
          <w:szCs w:val="17"/>
          <w:color w:val="auto"/>
        </w:rPr>
      </w:pPr>
    </w:p>
    <w:p>
      <w:pPr>
        <w:jc w:val="both"/>
        <w:ind w:left="1220" w:right="1239" w:firstLine="509"/>
        <w:spacing w:after="0" w:line="235" w:lineRule="auto"/>
        <w:tabs>
          <w:tab w:leader="none" w:pos="2066" w:val="left"/>
        </w:tabs>
        <w:numPr>
          <w:ilvl w:val="1"/>
          <w:numId w:val="577"/>
        </w:numPr>
        <w:rPr>
          <w:rFonts w:ascii="Arial" w:cs="Arial" w:eastAsia="Arial" w:hAnsi="Arial"/>
          <w:sz w:val="15"/>
          <w:szCs w:val="15"/>
          <w:color w:val="auto"/>
        </w:rPr>
      </w:pPr>
      <w:r>
        <w:rPr>
          <w:rFonts w:ascii="Arial" w:cs="Arial" w:eastAsia="Arial" w:hAnsi="Arial"/>
          <w:sz w:val="15"/>
          <w:szCs w:val="15"/>
          <w:u w:val="single" w:color="auto"/>
          <w:color w:val="auto"/>
        </w:rPr>
        <w:t>Assignments and Subleases</w:t>
      </w:r>
      <w:r>
        <w:rPr>
          <w:rFonts w:ascii="Arial" w:cs="Arial" w:eastAsia="Arial" w:hAnsi="Arial"/>
          <w:sz w:val="15"/>
          <w:szCs w:val="15"/>
          <w:color w:val="auto"/>
        </w:rPr>
        <w:t xml:space="preserve">. Subtenant shall not assign, mortgage, transfer (by operation of law or otherwise), or hypothecate this Sublease or sublet, license or permit and other party to use or occupy any portion of the Subleased Premises (individually, a </w:t>
      </w:r>
      <w:r>
        <w:rPr>
          <w:rFonts w:ascii="Arial" w:cs="Arial" w:eastAsia="Arial" w:hAnsi="Arial"/>
          <w:sz w:val="15"/>
          <w:szCs w:val="15"/>
          <w:b w:val="1"/>
          <w:bCs w:val="1"/>
          <w:color w:val="auto"/>
        </w:rPr>
        <w:t>“Transfer”</w:t>
      </w:r>
      <w:r>
        <w:rPr>
          <w:rFonts w:ascii="Arial" w:cs="Arial" w:eastAsia="Arial" w:hAnsi="Arial"/>
          <w:sz w:val="15"/>
          <w:szCs w:val="15"/>
          <w:color w:val="auto"/>
        </w:rPr>
        <w:t>) without the prior written consent of Sublandlord and Master Sublandlord, which they may grant, withhold or condition in accordance with the requirements of Article 13 of the Master Lease incorporated herein by reference. Master Sublandlord’s refusal to consent to a transfer shall be deemed a reasonable reason for Sublandlord to withhold its consent to a Transfer, without any obligation on the part of Sublandlord to dispute Master Sublandlord’s refusal and nothing contained herein shall be deemed to limit or amend the rights of Master Landlord under Article 13 of the Master Lease. Subject to Section 13.6(b) of the Master Lease, the following transactions shall be deemed assignments of this Sublease requiring such prior written consent:</w:t>
      </w:r>
    </w:p>
    <w:p>
      <w:pPr>
        <w:spacing w:after="0" w:line="6" w:lineRule="exact"/>
        <w:rPr>
          <w:rFonts w:ascii="Arial" w:cs="Arial" w:eastAsia="Arial" w:hAnsi="Arial"/>
          <w:sz w:val="15"/>
          <w:szCs w:val="15"/>
          <w:color w:val="auto"/>
        </w:rPr>
      </w:pPr>
    </w:p>
    <w:p>
      <w:pPr>
        <w:jc w:val="both"/>
        <w:ind w:left="1220" w:right="1239" w:firstLine="4"/>
        <w:spacing w:after="0" w:line="236" w:lineRule="auto"/>
        <w:tabs>
          <w:tab w:leader="none" w:pos="1412" w:val="left"/>
        </w:tabs>
        <w:numPr>
          <w:ilvl w:val="0"/>
          <w:numId w:val="578"/>
        </w:numPr>
        <w:rPr>
          <w:rFonts w:ascii="Arial" w:cs="Arial" w:eastAsia="Arial" w:hAnsi="Arial"/>
          <w:sz w:val="15"/>
          <w:szCs w:val="15"/>
          <w:color w:val="auto"/>
        </w:rPr>
      </w:pPr>
      <w:r>
        <w:rPr>
          <w:rFonts w:ascii="Arial" w:cs="Arial" w:eastAsia="Arial" w:hAnsi="Arial"/>
          <w:sz w:val="15"/>
          <w:szCs w:val="15"/>
          <w:color w:val="auto"/>
        </w:rPr>
        <w:t>any assignment, mortgage, pledge or other transfer of this Sublease; and (ii) any sublease, license or occupancy agreement with respect to any portion of the Subleased Premises. Notwithstanding anything contained in Section 13.6(a) of the Master Lease to the contrary, as between Sublandlord and Subtenant, Sublandlord agrees that Sublandlord’s consent shall not be required for any sale, pledge or other transfer of the capital stock, membership interests or other ownership interests in Subtenant. Any attempt by Subtenant to Transfer the Subleased Premises or the Sublease without the prior written consent of both Sublandlord and Master Landlord shall be void. No consent by Sublandlord pursuant to this Section shall be deemed a waiver of the obligation to obtain Sublandlord’s consent on any subsequent occasion; no waiver of the foregoing restrictions or any portion thereof shall constitute a waiver or consent in any other instance; and Subtenant shall remain at all times primarily liable for the performance and payment of all terms, conditions, covenants and agreements contained herein.</w:t>
      </w:r>
    </w:p>
    <w:p>
      <w:pPr>
        <w:spacing w:after="0" w:line="137" w:lineRule="exact"/>
        <w:rPr>
          <w:rFonts w:ascii="Arial" w:cs="Arial" w:eastAsia="Arial" w:hAnsi="Arial"/>
          <w:sz w:val="15"/>
          <w:szCs w:val="15"/>
          <w:color w:val="auto"/>
        </w:rPr>
      </w:pPr>
    </w:p>
    <w:p>
      <w:pPr>
        <w:jc w:val="both"/>
        <w:ind w:left="1220" w:right="1239" w:firstLine="509"/>
        <w:spacing w:after="0"/>
        <w:tabs>
          <w:tab w:leader="none" w:pos="2023" w:val="left"/>
        </w:tabs>
        <w:numPr>
          <w:ilvl w:val="1"/>
          <w:numId w:val="578"/>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 During the Sublease Term, Subtenant shall maintain insurance of such types, in such policies, with such endorsements and coverages, and in such amounts as are set forth in Section 11.1 of the Master Lease. All insurance policies shall name Master Landlord, Sublandlord and any other party required by either as additional insureds and shall contain an endorsement that such policies may not be modified or canceled without 30 days prior written notice to Master Landlord and Sublandlord. Subtenant shall obtain a waiver of subrogation for the benefit of Sublandlord and Master Landlord as required of “Tenant” for the benefit of “Landlord” under Section 11.2 of the Master Lease, incorporated herein by reference. Sublandlord shall obtain a waiver of subrogation for the benefit of Subtenant upon the terms of Section 11.2 of the Master Lease, incorporated herein by reference. Subtenant shall promptly pay all insurance premiums and shall provide Sublandlord with policies or certificates evidencing such insurance upon Subtenant’s execution of this Sublease and prior to entering the Subleased Premises.</w:t>
      </w:r>
    </w:p>
    <w:p>
      <w:pPr>
        <w:spacing w:after="0" w:line="284" w:lineRule="exact"/>
        <w:rPr>
          <w:rFonts w:ascii="Arial" w:cs="Arial" w:eastAsia="Arial" w:hAnsi="Arial"/>
          <w:sz w:val="15"/>
          <w:szCs w:val="15"/>
          <w:color w:val="auto"/>
        </w:rPr>
      </w:pPr>
    </w:p>
    <w:p>
      <w:pPr>
        <w:ind w:left="2080" w:hanging="351"/>
        <w:spacing w:after="0"/>
        <w:tabs>
          <w:tab w:leader="none" w:pos="2080" w:val="left"/>
        </w:tabs>
        <w:numPr>
          <w:ilvl w:val="1"/>
          <w:numId w:val="578"/>
        </w:numPr>
        <w:rPr>
          <w:rFonts w:ascii="Arial" w:cs="Arial" w:eastAsia="Arial" w:hAnsi="Arial"/>
          <w:sz w:val="15"/>
          <w:szCs w:val="15"/>
          <w:color w:val="auto"/>
        </w:rPr>
      </w:pPr>
      <w:r>
        <w:rPr>
          <w:rFonts w:ascii="Arial" w:cs="Arial" w:eastAsia="Arial" w:hAnsi="Arial"/>
          <w:sz w:val="15"/>
          <w:szCs w:val="15"/>
          <w:u w:val="single" w:color="auto"/>
          <w:color w:val="auto"/>
        </w:rPr>
        <w:t>Subtenant’s Initial Work; Alterations</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jc w:val="both"/>
        <w:ind w:left="1720" w:right="1239" w:firstLine="513"/>
        <w:spacing w:after="0" w:line="238" w:lineRule="auto"/>
        <w:tabs>
          <w:tab w:leader="none" w:pos="2588" w:val="left"/>
        </w:tabs>
        <w:numPr>
          <w:ilvl w:val="2"/>
          <w:numId w:val="578"/>
        </w:numPr>
        <w:rPr>
          <w:rFonts w:ascii="Times New Roman" w:cs="Times New Roman" w:eastAsia="Times New Roman" w:hAnsi="Times New Roman"/>
          <w:sz w:val="17"/>
          <w:szCs w:val="17"/>
          <w:color w:val="auto"/>
        </w:rPr>
      </w:pPr>
      <w:r>
        <w:rPr>
          <w:rFonts w:ascii="Arial" w:cs="Arial" w:eastAsia="Arial" w:hAnsi="Arial"/>
          <w:sz w:val="15"/>
          <w:szCs w:val="15"/>
          <w:color w:val="auto"/>
        </w:rPr>
        <w:t xml:space="preserve">Commencing on the Commencement Date, Subtenant shall have the right to perform certain initial Alterations in the Subleased Premises, at Subtenant’s sole cost and expense, subject to receipt of the prior written consent of both Master Landlord and Sublandlord, which approval of Sublandlord shall not be unreasonably withheld, conditioned or delayed (such approved improvements, </w:t>
      </w:r>
      <w:r>
        <w:rPr>
          <w:rFonts w:ascii="Arial" w:cs="Arial" w:eastAsia="Arial" w:hAnsi="Arial"/>
          <w:sz w:val="15"/>
          <w:szCs w:val="15"/>
          <w:b w:val="1"/>
          <w:bCs w:val="1"/>
          <w:color w:val="auto"/>
        </w:rPr>
        <w:t>“Subtenant’s Initial Work”</w:t>
      </w:r>
      <w:r>
        <w:rPr>
          <w:rFonts w:ascii="Arial" w:cs="Arial" w:eastAsia="Arial" w:hAnsi="Arial"/>
          <w:sz w:val="15"/>
          <w:szCs w:val="15"/>
          <w:color w:val="auto"/>
        </w:rPr>
        <w:t>). Subtenant’s Initial Work shall include the installation of a demising wall and entry door in the locations approved in writing in advance by Sublandlord and Master Landlord.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11" w:right="1440" w:bottom="1440" w:gutter="0" w:footer="0" w:header="0"/>
        </w:sectPr>
      </w:pPr>
    </w:p>
    <w:bookmarkStart w:id="647" w:name="page648"/>
    <w:bookmarkEnd w:id="647"/>
    <w:p>
      <w:pPr>
        <w:jc w:val="both"/>
        <w:ind w:left="1720" w:right="1239"/>
        <w:spacing w:after="0"/>
        <w:rPr>
          <w:sz w:val="20"/>
          <w:szCs w:val="20"/>
          <w:color w:val="auto"/>
        </w:rPr>
      </w:pPr>
      <w:r>
        <w:rPr>
          <w:rFonts w:ascii="Arial" w:cs="Arial" w:eastAsia="Arial" w:hAnsi="Arial"/>
          <w:sz w:val="15"/>
          <w:szCs w:val="15"/>
          <w:color w:val="auto"/>
        </w:rPr>
        <w:t>Subtenant’s Initial Work shall be performed in accordance with the provisions of the Master Lease applicable to Alterations. Sublandlord shall provide to Subtenant Master Landlord’s list of acceptable architects, engineers, contractors and vendors for the Building. Master Landlord’s list of acceptable architects, engineers, contractors and vendors for the Building shall be provided to Subtenant, provided, however, in no event is Subtenant required to select such architects, engineers, contractors and vendors for Subtenant’s Initial Work, unless required by Master Landlord pursuant to the terms of the Master Lease. Subject to approval of the plans and specifications therefor, Sublandlord acknowledges and agrees that Subtenant intends to create a reception/lobby seating space for guests that will require removing some small office spaces/walls and add two executive offices and one conference room on the window line of the Subleased Premises. Subtenant shall not be required to pay any Construction Management Fee or other construction management or oversight fees to Sublandlord with respect to the Subtenant’s Initial Work, provided that Subtenant shall pay any construction management or oversight fees payable under the Master Lease directly to Master Landlord.</w:t>
      </w:r>
    </w:p>
    <w:p>
      <w:pPr>
        <w:spacing w:after="0" w:line="283" w:lineRule="exact"/>
        <w:rPr>
          <w:sz w:val="20"/>
          <w:szCs w:val="20"/>
          <w:color w:val="auto"/>
        </w:rPr>
      </w:pPr>
    </w:p>
    <w:p>
      <w:pPr>
        <w:jc w:val="both"/>
        <w:ind w:left="1720" w:right="1239" w:firstLine="513"/>
        <w:spacing w:after="0" w:line="235" w:lineRule="auto"/>
        <w:tabs>
          <w:tab w:leader="none" w:pos="2588" w:val="left"/>
        </w:tabs>
        <w:numPr>
          <w:ilvl w:val="1"/>
          <w:numId w:val="579"/>
        </w:numPr>
        <w:rPr>
          <w:rFonts w:ascii="Times New Roman" w:cs="Times New Roman" w:eastAsia="Times New Roman" w:hAnsi="Times New Roman"/>
          <w:sz w:val="17"/>
          <w:szCs w:val="17"/>
          <w:color w:val="auto"/>
        </w:rPr>
      </w:pPr>
      <w:r>
        <w:rPr>
          <w:rFonts w:ascii="Arial" w:cs="Arial" w:eastAsia="Arial" w:hAnsi="Arial"/>
          <w:sz w:val="15"/>
          <w:szCs w:val="15"/>
          <w:color w:val="auto"/>
        </w:rPr>
        <w:t>Except for Subtenant’s Initial Work, Subtenant shall not make any Alterations in the Subleased Premises without in each instance obtaining the prior written consent of both Master Landlord and Sublandlord, which they may grant, withhold or condition in their respective sole discretion. If Sublandlord and Master Landlord consent to any such Alterations, Subtenant shall perform and complete such Alterations at its expenses, in compliance with applicable laws and in compliance with Article 5 and other applicable provisions of the Master Lease. Sublandlord shall inform Subtenant, at the time that Sublandlord approves any Alterations, including the Subtenant’s Initial Work, whether Sublandlord will required that Subtenant remove such Alterations upon the expiration or earlier termination of the Sublease Term. If Subtenant performs any alterations, improvements or installations without obtaining the prior written consent of both Master Landlord and Sublandlord, Sublandlord may remove such alterations, improvements or installations, restore the Subleased Premises and repair any damage arising from such a removal or restoration, and Subtenant shall be liable to Sublandlord for all costs and expenses incurred by Sublandlord in the performance of such removal, repairs or restoration.</w:t>
      </w:r>
    </w:p>
    <w:p>
      <w:pPr>
        <w:spacing w:after="0" w:line="145" w:lineRule="exact"/>
        <w:rPr>
          <w:rFonts w:ascii="Times New Roman" w:cs="Times New Roman" w:eastAsia="Times New Roman" w:hAnsi="Times New Roman"/>
          <w:sz w:val="17"/>
          <w:szCs w:val="17"/>
          <w:color w:val="auto"/>
        </w:rPr>
      </w:pPr>
    </w:p>
    <w:p>
      <w:pPr>
        <w:jc w:val="both"/>
        <w:ind w:left="1220" w:right="1239" w:firstLine="509"/>
        <w:spacing w:after="0"/>
        <w:tabs>
          <w:tab w:leader="none" w:pos="2120" w:val="left"/>
        </w:tabs>
        <w:numPr>
          <w:ilvl w:val="0"/>
          <w:numId w:val="580"/>
        </w:numPr>
        <w:rPr>
          <w:rFonts w:ascii="Arial" w:cs="Arial" w:eastAsia="Arial" w:hAnsi="Arial"/>
          <w:sz w:val="15"/>
          <w:szCs w:val="15"/>
          <w:color w:val="auto"/>
        </w:rPr>
      </w:pPr>
      <w:r>
        <w:rPr>
          <w:rFonts w:ascii="Arial" w:cs="Arial" w:eastAsia="Arial" w:hAnsi="Arial"/>
          <w:sz w:val="15"/>
          <w:szCs w:val="15"/>
          <w:u w:val="single" w:color="auto"/>
          <w:color w:val="auto"/>
        </w:rPr>
        <w:t>Indemnification by Subtenant</w:t>
      </w:r>
      <w:r>
        <w:rPr>
          <w:rFonts w:ascii="Arial" w:cs="Arial" w:eastAsia="Arial" w:hAnsi="Arial"/>
          <w:sz w:val="15"/>
          <w:szCs w:val="15"/>
          <w:color w:val="auto"/>
        </w:rPr>
        <w:t>. Subtenant agrees to protect, defend (with counsel reasonably approved by Sublandlord), indemnify and hold Sublandlord harmless from and against any and all claims, damages, liabilities, costs and expenses, including reasonable attorneys’ fees, (other than those arising solely from any negligence or willful misconduct of Sublandlord or its agents or employees in or about Subleased Premises), arising or resulting from: (i) the conduct or management of or from any work or thing whatsoever done in or about the Subleased Premises during the Sublease Term or any period which Subtenant may occupy the same; (ii) any condition arising, and any injury to or death of persons, damage to property or other event occurring or resulting from an occurrence in or about the Subleased Premises during the term hereof; (iii) any breach or default on the part of Subtenant in the performance of any covenant or agreement on the part of Subtenant to be performed pursuant to the terms of this Sublease or (iv) from any negligent act, omission or willful misconduct on the part of Subtenant or any or its agents, employees, licensees, invitees or assignees. Subtenant further agrees to protect, defend (with counsel reasonably approved by Sublandlord), indemnify and hold Sublandlord harmless from and against any and all claims, damages, liabilities, costs and expenses, including reasonable attorneys’ fees, incurred in connection with any such indemnified claim or any action or</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48" w:name="page649"/>
    <w:bookmarkEnd w:id="648"/>
    <w:p>
      <w:pPr>
        <w:ind w:left="1220" w:right="1239"/>
        <w:spacing w:after="0" w:line="274" w:lineRule="auto"/>
        <w:rPr>
          <w:sz w:val="20"/>
          <w:szCs w:val="20"/>
          <w:color w:val="auto"/>
        </w:rPr>
      </w:pPr>
      <w:r>
        <w:rPr>
          <w:rFonts w:ascii="Arial" w:cs="Arial" w:eastAsia="Arial" w:hAnsi="Arial"/>
          <w:sz w:val="15"/>
          <w:szCs w:val="15"/>
          <w:color w:val="auto"/>
        </w:rPr>
        <w:t>proceeding brought in connection therewith. The foregoing shall survive the expiration or early termination of this Sublease.</w:t>
      </w:r>
    </w:p>
    <w:p>
      <w:pPr>
        <w:spacing w:after="0" w:line="111" w:lineRule="exact"/>
        <w:rPr>
          <w:sz w:val="20"/>
          <w:szCs w:val="20"/>
          <w:color w:val="auto"/>
        </w:rPr>
      </w:pPr>
    </w:p>
    <w:p>
      <w:pPr>
        <w:jc w:val="both"/>
        <w:ind w:left="1220" w:right="1239" w:firstLine="509"/>
        <w:spacing w:after="0" w:line="239" w:lineRule="auto"/>
        <w:tabs>
          <w:tab w:leader="none" w:pos="2078" w:val="left"/>
        </w:tabs>
        <w:numPr>
          <w:ilvl w:val="0"/>
          <w:numId w:val="581"/>
        </w:numPr>
        <w:rPr>
          <w:rFonts w:ascii="Arial" w:cs="Arial" w:eastAsia="Arial" w:hAnsi="Arial"/>
          <w:sz w:val="15"/>
          <w:szCs w:val="15"/>
          <w:color w:val="auto"/>
        </w:rPr>
      </w:pPr>
      <w:r>
        <w:rPr>
          <w:rFonts w:ascii="Arial" w:cs="Arial" w:eastAsia="Arial" w:hAnsi="Arial"/>
          <w:sz w:val="15"/>
          <w:szCs w:val="15"/>
          <w:u w:val="single" w:color="auto"/>
          <w:color w:val="auto"/>
        </w:rPr>
        <w:t>Default</w:t>
      </w:r>
      <w:r>
        <w:rPr>
          <w:rFonts w:ascii="Arial" w:cs="Arial" w:eastAsia="Arial" w:hAnsi="Arial"/>
          <w:sz w:val="15"/>
          <w:szCs w:val="15"/>
          <w:color w:val="auto"/>
        </w:rPr>
        <w:t xml:space="preserve">. In the event of a default by Subtenant in the full and timely performance of its obligations under this Sublease, including, without limitation, its obligation to pay Base Rent or Additional Rent within the applicable notice and cure periods set forth in Section 15.1 of the Master Lease (subject to Section 7.d of this Sublease)(a </w:t>
      </w:r>
      <w:r>
        <w:rPr>
          <w:rFonts w:ascii="Arial" w:cs="Arial" w:eastAsia="Arial" w:hAnsi="Arial"/>
          <w:sz w:val="15"/>
          <w:szCs w:val="15"/>
          <w:b w:val="1"/>
          <w:bCs w:val="1"/>
          <w:color w:val="auto"/>
        </w:rPr>
        <w:t>“Default”</w:t>
      </w:r>
      <w:r>
        <w:rPr>
          <w:rFonts w:ascii="Arial" w:cs="Arial" w:eastAsia="Arial" w:hAnsi="Arial"/>
          <w:sz w:val="15"/>
          <w:szCs w:val="15"/>
          <w:color w:val="auto"/>
        </w:rPr>
        <w:t>), Sublandlord shall have all of the rights and remedies available to “Landlord” under the Master Lease as though Sublandlord were “Landlord” and Subtenant were “Tenant”, including without limitation the rights and remedies set forth in Section 15.3 of the Master Lease. The foregoing shall survive the expiration or early termination of this Sublease.</w:t>
      </w:r>
    </w:p>
    <w:p>
      <w:pPr>
        <w:spacing w:after="0" w:line="140" w:lineRule="exact"/>
        <w:rPr>
          <w:sz w:val="20"/>
          <w:szCs w:val="20"/>
          <w:color w:val="auto"/>
        </w:rPr>
      </w:pPr>
    </w:p>
    <w:p>
      <w:pPr>
        <w:jc w:val="both"/>
        <w:ind w:left="1220" w:right="1239"/>
        <w:spacing w:after="0" w:line="242" w:lineRule="auto"/>
        <w:rPr>
          <w:sz w:val="20"/>
          <w:szCs w:val="20"/>
          <w:color w:val="auto"/>
        </w:rPr>
      </w:pPr>
      <w:r>
        <w:rPr>
          <w:rFonts w:ascii="Arial" w:cs="Arial" w:eastAsia="Arial" w:hAnsi="Arial"/>
          <w:sz w:val="15"/>
          <w:szCs w:val="15"/>
          <w:color w:val="auto"/>
        </w:rPr>
        <w:t>For purposes of this Sublease, Sublandlord shall not be deemed in default hereunder unless and until Subtenant shall first deliver to Sublandlord thirty (30) days’ prior written notice, and Sublandlord shall fail to cure said default within such thirty (30) day period, or in the event Sublandlord shall reasonably require in excess of thirty (30) days to cure such default, Sublandlord shall fail to commence said cure with such thirty (30) day period, and thereafter diligently to prosecute the same to completion.</w:t>
      </w:r>
    </w:p>
    <w:p>
      <w:pPr>
        <w:spacing w:after="0" w:line="134" w:lineRule="exact"/>
        <w:rPr>
          <w:sz w:val="20"/>
          <w:szCs w:val="20"/>
          <w:color w:val="auto"/>
        </w:rPr>
      </w:pPr>
    </w:p>
    <w:p>
      <w:pPr>
        <w:jc w:val="both"/>
        <w:ind w:left="1220" w:right="1239" w:firstLine="509"/>
        <w:spacing w:after="0" w:line="244" w:lineRule="auto"/>
        <w:tabs>
          <w:tab w:leader="none" w:pos="2078" w:val="left"/>
        </w:tabs>
        <w:numPr>
          <w:ilvl w:val="0"/>
          <w:numId w:val="582"/>
        </w:numPr>
        <w:rPr>
          <w:rFonts w:ascii="Arial" w:cs="Arial" w:eastAsia="Arial" w:hAnsi="Arial"/>
          <w:sz w:val="15"/>
          <w:szCs w:val="15"/>
          <w:color w:val="auto"/>
        </w:rPr>
      </w:pPr>
      <w:r>
        <w:rPr>
          <w:rFonts w:ascii="Arial" w:cs="Arial" w:eastAsia="Arial" w:hAnsi="Arial"/>
          <w:sz w:val="15"/>
          <w:szCs w:val="15"/>
          <w:u w:val="single" w:color="auto"/>
          <w:color w:val="auto"/>
        </w:rPr>
        <w:t>Brokers</w:t>
      </w:r>
      <w:r>
        <w:rPr>
          <w:rFonts w:ascii="Arial" w:cs="Arial" w:eastAsia="Arial" w:hAnsi="Arial"/>
          <w:sz w:val="15"/>
          <w:szCs w:val="15"/>
          <w:color w:val="auto"/>
        </w:rPr>
        <w:t>. Sublandlord and Subtenant each represent and warrant to the other that it has not dealt with any broker other than JLL and CBRE (the “</w:t>
      </w:r>
      <w:r>
        <w:rPr>
          <w:rFonts w:ascii="Arial" w:cs="Arial" w:eastAsia="Arial" w:hAnsi="Arial"/>
          <w:sz w:val="15"/>
          <w:szCs w:val="15"/>
          <w:b w:val="1"/>
          <w:bCs w:val="1"/>
          <w:color w:val="auto"/>
        </w:rPr>
        <w:t>Brokers</w:t>
      </w:r>
      <w:r>
        <w:rPr>
          <w:rFonts w:ascii="Arial" w:cs="Arial" w:eastAsia="Arial" w:hAnsi="Arial"/>
          <w:sz w:val="15"/>
          <w:szCs w:val="15"/>
          <w:color w:val="auto"/>
        </w:rPr>
        <w:t>”) in connection with the consummation of this Sublease. Sublandlord and Subtenant each shall indemnify and hold harmless the other against any loss, damage, claims or liabilities arising out of the failure of its representation or the breach of its warranty set forth in the previous sentence.</w:t>
      </w:r>
    </w:p>
    <w:p>
      <w:pPr>
        <w:spacing w:after="0" w:line="132" w:lineRule="exact"/>
        <w:rPr>
          <w:rFonts w:ascii="Arial" w:cs="Arial" w:eastAsia="Arial" w:hAnsi="Arial"/>
          <w:sz w:val="15"/>
          <w:szCs w:val="15"/>
          <w:color w:val="auto"/>
        </w:rPr>
      </w:pPr>
    </w:p>
    <w:p>
      <w:pPr>
        <w:jc w:val="both"/>
        <w:ind w:left="1220" w:right="1239" w:firstLine="509"/>
        <w:spacing w:after="0" w:line="239" w:lineRule="auto"/>
        <w:tabs>
          <w:tab w:leader="none" w:pos="2088" w:val="left"/>
        </w:tabs>
        <w:numPr>
          <w:ilvl w:val="0"/>
          <w:numId w:val="582"/>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 All notices and demands under this Sublease shall be in writing and shall be effective (except for notices to Master Landlord which shall be given in accordance with Article 22 of the Master Lease) upon the earlier of (i) receipt at the address set forth below by the party being served, or (ii) two days after being sent to address set forth below by United States certified mail, return receipt requested, postage prepaid, or (iii) one day after being sent to address set forth below by a nationally recognized overnight delivery service that provides tracking and proof of receipt. A notice given on behalf of a party hereto by its attorney shall be deemed a notice from such party.</w:t>
      </w:r>
    </w:p>
    <w:p>
      <w:pPr>
        <w:sectPr>
          <w:pgSz w:w="11900" w:h="16838" w:orient="portrait"/>
          <w:cols w:equalWidth="0" w:num="1">
            <w:col w:w="9019"/>
          </w:cols>
          <w:pgMar w:left="1440" w:top="1300" w:right="1440" w:bottom="1440" w:gutter="0" w:footer="0" w:header="0"/>
        </w:sectPr>
      </w:pPr>
    </w:p>
    <w:p>
      <w:pPr>
        <w:spacing w:after="0" w:line="140" w:lineRule="exact"/>
        <w:rPr>
          <w:sz w:val="20"/>
          <w:szCs w:val="20"/>
          <w:color w:val="auto"/>
        </w:rPr>
      </w:pPr>
    </w:p>
    <w:p>
      <w:pPr>
        <w:ind w:left="1740"/>
        <w:spacing w:after="0"/>
        <w:rPr>
          <w:sz w:val="20"/>
          <w:szCs w:val="20"/>
          <w:color w:val="auto"/>
        </w:rPr>
      </w:pPr>
      <w:r>
        <w:rPr>
          <w:rFonts w:ascii="Arial" w:cs="Arial" w:eastAsia="Arial" w:hAnsi="Arial"/>
          <w:sz w:val="15"/>
          <w:szCs w:val="15"/>
          <w:color w:val="auto"/>
        </w:rPr>
        <w:t>If to Master Sublandlord:</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As required under the Master Lease.</w:t>
      </w:r>
    </w:p>
    <w:p>
      <w:pPr>
        <w:spacing w:after="0" w:line="164" w:lineRule="exact"/>
        <w:rPr>
          <w:sz w:val="20"/>
          <w:szCs w:val="20"/>
          <w:color w:val="auto"/>
        </w:rPr>
      </w:pPr>
    </w:p>
    <w:p>
      <w:pPr>
        <w:sectPr>
          <w:pgSz w:w="11900" w:h="16838" w:orient="portrait"/>
          <w:cols w:equalWidth="0" w:num="2">
            <w:col w:w="3420" w:space="240"/>
            <w:col w:w="5359"/>
          </w:cols>
          <w:pgMar w:left="1440" w:top="1300" w:right="1440" w:bottom="1440" w:gutter="0" w:footer="0" w:header="0"/>
          <w:type w:val="continuous"/>
        </w:sectPr>
      </w:pPr>
    </w:p>
    <w:p>
      <w:pPr>
        <w:ind w:left="1740"/>
        <w:spacing w:after="0"/>
        <w:rPr>
          <w:sz w:val="20"/>
          <w:szCs w:val="20"/>
          <w:color w:val="auto"/>
        </w:rPr>
      </w:pPr>
      <w:r>
        <w:rPr>
          <w:rFonts w:ascii="Arial" w:cs="Arial" w:eastAsia="Arial" w:hAnsi="Arial"/>
          <w:sz w:val="15"/>
          <w:szCs w:val="15"/>
          <w:color w:val="auto"/>
        </w:rPr>
        <w:t>If to Sublandlord:</w:t>
      </w:r>
    </w:p>
    <w:p>
      <w:pPr>
        <w:spacing w:after="0" w:line="20" w:lineRule="exact"/>
        <w:rPr>
          <w:sz w:val="20"/>
          <w:szCs w:val="20"/>
          <w:color w:val="auto"/>
        </w:rPr>
      </w:pPr>
      <w:r>
        <w:rPr>
          <w:sz w:val="20"/>
          <w:szCs w:val="20"/>
          <w:color w:val="auto"/>
        </w:rPr>
        <w:br w:type="column"/>
      </w:r>
    </w:p>
    <w:p>
      <w:pPr>
        <w:ind w:right="1559"/>
        <w:spacing w:after="0" w:line="274" w:lineRule="auto"/>
        <w:rPr>
          <w:sz w:val="20"/>
          <w:szCs w:val="20"/>
          <w:color w:val="auto"/>
        </w:rPr>
      </w:pPr>
      <w:r>
        <w:rPr>
          <w:rFonts w:ascii="Arial" w:cs="Arial" w:eastAsia="Arial" w:hAnsi="Arial"/>
          <w:sz w:val="15"/>
          <w:szCs w:val="15"/>
          <w:color w:val="auto"/>
        </w:rPr>
        <w:t>At the address set forth in the opening paragraph of this Sublease, Attention: [***]</w:t>
      </w:r>
    </w:p>
    <w:p>
      <w:pPr>
        <w:spacing w:after="0" w:line="111" w:lineRule="exact"/>
        <w:rPr>
          <w:sz w:val="20"/>
          <w:szCs w:val="20"/>
          <w:color w:val="auto"/>
        </w:rPr>
      </w:pPr>
    </w:p>
    <w:p>
      <w:pPr>
        <w:sectPr>
          <w:pgSz w:w="11900" w:h="16838" w:orient="portrait"/>
          <w:cols w:equalWidth="0" w:num="2">
            <w:col w:w="2940" w:space="720"/>
            <w:col w:w="5359"/>
          </w:cols>
          <w:pgMar w:left="1440" w:top="1300" w:right="1440" w:bottom="1440" w:gutter="0" w:footer="0" w:header="0"/>
          <w:type w:val="continuous"/>
        </w:sectPr>
      </w:pPr>
    </w:p>
    <w:p>
      <w:pPr>
        <w:ind w:left="1740"/>
        <w:spacing w:after="0"/>
        <w:rPr>
          <w:sz w:val="20"/>
          <w:szCs w:val="20"/>
          <w:color w:val="auto"/>
        </w:rPr>
      </w:pPr>
      <w:r>
        <w:rPr>
          <w:rFonts w:ascii="Arial" w:cs="Arial" w:eastAsia="Arial" w:hAnsi="Arial"/>
          <w:sz w:val="15"/>
          <w:szCs w:val="15"/>
          <w:color w:val="auto"/>
        </w:rPr>
        <w:t>If to Subtenant:</w:t>
      </w:r>
    </w:p>
    <w:p>
      <w:pPr>
        <w:spacing w:after="0" w:line="20" w:lineRule="exact"/>
        <w:rPr>
          <w:sz w:val="20"/>
          <w:szCs w:val="20"/>
          <w:color w:val="auto"/>
        </w:rPr>
      </w:pPr>
      <w:r>
        <w:rPr>
          <w:sz w:val="20"/>
          <w:szCs w:val="20"/>
          <w:color w:val="auto"/>
        </w:rPr>
        <w:br w:type="column"/>
      </w:r>
    </w:p>
    <w:p>
      <w:pPr>
        <w:ind w:right="1559"/>
        <w:spacing w:after="0" w:line="274" w:lineRule="auto"/>
        <w:rPr>
          <w:sz w:val="20"/>
          <w:szCs w:val="20"/>
          <w:color w:val="auto"/>
        </w:rPr>
      </w:pPr>
      <w:r>
        <w:rPr>
          <w:rFonts w:ascii="Arial" w:cs="Arial" w:eastAsia="Arial" w:hAnsi="Arial"/>
          <w:sz w:val="15"/>
          <w:szCs w:val="15"/>
          <w:color w:val="auto"/>
        </w:rPr>
        <w:t>At the address set forth in the opening paragraph of this Sublease, Attention: [***]</w:t>
      </w:r>
    </w:p>
    <w:p>
      <w:pPr>
        <w:spacing w:after="0" w:line="111" w:lineRule="exact"/>
        <w:rPr>
          <w:sz w:val="20"/>
          <w:szCs w:val="20"/>
          <w:color w:val="auto"/>
        </w:rPr>
      </w:pPr>
    </w:p>
    <w:p>
      <w:pPr>
        <w:sectPr>
          <w:pgSz w:w="11900" w:h="16838" w:orient="portrait"/>
          <w:cols w:equalWidth="0" w:num="2">
            <w:col w:w="2940" w:space="720"/>
            <w:col w:w="5359"/>
          </w:cols>
          <w:pgMar w:left="1440" w:top="1300" w:right="1440" w:bottom="1440" w:gutter="0" w:footer="0" w:header="0"/>
          <w:type w:val="continuous"/>
        </w:sectPr>
      </w:pPr>
    </w:p>
    <w:p>
      <w:pPr>
        <w:ind w:left="1220" w:right="1239" w:firstLine="505"/>
        <w:spacing w:after="0" w:line="274" w:lineRule="auto"/>
        <w:rPr>
          <w:sz w:val="20"/>
          <w:szCs w:val="20"/>
          <w:color w:val="auto"/>
        </w:rPr>
      </w:pPr>
      <w:r>
        <w:rPr>
          <w:rFonts w:ascii="Arial" w:cs="Arial" w:eastAsia="Arial" w:hAnsi="Arial"/>
          <w:sz w:val="15"/>
          <w:szCs w:val="15"/>
          <w:color w:val="auto"/>
        </w:rPr>
        <w:t>Either party may change its address for notices and demands under this Sublease by notice to the other party.</w:t>
      </w:r>
    </w:p>
    <w:p>
      <w:pPr>
        <w:spacing w:after="0" w:line="111" w:lineRule="exact"/>
        <w:rPr>
          <w:sz w:val="20"/>
          <w:szCs w:val="20"/>
          <w:color w:val="auto"/>
        </w:rPr>
      </w:pPr>
    </w:p>
    <w:p>
      <w:pPr>
        <w:jc w:val="both"/>
        <w:ind w:left="1220" w:right="1239" w:firstLine="509"/>
        <w:spacing w:after="0" w:line="254" w:lineRule="auto"/>
        <w:tabs>
          <w:tab w:leader="none" w:pos="2193" w:val="left"/>
        </w:tabs>
        <w:numPr>
          <w:ilvl w:val="0"/>
          <w:numId w:val="583"/>
        </w:numPr>
        <w:rPr>
          <w:rFonts w:ascii="Arial" w:cs="Arial" w:eastAsia="Arial" w:hAnsi="Arial"/>
          <w:sz w:val="15"/>
          <w:szCs w:val="15"/>
          <w:color w:val="auto"/>
        </w:rPr>
      </w:pPr>
      <w:r>
        <w:rPr>
          <w:rFonts w:ascii="Arial" w:cs="Arial" w:eastAsia="Arial" w:hAnsi="Arial"/>
          <w:sz w:val="15"/>
          <w:szCs w:val="15"/>
          <w:u w:val="single" w:color="auto"/>
          <w:color w:val="auto"/>
        </w:rPr>
        <w:t>Entire Agreement</w:t>
      </w:r>
      <w:r>
        <w:rPr>
          <w:rFonts w:ascii="Arial" w:cs="Arial" w:eastAsia="Arial" w:hAnsi="Arial"/>
          <w:sz w:val="15"/>
          <w:szCs w:val="15"/>
          <w:color w:val="auto"/>
        </w:rPr>
        <w:t>. This Sublease contains all of the agreements, conditions, warranties and representations relating to the sublease of the Subleased Premises and may be amended or modified only by written instruments executed by both Sublandlord and Subtenant.</w:t>
      </w:r>
    </w:p>
    <w:p>
      <w:pPr>
        <w:spacing w:after="0" w:line="125" w:lineRule="exact"/>
        <w:rPr>
          <w:rFonts w:ascii="Arial" w:cs="Arial" w:eastAsia="Arial" w:hAnsi="Arial"/>
          <w:sz w:val="15"/>
          <w:szCs w:val="15"/>
          <w:color w:val="auto"/>
        </w:rPr>
      </w:pPr>
    </w:p>
    <w:p>
      <w:pPr>
        <w:jc w:val="both"/>
        <w:ind w:left="1220" w:right="1239" w:firstLine="509"/>
        <w:spacing w:after="0" w:line="274" w:lineRule="auto"/>
        <w:tabs>
          <w:tab w:leader="none" w:pos="2088" w:val="left"/>
        </w:tabs>
        <w:numPr>
          <w:ilvl w:val="0"/>
          <w:numId w:val="583"/>
        </w:numPr>
        <w:rPr>
          <w:rFonts w:ascii="Arial" w:cs="Arial" w:eastAsia="Arial" w:hAnsi="Arial"/>
          <w:sz w:val="15"/>
          <w:szCs w:val="15"/>
          <w:color w:val="auto"/>
        </w:rPr>
      </w:pPr>
      <w:r>
        <w:rPr>
          <w:rFonts w:ascii="Arial" w:cs="Arial" w:eastAsia="Arial" w:hAnsi="Arial"/>
          <w:sz w:val="15"/>
          <w:szCs w:val="15"/>
          <w:u w:val="single" w:color="auto"/>
          <w:color w:val="auto"/>
        </w:rPr>
        <w:t>Authority</w:t>
      </w:r>
      <w:r>
        <w:rPr>
          <w:rFonts w:ascii="Arial" w:cs="Arial" w:eastAsia="Arial" w:hAnsi="Arial"/>
          <w:sz w:val="15"/>
          <w:szCs w:val="15"/>
          <w:color w:val="auto"/>
        </w:rPr>
        <w:t>. Sublandlord and Subtenant each represent and warrant to the other that the individual(s) executing and delivering this Sublease on its behalf is/are duly authorized to do</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type w:val="continuous"/>
        </w:sectPr>
      </w:pPr>
    </w:p>
    <w:bookmarkStart w:id="649" w:name="page650"/>
    <w:bookmarkEnd w:id="649"/>
    <w:p>
      <w:pPr>
        <w:jc w:val="both"/>
        <w:ind w:left="1220" w:right="1239"/>
        <w:spacing w:after="0" w:line="254" w:lineRule="auto"/>
        <w:rPr>
          <w:sz w:val="20"/>
          <w:szCs w:val="20"/>
          <w:color w:val="auto"/>
        </w:rPr>
      </w:pPr>
      <w:r>
        <w:rPr>
          <w:rFonts w:ascii="Arial" w:cs="Arial" w:eastAsia="Arial" w:hAnsi="Arial"/>
          <w:sz w:val="15"/>
          <w:szCs w:val="15"/>
          <w:color w:val="auto"/>
        </w:rPr>
        <w:t>so and that this Sublease is binding on Subtenant and Sublandlord in accordance with its terms. Simultaneously with the execution of this Sublease, Subtenant shall deliver evidence of such authority to Sublandlord in a form reasonably satisfactory to Sublandlord.</w:t>
      </w:r>
    </w:p>
    <w:p>
      <w:pPr>
        <w:spacing w:after="0" w:line="125" w:lineRule="exact"/>
        <w:rPr>
          <w:sz w:val="20"/>
          <w:szCs w:val="20"/>
          <w:color w:val="auto"/>
        </w:rPr>
      </w:pPr>
    </w:p>
    <w:p>
      <w:pPr>
        <w:jc w:val="both"/>
        <w:ind w:left="1220" w:right="1239" w:firstLine="509"/>
        <w:spacing w:after="0"/>
        <w:tabs>
          <w:tab w:leader="none" w:pos="2088" w:val="left"/>
        </w:tabs>
        <w:numPr>
          <w:ilvl w:val="0"/>
          <w:numId w:val="584"/>
        </w:numPr>
        <w:rPr>
          <w:rFonts w:ascii="Arial" w:cs="Arial" w:eastAsia="Arial" w:hAnsi="Arial"/>
          <w:sz w:val="15"/>
          <w:szCs w:val="15"/>
          <w:color w:val="auto"/>
        </w:rPr>
      </w:pPr>
      <w:r>
        <w:rPr>
          <w:rFonts w:ascii="Arial" w:cs="Arial" w:eastAsia="Arial" w:hAnsi="Arial"/>
          <w:sz w:val="15"/>
          <w:szCs w:val="15"/>
          <w:u w:val="single" w:color="auto"/>
          <w:color w:val="auto"/>
        </w:rPr>
        <w:t>Condition Precedent</w:t>
      </w:r>
      <w:r>
        <w:rPr>
          <w:rFonts w:ascii="Arial" w:cs="Arial" w:eastAsia="Arial" w:hAnsi="Arial"/>
          <w:sz w:val="15"/>
          <w:szCs w:val="15"/>
          <w:color w:val="auto"/>
        </w:rPr>
        <w:t>. This Sublease, and the rights and obligations of Sublandlord and Subtenant under this Sublease (other than those obligations which arise hereunder prior to the Commencement Date), are subject to the condition that Master Landlord consent to the subleasing of the Subleased Premises to the extent required under the Master Lease, and this Sublease shall be effective only upon the receipt by Sublandlord of such consent. Subtenant agrees to join such consent if so requested by Master Landlord in the form requested by Master Sublandlord. In the event such consent is not received within thirty (30) days after the Effective Date, Sublandlord shall have the right to rescind its execution of this Sublease, and upon exercise of such right, this Sublease shall be void and the installment of Base Rent and the Security Deposit which are paid on Subtenant’s execution of this Sublease shall be returned to Subtenant.</w:t>
      </w:r>
    </w:p>
    <w:p>
      <w:pPr>
        <w:spacing w:after="0" w:line="293" w:lineRule="exact"/>
        <w:rPr>
          <w:rFonts w:ascii="Arial" w:cs="Arial" w:eastAsia="Arial" w:hAnsi="Arial"/>
          <w:sz w:val="15"/>
          <w:szCs w:val="15"/>
          <w:color w:val="auto"/>
        </w:rPr>
      </w:pPr>
    </w:p>
    <w:p>
      <w:pPr>
        <w:jc w:val="both"/>
        <w:ind w:left="1220" w:right="1239" w:firstLine="509"/>
        <w:spacing w:after="0"/>
        <w:tabs>
          <w:tab w:leader="none" w:pos="2109" w:val="left"/>
        </w:tabs>
        <w:numPr>
          <w:ilvl w:val="0"/>
          <w:numId w:val="584"/>
        </w:numPr>
        <w:rPr>
          <w:rFonts w:ascii="Arial" w:cs="Arial" w:eastAsia="Arial" w:hAnsi="Arial"/>
          <w:sz w:val="15"/>
          <w:szCs w:val="15"/>
          <w:color w:val="auto"/>
        </w:rPr>
      </w:pPr>
      <w:r>
        <w:rPr>
          <w:rFonts w:ascii="Arial" w:cs="Arial" w:eastAsia="Arial" w:hAnsi="Arial"/>
          <w:sz w:val="15"/>
          <w:szCs w:val="15"/>
          <w:u w:val="single" w:color="auto"/>
          <w:color w:val="auto"/>
        </w:rPr>
        <w:t>Holdover</w:t>
      </w:r>
      <w:r>
        <w:rPr>
          <w:rFonts w:ascii="Arial" w:cs="Arial" w:eastAsia="Arial" w:hAnsi="Arial"/>
          <w:sz w:val="15"/>
          <w:szCs w:val="15"/>
          <w:color w:val="auto"/>
        </w:rPr>
        <w:t>. Upon the expiration of the Sublease Term or earlier termination of this Sublease, Subtenant covenants to quit and surrender to Sublandlord the Subleased Premises, broom clean, in such order and condition as is required under the Master Lease at the expiration of the Master Lease term, ordinary wear and tear and damage by fire or other casualty excepted, and at Subtenant’s expense, to remove all property of Subtenant, provided, however, Subtenant shall not be required to remove the existing wiring/cabling within the Subleased Premises as of the Commencement Date. Any property not so removed shall be deemed to have been abandoned by Subtenant and may be retained or disposed of at Subtenant’s expense by Sublandlord, as Sublandlord shall desire. If Subtenant or any of its property remains on the Sublease Premises beyond the expiration or earlier termination of this Sublease, such holding over shall not be deemed to create any tenancy at will, but the Subtenant shall be a tenant at sufferance only and shall pay rent at a daily rate equal to two times the Rent due under the Master Lease with respect to the entire Premises, even if the Subleased Premises is less than the entire Premises, and other charges due thereunder and shall, in addition, perform and observe all other obligations and conditions to be performed or observed by Subtenant hereunder. In addition, Subtenant shall indemnify and hold harmless Sublandlord from and against any and all liability, loss, cost, damage and expenses suffered or incurred by Sublandlord arising out of or resulting from any failure on the part of Subtenant to yield up the Subleased Premises when and as required under this Sublease. The foregoing shall survive the expiration or early termination of this Sublease.</w:t>
      </w:r>
    </w:p>
    <w:p>
      <w:pPr>
        <w:spacing w:after="0" w:line="254" w:lineRule="exact"/>
        <w:rPr>
          <w:rFonts w:ascii="Arial" w:cs="Arial" w:eastAsia="Arial" w:hAnsi="Arial"/>
          <w:sz w:val="15"/>
          <w:szCs w:val="15"/>
          <w:color w:val="auto"/>
        </w:rPr>
      </w:pPr>
    </w:p>
    <w:p>
      <w:pPr>
        <w:jc w:val="both"/>
        <w:ind w:left="1220" w:right="1239" w:firstLine="509"/>
        <w:spacing w:after="0" w:line="247" w:lineRule="auto"/>
        <w:tabs>
          <w:tab w:leader="none" w:pos="2067" w:val="left"/>
        </w:tabs>
        <w:numPr>
          <w:ilvl w:val="0"/>
          <w:numId w:val="584"/>
        </w:numPr>
        <w:rPr>
          <w:rFonts w:ascii="Arial" w:cs="Arial" w:eastAsia="Arial" w:hAnsi="Arial"/>
          <w:sz w:val="15"/>
          <w:szCs w:val="15"/>
          <w:color w:val="auto"/>
        </w:rPr>
      </w:pPr>
      <w:r>
        <w:rPr>
          <w:rFonts w:ascii="Arial" w:cs="Arial" w:eastAsia="Arial" w:hAnsi="Arial"/>
          <w:sz w:val="15"/>
          <w:szCs w:val="15"/>
          <w:u w:val="single" w:color="auto"/>
          <w:color w:val="auto"/>
        </w:rPr>
        <w:t>Not an Offe</w:t>
      </w:r>
      <w:r>
        <w:rPr>
          <w:rFonts w:ascii="Arial" w:cs="Arial" w:eastAsia="Arial" w:hAnsi="Arial"/>
          <w:sz w:val="15"/>
          <w:szCs w:val="15"/>
          <w:color w:val="auto"/>
        </w:rPr>
        <w:t>r. The submission of an unsigned copy of this Sublease to Subtenant for Subtenant’s consideration does not constitute an offer to sublease the Subleased Premises. This Sublease shall become binding only upon the execution and delivery of this Sublease by Sublandlord and Subtenant, subject to Section 17 above.</w:t>
      </w:r>
    </w:p>
    <w:p>
      <w:pPr>
        <w:spacing w:after="0" w:line="130" w:lineRule="exact"/>
        <w:rPr>
          <w:rFonts w:ascii="Arial" w:cs="Arial" w:eastAsia="Arial" w:hAnsi="Arial"/>
          <w:sz w:val="15"/>
          <w:szCs w:val="15"/>
          <w:color w:val="auto"/>
        </w:rPr>
      </w:pPr>
    </w:p>
    <w:p>
      <w:pPr>
        <w:ind w:left="2080" w:hanging="351"/>
        <w:spacing w:after="0"/>
        <w:tabs>
          <w:tab w:leader="none" w:pos="2080" w:val="left"/>
        </w:tabs>
        <w:numPr>
          <w:ilvl w:val="0"/>
          <w:numId w:val="584"/>
        </w:numPr>
        <w:rPr>
          <w:rFonts w:ascii="Arial" w:cs="Arial" w:eastAsia="Arial" w:hAnsi="Arial"/>
          <w:sz w:val="15"/>
          <w:szCs w:val="15"/>
          <w:color w:val="auto"/>
        </w:rPr>
      </w:pPr>
      <w:r>
        <w:rPr>
          <w:rFonts w:ascii="Arial" w:cs="Arial" w:eastAsia="Arial" w:hAnsi="Arial"/>
          <w:sz w:val="15"/>
          <w:szCs w:val="15"/>
          <w:u w:val="single" w:color="auto"/>
          <w:color w:val="auto"/>
        </w:rPr>
        <w:t>Substitute Premises; Termination</w:t>
      </w:r>
      <w:r>
        <w:rPr>
          <w:rFonts w:ascii="Arial" w:cs="Arial" w:eastAsia="Arial" w:hAnsi="Arial"/>
          <w:sz w:val="15"/>
          <w:szCs w:val="15"/>
          <w:color w:val="auto"/>
        </w:rPr>
        <w:t>.</w:t>
      </w:r>
    </w:p>
    <w:p>
      <w:pPr>
        <w:spacing w:after="0" w:line="160" w:lineRule="exact"/>
        <w:rPr>
          <w:rFonts w:ascii="Arial" w:cs="Arial" w:eastAsia="Arial" w:hAnsi="Arial"/>
          <w:sz w:val="15"/>
          <w:szCs w:val="15"/>
          <w:color w:val="auto"/>
        </w:rPr>
      </w:pPr>
    </w:p>
    <w:p>
      <w:pPr>
        <w:jc w:val="both"/>
        <w:ind w:left="1720" w:right="1239" w:firstLine="505"/>
        <w:spacing w:after="0"/>
        <w:rPr>
          <w:rFonts w:ascii="Arial" w:cs="Arial" w:eastAsia="Arial" w:hAnsi="Arial"/>
          <w:sz w:val="15"/>
          <w:szCs w:val="15"/>
          <w:color w:val="auto"/>
        </w:rPr>
      </w:pPr>
      <w:r>
        <w:rPr>
          <w:rFonts w:ascii="Times New Roman" w:cs="Times New Roman" w:eastAsia="Times New Roman" w:hAnsi="Times New Roman"/>
          <w:sz w:val="17"/>
          <w:szCs w:val="17"/>
          <w:color w:val="auto"/>
        </w:rPr>
        <w:t xml:space="preserve">a. </w:t>
      </w:r>
      <w:r>
        <w:rPr>
          <w:rFonts w:ascii="Arial" w:cs="Arial" w:eastAsia="Arial" w:hAnsi="Arial"/>
          <w:sz w:val="15"/>
          <w:szCs w:val="15"/>
          <w:color w:val="auto"/>
        </w:rPr>
        <w:t>If Sublandlord so requests upon at least thirty (30) days’ prior written notice</w:t>
      </w:r>
      <w:r>
        <w:rPr>
          <w:rFonts w:ascii="Times New Roman" w:cs="Times New Roman" w:eastAsia="Times New Roman" w:hAnsi="Times New Roman"/>
          <w:sz w:val="17"/>
          <w:szCs w:val="17"/>
          <w:color w:val="auto"/>
        </w:rPr>
        <w:t xml:space="preserve"> </w:t>
      </w:r>
      <w:r>
        <w:rPr>
          <w:rFonts w:ascii="Arial" w:cs="Arial" w:eastAsia="Arial" w:hAnsi="Arial"/>
          <w:sz w:val="15"/>
          <w:szCs w:val="15"/>
          <w:color w:val="auto"/>
        </w:rPr>
        <w:t>to Subtenant, Subtenant shall vacate the Subleased Premises and relinquish its rights with respect to the same provided that Sublandlord shall provide to Subtenant substitute space in the Building, such space to be reasonably comparable in size, layout, finish and utility to the Subleased Premises, and further provided that Sublandlord shall, at its sole cost and expense, move Subtenant and Subtenant’s personal property from the Subleased Premises to such new space in such manner as will minimize unreasonable interference with the business or operations of Subtenant. For avoidance of doubt,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50" w:name="page651"/>
    <w:bookmarkEnd w:id="650"/>
    <w:p>
      <w:pPr>
        <w:jc w:val="both"/>
        <w:ind w:left="1720" w:right="1239"/>
        <w:spacing w:after="0" w:line="242" w:lineRule="auto"/>
        <w:rPr>
          <w:sz w:val="20"/>
          <w:szCs w:val="20"/>
          <w:color w:val="auto"/>
        </w:rPr>
      </w:pPr>
      <w:r>
        <w:rPr>
          <w:rFonts w:ascii="Arial" w:cs="Arial" w:eastAsia="Arial" w:hAnsi="Arial"/>
          <w:sz w:val="15"/>
          <w:szCs w:val="15"/>
          <w:color w:val="auto"/>
        </w:rPr>
        <w:t>comparable layout of the substitute space will include, but not be limited to, at least 2 executive offices on the window line, a large conference room on the window line with at least 12-person seating capacity, and a formal reception area. Any such substitute space shall, from and after such relocation, be treated as the Subleased Premises demised under this Sublease, and shall be occupied by Subtenant under the same terms, provisions and conditions as are set forth in this Sublease.</w:t>
      </w:r>
    </w:p>
    <w:p>
      <w:pPr>
        <w:spacing w:after="0" w:line="144" w:lineRule="exact"/>
        <w:rPr>
          <w:sz w:val="20"/>
          <w:szCs w:val="20"/>
          <w:color w:val="auto"/>
        </w:rPr>
      </w:pPr>
    </w:p>
    <w:p>
      <w:pPr>
        <w:jc w:val="both"/>
        <w:ind w:left="1720" w:right="1239" w:firstLine="513"/>
        <w:spacing w:after="0"/>
        <w:tabs>
          <w:tab w:leader="none" w:pos="2588" w:val="left"/>
        </w:tabs>
        <w:numPr>
          <w:ilvl w:val="1"/>
          <w:numId w:val="585"/>
        </w:numPr>
        <w:rPr>
          <w:rFonts w:ascii="Times New Roman" w:cs="Times New Roman" w:eastAsia="Times New Roman" w:hAnsi="Times New Roman"/>
          <w:sz w:val="17"/>
          <w:szCs w:val="17"/>
          <w:color w:val="auto"/>
        </w:rPr>
      </w:pPr>
      <w:r>
        <w:rPr>
          <w:rFonts w:ascii="Arial" w:cs="Arial" w:eastAsia="Arial" w:hAnsi="Arial"/>
          <w:sz w:val="15"/>
          <w:szCs w:val="15"/>
          <w:color w:val="auto"/>
        </w:rPr>
        <w:t>In addition to the rights of Sublandlord under Section 20(a) above, if (i) Sublandlord or any affiliate of Sublandlord shall require the use of the Subleased Premises for its own operations, or (ii) Sublandlord intends to include the Subleased Premises in a larger sublease to a third party of at least three full floors and, in either case, Sublandlord does not have substitute space in the Building to make available to Subtenant pursuant to Section 20(a), then Sublandlord shall have the right to terminate this Sublease upon at least twelve (12) months prior written notice to Subtenant. If Sublandlord shall elect to terminate this Sublease under this Section 20(b), the Sublease Term shall terminate on the date set forth in such notice from Sublandlord as though such date were the original expiration date of this Sublease for all purposes. If Sublandlord shall elect to terminate this Sublease under this Section 20(b), Sublandlord shall pay to Subtenant an amount equal to the sum of (x) the unamortized value, as of the termination date of this Sublease, of the cost of the Subtenant’s Initial Work, as amortized over the Term of this Sublease on a straight line basis, and (y) the reasonable out of pocket costs to relocate Subtenant’s furniture, fixtures, equipment and other personal property from the Subleased Premise to a location selected by Subtenant within the Greater Boston area as defined by the Metropolitan Area Planning Council, which amount shall be paid by Sublandlord within thirty (30) days after receipt of an itemized written request from Subtenant with all required backup information, including paid invoices, provided that Subtenant is not then in default under this Sublease beyond applicable notice and cure periods.</w:t>
      </w:r>
    </w:p>
    <w:p>
      <w:pPr>
        <w:spacing w:after="0" w:line="238" w:lineRule="exact"/>
        <w:rPr>
          <w:rFonts w:ascii="Times New Roman" w:cs="Times New Roman" w:eastAsia="Times New Roman" w:hAnsi="Times New Roman"/>
          <w:sz w:val="17"/>
          <w:szCs w:val="17"/>
          <w:color w:val="auto"/>
        </w:rPr>
      </w:pPr>
    </w:p>
    <w:p>
      <w:pPr>
        <w:ind w:left="2080" w:hanging="351"/>
        <w:spacing w:after="0"/>
        <w:tabs>
          <w:tab w:leader="none" w:pos="2080" w:val="left"/>
        </w:tabs>
        <w:numPr>
          <w:ilvl w:val="0"/>
          <w:numId w:val="586"/>
        </w:numPr>
        <w:rPr>
          <w:rFonts w:ascii="Arial" w:cs="Arial" w:eastAsia="Arial" w:hAnsi="Arial"/>
          <w:sz w:val="15"/>
          <w:szCs w:val="15"/>
          <w:color w:val="auto"/>
        </w:rPr>
      </w:pPr>
      <w:r>
        <w:rPr>
          <w:rFonts w:ascii="Arial" w:cs="Arial" w:eastAsia="Arial" w:hAnsi="Arial"/>
          <w:sz w:val="15"/>
          <w:szCs w:val="15"/>
          <w:u w:val="single" w:color="auto"/>
          <w:color w:val="auto"/>
        </w:rPr>
        <w:t>Sublandlord Covenants and Representations</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jc w:val="both"/>
        <w:ind w:left="1720" w:right="1239" w:firstLine="513"/>
        <w:spacing w:after="0" w:line="236" w:lineRule="auto"/>
        <w:tabs>
          <w:tab w:leader="none" w:pos="2588" w:val="left"/>
        </w:tabs>
        <w:numPr>
          <w:ilvl w:val="1"/>
          <w:numId w:val="586"/>
        </w:numPr>
        <w:rPr>
          <w:rFonts w:ascii="Times New Roman" w:cs="Times New Roman" w:eastAsia="Times New Roman" w:hAnsi="Times New Roman"/>
          <w:sz w:val="17"/>
          <w:szCs w:val="17"/>
          <w:color w:val="auto"/>
        </w:rPr>
      </w:pPr>
      <w:r>
        <w:rPr>
          <w:rFonts w:ascii="Arial" w:cs="Arial" w:eastAsia="Arial" w:hAnsi="Arial"/>
          <w:sz w:val="15"/>
          <w:szCs w:val="15"/>
          <w:color w:val="auto"/>
        </w:rPr>
        <w:t>Sublandlord covenants and agrees that Sublandlord: (i) shall not voluntarily terminate the Master Lease except pursuant to a right of termination arising out of casualty or condemnation expressly set forth in the Master Lease and shall not amend the Master Lease in a manner adverse to Subtenant in any material respect; (ii) shall not take any action or fail to perform any act that results in a breach or default under the Master Lease to the extent any breach or default adversely affects the rights of Subtenant under this Sublease, including, without limitation, the right of Subtenant to receive all services, utilities, repairs and restorations to be provided by Master Landlord to Sublandlord under the Master Lease with respect to the Subleased Premises or the ability of Subtenant to seek or obtain the approval or consent of Master Landlord or the right of Subtenant to use and occupy the Subleased Premises for the purposes set forth in this Sublease. Sublandlord shall not be deemed to have made any representation made by Master Landlord in any of the incorporated provisions.</w:t>
      </w:r>
    </w:p>
    <w:p>
      <w:pPr>
        <w:spacing w:after="0" w:line="148" w:lineRule="exact"/>
        <w:rPr>
          <w:rFonts w:ascii="Times New Roman" w:cs="Times New Roman" w:eastAsia="Times New Roman" w:hAnsi="Times New Roman"/>
          <w:sz w:val="17"/>
          <w:szCs w:val="17"/>
          <w:color w:val="auto"/>
        </w:rPr>
      </w:pPr>
    </w:p>
    <w:p>
      <w:pPr>
        <w:jc w:val="both"/>
        <w:ind w:left="1720" w:right="1239" w:firstLine="513"/>
        <w:spacing w:after="0" w:line="238" w:lineRule="auto"/>
        <w:tabs>
          <w:tab w:leader="none" w:pos="2588" w:val="left"/>
        </w:tabs>
        <w:numPr>
          <w:ilvl w:val="1"/>
          <w:numId w:val="586"/>
        </w:numPr>
        <w:rPr>
          <w:rFonts w:ascii="Times New Roman" w:cs="Times New Roman" w:eastAsia="Times New Roman" w:hAnsi="Times New Roman"/>
          <w:sz w:val="17"/>
          <w:szCs w:val="17"/>
          <w:color w:val="auto"/>
        </w:rPr>
      </w:pPr>
      <w:r>
        <w:rPr>
          <w:rFonts w:ascii="Arial" w:cs="Arial" w:eastAsia="Arial" w:hAnsi="Arial"/>
          <w:sz w:val="15"/>
          <w:szCs w:val="15"/>
          <w:color w:val="auto"/>
        </w:rPr>
        <w:t>Sublandlord represents and warrants to Subtenant that, as of the Effective Date of this Sublease: (i) Sublandlord has not received any written notice of default under the Master Lease, except for any defaults that Sublandlord has cured, and to the actual knowledge, without any investigation, of Sublandlord, Sublandlord is not in default of any of Sublandlord’s obligations under the Master Lease; (ii) Sublandlord has not sent to Master Landlord any written notice stating that Master Landlord is in default of any of Master Landlord’s obligations under the Master Lease, and to the actual knowledge,</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51" w:name="page652"/>
    <w:bookmarkEnd w:id="651"/>
    <w:p>
      <w:pPr>
        <w:jc w:val="both"/>
        <w:ind w:left="1720" w:right="1239"/>
        <w:spacing w:after="0" w:line="242" w:lineRule="auto"/>
        <w:rPr>
          <w:sz w:val="20"/>
          <w:szCs w:val="20"/>
          <w:color w:val="auto"/>
        </w:rPr>
      </w:pPr>
      <w:r>
        <w:rPr>
          <w:rFonts w:ascii="Arial" w:cs="Arial" w:eastAsia="Arial" w:hAnsi="Arial"/>
          <w:sz w:val="15"/>
          <w:szCs w:val="15"/>
          <w:color w:val="auto"/>
        </w:rPr>
        <w:t>without any investigation, of Sublandlord, Master Landlord is not in default of any of Master Landlord’s obligations under the Master Lease; (iii) Sublandlord has not received any written notice that any work is required under the Master Lease or by applicable law to be done in the Subleased Premises; and (iv) Sublandlord has not received any written notice of violation of any laws, ordinances, codes, rules, regulations or requirements affecting the Subleased Premises.</w:t>
      </w:r>
    </w:p>
    <w:p>
      <w:pPr>
        <w:spacing w:after="0" w:line="134" w:lineRule="exact"/>
        <w:rPr>
          <w:sz w:val="20"/>
          <w:szCs w:val="20"/>
          <w:color w:val="auto"/>
        </w:rPr>
      </w:pPr>
    </w:p>
    <w:p>
      <w:pPr>
        <w:jc w:val="both"/>
        <w:ind w:left="1220" w:right="1239" w:firstLine="509"/>
        <w:spacing w:after="0"/>
        <w:tabs>
          <w:tab w:leader="none" w:pos="2130" w:val="left"/>
        </w:tabs>
        <w:numPr>
          <w:ilvl w:val="0"/>
          <w:numId w:val="587"/>
        </w:numPr>
        <w:rPr>
          <w:rFonts w:ascii="Arial" w:cs="Arial" w:eastAsia="Arial" w:hAnsi="Arial"/>
          <w:sz w:val="15"/>
          <w:szCs w:val="15"/>
          <w:color w:val="auto"/>
        </w:rPr>
      </w:pPr>
      <w:r>
        <w:rPr>
          <w:rFonts w:ascii="Arial" w:cs="Arial" w:eastAsia="Arial" w:hAnsi="Arial"/>
          <w:sz w:val="15"/>
          <w:szCs w:val="15"/>
          <w:u w:val="single" w:color="auto"/>
          <w:color w:val="auto"/>
        </w:rPr>
        <w:t>Furniture</w:t>
      </w:r>
      <w:r>
        <w:rPr>
          <w:rFonts w:ascii="Arial" w:cs="Arial" w:eastAsia="Arial" w:hAnsi="Arial"/>
          <w:sz w:val="15"/>
          <w:szCs w:val="15"/>
          <w:color w:val="auto"/>
        </w:rPr>
        <w:t xml:space="preserve">. Subtenant shall have, as appurtenant to the Subleased Premises, the use of the furniture located in the Subleased Premises as more fully shown on </w:t>
      </w:r>
      <w:r>
        <w:rPr>
          <w:rFonts w:ascii="Arial" w:cs="Arial" w:eastAsia="Arial" w:hAnsi="Arial"/>
          <w:sz w:val="15"/>
          <w:szCs w:val="15"/>
          <w:b w:val="1"/>
          <w:bCs w:val="1"/>
          <w:u w:val="single" w:color="auto"/>
          <w:color w:val="auto"/>
        </w:rPr>
        <w:t>Exhibit C</w:t>
      </w:r>
      <w:r>
        <w:rPr>
          <w:rFonts w:ascii="Arial" w:cs="Arial" w:eastAsia="Arial" w:hAnsi="Arial"/>
          <w:sz w:val="15"/>
          <w:szCs w:val="15"/>
          <w:color w:val="auto"/>
        </w:rPr>
        <w:t xml:space="preserve"> (collectively, the “</w:t>
      </w:r>
      <w:r>
        <w:rPr>
          <w:rFonts w:ascii="Arial" w:cs="Arial" w:eastAsia="Arial" w:hAnsi="Arial"/>
          <w:sz w:val="15"/>
          <w:szCs w:val="15"/>
          <w:b w:val="1"/>
          <w:bCs w:val="1"/>
          <w:color w:val="auto"/>
        </w:rPr>
        <w:t>Furniture</w:t>
      </w:r>
      <w:r>
        <w:rPr>
          <w:rFonts w:ascii="Arial" w:cs="Arial" w:eastAsia="Arial" w:hAnsi="Arial"/>
          <w:sz w:val="15"/>
          <w:szCs w:val="15"/>
          <w:color w:val="auto"/>
        </w:rPr>
        <w:t>”) during the Sublease Term. Within two (2) weeks after written notice from Subtenant, Sublandlord shall remove any of the Furniture identified by Subtenant for removal. Subtenant agrees to take all actions necessary or appropriate to ensure that the Furniture shall be and remain personal property, and nothing in this Sublease shall be constituted as conveying to Subtenant any interest in the Furniture other than its interest as a Subtenant. Subtenant shall, at its expense, protect and defend the interest of Sublandlord in the Furniture against all third party claims; keep the Furniture free and clear of any mortgage, security interest, pledge, lien, charge, claim, or other encumbrance and indemnify and defend Sublandlord against any claim, liability, loss, damage, or expense arising in connection with any of the foregoing. The Furniture shall be used by Subtenant only at the Subleased Premises and in the ordinary conduct of its business. Subtenant shall, at its expense, repair, maintain and replace the Furniture so that it will remain in the same condition as when delivered to Subtenant, ordinary wear and tear from proper use excepted. In addition, Subtenant hereby assumes all other risks and liabilities, including without limitation personal injury or death and property damage, arising with respect to the Furniture, howsoever arising, in connection with any event occurring prior to such Furniture’s return in accordance herewith. Subtenant hereby assumes liability for, and shall pay when due, and shall indemnify and defend Sublandlord against, all fees, taxes, and governmental charges (including without limitation interest and penalties) of any nature imposed upon or in any way relating to the Furniture. In addition, as Sublandlord is not the manufacturer or vendor of the Furniture, it makes no other representation or warranty, express or implied, as to any matter whatsoever, including without limitation the design or condition of the Furniture, its merchantability, durability, suitability or fitness for any particular purpose, the quality of the material or workmanship of the Furniture, or the conformity of the Furniture to the provisions or specifications of any purchase order relating thereto, and Sublandlord hereby disclaims any and all such representations and warranties. At the expiration or earlier termination of the Sublease Term, Subtenant shall surrender all Furniture to Sublandlord in the condition required hereunder.</w:t>
      </w:r>
    </w:p>
    <w:p>
      <w:pPr>
        <w:spacing w:after="0" w:line="216" w:lineRule="exact"/>
        <w:rPr>
          <w:rFonts w:ascii="Arial" w:cs="Arial" w:eastAsia="Arial" w:hAnsi="Arial"/>
          <w:sz w:val="15"/>
          <w:szCs w:val="15"/>
          <w:color w:val="auto"/>
        </w:rPr>
      </w:pPr>
    </w:p>
    <w:p>
      <w:pPr>
        <w:jc w:val="both"/>
        <w:ind w:left="1220" w:right="1239" w:firstLine="509"/>
        <w:spacing w:after="0" w:line="237" w:lineRule="auto"/>
        <w:tabs>
          <w:tab w:leader="none" w:pos="2130" w:val="left"/>
        </w:tabs>
        <w:numPr>
          <w:ilvl w:val="0"/>
          <w:numId w:val="587"/>
        </w:numPr>
        <w:rPr>
          <w:rFonts w:ascii="Arial" w:cs="Arial" w:eastAsia="Arial" w:hAnsi="Arial"/>
          <w:sz w:val="15"/>
          <w:szCs w:val="15"/>
          <w:color w:val="auto"/>
        </w:rPr>
      </w:pPr>
      <w:r>
        <w:rPr>
          <w:rFonts w:ascii="Arial" w:cs="Arial" w:eastAsia="Arial" w:hAnsi="Arial"/>
          <w:sz w:val="15"/>
          <w:szCs w:val="15"/>
          <w:u w:val="single" w:color="auto"/>
          <w:color w:val="auto"/>
        </w:rPr>
        <w:t>Parking</w:t>
      </w:r>
      <w:r>
        <w:rPr>
          <w:rFonts w:ascii="Arial" w:cs="Arial" w:eastAsia="Arial" w:hAnsi="Arial"/>
          <w:sz w:val="15"/>
          <w:szCs w:val="15"/>
          <w:color w:val="auto"/>
        </w:rPr>
        <w:t>. During the Sublease Term, Subtenant shall take and pay all applicable fees for the use of one (1) Garage Parking Pass in the Garage for the Building, subject to the applicable terms of Article 30 of the Master Lease at the then current monthly rate from time to time for the duration of the Sublease Term, including any extension thereof. In addition, Sublandlord has the right to certain Offsite Parking Passes pursuant to Article 30 of the Master Lease and that certain Agreement (Channel Center Garage), dated July 24, 2020, between Sublandlord and One Channel Center TRS, L.L.C (the “</w:t>
      </w:r>
      <w:r>
        <w:rPr>
          <w:rFonts w:ascii="Arial" w:cs="Arial" w:eastAsia="Arial" w:hAnsi="Arial"/>
          <w:sz w:val="15"/>
          <w:szCs w:val="15"/>
          <w:b w:val="1"/>
          <w:bCs w:val="1"/>
          <w:color w:val="auto"/>
        </w:rPr>
        <w:t>Channel Center Agreement</w:t>
      </w:r>
      <w:r>
        <w:rPr>
          <w:rFonts w:ascii="Arial" w:cs="Arial" w:eastAsia="Arial" w:hAnsi="Arial"/>
          <w:sz w:val="15"/>
          <w:szCs w:val="15"/>
          <w:color w:val="auto"/>
        </w:rPr>
        <w:t xml:space="preserve">”), a copy of which is attached hereto as </w:t>
      </w:r>
      <w:r>
        <w:rPr>
          <w:rFonts w:ascii="Arial" w:cs="Arial" w:eastAsia="Arial" w:hAnsi="Arial"/>
          <w:sz w:val="15"/>
          <w:szCs w:val="15"/>
          <w:b w:val="1"/>
          <w:bCs w:val="1"/>
          <w:u w:val="single" w:color="auto"/>
          <w:color w:val="auto"/>
        </w:rPr>
        <w:t>Exhibit D</w:t>
      </w:r>
      <w:r>
        <w:rPr>
          <w:rFonts w:ascii="Arial" w:cs="Arial" w:eastAsia="Arial" w:hAnsi="Arial"/>
          <w:sz w:val="15"/>
          <w:szCs w:val="15"/>
          <w:color w:val="auto"/>
        </w:rPr>
        <w:t>. During the Sublease Term, Subtenant shall have the right, but not the obligation, to take and use up to nine (9) Offsite Parking Passes, subject to Subtenant’s compliance with the applicable provisions of the Master Lease and the Channel Center Agreement, at the then current monthly rate from time to time for the Offsite Parking Passes for duration of the Sublease Term, including any extension thereof.</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52" w:name="page653"/>
    <w:bookmarkEnd w:id="652"/>
    <w:p>
      <w:pPr>
        <w:ind w:left="2080" w:hanging="351"/>
        <w:spacing w:after="0"/>
        <w:tabs>
          <w:tab w:leader="none" w:pos="2080" w:val="left"/>
        </w:tabs>
        <w:numPr>
          <w:ilvl w:val="0"/>
          <w:numId w:val="588"/>
        </w:numPr>
        <w:rPr>
          <w:rFonts w:ascii="Arial" w:cs="Arial" w:eastAsia="Arial" w:hAnsi="Arial"/>
          <w:sz w:val="15"/>
          <w:szCs w:val="15"/>
          <w:color w:val="auto"/>
        </w:rPr>
      </w:pPr>
      <w:r>
        <w:rPr>
          <w:rFonts w:ascii="Arial" w:cs="Arial" w:eastAsia="Arial" w:hAnsi="Arial"/>
          <w:sz w:val="15"/>
          <w:szCs w:val="15"/>
          <w:u w:val="single" w:color="auto"/>
          <w:color w:val="auto"/>
        </w:rPr>
        <w:t>Option to Extend</w:t>
      </w:r>
      <w:r>
        <w:rPr>
          <w:rFonts w:ascii="Arial" w:cs="Arial" w:eastAsia="Arial" w:hAnsi="Arial"/>
          <w:sz w:val="15"/>
          <w:szCs w:val="15"/>
          <w:color w:val="auto"/>
        </w:rPr>
        <w:t>.</w:t>
      </w:r>
    </w:p>
    <w:p>
      <w:pPr>
        <w:spacing w:after="0" w:line="174" w:lineRule="exact"/>
        <w:rPr>
          <w:rFonts w:ascii="Arial" w:cs="Arial" w:eastAsia="Arial" w:hAnsi="Arial"/>
          <w:sz w:val="15"/>
          <w:szCs w:val="15"/>
          <w:color w:val="auto"/>
        </w:rPr>
      </w:pPr>
    </w:p>
    <w:p>
      <w:pPr>
        <w:jc w:val="both"/>
        <w:ind w:left="1720" w:right="1239" w:firstLine="513"/>
        <w:spacing w:after="0"/>
        <w:tabs>
          <w:tab w:leader="none" w:pos="2588" w:val="left"/>
        </w:tabs>
        <w:numPr>
          <w:ilvl w:val="1"/>
          <w:numId w:val="588"/>
        </w:numPr>
        <w:rPr>
          <w:rFonts w:ascii="Times New Roman" w:cs="Times New Roman" w:eastAsia="Times New Roman" w:hAnsi="Times New Roman"/>
          <w:sz w:val="17"/>
          <w:szCs w:val="17"/>
          <w:color w:val="auto"/>
        </w:rPr>
      </w:pPr>
      <w:r>
        <w:rPr>
          <w:rFonts w:ascii="Arial" w:cs="Arial" w:eastAsia="Arial" w:hAnsi="Arial"/>
          <w:sz w:val="15"/>
          <w:szCs w:val="15"/>
          <w:color w:val="auto"/>
        </w:rPr>
        <w:t>Provided that, at the time of such exercise, (i) this Sublease is in full force and effect, and (ii) no Default of Subtenant shall have occurred and be continuing (either at the time of exercise or at the commencement of the Extended Sublease Term), and (iii) the originally-named Subtenant or any permitted transferee allowed without the consent of Master Landlord or Sublandlord, shall be in occupancy of the Subleased Premises for the conduct of its business and shall not have otherwise assigned this Sublease or sublet the Subleased Premises (any of which conditions described in clauses (i), (ii), and (iii) may be waived by Sublandlord at any time in Sublandlord’s sole discretion), Subtenant shall have the right and option to extend the Sublease Term for one (1) extended term (each an “</w:t>
      </w:r>
      <w:r>
        <w:rPr>
          <w:rFonts w:ascii="Arial" w:cs="Arial" w:eastAsia="Arial" w:hAnsi="Arial"/>
          <w:sz w:val="15"/>
          <w:szCs w:val="15"/>
          <w:b w:val="1"/>
          <w:bCs w:val="1"/>
          <w:color w:val="auto"/>
        </w:rPr>
        <w:t>Extended Sublease Term</w:t>
      </w:r>
      <w:r>
        <w:rPr>
          <w:rFonts w:ascii="Arial" w:cs="Arial" w:eastAsia="Arial" w:hAnsi="Arial"/>
          <w:sz w:val="15"/>
          <w:szCs w:val="15"/>
          <w:color w:val="auto"/>
        </w:rPr>
        <w:t>”) of three (3) years by giving written notice to Sublandlord not later than nine (9) months and not sooner than twelve (12) months prior to the expiration date of the Sublease Term. The effective giving of such notice of extension by Subtenant shall automatically extend the Sublease Term for the Extended Sublease Term, and no instrument of renewal or extension need be executed. In the event that Subtenant fails timely to give such notice to Sublandlord, this Sublease shall automatically terminate at the end of the Sublease Term and Subtenant shall have no further option to extend the Sublease Term. The Extended Sublease Term shall commence on the day immediately succeeding the expiration date of the Sublease Term and shall end on the day immediately preceding the third (3</w:t>
      </w:r>
      <w:r>
        <w:rPr>
          <w:rFonts w:ascii="Arial" w:cs="Arial" w:eastAsia="Arial" w:hAnsi="Arial"/>
          <w:sz w:val="10"/>
          <w:szCs w:val="10"/>
          <w:color w:val="auto"/>
        </w:rPr>
        <w:t>rd</w:t>
      </w:r>
      <w:r>
        <w:rPr>
          <w:rFonts w:ascii="Arial" w:cs="Arial" w:eastAsia="Arial" w:hAnsi="Arial"/>
          <w:sz w:val="15"/>
          <w:szCs w:val="15"/>
          <w:color w:val="auto"/>
        </w:rPr>
        <w:t>) anniversary of the first day of the Extended Sublease Term. The Extended Sublease Term shall be on all the terms and conditions of this Sublease, except: (x) during the Extended Sublease Term, Subtenant shall have no further option to extend the Sublease Term, (y) the Base Rent for the Extended Sublease Term shall be the Fair Market Rental Value of the Subleased Premises as of the commencement of the Extended Sublease Term, taking into account all relevant factors, determined pursuant to Section 24(b) below, and (z) Sublandlord shall not be required to furnish any materials or perform any work to prepare the Subleased Premises for Subtenant’s occupancy during the Extended Sublease Term and Sublandlord shall not be required to provide any work allowance or reimburse Subtenant for any alterations made or to be made by Subtenant, or to grant Subtenant any rent concession.</w:t>
      </w:r>
    </w:p>
    <w:p>
      <w:pPr>
        <w:spacing w:after="0" w:line="210" w:lineRule="exact"/>
        <w:rPr>
          <w:rFonts w:ascii="Times New Roman" w:cs="Times New Roman" w:eastAsia="Times New Roman" w:hAnsi="Times New Roman"/>
          <w:sz w:val="17"/>
          <w:szCs w:val="17"/>
          <w:color w:val="auto"/>
        </w:rPr>
      </w:pPr>
    </w:p>
    <w:p>
      <w:pPr>
        <w:jc w:val="both"/>
        <w:ind w:left="1720" w:right="1239" w:firstLine="513"/>
        <w:spacing w:after="0"/>
        <w:tabs>
          <w:tab w:leader="none" w:pos="2588" w:val="left"/>
        </w:tabs>
        <w:numPr>
          <w:ilvl w:val="1"/>
          <w:numId w:val="588"/>
        </w:numPr>
        <w:rPr>
          <w:rFonts w:ascii="Times New Roman" w:cs="Times New Roman" w:eastAsia="Times New Roman" w:hAnsi="Times New Roman"/>
          <w:sz w:val="17"/>
          <w:szCs w:val="17"/>
          <w:color w:val="auto"/>
        </w:rPr>
      </w:pPr>
      <w:r>
        <w:rPr>
          <w:rFonts w:ascii="Arial" w:cs="Arial" w:eastAsia="Arial" w:hAnsi="Arial"/>
          <w:sz w:val="15"/>
          <w:szCs w:val="15"/>
          <w:color w:val="auto"/>
        </w:rPr>
        <w:t>Promptly after receiving Subtenant’s notice extending the Sublease Term of this Sublease pursuant to Section 24(a) above, Sublandlord shall provide Subtenant with Sublandlord’s good faith estimate of the Fair Market Rental Value (as defined in Section 24(c) below) of the Subleased Premises for the upcoming Extended Sublease Term, within thirty (30) days of Sublandlord’s receipt of Subtenant’s Extension Notice. If Subtenant is unwilling to accept Sublandlord’s estimate of the Fair Market Rental Value as set forth in Sublandlord’s notice referred to above, and the parties are unable to reach agreement thereon within thirty (30) days after Sublandlord’s delivery of the Fair Market Rental Value of the Subleased Premises to Subtenant, then either party may submit the determination of the Fair Market Rental Value of the Subleased Premises to arbitration by giving notice to the other party naming the initiating party’s arbitrator within ten (10) days after the expiration of such thirty (30)-day period. Within fifteen (15) days after receiving a notice of initiation of arbitration, the responding party shall appoint its own arbitrator by notifying the initiating party of the responding party’s arbitrator. If the second arbitrator shall not have been so appointed within such fifteen (15) day period, the Fair Market Rental Value of the Subleased Premises shall be determined by the initiating party’s arbitrator. If the second arbitrator shall have been so appointed, the two arbitrators thus appointed shall, within fifteen (15) days after the responding party’s notice of appointment of the second arbitrator, appoint a third arbitrator. If the two initial arbitrators are unable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53" w:name="page654"/>
    <w:bookmarkEnd w:id="653"/>
    <w:p>
      <w:pPr>
        <w:jc w:val="both"/>
        <w:ind w:left="1720" w:right="1239"/>
        <w:spacing w:after="0" w:line="235" w:lineRule="auto"/>
        <w:rPr>
          <w:sz w:val="20"/>
          <w:szCs w:val="20"/>
          <w:color w:val="auto"/>
        </w:rPr>
      </w:pPr>
      <w:r>
        <w:rPr>
          <w:rFonts w:ascii="Arial" w:cs="Arial" w:eastAsia="Arial" w:hAnsi="Arial"/>
          <w:sz w:val="15"/>
          <w:szCs w:val="15"/>
          <w:color w:val="auto"/>
        </w:rPr>
        <w:t>timely to agree on the third arbitrator, then either may, on behalf of both, request such appointment by the Boston office of American Arbitration Association, or its successor, or, on its failure, refusal or inability to act, by a court of competent jurisdiction. The Fair Market Rental Value of the Subleased Premises for the Extended Sublease Term shall be determined by the method commonly known as Baseball Arbitration, whereby Sublandlord’s selected arbitrator and subtenants selected arbitrator shall each set forth its respective determination of the Fair Market Rental Value of the Subleased Premises, and the third arbitrator must select one or the other (it being understood that the third arbitrator shall be expressly prohibited from selecting a compromise figure). Sublandlord’s selected arbitrator and Subtenant’s selected arbitrator shall deliver their determinations of the Fair Market Rental Value of the Subleased Premises to the third arbitrator within five (5) business days of the appointment of the third arbitrator and the third arbitrator shall render his or her decision within five (5) business days after receipt of both of the other two determinations of the Fair Market Rental Value of the Subleased Premises. The third arbitrator’s decision shall be binding on both Sublandlord and Subtenant. The third arbitrator shall be a commercial real estate broker who is independent from the parties and who has not worked for either party or their affiliates in the prior five (5) years and who has at least ten (10) years’ experience in comparable buildings in South Boston, Fort Point, and Seaport of Boston. Each party shall pay the fees of its own arbitrator, and the fees of the third arbitrator shall be shared equally by the parties. In the event Subtenant initiates the aforesaid arbitration process and as of the commencement of the Extended Sublease Term the amount of the Base Rent for the Extended Sublease Term has not been determined, Subtenant shall pay the amount determined by Sublandlord for the Subleased Premises and when the determination has actually been made, an appropriate retroactive adjustment shall be made as of the commencement of the Extended Sublease Term if necessary. In the event that such determination shall result in an overpayment by Subtenant of any Base Rent, such overpayment shall be paid by Sublandlord to Subtenant within ten (10) days after such determination has been made, and if such determination shall result in an underpayment by Subtenant of any Base Rent, Subtenant shall pay any such amounts to Sublandlord with the next Base Rent payment coming due following such determination.</w:t>
      </w:r>
    </w:p>
    <w:p>
      <w:pPr>
        <w:spacing w:after="0" w:line="155" w:lineRule="exact"/>
        <w:rPr>
          <w:sz w:val="20"/>
          <w:szCs w:val="20"/>
          <w:color w:val="auto"/>
        </w:rPr>
      </w:pPr>
    </w:p>
    <w:p>
      <w:pPr>
        <w:jc w:val="both"/>
        <w:ind w:left="1720" w:right="1239" w:firstLine="513"/>
        <w:spacing w:after="0" w:line="235" w:lineRule="auto"/>
        <w:tabs>
          <w:tab w:leader="none" w:pos="2588" w:val="left"/>
        </w:tabs>
        <w:numPr>
          <w:ilvl w:val="1"/>
          <w:numId w:val="589"/>
        </w:numPr>
        <w:rPr>
          <w:rFonts w:ascii="Times New Roman" w:cs="Times New Roman" w:eastAsia="Times New Roman" w:hAnsi="Times New Roman"/>
          <w:sz w:val="17"/>
          <w:szCs w:val="17"/>
          <w:color w:val="auto"/>
        </w:rPr>
      </w:pPr>
      <w:r>
        <w:rPr>
          <w:rFonts w:ascii="Arial" w:cs="Arial" w:eastAsia="Arial" w:hAnsi="Arial"/>
          <w:sz w:val="15"/>
          <w:szCs w:val="15"/>
          <w:color w:val="auto"/>
        </w:rPr>
        <w:t xml:space="preserve">For purposes of this Section 24, the determination of </w:t>
      </w:r>
      <w:r>
        <w:rPr>
          <w:rFonts w:ascii="Arial" w:cs="Arial" w:eastAsia="Arial" w:hAnsi="Arial"/>
          <w:sz w:val="15"/>
          <w:szCs w:val="15"/>
          <w:b w:val="1"/>
          <w:bCs w:val="1"/>
          <w:color w:val="auto"/>
        </w:rPr>
        <w:t>“Fair Market Rental</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Value’’ </w:t>
      </w:r>
      <w:r>
        <w:rPr>
          <w:rFonts w:ascii="Arial" w:cs="Arial" w:eastAsia="Arial" w:hAnsi="Arial"/>
          <w:sz w:val="15"/>
          <w:szCs w:val="15"/>
          <w:color w:val="auto"/>
        </w:rPr>
        <w:t>shall mean the then fair market rental value of the Subleased Premises taking</w:t>
      </w:r>
      <w:r>
        <w:rPr>
          <w:rFonts w:ascii="Arial" w:cs="Arial" w:eastAsia="Arial" w:hAnsi="Arial"/>
          <w:sz w:val="15"/>
          <w:szCs w:val="15"/>
          <w:b w:val="1"/>
          <w:bCs w:val="1"/>
          <w:color w:val="auto"/>
        </w:rPr>
        <w:t xml:space="preserve"> </w:t>
      </w:r>
      <w:r>
        <w:rPr>
          <w:rFonts w:ascii="Arial" w:cs="Arial" w:eastAsia="Arial" w:hAnsi="Arial"/>
          <w:sz w:val="15"/>
          <w:szCs w:val="15"/>
          <w:color w:val="auto"/>
        </w:rPr>
        <w:t>into account all then relevant factors, whether favorable to Sublandlord or Subtenant, and based upon rental rates agreed to in comparable transactions executed within six</w:t>
      </w:r>
    </w:p>
    <w:p>
      <w:pPr>
        <w:spacing w:after="0" w:line="1" w:lineRule="exact"/>
        <w:rPr>
          <w:rFonts w:ascii="Times New Roman" w:cs="Times New Roman" w:eastAsia="Times New Roman" w:hAnsi="Times New Roman"/>
          <w:sz w:val="17"/>
          <w:szCs w:val="17"/>
          <w:color w:val="auto"/>
        </w:rPr>
      </w:pPr>
    </w:p>
    <w:p>
      <w:pPr>
        <w:jc w:val="both"/>
        <w:ind w:left="1720" w:right="1239" w:firstLine="9"/>
        <w:spacing w:after="0" w:line="239" w:lineRule="auto"/>
        <w:tabs>
          <w:tab w:leader="none" w:pos="1956" w:val="left"/>
        </w:tabs>
        <w:numPr>
          <w:ilvl w:val="0"/>
          <w:numId w:val="590"/>
        </w:numPr>
        <w:rPr>
          <w:rFonts w:ascii="Arial" w:cs="Arial" w:eastAsia="Arial" w:hAnsi="Arial"/>
          <w:sz w:val="15"/>
          <w:szCs w:val="15"/>
          <w:color w:val="auto"/>
        </w:rPr>
      </w:pPr>
      <w:r>
        <w:rPr>
          <w:rFonts w:ascii="Arial" w:cs="Arial" w:eastAsia="Arial" w:hAnsi="Arial"/>
          <w:sz w:val="15"/>
          <w:szCs w:val="15"/>
          <w:color w:val="auto"/>
        </w:rPr>
        <w:t>months prior to such determination with new subtenants for comparable space in the South Boston, Fort Point, and Boston Seaport (in terms of condition, services, amenities, and floor location) of a comparable size, for a comparable use, for a term equal to the Extended Sublease Term and commencing as of the first day of the Extended Sublease Term and taking into account all other relevant factors.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[The remainder of this page is intentionally left blank.]</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54" w:name="page655"/>
    <w:bookmarkEnd w:id="654"/>
    <w:p>
      <w:pPr>
        <w:ind w:left="1220" w:right="1419" w:firstLine="505"/>
        <w:spacing w:after="0" w:line="274" w:lineRule="auto"/>
        <w:rPr>
          <w:sz w:val="20"/>
          <w:szCs w:val="20"/>
          <w:color w:val="auto"/>
        </w:rPr>
      </w:pPr>
      <w:r>
        <w:rPr>
          <w:rFonts w:ascii="Arial" w:cs="Arial" w:eastAsia="Arial" w:hAnsi="Arial"/>
          <w:sz w:val="15"/>
          <w:szCs w:val="15"/>
          <w:color w:val="auto"/>
        </w:rPr>
        <w:t>IN WITNESS WHEREOF, Sublandlord and Subtenant execute this Sublease as of the date first written above.</w:t>
      </w:r>
    </w:p>
    <w:p>
      <w:pPr>
        <w:spacing w:after="0" w:line="127"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1020" w:type="dxa"/>
            <w:vAlign w:val="bottom"/>
          </w:tcPr>
          <w:p>
            <w:pPr>
              <w:spacing w:after="0"/>
              <w:rPr>
                <w:sz w:val="14"/>
                <w:szCs w:val="14"/>
                <w:color w:val="auto"/>
              </w:rPr>
            </w:pPr>
          </w:p>
        </w:tc>
        <w:tc>
          <w:tcPr>
            <w:tcW w:w="2900" w:type="dxa"/>
            <w:vAlign w:val="bottom"/>
          </w:tcPr>
          <w:p>
            <w:pPr>
              <w:spacing w:after="0"/>
              <w:rPr>
                <w:sz w:val="20"/>
                <w:szCs w:val="20"/>
                <w:color w:val="auto"/>
              </w:rPr>
            </w:pPr>
            <w:r>
              <w:rPr>
                <w:rFonts w:ascii="Arial" w:cs="Arial" w:eastAsia="Arial" w:hAnsi="Arial"/>
                <w:sz w:val="15"/>
                <w:szCs w:val="15"/>
                <w:b w:val="1"/>
                <w:bCs w:val="1"/>
                <w:color w:val="auto"/>
              </w:rPr>
              <w:t>SUBLANDLORD</w:t>
            </w:r>
          </w:p>
        </w:tc>
        <w:tc>
          <w:tcPr>
            <w:tcW w:w="4680" w:type="dxa"/>
            <w:vAlign w:val="bottom"/>
            <w:gridSpan w:val="3"/>
          </w:tcPr>
          <w:p>
            <w:pPr>
              <w:ind w:left="780"/>
              <w:spacing w:after="0"/>
              <w:rPr>
                <w:sz w:val="20"/>
                <w:szCs w:val="20"/>
                <w:color w:val="auto"/>
              </w:rPr>
            </w:pPr>
            <w:r>
              <w:rPr>
                <w:rFonts w:ascii="Arial" w:cs="Arial" w:eastAsia="Arial" w:hAnsi="Arial"/>
                <w:sz w:val="15"/>
                <w:szCs w:val="15"/>
                <w:b w:val="1"/>
                <w:bCs w:val="1"/>
                <w:color w:val="auto"/>
              </w:rPr>
              <w:t>SUBTENANT</w:t>
            </w:r>
          </w:p>
        </w:tc>
      </w:tr>
      <w:tr>
        <w:trPr>
          <w:trHeight w:val="168"/>
        </w:trPr>
        <w:tc>
          <w:tcPr>
            <w:tcW w:w="1020" w:type="dxa"/>
            <w:vAlign w:val="bottom"/>
          </w:tcPr>
          <w:p>
            <w:pPr>
              <w:spacing w:after="0"/>
              <w:rPr>
                <w:sz w:val="14"/>
                <w:szCs w:val="14"/>
                <w:color w:val="auto"/>
              </w:rPr>
            </w:pPr>
          </w:p>
        </w:tc>
        <w:tc>
          <w:tcPr>
            <w:tcW w:w="2900" w:type="dxa"/>
            <w:vAlign w:val="bottom"/>
          </w:tcPr>
          <w:p>
            <w:pPr>
              <w:spacing w:after="0" w:line="169" w:lineRule="exact"/>
              <w:rPr>
                <w:sz w:val="20"/>
                <w:szCs w:val="20"/>
                <w:color w:val="auto"/>
              </w:rPr>
            </w:pPr>
            <w:r>
              <w:rPr>
                <w:rFonts w:ascii="Arial" w:cs="Arial" w:eastAsia="Arial" w:hAnsi="Arial"/>
                <w:sz w:val="15"/>
                <w:szCs w:val="15"/>
                <w:color w:val="auto"/>
              </w:rPr>
              <w:t>CRISPR THERAPEUTICS, INC.</w:t>
            </w:r>
          </w:p>
        </w:tc>
        <w:tc>
          <w:tcPr>
            <w:tcW w:w="4680" w:type="dxa"/>
            <w:vAlign w:val="bottom"/>
            <w:gridSpan w:val="3"/>
          </w:tcPr>
          <w:p>
            <w:pPr>
              <w:ind w:left="780"/>
              <w:spacing w:after="0" w:line="169" w:lineRule="exact"/>
              <w:rPr>
                <w:sz w:val="20"/>
                <w:szCs w:val="20"/>
                <w:color w:val="auto"/>
              </w:rPr>
            </w:pPr>
            <w:r>
              <w:rPr>
                <w:rFonts w:ascii="Arial" w:cs="Arial" w:eastAsia="Arial" w:hAnsi="Arial"/>
                <w:sz w:val="15"/>
                <w:szCs w:val="15"/>
                <w:color w:val="auto"/>
              </w:rPr>
              <w:t>AVALYN PHARMA INC.</w:t>
            </w:r>
          </w:p>
        </w:tc>
      </w:tr>
      <w:tr>
        <w:trPr>
          <w:trHeight w:val="201"/>
        </w:trPr>
        <w:tc>
          <w:tcPr>
            <w:tcW w:w="10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a Delaware corporation</w:t>
            </w:r>
          </w:p>
        </w:tc>
        <w:tc>
          <w:tcPr>
            <w:tcW w:w="4680" w:type="dxa"/>
            <w:vAlign w:val="bottom"/>
            <w:gridSpan w:val="3"/>
          </w:tcPr>
          <w:p>
            <w:pPr>
              <w:ind w:left="780"/>
              <w:spacing w:after="0"/>
              <w:rPr>
                <w:sz w:val="20"/>
                <w:szCs w:val="20"/>
                <w:color w:val="auto"/>
              </w:rPr>
            </w:pPr>
            <w:r>
              <w:rPr>
                <w:rFonts w:ascii="Arial" w:cs="Arial" w:eastAsia="Arial" w:hAnsi="Arial"/>
                <w:sz w:val="15"/>
                <w:szCs w:val="15"/>
                <w:color w:val="auto"/>
              </w:rPr>
              <w:t>a Delaware corporation</w:t>
            </w:r>
          </w:p>
        </w:tc>
      </w:tr>
      <w:tr>
        <w:trPr>
          <w:trHeight w:val="341"/>
        </w:trPr>
        <w:tc>
          <w:tcPr>
            <w:tcW w:w="1020" w:type="dxa"/>
            <w:vAlign w:val="bottom"/>
          </w:tcPr>
          <w:p>
            <w:pPr>
              <w:spacing w:after="0"/>
              <w:rPr>
                <w:sz w:val="24"/>
                <w:szCs w:val="24"/>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By: /s/ AJ Silver</w:t>
            </w:r>
          </w:p>
        </w:tc>
        <w:tc>
          <w:tcPr>
            <w:tcW w:w="4680" w:type="dxa"/>
            <w:vAlign w:val="bottom"/>
            <w:gridSpan w:val="3"/>
          </w:tcPr>
          <w:p>
            <w:pPr>
              <w:ind w:left="780"/>
              <w:spacing w:after="0"/>
              <w:rPr>
                <w:sz w:val="20"/>
                <w:szCs w:val="20"/>
                <w:color w:val="auto"/>
              </w:rPr>
            </w:pPr>
            <w:r>
              <w:rPr>
                <w:rFonts w:ascii="Arial" w:cs="Arial" w:eastAsia="Arial" w:hAnsi="Arial"/>
                <w:sz w:val="15"/>
                <w:szCs w:val="15"/>
                <w:color w:val="auto"/>
              </w:rPr>
              <w:t xml:space="preserve">By: /s/ </w:t>
            </w:r>
            <w:r>
              <w:rPr>
                <w:rFonts w:ascii="Arial" w:cs="Arial" w:eastAsia="Arial" w:hAnsi="Arial"/>
                <w:sz w:val="15"/>
                <w:szCs w:val="15"/>
                <w:color w:val="050505"/>
              </w:rPr>
              <w:t>Lyn Baranowski</w:t>
            </w:r>
          </w:p>
        </w:tc>
      </w:tr>
      <w:tr>
        <w:trPr>
          <w:trHeight w:val="142"/>
        </w:trPr>
        <w:tc>
          <w:tcPr>
            <w:tcW w:w="1020" w:type="dxa"/>
            <w:vAlign w:val="bottom"/>
          </w:tcPr>
          <w:p>
            <w:pPr>
              <w:spacing w:after="0"/>
              <w:rPr>
                <w:sz w:val="12"/>
                <w:szCs w:val="12"/>
                <w:color w:val="auto"/>
              </w:rPr>
            </w:pPr>
          </w:p>
        </w:tc>
        <w:tc>
          <w:tcPr>
            <w:tcW w:w="290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Name: AJ Silver</w:t>
            </w:r>
          </w:p>
        </w:tc>
        <w:tc>
          <w:tcPr>
            <w:tcW w:w="780" w:type="dxa"/>
            <w:vAlign w:val="bottom"/>
          </w:tcPr>
          <w:p>
            <w:pPr>
              <w:spacing w:after="0"/>
              <w:rPr>
                <w:sz w:val="12"/>
                <w:szCs w:val="12"/>
                <w:color w:val="auto"/>
              </w:rPr>
            </w:pPr>
          </w:p>
        </w:tc>
        <w:tc>
          <w:tcPr>
            <w:tcW w:w="2880" w:type="dxa"/>
            <w:vAlign w:val="bottom"/>
            <w:tcBorders>
              <w:top w:val="single" w:sz="8" w:color="auto"/>
            </w:tcBorders>
          </w:tcPr>
          <w:p>
            <w:pPr>
              <w:spacing w:after="0" w:line="142" w:lineRule="exact"/>
              <w:rPr>
                <w:sz w:val="20"/>
                <w:szCs w:val="20"/>
                <w:color w:val="auto"/>
              </w:rPr>
            </w:pPr>
            <w:r>
              <w:rPr>
                <w:rFonts w:ascii="Arial" w:cs="Arial" w:eastAsia="Arial" w:hAnsi="Arial"/>
                <w:sz w:val="15"/>
                <w:szCs w:val="15"/>
                <w:color w:val="auto"/>
              </w:rPr>
              <w:t>Name:</w:t>
            </w:r>
            <w:r>
              <w:rPr>
                <w:rFonts w:ascii="Arial" w:cs="Arial" w:eastAsia="Arial" w:hAnsi="Arial"/>
                <w:sz w:val="15"/>
                <w:szCs w:val="15"/>
                <w:color w:val="050505"/>
              </w:rPr>
              <w:t>Lyn Baranowski</w:t>
            </w:r>
          </w:p>
        </w:tc>
        <w:tc>
          <w:tcPr>
            <w:tcW w:w="1020" w:type="dxa"/>
            <w:vAlign w:val="bottom"/>
          </w:tcPr>
          <w:p>
            <w:pPr>
              <w:spacing w:after="0"/>
              <w:rPr>
                <w:sz w:val="12"/>
                <w:szCs w:val="12"/>
                <w:color w:val="auto"/>
              </w:rPr>
            </w:pPr>
          </w:p>
        </w:tc>
      </w:tr>
      <w:tr>
        <w:trPr>
          <w:trHeight w:val="201"/>
        </w:trPr>
        <w:tc>
          <w:tcPr>
            <w:tcW w:w="1020" w:type="dxa"/>
            <w:vAlign w:val="bottom"/>
          </w:tcPr>
          <w:p>
            <w:pPr>
              <w:spacing w:after="0"/>
              <w:rPr>
                <w:sz w:val="17"/>
                <w:szCs w:val="17"/>
                <w:color w:val="auto"/>
              </w:rPr>
            </w:pPr>
          </w:p>
        </w:tc>
        <w:tc>
          <w:tcPr>
            <w:tcW w:w="2900" w:type="dxa"/>
            <w:vAlign w:val="bottom"/>
          </w:tcPr>
          <w:p>
            <w:pPr>
              <w:spacing w:after="0"/>
              <w:rPr>
                <w:sz w:val="20"/>
                <w:szCs w:val="20"/>
                <w:color w:val="auto"/>
              </w:rPr>
            </w:pPr>
            <w:r>
              <w:rPr>
                <w:rFonts w:ascii="Arial" w:cs="Arial" w:eastAsia="Arial" w:hAnsi="Arial"/>
                <w:sz w:val="15"/>
                <w:szCs w:val="15"/>
                <w:color w:val="auto"/>
              </w:rPr>
              <w:t>Title:SVP Finance</w:t>
            </w:r>
          </w:p>
        </w:tc>
        <w:tc>
          <w:tcPr>
            <w:tcW w:w="4680" w:type="dxa"/>
            <w:vAlign w:val="bottom"/>
            <w:gridSpan w:val="3"/>
          </w:tcPr>
          <w:p>
            <w:pPr>
              <w:ind w:left="780"/>
              <w:spacing w:after="0"/>
              <w:rPr>
                <w:sz w:val="20"/>
                <w:szCs w:val="20"/>
                <w:color w:val="auto"/>
              </w:rPr>
            </w:pPr>
            <w:r>
              <w:rPr>
                <w:rFonts w:ascii="Arial" w:cs="Arial" w:eastAsia="Arial" w:hAnsi="Arial"/>
                <w:sz w:val="15"/>
                <w:szCs w:val="15"/>
                <w:color w:val="auto"/>
              </w:rPr>
              <w:t>Title:</w:t>
            </w:r>
            <w:r>
              <w:rPr>
                <w:rFonts w:ascii="Arial" w:cs="Arial" w:eastAsia="Arial" w:hAnsi="Arial"/>
                <w:sz w:val="15"/>
                <w:szCs w:val="15"/>
                <w:color w:val="050505"/>
              </w:rPr>
              <w:t>CEO</w:t>
            </w:r>
          </w:p>
        </w:tc>
      </w:tr>
      <w:tr>
        <w:trPr>
          <w:trHeight w:val="1278"/>
        </w:trPr>
        <w:tc>
          <w:tcPr>
            <w:tcW w:w="102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88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655" w:name="page656"/>
    <w:bookmarkEnd w:id="655"/>
    <w:p>
      <w:pPr>
        <w:jc w:val="center"/>
        <w:ind w:right="59"/>
        <w:spacing w:after="0"/>
        <w:rPr>
          <w:sz w:val="20"/>
          <w:szCs w:val="20"/>
          <w:color w:val="auto"/>
        </w:rPr>
      </w:pPr>
      <w:r>
        <w:rPr>
          <w:rFonts w:ascii="Arial" w:cs="Arial" w:eastAsia="Arial" w:hAnsi="Arial"/>
          <w:sz w:val="15"/>
          <w:szCs w:val="15"/>
          <w:b w:val="1"/>
          <w:bCs w:val="1"/>
          <w:color w:val="auto"/>
        </w:rPr>
        <w:t>Exhibit 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“Plan of Subleased Premises”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656" w:name="page657"/>
    <w:bookmarkEnd w:id="656"/>
    <w:p>
      <w:pPr>
        <w:jc w:val="center"/>
        <w:ind w:right="19"/>
        <w:spacing w:after="0"/>
        <w:rPr>
          <w:sz w:val="20"/>
          <w:szCs w:val="20"/>
          <w:color w:val="auto"/>
        </w:rPr>
      </w:pPr>
      <w:r>
        <w:rPr>
          <w:rFonts w:ascii="Arial" w:cs="Arial" w:eastAsia="Arial" w:hAnsi="Arial"/>
          <w:sz w:val="15"/>
          <w:szCs w:val="15"/>
          <w:b w:val="1"/>
          <w:bCs w:val="1"/>
          <w:color w:val="auto"/>
        </w:rPr>
        <w:t>Exhibit B</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212121"/>
        </w:rPr>
        <w:t>“Master Lease”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657" w:name="page658"/>
    <w:bookmarkEnd w:id="657"/>
    <w:p>
      <w:pPr>
        <w:jc w:val="center"/>
        <w:ind w:right="19"/>
        <w:spacing w:after="0"/>
        <w:rPr>
          <w:sz w:val="20"/>
          <w:szCs w:val="20"/>
          <w:color w:val="auto"/>
        </w:rPr>
      </w:pPr>
      <w:r>
        <w:rPr>
          <w:rFonts w:ascii="Arial" w:cs="Arial" w:eastAsia="Arial" w:hAnsi="Arial"/>
          <w:sz w:val="15"/>
          <w:szCs w:val="15"/>
          <w:u w:val="single" w:color="auto"/>
          <w:color w:val="auto"/>
        </w:rPr>
        <w:t>Lease Commencement Date Agreement</w:t>
      </w:r>
    </w:p>
    <w:p>
      <w:pPr>
        <w:spacing w:after="0" w:line="164" w:lineRule="exact"/>
        <w:rPr>
          <w:sz w:val="20"/>
          <w:szCs w:val="20"/>
          <w:color w:val="auto"/>
        </w:rPr>
      </w:pPr>
    </w:p>
    <w:p>
      <w:pPr>
        <w:jc w:val="both"/>
        <w:ind w:left="1220" w:right="1239"/>
        <w:spacing w:after="0" w:line="254" w:lineRule="auto"/>
        <w:rPr>
          <w:sz w:val="20"/>
          <w:szCs w:val="20"/>
          <w:color w:val="auto"/>
        </w:rPr>
      </w:pPr>
      <w:r>
        <w:rPr>
          <w:rFonts w:ascii="Arial" w:cs="Arial" w:eastAsia="Arial" w:hAnsi="Arial"/>
          <w:sz w:val="15"/>
          <w:szCs w:val="15"/>
          <w:color w:val="auto"/>
        </w:rPr>
        <w:t>THIS LEASE COMMENCEMENT DATE AGREEMENT, made as of this 1st day of May, 2022, by and between 105 W FIRST STREET OWNER, L.L.C., a Delaware limited liability company (“Landlord”), and CRISPR THERAPEUTICS, INC. (“Tenant”).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WITNESSETH:</w:t>
      </w:r>
    </w:p>
    <w:p>
      <w:pPr>
        <w:spacing w:after="0" w:line="164" w:lineRule="exact"/>
        <w:rPr>
          <w:sz w:val="20"/>
          <w:szCs w:val="20"/>
          <w:color w:val="auto"/>
        </w:rPr>
      </w:pPr>
    </w:p>
    <w:p>
      <w:pPr>
        <w:jc w:val="both"/>
        <w:ind w:left="1220" w:right="1239" w:firstLine="504"/>
        <w:spacing w:after="0" w:line="254" w:lineRule="auto"/>
        <w:rPr>
          <w:sz w:val="20"/>
          <w:szCs w:val="20"/>
          <w:color w:val="auto"/>
        </w:rPr>
      </w:pPr>
      <w:r>
        <w:rPr>
          <w:rFonts w:ascii="Arial" w:cs="Arial" w:eastAsia="Arial" w:hAnsi="Arial"/>
          <w:sz w:val="15"/>
          <w:szCs w:val="15"/>
          <w:color w:val="auto"/>
        </w:rPr>
        <w:t>THAT, WHEREAS, Landlord and Tenant have entered into that certain Lease (as amended, the“Lease”) dated as of July 24, 2020, for certain premises located at 105 West FirstStreet in Boston, Massachusetts; and</w:t>
      </w:r>
    </w:p>
    <w:p>
      <w:pPr>
        <w:spacing w:after="0" w:line="125" w:lineRule="exact"/>
        <w:rPr>
          <w:sz w:val="20"/>
          <w:szCs w:val="20"/>
          <w:color w:val="auto"/>
        </w:rPr>
      </w:pPr>
    </w:p>
    <w:p>
      <w:pPr>
        <w:jc w:val="both"/>
        <w:ind w:left="1220" w:right="1239" w:firstLine="504"/>
        <w:spacing w:after="0" w:line="274" w:lineRule="auto"/>
        <w:rPr>
          <w:sz w:val="20"/>
          <w:szCs w:val="20"/>
          <w:color w:val="auto"/>
        </w:rPr>
      </w:pPr>
      <w:r>
        <w:rPr>
          <w:rFonts w:ascii="Arial" w:cs="Arial" w:eastAsia="Arial" w:hAnsi="Arial"/>
          <w:sz w:val="15"/>
          <w:szCs w:val="15"/>
          <w:color w:val="auto"/>
        </w:rPr>
        <w:t>WHEREAS, all capitalized words and phrases used in this Agreement and not otherwise defined herein shall have the meanings described to them in the Lease; and</w:t>
      </w:r>
    </w:p>
    <w:p>
      <w:pPr>
        <w:spacing w:after="0" w:line="111" w:lineRule="exact"/>
        <w:rPr>
          <w:sz w:val="20"/>
          <w:szCs w:val="20"/>
          <w:color w:val="auto"/>
        </w:rPr>
      </w:pPr>
    </w:p>
    <w:p>
      <w:pPr>
        <w:jc w:val="both"/>
        <w:ind w:left="1220" w:right="1239" w:firstLine="504"/>
        <w:spacing w:after="0" w:line="259" w:lineRule="auto"/>
        <w:rPr>
          <w:sz w:val="20"/>
          <w:szCs w:val="20"/>
          <w:color w:val="auto"/>
        </w:rPr>
      </w:pPr>
      <w:r>
        <w:rPr>
          <w:rFonts w:ascii="Arial" w:cs="Arial" w:eastAsia="Arial" w:hAnsi="Arial"/>
          <w:sz w:val="15"/>
          <w:szCs w:val="15"/>
          <w:color w:val="auto"/>
        </w:rPr>
        <w:t xml:space="preserve">WHEREAS, Landlord and Tenant have agreed to amend the definition of the “Outside Delivery Date”, and to confirm the Commencement Date, the Rent Commencement Date and the Expiration Date, pursuant to and in accordance with </w:t>
      </w:r>
      <w:r>
        <w:rPr>
          <w:rFonts w:ascii="Arial" w:cs="Arial" w:eastAsia="Arial" w:hAnsi="Arial"/>
          <w:sz w:val="15"/>
          <w:szCs w:val="15"/>
          <w:b w:val="1"/>
          <w:bCs w:val="1"/>
          <w:color w:val="auto"/>
        </w:rPr>
        <w:t>Section 2.2</w:t>
      </w:r>
      <w:r>
        <w:rPr>
          <w:rFonts w:ascii="Arial" w:cs="Arial" w:eastAsia="Arial" w:hAnsi="Arial"/>
          <w:sz w:val="15"/>
          <w:szCs w:val="15"/>
          <w:color w:val="auto"/>
        </w:rPr>
        <w:t xml:space="preserve"> thereof;</w:t>
      </w:r>
    </w:p>
    <w:p>
      <w:pPr>
        <w:spacing w:after="0" w:line="114" w:lineRule="exact"/>
        <w:rPr>
          <w:sz w:val="20"/>
          <w:szCs w:val="20"/>
          <w:color w:val="auto"/>
        </w:rPr>
      </w:pPr>
    </w:p>
    <w:p>
      <w:pPr>
        <w:jc w:val="both"/>
        <w:ind w:left="1220" w:right="1239" w:firstLine="504"/>
        <w:spacing w:after="0" w:line="242" w:lineRule="auto"/>
        <w:rPr>
          <w:sz w:val="20"/>
          <w:szCs w:val="20"/>
          <w:color w:val="auto"/>
        </w:rPr>
      </w:pPr>
      <w:r>
        <w:rPr>
          <w:rFonts w:ascii="Arial" w:cs="Arial" w:eastAsia="Arial" w:hAnsi="Arial"/>
          <w:sz w:val="15"/>
          <w:szCs w:val="15"/>
          <w:color w:val="auto"/>
        </w:rPr>
        <w:t>NOW, THEREFORE, for and other good and valuable consideration, the receipt and sufficiency of which are hereby acknowledged, Landlord and Tenant hereby agree that (i) notwithstanding any provision to the contrary contained in the Lease, the Outside Delivery Date shall be May 1, 2022, and (ii) the Commencement Date of the Term of the Lease shall be May 1, 2022, the Rent Commencement Date shall be January 1, 2023, and the Expiration Date shall be December 31, 2034.</w:t>
      </w:r>
    </w:p>
    <w:p>
      <w:pPr>
        <w:spacing w:after="0" w:line="134" w:lineRule="exact"/>
        <w:rPr>
          <w:sz w:val="20"/>
          <w:szCs w:val="20"/>
          <w:color w:val="auto"/>
        </w:rPr>
      </w:pPr>
    </w:p>
    <w:p>
      <w:pPr>
        <w:jc w:val="both"/>
        <w:ind w:left="1220" w:right="1239" w:firstLine="504"/>
        <w:spacing w:after="0" w:line="258" w:lineRule="auto"/>
        <w:rPr>
          <w:sz w:val="20"/>
          <w:szCs w:val="20"/>
          <w:color w:val="auto"/>
        </w:rPr>
      </w:pPr>
      <w:r>
        <w:rPr>
          <w:rFonts w:ascii="Arial" w:cs="Arial" w:eastAsia="Arial" w:hAnsi="Arial"/>
          <w:sz w:val="15"/>
          <w:szCs w:val="15"/>
          <w:color w:val="auto"/>
        </w:rPr>
        <w:t>IN WITNESS WHEREOF, Landlord and Tenant have executed this Lease Commencement Date Agreement as a sealed instrument as of the day and year first above written.</w:t>
      </w:r>
    </w:p>
    <w:p>
      <w:pPr>
        <w:spacing w:after="0" w:line="30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LANDLORD:</w:t>
      </w:r>
    </w:p>
    <w:p>
      <w:pPr>
        <w:spacing w:after="0" w:line="12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105 W FIRST STREET OWNER, L.L.C.,</w:t>
      </w:r>
    </w:p>
    <w:p>
      <w:pPr>
        <w:spacing w:after="0" w:line="1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 Delaware limited liability company</w:t>
      </w:r>
    </w:p>
    <w:p>
      <w:pPr>
        <w:spacing w:after="0" w:line="171"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/s/ Daniel Belldegrun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8255</wp:posOffset>
            </wp:positionV>
            <wp:extent cx="1915795" cy="698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5"/>
          <w:szCs w:val="15"/>
          <w:color w:val="auto"/>
        </w:rPr>
        <w:t>Name: Daniel Belldegrun</w:t>
      </w:r>
    </w:p>
    <w:p>
      <w:pPr>
        <w:ind w:left="4760"/>
        <w:spacing w:after="0"/>
        <w:rPr>
          <w:sz w:val="20"/>
          <w:szCs w:val="20"/>
          <w:color w:val="auto"/>
        </w:rPr>
      </w:pPr>
      <w:r>
        <w:rPr>
          <w:rFonts w:ascii="Arial" w:cs="Arial" w:eastAsia="Arial" w:hAnsi="Arial"/>
          <w:sz w:val="15"/>
          <w:szCs w:val="15"/>
          <w:color w:val="auto"/>
        </w:rPr>
        <w:t>Its: Chief Executive Officer</w:t>
      </w: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TENANT:</w:t>
      </w:r>
    </w:p>
    <w:p>
      <w:pPr>
        <w:spacing w:after="0" w:line="353"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CRISPR THERAPEUTICS, INC.,</w:t>
      </w:r>
    </w:p>
    <w:p>
      <w:pPr>
        <w:spacing w:after="0" w:line="10"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a Delaware corporation</w:t>
      </w:r>
    </w:p>
    <w:p>
      <w:pPr>
        <w:spacing w:after="0" w:line="15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By: /s/ Brendan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8255</wp:posOffset>
            </wp:positionV>
            <wp:extent cx="1915795" cy="698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5"/>
          <w:szCs w:val="15"/>
          <w:color w:val="auto"/>
        </w:rPr>
        <w:t>Name: Brendan Smith</w:t>
      </w:r>
    </w:p>
    <w:p>
      <w:pPr>
        <w:ind w:left="4760"/>
        <w:spacing w:after="0"/>
        <w:rPr>
          <w:sz w:val="20"/>
          <w:szCs w:val="20"/>
          <w:color w:val="auto"/>
        </w:rPr>
      </w:pPr>
      <w:r>
        <w:rPr>
          <w:rFonts w:ascii="Arial" w:cs="Arial" w:eastAsia="Arial" w:hAnsi="Arial"/>
          <w:sz w:val="15"/>
          <w:szCs w:val="15"/>
          <w:color w:val="auto"/>
        </w:rPr>
        <w:t>Its: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894080</wp:posOffset>
            </wp:positionV>
            <wp:extent cx="5485765" cy="3873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3" w:right="1440" w:bottom="1440" w:gutter="0" w:footer="0" w:header="0"/>
        </w:sectPr>
      </w:pPr>
    </w:p>
    <w:bookmarkStart w:id="658" w:name="page659"/>
    <w:bookmarkEnd w:id="6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105 W FIRST STREET OWNER, L.L.C.,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Delaware limited liability company</w:t>
      </w:r>
    </w:p>
    <w:p>
      <w:pPr>
        <w:spacing w:after="0" w:line="148" w:lineRule="exact"/>
        <w:rPr>
          <w:sz w:val="20"/>
          <w:szCs w:val="20"/>
          <w:color w:val="auto"/>
        </w:rPr>
      </w:pPr>
    </w:p>
    <w:p>
      <w:pPr>
        <w:ind w:left="4180"/>
        <w:spacing w:after="0"/>
        <w:rPr>
          <w:sz w:val="20"/>
          <w:szCs w:val="20"/>
          <w:color w:val="auto"/>
        </w:rPr>
      </w:pPr>
      <w:r>
        <w:rPr>
          <w:rFonts w:ascii="Arial" w:cs="Arial" w:eastAsia="Arial" w:hAnsi="Arial"/>
          <w:sz w:val="15"/>
          <w:szCs w:val="15"/>
          <w:b w:val="1"/>
          <w:bCs w:val="1"/>
          <w:color w:val="auto"/>
        </w:rPr>
        <w:t>Landlord</w:t>
      </w:r>
    </w:p>
    <w:p>
      <w:pPr>
        <w:spacing w:after="0" w:line="164" w:lineRule="exact"/>
        <w:rPr>
          <w:sz w:val="20"/>
          <w:szCs w:val="20"/>
          <w:color w:val="auto"/>
        </w:rPr>
      </w:pPr>
    </w:p>
    <w:p>
      <w:pPr>
        <w:ind w:left="4360"/>
        <w:spacing w:after="0"/>
        <w:rPr>
          <w:sz w:val="20"/>
          <w:szCs w:val="20"/>
          <w:color w:val="auto"/>
        </w:rPr>
      </w:pPr>
      <w:r>
        <w:rPr>
          <w:rFonts w:ascii="Arial" w:cs="Arial" w:eastAsia="Arial" w:hAnsi="Arial"/>
          <w:sz w:val="15"/>
          <w:szCs w:val="15"/>
          <w:b w:val="1"/>
          <w:bCs w:val="1"/>
          <w:color w:val="auto"/>
        </w:rPr>
        <w:t>and</w:t>
      </w:r>
    </w:p>
    <w:p>
      <w:pPr>
        <w:spacing w:after="0" w:line="164"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CRISPR THERAPEUTICS, INC.,</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Delaware corporation</w:t>
      </w:r>
    </w:p>
    <w:p>
      <w:pPr>
        <w:spacing w:after="0" w:line="316" w:lineRule="exact"/>
        <w:rPr>
          <w:sz w:val="20"/>
          <w:szCs w:val="20"/>
          <w:color w:val="auto"/>
        </w:rPr>
      </w:pPr>
    </w:p>
    <w:p>
      <w:pPr>
        <w:ind w:left="4260"/>
        <w:spacing w:after="0"/>
        <w:rPr>
          <w:sz w:val="20"/>
          <w:szCs w:val="20"/>
          <w:color w:val="auto"/>
        </w:rPr>
      </w:pPr>
      <w:r>
        <w:rPr>
          <w:rFonts w:ascii="Arial" w:cs="Arial" w:eastAsia="Arial" w:hAnsi="Arial"/>
          <w:sz w:val="15"/>
          <w:szCs w:val="15"/>
          <w:b w:val="1"/>
          <w:bCs w:val="1"/>
          <w:color w:val="auto"/>
        </w:rPr>
        <w:t>Tenant</w:t>
      </w:r>
    </w:p>
    <w:p>
      <w:pPr>
        <w:spacing w:after="0" w:line="166" w:lineRule="exact"/>
        <w:rPr>
          <w:sz w:val="20"/>
          <w:szCs w:val="20"/>
          <w:color w:val="auto"/>
        </w:rPr>
      </w:pPr>
    </w:p>
    <w:p>
      <w:pPr>
        <w:ind w:left="4420"/>
        <w:spacing w:after="0"/>
        <w:rPr>
          <w:sz w:val="20"/>
          <w:szCs w:val="20"/>
          <w:color w:val="auto"/>
        </w:rPr>
      </w:pPr>
      <w:r>
        <w:rPr>
          <w:rFonts w:ascii="Arial" w:cs="Arial" w:eastAsia="Arial" w:hAnsi="Arial"/>
          <w:sz w:val="15"/>
          <w:szCs w:val="15"/>
          <w:color w:val="auto"/>
        </w:rPr>
        <w:t>for</w:t>
      </w:r>
    </w:p>
    <w:p>
      <w:pPr>
        <w:spacing w:after="0" w:line="164" w:lineRule="exact"/>
        <w:rPr>
          <w:sz w:val="20"/>
          <w:szCs w:val="20"/>
          <w:color w:val="auto"/>
        </w:rPr>
      </w:pPr>
    </w:p>
    <w:p>
      <w:pPr>
        <w:ind w:left="4180"/>
        <w:spacing w:after="0"/>
        <w:rPr>
          <w:sz w:val="20"/>
          <w:szCs w:val="20"/>
          <w:color w:val="auto"/>
        </w:rPr>
      </w:pPr>
      <w:r>
        <w:rPr>
          <w:rFonts w:ascii="Arial" w:cs="Arial" w:eastAsia="Arial" w:hAnsi="Arial"/>
          <w:sz w:val="15"/>
          <w:szCs w:val="15"/>
          <w:color w:val="auto"/>
        </w:rPr>
        <w:t>Premises</w:t>
      </w:r>
    </w:p>
    <w:p>
      <w:pPr>
        <w:spacing w:after="0" w:line="164" w:lineRule="exact"/>
        <w:rPr>
          <w:sz w:val="20"/>
          <w:szCs w:val="20"/>
          <w:color w:val="auto"/>
        </w:rPr>
      </w:pPr>
    </w:p>
    <w:p>
      <w:pPr>
        <w:ind w:left="4440"/>
        <w:spacing w:after="0"/>
        <w:rPr>
          <w:sz w:val="20"/>
          <w:szCs w:val="20"/>
          <w:color w:val="auto"/>
        </w:rPr>
      </w:pPr>
      <w:r>
        <w:rPr>
          <w:rFonts w:ascii="Arial" w:cs="Arial" w:eastAsia="Arial" w:hAnsi="Arial"/>
          <w:sz w:val="15"/>
          <w:szCs w:val="15"/>
          <w:color w:val="auto"/>
        </w:rPr>
        <w:t>at</w:t>
      </w:r>
    </w:p>
    <w:p>
      <w:pPr>
        <w:spacing w:after="0" w:line="162" w:lineRule="exact"/>
        <w:rPr>
          <w:sz w:val="20"/>
          <w:szCs w:val="20"/>
          <w:color w:val="auto"/>
        </w:rPr>
      </w:pPr>
    </w:p>
    <w:p>
      <w:pPr>
        <w:ind w:left="3580"/>
        <w:spacing w:after="0"/>
        <w:rPr>
          <w:sz w:val="20"/>
          <w:szCs w:val="20"/>
          <w:color w:val="auto"/>
        </w:rPr>
      </w:pPr>
      <w:r>
        <w:rPr>
          <w:rFonts w:ascii="Arial" w:cs="Arial" w:eastAsia="Arial" w:hAnsi="Arial"/>
          <w:sz w:val="15"/>
          <w:szCs w:val="15"/>
          <w:b w:val="1"/>
          <w:bCs w:val="1"/>
          <w:color w:val="auto"/>
        </w:rPr>
        <w:t>The 105 by Breakthrough</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105 West First Street</w:t>
      </w:r>
    </w:p>
    <w:p>
      <w:pPr>
        <w:jc w:val="center"/>
        <w:spacing w:after="0"/>
        <w:rPr>
          <w:sz w:val="20"/>
          <w:szCs w:val="20"/>
          <w:color w:val="auto"/>
        </w:rPr>
      </w:pPr>
      <w:r>
        <w:rPr>
          <w:rFonts w:ascii="Arial" w:cs="Arial" w:eastAsia="Arial" w:hAnsi="Arial"/>
          <w:sz w:val="15"/>
          <w:szCs w:val="15"/>
          <w:b w:val="1"/>
          <w:bCs w:val="1"/>
          <w:color w:val="auto"/>
        </w:rPr>
        <w:t>Boston, Massachusetts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July 24,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690880</wp:posOffset>
            </wp:positionV>
            <wp:extent cx="548576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59" w:name="page660"/>
    <w:bookmarkEnd w:id="659"/>
    <w:tbl>
      <w:tblPr>
        <w:tblLayout w:type="fixed"/>
        <w:tblInd w:w="1220" w:type="dxa"/>
        <w:tblCellMar>
          <w:top w:w="0" w:type="dxa"/>
          <w:left w:w="0" w:type="dxa"/>
          <w:bottom w:w="0" w:type="dxa"/>
          <w:right w:w="0" w:type="dxa"/>
        </w:tblCellMar>
      </w:tblPr>
      <w:tr>
        <w:trPr>
          <w:trHeight w:val="211"/>
        </w:trPr>
        <w:tc>
          <w:tcPr>
            <w:tcW w:w="6140" w:type="dxa"/>
            <w:vAlign w:val="bottom"/>
          </w:tcPr>
          <w:p>
            <w:pPr>
              <w:ind w:left="2460"/>
              <w:spacing w:after="0"/>
              <w:rPr>
                <w:sz w:val="20"/>
                <w:szCs w:val="20"/>
                <w:color w:val="auto"/>
              </w:rPr>
            </w:pPr>
            <w:r>
              <w:rPr>
                <w:rFonts w:ascii="Arial" w:cs="Arial" w:eastAsia="Arial" w:hAnsi="Arial"/>
                <w:sz w:val="15"/>
                <w:szCs w:val="15"/>
                <w:b w:val="1"/>
                <w:bCs w:val="1"/>
                <w:color w:val="auto"/>
              </w:rPr>
              <w:t>TABLE OF CONTENTS</w:t>
            </w:r>
          </w:p>
        </w:tc>
        <w:tc>
          <w:tcPr>
            <w:tcW w:w="420" w:type="dxa"/>
            <w:vAlign w:val="bottom"/>
          </w:tcPr>
          <w:p>
            <w:pPr>
              <w:spacing w:after="0"/>
              <w:rPr>
                <w:sz w:val="18"/>
                <w:szCs w:val="18"/>
                <w:color w:val="auto"/>
              </w:rPr>
            </w:pPr>
          </w:p>
        </w:tc>
      </w:tr>
      <w:tr>
        <w:trPr>
          <w:trHeight w:val="356"/>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 BASIC LEASE PROVISIONS</w:t>
            </w:r>
          </w:p>
        </w:tc>
        <w:tc>
          <w:tcPr>
            <w:tcW w:w="42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 PREMISES; TERM; RENT</w:t>
            </w:r>
          </w:p>
        </w:tc>
        <w:tc>
          <w:tcPr>
            <w:tcW w:w="4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3 USE AND OCCUPANCY</w:t>
            </w:r>
          </w:p>
        </w:tc>
        <w:tc>
          <w:tcPr>
            <w:tcW w:w="42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4 BASE BUILDING WORK; CONDITION OF THE PREMISES</w:t>
            </w:r>
          </w:p>
        </w:tc>
        <w:tc>
          <w:tcPr>
            <w:tcW w:w="420" w:type="dxa"/>
            <w:vAlign w:val="bottom"/>
          </w:tcPr>
          <w:p>
            <w:pPr>
              <w:jc w:val="right"/>
              <w:spacing w:after="0"/>
              <w:rPr>
                <w:sz w:val="20"/>
                <w:szCs w:val="20"/>
                <w:color w:val="auto"/>
              </w:rPr>
            </w:pPr>
            <w:r>
              <w:rPr>
                <w:rFonts w:ascii="Arial" w:cs="Arial" w:eastAsia="Arial" w:hAnsi="Arial"/>
                <w:sz w:val="15"/>
                <w:szCs w:val="15"/>
                <w:color w:val="auto"/>
              </w:rPr>
              <w:t>9</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5 ALTERATIONS</w:t>
            </w:r>
          </w:p>
        </w:tc>
        <w:tc>
          <w:tcPr>
            <w:tcW w:w="420" w:type="dxa"/>
            <w:vAlign w:val="bottom"/>
          </w:tcPr>
          <w:p>
            <w:pPr>
              <w:jc w:val="right"/>
              <w:spacing w:after="0"/>
              <w:rPr>
                <w:sz w:val="20"/>
                <w:szCs w:val="20"/>
                <w:color w:val="auto"/>
              </w:rPr>
            </w:pPr>
            <w:r>
              <w:rPr>
                <w:rFonts w:ascii="Arial" w:cs="Arial" w:eastAsia="Arial" w:hAnsi="Arial"/>
                <w:sz w:val="15"/>
                <w:szCs w:val="15"/>
                <w:color w:val="auto"/>
              </w:rPr>
              <w:t>21</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6 REPAIRS</w:t>
            </w:r>
          </w:p>
        </w:tc>
        <w:tc>
          <w:tcPr>
            <w:tcW w:w="420" w:type="dxa"/>
            <w:vAlign w:val="bottom"/>
          </w:tcPr>
          <w:p>
            <w:pPr>
              <w:jc w:val="right"/>
              <w:spacing w:after="0"/>
              <w:rPr>
                <w:sz w:val="20"/>
                <w:szCs w:val="20"/>
                <w:color w:val="auto"/>
              </w:rPr>
            </w:pPr>
            <w:r>
              <w:rPr>
                <w:rFonts w:ascii="Arial" w:cs="Arial" w:eastAsia="Arial" w:hAnsi="Arial"/>
                <w:sz w:val="15"/>
                <w:szCs w:val="15"/>
                <w:color w:val="auto"/>
              </w:rPr>
              <w:t>25</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7 TAXES, OPERATING EXPENSES AND INSURANCE EXPENSES</w:t>
            </w:r>
          </w:p>
        </w:tc>
        <w:tc>
          <w:tcPr>
            <w:tcW w:w="420" w:type="dxa"/>
            <w:vAlign w:val="bottom"/>
          </w:tcPr>
          <w:p>
            <w:pPr>
              <w:jc w:val="right"/>
              <w:spacing w:after="0"/>
              <w:rPr>
                <w:sz w:val="20"/>
                <w:szCs w:val="20"/>
                <w:color w:val="auto"/>
              </w:rPr>
            </w:pPr>
            <w:r>
              <w:rPr>
                <w:rFonts w:ascii="Arial" w:cs="Arial" w:eastAsia="Arial" w:hAnsi="Arial"/>
                <w:sz w:val="15"/>
                <w:szCs w:val="15"/>
                <w:color w:val="auto"/>
              </w:rPr>
              <w:t>26</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8 REQUIREMENTS OF LAW</w:t>
            </w:r>
          </w:p>
        </w:tc>
        <w:tc>
          <w:tcPr>
            <w:tcW w:w="420" w:type="dxa"/>
            <w:vAlign w:val="bottom"/>
          </w:tcPr>
          <w:p>
            <w:pPr>
              <w:jc w:val="right"/>
              <w:spacing w:after="0"/>
              <w:rPr>
                <w:sz w:val="20"/>
                <w:szCs w:val="20"/>
                <w:color w:val="auto"/>
              </w:rPr>
            </w:pPr>
            <w:r>
              <w:rPr>
                <w:rFonts w:ascii="Arial" w:cs="Arial" w:eastAsia="Arial" w:hAnsi="Arial"/>
                <w:sz w:val="15"/>
                <w:szCs w:val="15"/>
                <w:color w:val="auto"/>
              </w:rPr>
              <w:t>33</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9 SUBORDINATION</w:t>
            </w:r>
          </w:p>
        </w:tc>
        <w:tc>
          <w:tcPr>
            <w:tcW w:w="420" w:type="dxa"/>
            <w:vAlign w:val="bottom"/>
          </w:tcPr>
          <w:p>
            <w:pPr>
              <w:jc w:val="right"/>
              <w:spacing w:after="0"/>
              <w:rPr>
                <w:sz w:val="20"/>
                <w:szCs w:val="20"/>
                <w:color w:val="auto"/>
              </w:rPr>
            </w:pPr>
            <w:r>
              <w:rPr>
                <w:rFonts w:ascii="Arial" w:cs="Arial" w:eastAsia="Arial" w:hAnsi="Arial"/>
                <w:sz w:val="15"/>
                <w:szCs w:val="15"/>
                <w:color w:val="auto"/>
              </w:rPr>
              <w:t>35</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10 SERVICES</w:t>
            </w:r>
          </w:p>
        </w:tc>
        <w:tc>
          <w:tcPr>
            <w:tcW w:w="420" w:type="dxa"/>
            <w:vAlign w:val="bottom"/>
          </w:tcPr>
          <w:p>
            <w:pPr>
              <w:jc w:val="right"/>
              <w:spacing w:after="0"/>
              <w:rPr>
                <w:sz w:val="20"/>
                <w:szCs w:val="20"/>
                <w:color w:val="auto"/>
              </w:rPr>
            </w:pPr>
            <w:r>
              <w:rPr>
                <w:rFonts w:ascii="Arial" w:cs="Arial" w:eastAsia="Arial" w:hAnsi="Arial"/>
                <w:sz w:val="15"/>
                <w:szCs w:val="15"/>
                <w:color w:val="auto"/>
              </w:rPr>
              <w:t>37</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11 INSURANCE; PROPERTY LOSS OR DAMAGE</w:t>
            </w:r>
          </w:p>
        </w:tc>
        <w:tc>
          <w:tcPr>
            <w:tcW w:w="420" w:type="dxa"/>
            <w:vAlign w:val="bottom"/>
          </w:tcPr>
          <w:p>
            <w:pPr>
              <w:jc w:val="right"/>
              <w:spacing w:after="0"/>
              <w:rPr>
                <w:sz w:val="20"/>
                <w:szCs w:val="20"/>
                <w:color w:val="auto"/>
              </w:rPr>
            </w:pPr>
            <w:r>
              <w:rPr>
                <w:rFonts w:ascii="Arial" w:cs="Arial" w:eastAsia="Arial" w:hAnsi="Arial"/>
                <w:sz w:val="15"/>
                <w:szCs w:val="15"/>
                <w:color w:val="auto"/>
              </w:rPr>
              <w:t>42</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12 EMINENT DOMAIN</w:t>
            </w:r>
          </w:p>
        </w:tc>
        <w:tc>
          <w:tcPr>
            <w:tcW w:w="42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13 ASSIGNMENT AND SUBLETTING</w:t>
            </w:r>
          </w:p>
        </w:tc>
        <w:tc>
          <w:tcPr>
            <w:tcW w:w="420" w:type="dxa"/>
            <w:vAlign w:val="bottom"/>
          </w:tcPr>
          <w:p>
            <w:pPr>
              <w:jc w:val="right"/>
              <w:spacing w:after="0"/>
              <w:rPr>
                <w:sz w:val="20"/>
                <w:szCs w:val="20"/>
                <w:color w:val="auto"/>
              </w:rPr>
            </w:pPr>
            <w:r>
              <w:rPr>
                <w:rFonts w:ascii="Arial" w:cs="Arial" w:eastAsia="Arial" w:hAnsi="Arial"/>
                <w:sz w:val="15"/>
                <w:szCs w:val="15"/>
                <w:color w:val="auto"/>
              </w:rPr>
              <w:t>47</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14 ACCESS TO PREMISES</w:t>
            </w:r>
          </w:p>
        </w:tc>
        <w:tc>
          <w:tcPr>
            <w:tcW w:w="4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15 DEFAULT</w:t>
            </w:r>
          </w:p>
        </w:tc>
        <w:tc>
          <w:tcPr>
            <w:tcW w:w="4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16 LANDLORD’S RIGHT TO CURE; FEES AND EXPENSES</w:t>
            </w:r>
          </w:p>
        </w:tc>
        <w:tc>
          <w:tcPr>
            <w:tcW w:w="4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17 NO REPRESENTATIONS BY LANDLORD; LANDLORD’S APPROVAL</w:t>
            </w:r>
          </w:p>
        </w:tc>
        <w:tc>
          <w:tcPr>
            <w:tcW w:w="420" w:type="dxa"/>
            <w:vAlign w:val="bottom"/>
          </w:tcPr>
          <w:p>
            <w:pPr>
              <w:jc w:val="right"/>
              <w:spacing w:after="0"/>
              <w:rPr>
                <w:sz w:val="20"/>
                <w:szCs w:val="20"/>
                <w:color w:val="auto"/>
              </w:rPr>
            </w:pPr>
            <w:r>
              <w:rPr>
                <w:rFonts w:ascii="Arial" w:cs="Arial" w:eastAsia="Arial" w:hAnsi="Arial"/>
                <w:sz w:val="15"/>
                <w:szCs w:val="15"/>
                <w:color w:val="auto"/>
              </w:rPr>
              <w:t>59</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18 END OF TERM</w:t>
            </w:r>
          </w:p>
        </w:tc>
        <w:tc>
          <w:tcPr>
            <w:tcW w:w="420" w:type="dxa"/>
            <w:vAlign w:val="bottom"/>
          </w:tcPr>
          <w:p>
            <w:pPr>
              <w:jc w:val="right"/>
              <w:spacing w:after="0"/>
              <w:rPr>
                <w:sz w:val="20"/>
                <w:szCs w:val="20"/>
                <w:color w:val="auto"/>
              </w:rPr>
            </w:pPr>
            <w:r>
              <w:rPr>
                <w:rFonts w:ascii="Arial" w:cs="Arial" w:eastAsia="Arial" w:hAnsi="Arial"/>
                <w:sz w:val="15"/>
                <w:szCs w:val="15"/>
                <w:color w:val="auto"/>
              </w:rPr>
              <w:t>60</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19 QUIET ENJOYMENT</w:t>
            </w:r>
          </w:p>
        </w:tc>
        <w:tc>
          <w:tcPr>
            <w:tcW w:w="42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20 NO SURRENDER; NO WAIVER</w:t>
            </w:r>
          </w:p>
        </w:tc>
        <w:tc>
          <w:tcPr>
            <w:tcW w:w="420" w:type="dxa"/>
            <w:vAlign w:val="bottom"/>
          </w:tcPr>
          <w:p>
            <w:pPr>
              <w:jc w:val="right"/>
              <w:spacing w:after="0"/>
              <w:rPr>
                <w:sz w:val="20"/>
                <w:szCs w:val="20"/>
                <w:color w:val="auto"/>
              </w:rPr>
            </w:pPr>
            <w:r>
              <w:rPr>
                <w:rFonts w:ascii="Arial" w:cs="Arial" w:eastAsia="Arial" w:hAnsi="Arial"/>
                <w:sz w:val="15"/>
                <w:szCs w:val="15"/>
                <w:color w:val="auto"/>
              </w:rPr>
              <w:t>63</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21 WAIVER OF TRIAL BY JURY; COUNTERCLAIM</w:t>
            </w:r>
          </w:p>
        </w:tc>
        <w:tc>
          <w:tcPr>
            <w:tcW w:w="4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22 NOTICES</w:t>
            </w:r>
          </w:p>
        </w:tc>
        <w:tc>
          <w:tcPr>
            <w:tcW w:w="4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23 RULES AND REGULATIONS</w:t>
            </w:r>
          </w:p>
        </w:tc>
        <w:tc>
          <w:tcPr>
            <w:tcW w:w="420" w:type="dxa"/>
            <w:vAlign w:val="bottom"/>
          </w:tcPr>
          <w:p>
            <w:pPr>
              <w:jc w:val="right"/>
              <w:spacing w:after="0"/>
              <w:rPr>
                <w:sz w:val="20"/>
                <w:szCs w:val="20"/>
                <w:color w:val="auto"/>
              </w:rPr>
            </w:pPr>
            <w:r>
              <w:rPr>
                <w:rFonts w:ascii="Arial" w:cs="Arial" w:eastAsia="Arial" w:hAnsi="Arial"/>
                <w:sz w:val="15"/>
                <w:szCs w:val="15"/>
                <w:color w:val="auto"/>
              </w:rPr>
              <w:t>64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24 BROKER</w:t>
            </w:r>
          </w:p>
        </w:tc>
        <w:tc>
          <w:tcPr>
            <w:tcW w:w="4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25 INDEMNITY</w:t>
            </w:r>
          </w:p>
        </w:tc>
        <w:tc>
          <w:tcPr>
            <w:tcW w:w="420" w:type="dxa"/>
            <w:vAlign w:val="bottom"/>
          </w:tcPr>
          <w:p>
            <w:pPr>
              <w:jc w:val="right"/>
              <w:spacing w:after="0"/>
              <w:rPr>
                <w:sz w:val="20"/>
                <w:szCs w:val="20"/>
                <w:color w:val="auto"/>
              </w:rPr>
            </w:pPr>
            <w:r>
              <w:rPr>
                <w:rFonts w:ascii="Arial" w:cs="Arial" w:eastAsia="Arial" w:hAnsi="Arial"/>
                <w:sz w:val="15"/>
                <w:szCs w:val="15"/>
                <w:color w:val="auto"/>
              </w:rPr>
              <w:t>65</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26 MISCELLANEOUS</w:t>
            </w:r>
          </w:p>
        </w:tc>
        <w:tc>
          <w:tcPr>
            <w:tcW w:w="42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27 HAZARDOUS MATERIALS</w:t>
            </w:r>
          </w:p>
        </w:tc>
        <w:tc>
          <w:tcPr>
            <w:tcW w:w="420" w:type="dxa"/>
            <w:vAlign w:val="bottom"/>
          </w:tcPr>
          <w:p>
            <w:pPr>
              <w:jc w:val="right"/>
              <w:spacing w:after="0"/>
              <w:rPr>
                <w:sz w:val="20"/>
                <w:szCs w:val="20"/>
                <w:color w:val="auto"/>
              </w:rPr>
            </w:pPr>
            <w:r>
              <w:rPr>
                <w:rFonts w:ascii="Arial" w:cs="Arial" w:eastAsia="Arial" w:hAnsi="Arial"/>
                <w:sz w:val="15"/>
                <w:szCs w:val="15"/>
                <w:color w:val="auto"/>
              </w:rPr>
              <w:t>70</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28 LETTER OF CREDIT</w:t>
            </w:r>
          </w:p>
        </w:tc>
        <w:tc>
          <w:tcPr>
            <w:tcW w:w="420" w:type="dxa"/>
            <w:vAlign w:val="bottom"/>
          </w:tcPr>
          <w:p>
            <w:pPr>
              <w:jc w:val="right"/>
              <w:spacing w:after="0"/>
              <w:rPr>
                <w:sz w:val="20"/>
                <w:szCs w:val="20"/>
                <w:color w:val="auto"/>
              </w:rPr>
            </w:pPr>
            <w:r>
              <w:rPr>
                <w:rFonts w:ascii="Arial" w:cs="Arial" w:eastAsia="Arial" w:hAnsi="Arial"/>
                <w:sz w:val="15"/>
                <w:szCs w:val="15"/>
                <w:color w:val="auto"/>
              </w:rPr>
              <w:t>74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29 EXTENSION TERMS</w:t>
            </w:r>
          </w:p>
        </w:tc>
        <w:tc>
          <w:tcPr>
            <w:tcW w:w="420" w:type="dxa"/>
            <w:vAlign w:val="bottom"/>
          </w:tcPr>
          <w:p>
            <w:pPr>
              <w:jc w:val="right"/>
              <w:spacing w:after="0"/>
              <w:rPr>
                <w:sz w:val="20"/>
                <w:szCs w:val="20"/>
                <w:color w:val="auto"/>
              </w:rPr>
            </w:pPr>
            <w:r>
              <w:rPr>
                <w:rFonts w:ascii="Arial" w:cs="Arial" w:eastAsia="Arial" w:hAnsi="Arial"/>
                <w:sz w:val="15"/>
                <w:szCs w:val="15"/>
                <w:color w:val="auto"/>
              </w:rPr>
              <w:t>77</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30 PARKING</w:t>
            </w:r>
          </w:p>
        </w:tc>
        <w:tc>
          <w:tcPr>
            <w:tcW w:w="420" w:type="dxa"/>
            <w:vAlign w:val="bottom"/>
          </w:tcPr>
          <w:p>
            <w:pPr>
              <w:jc w:val="right"/>
              <w:spacing w:after="0"/>
              <w:rPr>
                <w:sz w:val="20"/>
                <w:szCs w:val="20"/>
                <w:color w:val="auto"/>
              </w:rPr>
            </w:pPr>
            <w:r>
              <w:rPr>
                <w:rFonts w:ascii="Arial" w:cs="Arial" w:eastAsia="Arial" w:hAnsi="Arial"/>
                <w:sz w:val="15"/>
                <w:szCs w:val="15"/>
                <w:color w:val="auto"/>
              </w:rPr>
              <w:t>80</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31 PATRIOT ACT</w:t>
            </w:r>
          </w:p>
        </w:tc>
        <w:tc>
          <w:tcPr>
            <w:tcW w:w="420" w:type="dxa"/>
            <w:vAlign w:val="bottom"/>
          </w:tcPr>
          <w:p>
            <w:pPr>
              <w:jc w:val="right"/>
              <w:spacing w:after="0"/>
              <w:rPr>
                <w:sz w:val="20"/>
                <w:szCs w:val="20"/>
                <w:color w:val="auto"/>
              </w:rPr>
            </w:pPr>
            <w:r>
              <w:rPr>
                <w:rFonts w:ascii="Arial" w:cs="Arial" w:eastAsia="Arial" w:hAnsi="Arial"/>
                <w:sz w:val="15"/>
                <w:szCs w:val="15"/>
                <w:color w:val="auto"/>
              </w:rPr>
              <w:t>82</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32 EXTERIOR BUILDING SIGNS</w:t>
            </w:r>
          </w:p>
        </w:tc>
        <w:tc>
          <w:tcPr>
            <w:tcW w:w="420" w:type="dxa"/>
            <w:vAlign w:val="bottom"/>
          </w:tcPr>
          <w:p>
            <w:pPr>
              <w:jc w:val="right"/>
              <w:spacing w:after="0"/>
              <w:rPr>
                <w:sz w:val="20"/>
                <w:szCs w:val="20"/>
                <w:color w:val="auto"/>
              </w:rPr>
            </w:pPr>
            <w:r>
              <w:rPr>
                <w:rFonts w:ascii="Arial" w:cs="Arial" w:eastAsia="Arial" w:hAnsi="Arial"/>
                <w:sz w:val="15"/>
                <w:szCs w:val="15"/>
                <w:color w:val="auto"/>
              </w:rPr>
              <w:t>83</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33 TENANT SELF-HELP</w:t>
            </w:r>
          </w:p>
        </w:tc>
        <w:tc>
          <w:tcPr>
            <w:tcW w:w="420" w:type="dxa"/>
            <w:vAlign w:val="bottom"/>
          </w:tcPr>
          <w:p>
            <w:pPr>
              <w:jc w:val="right"/>
              <w:spacing w:after="0"/>
              <w:rPr>
                <w:sz w:val="20"/>
                <w:szCs w:val="20"/>
                <w:color w:val="auto"/>
              </w:rPr>
            </w:pPr>
            <w:r>
              <w:rPr>
                <w:rFonts w:ascii="Arial" w:cs="Arial" w:eastAsia="Arial" w:hAnsi="Arial"/>
                <w:sz w:val="15"/>
                <w:szCs w:val="15"/>
                <w:color w:val="auto"/>
              </w:rPr>
              <w:t>84</w:t>
            </w:r>
          </w:p>
        </w:tc>
      </w:tr>
      <w:tr>
        <w:trPr>
          <w:trHeight w:val="210"/>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34 DISPUTE RESOLUTION PROCEDURE</w:t>
            </w:r>
          </w:p>
        </w:tc>
        <w:tc>
          <w:tcPr>
            <w:tcW w:w="420" w:type="dxa"/>
            <w:vAlign w:val="bottom"/>
          </w:tcPr>
          <w:p>
            <w:pPr>
              <w:jc w:val="right"/>
              <w:spacing w:after="0"/>
              <w:rPr>
                <w:sz w:val="20"/>
                <w:szCs w:val="20"/>
                <w:color w:val="auto"/>
              </w:rPr>
            </w:pPr>
            <w:r>
              <w:rPr>
                <w:rFonts w:ascii="Arial" w:cs="Arial" w:eastAsia="Arial" w:hAnsi="Arial"/>
                <w:sz w:val="15"/>
                <w:szCs w:val="15"/>
                <w:color w:val="auto"/>
              </w:rPr>
              <w:t>85</w:t>
            </w:r>
          </w:p>
        </w:tc>
      </w:tr>
      <w:tr>
        <w:trPr>
          <w:trHeight w:val="211"/>
        </w:trPr>
        <w:tc>
          <w:tcPr>
            <w:tcW w:w="6140" w:type="dxa"/>
            <w:vAlign w:val="bottom"/>
          </w:tcPr>
          <w:p>
            <w:pPr>
              <w:spacing w:after="0"/>
              <w:rPr>
                <w:sz w:val="20"/>
                <w:szCs w:val="20"/>
                <w:color w:val="auto"/>
              </w:rPr>
            </w:pPr>
            <w:r>
              <w:rPr>
                <w:rFonts w:ascii="Arial" w:cs="Arial" w:eastAsia="Arial" w:hAnsi="Arial"/>
                <w:sz w:val="15"/>
                <w:szCs w:val="15"/>
                <w:b w:val="1"/>
                <w:bCs w:val="1"/>
                <w:color w:val="auto"/>
              </w:rPr>
              <w:t>ARTICLE 35 ELECTRONIC SIGNATURES</w:t>
            </w:r>
          </w:p>
        </w:tc>
        <w:tc>
          <w:tcPr>
            <w:tcW w:w="420" w:type="dxa"/>
            <w:vAlign w:val="bottom"/>
          </w:tcPr>
          <w:p>
            <w:pPr>
              <w:jc w:val="right"/>
              <w:spacing w:after="0"/>
              <w:rPr>
                <w:sz w:val="20"/>
                <w:szCs w:val="20"/>
                <w:color w:val="auto"/>
              </w:rPr>
            </w:pPr>
            <w:r>
              <w:rPr>
                <w:rFonts w:ascii="Arial" w:cs="Arial" w:eastAsia="Arial" w:hAnsi="Arial"/>
                <w:sz w:val="15"/>
                <w:szCs w:val="15"/>
                <w:color w:val="auto"/>
              </w:rPr>
              <w:t>86</w:t>
            </w:r>
          </w:p>
        </w:tc>
      </w:tr>
    </w:tbl>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441960</wp:posOffset>
            </wp:positionV>
            <wp:extent cx="5485765" cy="3873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660" w:name="page661"/>
    <w:bookmarkEnd w:id="660"/>
    <w:p>
      <w:pPr>
        <w:ind w:left="1220"/>
        <w:spacing w:after="0"/>
        <w:rPr>
          <w:sz w:val="20"/>
          <w:szCs w:val="20"/>
          <w:color w:val="auto"/>
        </w:rPr>
      </w:pPr>
      <w:r>
        <w:rPr>
          <w:rFonts w:ascii="Arial" w:cs="Arial" w:eastAsia="Arial" w:hAnsi="Arial"/>
          <w:sz w:val="15"/>
          <w:szCs w:val="15"/>
          <w:b w:val="1"/>
          <w:bCs w:val="1"/>
          <w:u w:val="single" w:color="auto"/>
          <w:color w:val="auto"/>
        </w:rPr>
        <w:t>Schedule of Exhibits</w:t>
      </w:r>
    </w:p>
    <w:p>
      <w:pPr>
        <w:sectPr>
          <w:pgSz w:w="11900" w:h="16838" w:orient="portrait"/>
          <w:cols w:equalWidth="0" w:num="1">
            <w:col w:w="9019"/>
          </w:cols>
          <w:pgMar w:left="1440" w:top="1299" w:right="1440" w:bottom="1440" w:gutter="0" w:footer="0" w:header="0"/>
        </w:sectPr>
      </w:pPr>
    </w:p>
    <w:p>
      <w:pPr>
        <w:spacing w:after="0" w:line="166"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Exhibit A</w:t>
      </w:r>
    </w:p>
    <w:p>
      <w:pPr>
        <w:spacing w:after="0" w:line="5"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Exhibit B</w:t>
      </w:r>
    </w:p>
    <w:p>
      <w:pPr>
        <w:ind w:left="1220"/>
        <w:spacing w:after="0" w:line="234" w:lineRule="auto"/>
        <w:rPr>
          <w:sz w:val="20"/>
          <w:szCs w:val="20"/>
          <w:color w:val="auto"/>
        </w:rPr>
      </w:pPr>
      <w:r>
        <w:rPr>
          <w:rFonts w:ascii="Arial" w:cs="Arial" w:eastAsia="Arial" w:hAnsi="Arial"/>
          <w:sz w:val="15"/>
          <w:szCs w:val="15"/>
          <w:color w:val="auto"/>
        </w:rPr>
        <w:t>Exhibit C</w:t>
      </w:r>
    </w:p>
    <w:p>
      <w:pPr>
        <w:ind w:left="1220"/>
        <w:spacing w:after="0" w:line="234" w:lineRule="auto"/>
        <w:rPr>
          <w:sz w:val="20"/>
          <w:szCs w:val="20"/>
          <w:color w:val="auto"/>
        </w:rPr>
      </w:pPr>
      <w:r>
        <w:rPr>
          <w:rFonts w:ascii="Arial" w:cs="Arial" w:eastAsia="Arial" w:hAnsi="Arial"/>
          <w:sz w:val="15"/>
          <w:szCs w:val="15"/>
          <w:color w:val="auto"/>
        </w:rPr>
        <w:t>Exhibit D-1</w:t>
      </w:r>
    </w:p>
    <w:p>
      <w:pPr>
        <w:ind w:left="1220"/>
        <w:spacing w:after="0" w:line="234" w:lineRule="auto"/>
        <w:rPr>
          <w:sz w:val="20"/>
          <w:szCs w:val="20"/>
          <w:color w:val="auto"/>
        </w:rPr>
      </w:pPr>
      <w:r>
        <w:rPr>
          <w:rFonts w:ascii="Arial" w:cs="Arial" w:eastAsia="Arial" w:hAnsi="Arial"/>
          <w:sz w:val="15"/>
          <w:szCs w:val="15"/>
          <w:color w:val="auto"/>
        </w:rPr>
        <w:t>Exhibit D-2</w:t>
      </w:r>
    </w:p>
    <w:p>
      <w:pPr>
        <w:ind w:left="1220"/>
        <w:spacing w:after="0" w:line="234" w:lineRule="auto"/>
        <w:rPr>
          <w:sz w:val="20"/>
          <w:szCs w:val="20"/>
          <w:color w:val="auto"/>
        </w:rPr>
      </w:pPr>
      <w:r>
        <w:rPr>
          <w:rFonts w:ascii="Arial" w:cs="Arial" w:eastAsia="Arial" w:hAnsi="Arial"/>
          <w:sz w:val="15"/>
          <w:szCs w:val="15"/>
          <w:color w:val="auto"/>
        </w:rPr>
        <w:t>Exhibit D-3</w:t>
      </w:r>
    </w:p>
    <w:p>
      <w:pPr>
        <w:ind w:left="1220"/>
        <w:spacing w:after="0" w:line="234" w:lineRule="auto"/>
        <w:rPr>
          <w:sz w:val="20"/>
          <w:szCs w:val="20"/>
          <w:color w:val="auto"/>
        </w:rPr>
      </w:pPr>
      <w:r>
        <w:rPr>
          <w:rFonts w:ascii="Arial" w:cs="Arial" w:eastAsia="Arial" w:hAnsi="Arial"/>
          <w:sz w:val="15"/>
          <w:szCs w:val="15"/>
          <w:color w:val="auto"/>
        </w:rPr>
        <w:t>Exhibit E</w:t>
      </w:r>
    </w:p>
    <w:p>
      <w:pPr>
        <w:ind w:left="1220"/>
        <w:spacing w:after="0" w:line="234" w:lineRule="auto"/>
        <w:rPr>
          <w:sz w:val="20"/>
          <w:szCs w:val="20"/>
          <w:color w:val="auto"/>
        </w:rPr>
      </w:pPr>
      <w:r>
        <w:rPr>
          <w:rFonts w:ascii="Arial" w:cs="Arial" w:eastAsia="Arial" w:hAnsi="Arial"/>
          <w:sz w:val="15"/>
          <w:szCs w:val="15"/>
          <w:color w:val="auto"/>
        </w:rPr>
        <w:t>Exhibit F</w:t>
      </w:r>
    </w:p>
    <w:p>
      <w:pPr>
        <w:ind w:left="1220"/>
        <w:spacing w:after="0" w:line="234" w:lineRule="auto"/>
        <w:rPr>
          <w:sz w:val="20"/>
          <w:szCs w:val="20"/>
          <w:color w:val="auto"/>
        </w:rPr>
      </w:pPr>
      <w:r>
        <w:rPr>
          <w:rFonts w:ascii="Arial" w:cs="Arial" w:eastAsia="Arial" w:hAnsi="Arial"/>
          <w:sz w:val="15"/>
          <w:szCs w:val="15"/>
          <w:color w:val="auto"/>
        </w:rPr>
        <w:t>Exhibit G</w:t>
      </w:r>
    </w:p>
    <w:p>
      <w:pPr>
        <w:ind w:left="1220"/>
        <w:spacing w:after="0" w:line="234" w:lineRule="auto"/>
        <w:rPr>
          <w:sz w:val="20"/>
          <w:szCs w:val="20"/>
          <w:color w:val="auto"/>
        </w:rPr>
      </w:pPr>
      <w:r>
        <w:rPr>
          <w:rFonts w:ascii="Arial" w:cs="Arial" w:eastAsia="Arial" w:hAnsi="Arial"/>
          <w:sz w:val="15"/>
          <w:szCs w:val="15"/>
          <w:color w:val="auto"/>
        </w:rPr>
        <w:t>Exhibit H</w:t>
      </w:r>
    </w:p>
    <w:p>
      <w:pPr>
        <w:ind w:left="1220"/>
        <w:spacing w:after="0" w:line="234" w:lineRule="auto"/>
        <w:rPr>
          <w:sz w:val="20"/>
          <w:szCs w:val="20"/>
          <w:color w:val="auto"/>
        </w:rPr>
      </w:pPr>
      <w:r>
        <w:rPr>
          <w:rFonts w:ascii="Arial" w:cs="Arial" w:eastAsia="Arial" w:hAnsi="Arial"/>
          <w:sz w:val="15"/>
          <w:szCs w:val="15"/>
          <w:color w:val="auto"/>
        </w:rPr>
        <w:t>Exhibit I</w:t>
      </w:r>
    </w:p>
    <w:p>
      <w:pPr>
        <w:ind w:left="1220"/>
        <w:spacing w:after="0" w:line="234" w:lineRule="auto"/>
        <w:rPr>
          <w:sz w:val="20"/>
          <w:szCs w:val="20"/>
          <w:color w:val="auto"/>
        </w:rPr>
      </w:pPr>
      <w:r>
        <w:rPr>
          <w:rFonts w:ascii="Arial" w:cs="Arial" w:eastAsia="Arial" w:hAnsi="Arial"/>
          <w:sz w:val="15"/>
          <w:szCs w:val="15"/>
          <w:color w:val="auto"/>
        </w:rPr>
        <w:t>Exhibit J</w:t>
      </w:r>
    </w:p>
    <w:p>
      <w:pPr>
        <w:ind w:left="1220"/>
        <w:spacing w:after="0" w:line="234" w:lineRule="auto"/>
        <w:rPr>
          <w:sz w:val="20"/>
          <w:szCs w:val="20"/>
          <w:color w:val="auto"/>
        </w:rPr>
      </w:pPr>
      <w:r>
        <w:rPr>
          <w:rFonts w:ascii="Arial" w:cs="Arial" w:eastAsia="Arial" w:hAnsi="Arial"/>
          <w:sz w:val="15"/>
          <w:szCs w:val="15"/>
          <w:color w:val="auto"/>
        </w:rPr>
        <w:t>Exhibit K</w:t>
      </w:r>
    </w:p>
    <w:p>
      <w:pPr>
        <w:ind w:left="1220"/>
        <w:spacing w:after="0" w:line="234" w:lineRule="auto"/>
        <w:rPr>
          <w:sz w:val="20"/>
          <w:szCs w:val="20"/>
          <w:color w:val="auto"/>
        </w:rPr>
      </w:pPr>
      <w:r>
        <w:rPr>
          <w:rFonts w:ascii="Arial" w:cs="Arial" w:eastAsia="Arial" w:hAnsi="Arial"/>
          <w:sz w:val="15"/>
          <w:szCs w:val="15"/>
          <w:color w:val="auto"/>
        </w:rPr>
        <w:t>Exhibit L</w:t>
      </w:r>
    </w:p>
    <w:p>
      <w:pPr>
        <w:ind w:left="1220"/>
        <w:spacing w:after="0" w:line="234" w:lineRule="auto"/>
        <w:rPr>
          <w:sz w:val="20"/>
          <w:szCs w:val="20"/>
          <w:color w:val="auto"/>
        </w:rPr>
      </w:pPr>
      <w:r>
        <w:rPr>
          <w:rFonts w:ascii="Arial" w:cs="Arial" w:eastAsia="Arial" w:hAnsi="Arial"/>
          <w:sz w:val="15"/>
          <w:szCs w:val="15"/>
          <w:color w:val="auto"/>
        </w:rPr>
        <w:t>Exhibit M</w:t>
      </w:r>
    </w:p>
    <w:p>
      <w:pPr>
        <w:ind w:left="1220"/>
        <w:spacing w:after="0" w:line="234" w:lineRule="auto"/>
        <w:rPr>
          <w:sz w:val="20"/>
          <w:szCs w:val="20"/>
          <w:color w:val="auto"/>
        </w:rPr>
      </w:pPr>
      <w:r>
        <w:rPr>
          <w:rFonts w:ascii="Arial" w:cs="Arial" w:eastAsia="Arial" w:hAnsi="Arial"/>
          <w:sz w:val="15"/>
          <w:szCs w:val="15"/>
          <w:color w:val="auto"/>
        </w:rPr>
        <w:t>Exhibit N</w:t>
      </w:r>
    </w:p>
    <w:p>
      <w:pPr>
        <w:ind w:left="1220"/>
        <w:spacing w:after="0"/>
        <w:rPr>
          <w:sz w:val="20"/>
          <w:szCs w:val="20"/>
          <w:color w:val="auto"/>
        </w:rPr>
      </w:pPr>
      <w:r>
        <w:rPr>
          <w:rFonts w:ascii="Arial" w:cs="Arial" w:eastAsia="Arial" w:hAnsi="Arial"/>
          <w:sz w:val="15"/>
          <w:szCs w:val="15"/>
          <w:color w:val="auto"/>
        </w:rPr>
        <w:t>Exhibit O</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color w:val="auto"/>
        </w:rPr>
        <w:t>Floor Plans of the Premises</w:t>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color w:val="auto"/>
        </w:rPr>
        <w:t>Definitions</w:t>
      </w:r>
    </w:p>
    <w:p>
      <w:pPr>
        <w:spacing w:after="0" w:line="234" w:lineRule="auto"/>
        <w:rPr>
          <w:sz w:val="20"/>
          <w:szCs w:val="20"/>
          <w:color w:val="auto"/>
        </w:rPr>
      </w:pPr>
      <w:r>
        <w:rPr>
          <w:rFonts w:ascii="Arial" w:cs="Arial" w:eastAsia="Arial" w:hAnsi="Arial"/>
          <w:sz w:val="15"/>
          <w:szCs w:val="15"/>
          <w:color w:val="auto"/>
        </w:rPr>
        <w:t>Plans Showing Office Areas, Lab Areas, and Flex Areas</w:t>
      </w:r>
    </w:p>
    <w:p>
      <w:pPr>
        <w:spacing w:after="0" w:line="234" w:lineRule="auto"/>
        <w:rPr>
          <w:sz w:val="20"/>
          <w:szCs w:val="20"/>
          <w:color w:val="auto"/>
        </w:rPr>
      </w:pPr>
      <w:r>
        <w:rPr>
          <w:rFonts w:ascii="Arial" w:cs="Arial" w:eastAsia="Arial" w:hAnsi="Arial"/>
          <w:sz w:val="15"/>
          <w:szCs w:val="15"/>
          <w:color w:val="auto"/>
        </w:rPr>
        <w:t>Schedule of Base Building Plans</w:t>
      </w:r>
    </w:p>
    <w:p>
      <w:pPr>
        <w:spacing w:after="0" w:line="234" w:lineRule="auto"/>
        <w:rPr>
          <w:sz w:val="20"/>
          <w:szCs w:val="20"/>
          <w:color w:val="auto"/>
        </w:rPr>
      </w:pPr>
      <w:r>
        <w:rPr>
          <w:rFonts w:ascii="Arial" w:cs="Arial" w:eastAsia="Arial" w:hAnsi="Arial"/>
          <w:sz w:val="15"/>
          <w:szCs w:val="15"/>
          <w:color w:val="auto"/>
        </w:rPr>
        <w:t>Base Building Work Matrix</w:t>
      </w:r>
    </w:p>
    <w:p>
      <w:pPr>
        <w:spacing w:after="0" w:line="234" w:lineRule="auto"/>
        <w:rPr>
          <w:sz w:val="20"/>
          <w:szCs w:val="20"/>
          <w:color w:val="auto"/>
        </w:rPr>
      </w:pPr>
      <w:r>
        <w:rPr>
          <w:rFonts w:ascii="Arial" w:cs="Arial" w:eastAsia="Arial" w:hAnsi="Arial"/>
          <w:sz w:val="15"/>
          <w:szCs w:val="15"/>
          <w:color w:val="auto"/>
        </w:rPr>
        <w:t>Landlord’s Work Design Narrative</w:t>
      </w:r>
    </w:p>
    <w:p>
      <w:pPr>
        <w:spacing w:after="0" w:line="234" w:lineRule="auto"/>
        <w:rPr>
          <w:sz w:val="20"/>
          <w:szCs w:val="20"/>
          <w:color w:val="auto"/>
        </w:rPr>
      </w:pPr>
      <w:r>
        <w:rPr>
          <w:rFonts w:ascii="Arial" w:cs="Arial" w:eastAsia="Arial" w:hAnsi="Arial"/>
          <w:sz w:val="15"/>
          <w:szCs w:val="15"/>
          <w:color w:val="auto"/>
        </w:rPr>
        <w:t>Schedule of Tenant’s Hazardous Materials</w:t>
      </w:r>
    </w:p>
    <w:p>
      <w:pPr>
        <w:spacing w:after="0" w:line="234" w:lineRule="auto"/>
        <w:rPr>
          <w:sz w:val="20"/>
          <w:szCs w:val="20"/>
          <w:color w:val="auto"/>
        </w:rPr>
      </w:pPr>
      <w:r>
        <w:rPr>
          <w:rFonts w:ascii="Arial" w:cs="Arial" w:eastAsia="Arial" w:hAnsi="Arial"/>
          <w:sz w:val="15"/>
          <w:szCs w:val="15"/>
          <w:color w:val="auto"/>
        </w:rPr>
        <w:t>Rules and Regulations</w:t>
      </w:r>
    </w:p>
    <w:p>
      <w:pPr>
        <w:spacing w:after="0" w:line="234" w:lineRule="auto"/>
        <w:rPr>
          <w:sz w:val="20"/>
          <w:szCs w:val="20"/>
          <w:color w:val="auto"/>
        </w:rPr>
      </w:pPr>
      <w:r>
        <w:rPr>
          <w:rFonts w:ascii="Arial" w:cs="Arial" w:eastAsia="Arial" w:hAnsi="Arial"/>
          <w:sz w:val="15"/>
          <w:szCs w:val="15"/>
          <w:color w:val="auto"/>
        </w:rPr>
        <w:t>Form of Commencement Date Agreement</w:t>
      </w:r>
    </w:p>
    <w:p>
      <w:pPr>
        <w:spacing w:after="0" w:line="234" w:lineRule="auto"/>
        <w:rPr>
          <w:sz w:val="20"/>
          <w:szCs w:val="20"/>
          <w:color w:val="auto"/>
        </w:rPr>
      </w:pPr>
      <w:r>
        <w:rPr>
          <w:rFonts w:ascii="Arial" w:cs="Arial" w:eastAsia="Arial" w:hAnsi="Arial"/>
          <w:sz w:val="15"/>
          <w:szCs w:val="15"/>
          <w:color w:val="auto"/>
        </w:rPr>
        <w:t>Form of Environmental Questionnaire</w:t>
      </w:r>
    </w:p>
    <w:p>
      <w:pPr>
        <w:spacing w:after="0" w:line="234" w:lineRule="auto"/>
        <w:rPr>
          <w:sz w:val="20"/>
          <w:szCs w:val="20"/>
          <w:color w:val="auto"/>
        </w:rPr>
      </w:pPr>
      <w:r>
        <w:rPr>
          <w:rFonts w:ascii="Arial" w:cs="Arial" w:eastAsia="Arial" w:hAnsi="Arial"/>
          <w:sz w:val="15"/>
          <w:szCs w:val="15"/>
          <w:color w:val="auto"/>
        </w:rPr>
        <w:t>Cleaning Specifications (Office Areas)</w:t>
      </w:r>
    </w:p>
    <w:p>
      <w:pPr>
        <w:spacing w:after="0" w:line="234" w:lineRule="auto"/>
        <w:rPr>
          <w:sz w:val="20"/>
          <w:szCs w:val="20"/>
          <w:color w:val="auto"/>
        </w:rPr>
      </w:pPr>
      <w:r>
        <w:rPr>
          <w:rFonts w:ascii="Arial" w:cs="Arial" w:eastAsia="Arial" w:hAnsi="Arial"/>
          <w:sz w:val="15"/>
          <w:szCs w:val="15"/>
          <w:color w:val="auto"/>
        </w:rPr>
        <w:t>Plan of Rooftop/Penthouse Rooftop Areas</w:t>
      </w:r>
    </w:p>
    <w:p>
      <w:pPr>
        <w:spacing w:after="0" w:line="234" w:lineRule="auto"/>
        <w:rPr>
          <w:sz w:val="20"/>
          <w:szCs w:val="20"/>
          <w:color w:val="auto"/>
        </w:rPr>
      </w:pPr>
      <w:r>
        <w:rPr>
          <w:rFonts w:ascii="Arial" w:cs="Arial" w:eastAsia="Arial" w:hAnsi="Arial"/>
          <w:sz w:val="15"/>
          <w:szCs w:val="15"/>
          <w:color w:val="auto"/>
        </w:rPr>
        <w:t>Plan of Approved Locations of Tenant’s Exterior Building Signage</w:t>
      </w:r>
    </w:p>
    <w:p>
      <w:pPr>
        <w:spacing w:after="0" w:line="234" w:lineRule="auto"/>
        <w:rPr>
          <w:sz w:val="20"/>
          <w:szCs w:val="20"/>
          <w:color w:val="auto"/>
        </w:rPr>
      </w:pPr>
      <w:r>
        <w:rPr>
          <w:rFonts w:ascii="Arial" w:cs="Arial" w:eastAsia="Arial" w:hAnsi="Arial"/>
          <w:sz w:val="15"/>
          <w:szCs w:val="15"/>
          <w:color w:val="auto"/>
        </w:rPr>
        <w:t>Plan of Tenant’s Entrance/Lobby Feature Wall Signs</w:t>
      </w:r>
    </w:p>
    <w:p>
      <w:pPr>
        <w:spacing w:after="0" w:line="234" w:lineRule="auto"/>
        <w:rPr>
          <w:sz w:val="20"/>
          <w:szCs w:val="20"/>
          <w:color w:val="auto"/>
        </w:rPr>
      </w:pPr>
      <w:r>
        <w:rPr>
          <w:rFonts w:ascii="Arial" w:cs="Arial" w:eastAsia="Arial" w:hAnsi="Arial"/>
          <w:sz w:val="15"/>
          <w:szCs w:val="15"/>
          <w:color w:val="auto"/>
        </w:rPr>
        <w:t>Construction Schedule for Landlord’s Work</w:t>
      </w:r>
    </w:p>
    <w:p>
      <w:pPr>
        <w:spacing w:after="0" w:line="234" w:lineRule="auto"/>
        <w:rPr>
          <w:sz w:val="20"/>
          <w:szCs w:val="20"/>
          <w:color w:val="auto"/>
        </w:rPr>
      </w:pPr>
      <w:r>
        <w:rPr>
          <w:rFonts w:ascii="Arial" w:cs="Arial" w:eastAsia="Arial" w:hAnsi="Arial"/>
          <w:sz w:val="15"/>
          <w:szCs w:val="15"/>
          <w:color w:val="auto"/>
        </w:rPr>
        <w:t>Form of Guaranty</w:t>
      </w:r>
    </w:p>
    <w:p>
      <w:pPr>
        <w:spacing w:after="0"/>
        <w:rPr>
          <w:sz w:val="20"/>
          <w:szCs w:val="20"/>
          <w:color w:val="auto"/>
        </w:rPr>
      </w:pPr>
      <w:r>
        <w:rPr>
          <w:rFonts w:ascii="Arial" w:cs="Arial" w:eastAsia="Arial" w:hAnsi="Arial"/>
          <w:sz w:val="15"/>
          <w:szCs w:val="15"/>
          <w:color w:val="auto"/>
        </w:rPr>
        <w:t>HVAC Design Standards</w:t>
      </w:r>
    </w:p>
    <w:p>
      <w:pPr>
        <w:spacing w:after="0" w:line="200" w:lineRule="exact"/>
        <w:rPr>
          <w:sz w:val="20"/>
          <w:szCs w:val="20"/>
          <w:color w:val="auto"/>
        </w:rPr>
      </w:pPr>
    </w:p>
    <w:p>
      <w:pPr>
        <w:sectPr>
          <w:pgSz w:w="11900" w:h="16838" w:orient="portrait"/>
          <w:cols w:equalWidth="0" w:num="2">
            <w:col w:w="1980" w:space="240"/>
            <w:col w:w="6799"/>
          </w:cols>
          <w:pgMar w:left="1440" w:top="1299" w:right="1440" w:bottom="1440" w:gutter="0" w:footer="0" w:header="0"/>
          <w:type w:val="continuous"/>
        </w:sectPr>
      </w:pP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441960</wp:posOffset>
            </wp:positionV>
            <wp:extent cx="548576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type w:val="continuous"/>
        </w:sectPr>
      </w:pPr>
    </w:p>
    <w:bookmarkStart w:id="661" w:name="page662"/>
    <w:bookmarkEnd w:id="661"/>
    <w:p>
      <w:pPr>
        <w:jc w:val="center"/>
        <w:ind w:right="19"/>
        <w:spacing w:after="0"/>
        <w:rPr>
          <w:sz w:val="20"/>
          <w:szCs w:val="20"/>
          <w:color w:val="auto"/>
        </w:rPr>
      </w:pPr>
      <w:r>
        <w:rPr>
          <w:rFonts w:ascii="Arial" w:cs="Arial" w:eastAsia="Arial" w:hAnsi="Arial"/>
          <w:sz w:val="15"/>
          <w:szCs w:val="15"/>
          <w:b w:val="1"/>
          <w:bCs w:val="1"/>
          <w:color w:val="auto"/>
        </w:rPr>
        <w:t>LEASE</w:t>
      </w:r>
    </w:p>
    <w:p>
      <w:pPr>
        <w:spacing w:after="0" w:line="164" w:lineRule="exact"/>
        <w:rPr>
          <w:sz w:val="20"/>
          <w:szCs w:val="20"/>
          <w:color w:val="auto"/>
        </w:rPr>
      </w:pPr>
    </w:p>
    <w:p>
      <w:pPr>
        <w:jc w:val="both"/>
        <w:ind w:left="1220" w:right="1239" w:firstLine="505"/>
        <w:spacing w:after="0" w:line="261" w:lineRule="auto"/>
        <w:rPr>
          <w:sz w:val="20"/>
          <w:szCs w:val="20"/>
          <w:color w:val="auto"/>
        </w:rPr>
      </w:pPr>
      <w:r>
        <w:rPr>
          <w:rFonts w:ascii="Arial" w:cs="Arial" w:eastAsia="Arial" w:hAnsi="Arial"/>
          <w:sz w:val="15"/>
          <w:szCs w:val="15"/>
          <w:color w:val="auto"/>
        </w:rPr>
        <w:t xml:space="preserve">THIS LEASE is made as of the 24th day of July, 2020 (“Effective </w:t>
      </w:r>
      <w:r>
        <w:rPr>
          <w:rFonts w:ascii="Arial" w:cs="Arial" w:eastAsia="Arial" w:hAnsi="Arial"/>
          <w:sz w:val="15"/>
          <w:szCs w:val="15"/>
          <w:b w:val="1"/>
          <w:bCs w:val="1"/>
          <w:color w:val="auto"/>
        </w:rPr>
        <w:t>Date”),</w:t>
      </w:r>
      <w:r>
        <w:rPr>
          <w:rFonts w:ascii="Arial" w:cs="Arial" w:eastAsia="Arial" w:hAnsi="Arial"/>
          <w:sz w:val="15"/>
          <w:szCs w:val="15"/>
          <w:color w:val="auto"/>
        </w:rPr>
        <w:t xml:space="preserve"> between 105 </w:t>
      </w:r>
      <w:r>
        <w:rPr>
          <w:rFonts w:ascii="Arial" w:cs="Arial" w:eastAsia="Arial" w:hAnsi="Arial"/>
          <w:sz w:val="15"/>
          <w:szCs w:val="15"/>
          <w:b w:val="1"/>
          <w:bCs w:val="1"/>
          <w:color w:val="auto"/>
        </w:rPr>
        <w:t>W</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FIRST STREET OWNER, L.L.C. (“Landlord”), a </w:t>
      </w:r>
      <w:r>
        <w:rPr>
          <w:rFonts w:ascii="Arial" w:cs="Arial" w:eastAsia="Arial" w:hAnsi="Arial"/>
          <w:sz w:val="15"/>
          <w:szCs w:val="15"/>
          <w:color w:val="auto"/>
        </w:rPr>
        <w:t>Delaware limited liability company, and</w:t>
      </w:r>
      <w:r>
        <w:rPr>
          <w:rFonts w:ascii="Arial" w:cs="Arial" w:eastAsia="Arial" w:hAnsi="Arial"/>
          <w:sz w:val="15"/>
          <w:szCs w:val="15"/>
          <w:b w:val="1"/>
          <w:bCs w:val="1"/>
          <w:color w:val="auto"/>
        </w:rPr>
        <w:t xml:space="preserve"> CRISPR THERAPEUTICS, INC. (“Tenant”), a </w:t>
      </w:r>
      <w:r>
        <w:rPr>
          <w:rFonts w:ascii="Arial" w:cs="Arial" w:eastAsia="Arial" w:hAnsi="Arial"/>
          <w:sz w:val="15"/>
          <w:szCs w:val="15"/>
          <w:color w:val="auto"/>
        </w:rPr>
        <w:t>Delaware corporation.</w:t>
      </w:r>
    </w:p>
    <w:p>
      <w:pPr>
        <w:spacing w:after="0" w:line="112"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Landlord and Tenant hereby covenant and agree as follows:</w:t>
      </w:r>
    </w:p>
    <w:p>
      <w:pPr>
        <w:spacing w:after="0" w:line="162" w:lineRule="exact"/>
        <w:rPr>
          <w:sz w:val="20"/>
          <w:szCs w:val="20"/>
          <w:color w:val="auto"/>
        </w:rPr>
      </w:pPr>
    </w:p>
    <w:tbl>
      <w:tblPr>
        <w:tblLayout w:type="fixed"/>
        <w:tblInd w:w="200" w:type="dxa"/>
        <w:tblCellMar>
          <w:top w:w="0" w:type="dxa"/>
          <w:left w:w="0" w:type="dxa"/>
          <w:bottom w:w="0" w:type="dxa"/>
          <w:right w:w="0" w:type="dxa"/>
        </w:tblCellMar>
      </w:tblPr>
      <w:tr>
        <w:trPr>
          <w:trHeight w:val="211"/>
        </w:trPr>
        <w:tc>
          <w:tcPr>
            <w:tcW w:w="2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center"/>
              <w:ind w:right="720"/>
              <w:spacing w:after="0"/>
              <w:rPr>
                <w:sz w:val="20"/>
                <w:szCs w:val="20"/>
                <w:color w:val="auto"/>
              </w:rPr>
            </w:pPr>
            <w:r>
              <w:rPr>
                <w:rFonts w:ascii="Arial" w:cs="Arial" w:eastAsia="Arial" w:hAnsi="Arial"/>
                <w:sz w:val="15"/>
                <w:szCs w:val="15"/>
                <w:b w:val="1"/>
                <w:bCs w:val="1"/>
                <w:color w:val="auto"/>
              </w:rPr>
              <w:t xml:space="preserve">ARTICLE </w:t>
            </w:r>
            <w:r>
              <w:rPr>
                <w:rFonts w:ascii="Arial" w:cs="Arial" w:eastAsia="Arial" w:hAnsi="Arial"/>
                <w:sz w:val="15"/>
                <w:szCs w:val="15"/>
                <w:color w:val="auto"/>
              </w:rPr>
              <w:t>1</w:t>
            </w:r>
          </w:p>
        </w:tc>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336"/>
        </w:trPr>
        <w:tc>
          <w:tcPr>
            <w:tcW w:w="2800" w:type="dxa"/>
            <w:vAlign w:val="bottom"/>
          </w:tcPr>
          <w:p>
            <w:pPr>
              <w:spacing w:after="0"/>
              <w:rPr>
                <w:sz w:val="24"/>
                <w:szCs w:val="24"/>
                <w:color w:val="auto"/>
              </w:rPr>
            </w:pPr>
          </w:p>
        </w:tc>
        <w:tc>
          <w:tcPr>
            <w:tcW w:w="2700" w:type="dxa"/>
            <w:vAlign w:val="bottom"/>
            <w:gridSpan w:val="5"/>
          </w:tcPr>
          <w:p>
            <w:pPr>
              <w:jc w:val="center"/>
              <w:ind w:left="223"/>
              <w:spacing w:after="0"/>
              <w:rPr>
                <w:sz w:val="20"/>
                <w:szCs w:val="20"/>
                <w:color w:val="auto"/>
              </w:rPr>
            </w:pPr>
            <w:r>
              <w:rPr>
                <w:rFonts w:ascii="Arial" w:cs="Arial" w:eastAsia="Arial" w:hAnsi="Arial"/>
                <w:sz w:val="15"/>
                <w:szCs w:val="15"/>
                <w:b w:val="1"/>
                <w:bCs w:val="1"/>
                <w:color w:val="auto"/>
              </w:rPr>
              <w:t>BASIC LEASE PROVISIONS</w:t>
            </w: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314"/>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ADDITIONAL RENT:</w:t>
            </w: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All sums other than Fixed Rent payable by Tenant to Landlord</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under this Lease, including Tenant's Tax Payment, Tenant's</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Operating  Payment,  Tenant's  Insurance  Payment,  Electricity</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Additional Rent, charges for utilities and services furnished to</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the Premises (including, without limitation, PH neutralization,</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water and sewer services, natural gas, condenser water, chilled</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water. and forced air), late charges, overtime or excess service</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charges,  damages,  and  interest  and  other  costs  related  to</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Tenant's failure to perform any of its obligations under this</w:t>
            </w:r>
          </w:p>
        </w:tc>
      </w:tr>
      <w:tr>
        <w:trPr>
          <w:trHeight w:val="211"/>
        </w:trPr>
        <w:tc>
          <w:tcPr>
            <w:tcW w:w="28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Lease.</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83"/>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AGREED AREA OF</w:t>
            </w: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263,500 rentable square feet, as mutually agreed by Landlord</w:t>
            </w:r>
          </w:p>
        </w:tc>
      </w:tr>
      <w:tr>
        <w:trPr>
          <w:trHeight w:val="211"/>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BUILDING:</w:t>
            </w: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and Tenant.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83"/>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AGREED AREA OF</w:t>
            </w: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263,500 rentable square feet, as mutually agreed by Landlord</w:t>
            </w:r>
          </w:p>
        </w:tc>
      </w:tr>
      <w:tr>
        <w:trPr>
          <w:trHeight w:val="211"/>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PREMISES:</w:t>
            </w: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and Tenant.</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83"/>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BUILDING:</w:t>
            </w: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The building commonly known as The 105 by Breakthrough, 105</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West First Street, Boston, Massachusetts, including all fixtures,</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equipment and other improvements and appurtenances now or</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hereafter erected, located or placed therein or on the land upon</w:t>
            </w:r>
          </w:p>
        </w:tc>
      </w:tr>
      <w:tr>
        <w:trPr>
          <w:trHeight w:val="211"/>
        </w:trPr>
        <w:tc>
          <w:tcPr>
            <w:tcW w:w="280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Arial" w:cs="Arial" w:eastAsia="Arial" w:hAnsi="Arial"/>
                <w:sz w:val="15"/>
                <w:szCs w:val="15"/>
                <w:b w:val="1"/>
                <w:bCs w:val="1"/>
                <w:color w:val="auto"/>
              </w:rPr>
              <w:t>which the Building is located.</w:t>
            </w:r>
          </w:p>
        </w:tc>
        <w:tc>
          <w:tcPr>
            <w:tcW w:w="740" w:type="dxa"/>
            <w:vAlign w:val="bottom"/>
          </w:tcPr>
          <w:p>
            <w:pPr>
              <w:spacing w:after="0"/>
              <w:rPr>
                <w:sz w:val="18"/>
                <w:szCs w:val="18"/>
                <w:color w:val="auto"/>
              </w:rPr>
            </w:pPr>
          </w:p>
        </w:tc>
        <w:tc>
          <w:tcPr>
            <w:tcW w:w="2360" w:type="dxa"/>
            <w:vAlign w:val="bottom"/>
          </w:tcPr>
          <w:p>
            <w:pPr>
              <w:spacing w:after="0"/>
              <w:rPr>
                <w:sz w:val="18"/>
                <w:szCs w:val="18"/>
                <w:color w:val="auto"/>
              </w:rPr>
            </w:pPr>
          </w:p>
        </w:tc>
      </w:tr>
      <w:tr>
        <w:trPr>
          <w:trHeight w:val="283"/>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COMMENCEMENT</w:t>
            </w: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The date on which Landlord tenders possession of the Premises</w:t>
            </w:r>
          </w:p>
        </w:tc>
      </w:tr>
      <w:tr>
        <w:trPr>
          <w:trHeight w:val="211"/>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DATE:</w:t>
            </w: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to Tenant in the Delivery Condition {as defined in Section 4.2).</w:t>
            </w:r>
          </w:p>
        </w:tc>
      </w:tr>
      <w:tr>
        <w:trPr>
          <w:trHeight w:val="283"/>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EXPIRATION DATE:</w:t>
            </w: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The date which is the last day of the calendar month in which the</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day immediately preceding the twelfth (12th) anniversary of the</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Rent Commencement Date occurs or, if the Term of this Lease is</w:t>
            </w:r>
          </w:p>
        </w:tc>
      </w:tr>
      <w:tr>
        <w:trPr>
          <w:trHeight w:val="168"/>
        </w:trPr>
        <w:tc>
          <w:tcPr>
            <w:tcW w:w="2800" w:type="dxa"/>
            <w:vAlign w:val="bottom"/>
          </w:tcPr>
          <w:p>
            <w:pPr>
              <w:spacing w:after="0"/>
              <w:rPr>
                <w:sz w:val="14"/>
                <w:szCs w:val="14"/>
                <w:color w:val="auto"/>
              </w:rPr>
            </w:pPr>
          </w:p>
        </w:tc>
        <w:tc>
          <w:tcPr>
            <w:tcW w:w="5800" w:type="dxa"/>
            <w:vAlign w:val="bottom"/>
            <w:gridSpan w:val="7"/>
          </w:tcPr>
          <w:p>
            <w:pPr>
              <w:spacing w:after="0" w:line="169" w:lineRule="exact"/>
              <w:rPr>
                <w:sz w:val="20"/>
                <w:szCs w:val="20"/>
                <w:color w:val="auto"/>
              </w:rPr>
            </w:pPr>
            <w:r>
              <w:rPr>
                <w:rFonts w:ascii="Arial" w:cs="Arial" w:eastAsia="Arial" w:hAnsi="Arial"/>
                <w:sz w:val="15"/>
                <w:szCs w:val="15"/>
                <w:b w:val="1"/>
                <w:bCs w:val="1"/>
                <w:color w:val="auto"/>
              </w:rPr>
              <w:t>extended in accordance with the provisions of Article 29, the last</w:t>
            </w:r>
          </w:p>
        </w:tc>
      </w:tr>
      <w:tr>
        <w:trPr>
          <w:trHeight w:val="211"/>
        </w:trPr>
        <w:tc>
          <w:tcPr>
            <w:tcW w:w="2800" w:type="dxa"/>
            <w:vAlign w:val="bottom"/>
          </w:tcPr>
          <w:p>
            <w:pPr>
              <w:spacing w:after="0"/>
              <w:rPr>
                <w:sz w:val="18"/>
                <w:szCs w:val="18"/>
                <w:color w:val="auto"/>
              </w:rPr>
            </w:pPr>
          </w:p>
        </w:tc>
        <w:tc>
          <w:tcPr>
            <w:tcW w:w="5800" w:type="dxa"/>
            <w:vAlign w:val="bottom"/>
            <w:gridSpan w:val="7"/>
          </w:tcPr>
          <w:p>
            <w:pPr>
              <w:spacing w:after="0"/>
              <w:rPr>
                <w:sz w:val="20"/>
                <w:szCs w:val="20"/>
                <w:color w:val="auto"/>
              </w:rPr>
            </w:pPr>
            <w:r>
              <w:rPr>
                <w:rFonts w:ascii="Arial" w:cs="Arial" w:eastAsia="Arial" w:hAnsi="Arial"/>
                <w:sz w:val="15"/>
                <w:szCs w:val="15"/>
                <w:b w:val="1"/>
                <w:bCs w:val="1"/>
                <w:color w:val="auto"/>
              </w:rPr>
              <w:t>day of the respective Extension Term.</w:t>
            </w:r>
          </w:p>
        </w:tc>
      </w:tr>
      <w:tr>
        <w:trPr>
          <w:trHeight w:val="280"/>
        </w:trPr>
        <w:tc>
          <w:tcPr>
            <w:tcW w:w="2800" w:type="dxa"/>
            <w:vAlign w:val="bottom"/>
          </w:tcPr>
          <w:p>
            <w:pPr>
              <w:ind w:left="1020"/>
              <w:spacing w:after="0"/>
              <w:rPr>
                <w:sz w:val="20"/>
                <w:szCs w:val="20"/>
                <w:color w:val="auto"/>
              </w:rPr>
            </w:pPr>
            <w:r>
              <w:rPr>
                <w:rFonts w:ascii="Arial" w:cs="Arial" w:eastAsia="Arial" w:hAnsi="Arial"/>
                <w:sz w:val="15"/>
                <w:szCs w:val="15"/>
                <w:b w:val="1"/>
                <w:bCs w:val="1"/>
                <w:color w:val="auto"/>
              </w:rPr>
              <w:t>FIXED RENT:</w:t>
            </w:r>
          </w:p>
        </w:tc>
        <w:tc>
          <w:tcPr>
            <w:tcW w:w="820" w:type="dxa"/>
            <w:vAlign w:val="bottom"/>
          </w:tcPr>
          <w:p>
            <w:pPr>
              <w:spacing w:after="0"/>
              <w:rPr>
                <w:sz w:val="20"/>
                <w:szCs w:val="20"/>
                <w:color w:val="auto"/>
              </w:rPr>
            </w:pPr>
            <w:r>
              <w:rPr>
                <w:rFonts w:ascii="Arial" w:cs="Arial" w:eastAsia="Arial" w:hAnsi="Arial"/>
                <w:sz w:val="15"/>
                <w:szCs w:val="15"/>
                <w:b w:val="1"/>
                <w:bCs w:val="1"/>
                <w:color w:val="auto"/>
              </w:rPr>
              <w:t>Lease Year</w:t>
            </w: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5"/>
                <w:szCs w:val="15"/>
                <w:b w:val="1"/>
                <w:bCs w:val="1"/>
                <w:color w:val="auto"/>
              </w:rPr>
              <w:t>Per Annum</w:t>
            </w:r>
          </w:p>
        </w:tc>
        <w:tc>
          <w:tcPr>
            <w:tcW w:w="480" w:type="dxa"/>
            <w:vAlign w:val="bottom"/>
          </w:tcPr>
          <w:p>
            <w:pPr>
              <w:spacing w:after="0"/>
              <w:rPr>
                <w:sz w:val="24"/>
                <w:szCs w:val="24"/>
                <w:color w:val="auto"/>
              </w:rPr>
            </w:pPr>
          </w:p>
        </w:tc>
        <w:tc>
          <w:tcPr>
            <w:tcW w:w="3100" w:type="dxa"/>
            <w:vAlign w:val="bottom"/>
            <w:gridSpan w:val="2"/>
          </w:tcPr>
          <w:p>
            <w:pPr>
              <w:spacing w:after="0"/>
              <w:rPr>
                <w:sz w:val="20"/>
                <w:szCs w:val="20"/>
                <w:color w:val="auto"/>
              </w:rPr>
            </w:pPr>
            <w:r>
              <w:rPr>
                <w:rFonts w:ascii="Arial" w:cs="Arial" w:eastAsia="Arial" w:hAnsi="Arial"/>
                <w:sz w:val="15"/>
                <w:szCs w:val="15"/>
                <w:b w:val="1"/>
                <w:bCs w:val="1"/>
                <w:color w:val="auto"/>
              </w:rPr>
              <w:t>Per Month</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50"/>
        </w:trPr>
        <w:tc>
          <w:tcPr>
            <w:tcW w:w="2800" w:type="dxa"/>
            <w:vAlign w:val="bottom"/>
          </w:tcPr>
          <w:p>
            <w:pPr>
              <w:spacing w:after="0"/>
              <w:rPr>
                <w:sz w:val="24"/>
                <w:szCs w:val="24"/>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Lease Year 1</w:t>
            </w:r>
          </w:p>
        </w:tc>
        <w:tc>
          <w:tcPr>
            <w:tcW w:w="12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5"/>
                <w:szCs w:val="15"/>
                <w:color w:val="auto"/>
              </w:rPr>
              <w:t>$</w:t>
            </w:r>
          </w:p>
        </w:tc>
        <w:tc>
          <w:tcPr>
            <w:tcW w:w="2360" w:type="dxa"/>
            <w:vAlign w:val="bottom"/>
          </w:tcPr>
          <w:p>
            <w:pPr>
              <w:spacing w:after="0"/>
              <w:rPr>
                <w:sz w:val="24"/>
                <w:szCs w:val="24"/>
                <w:color w:val="auto"/>
              </w:rPr>
            </w:pPr>
          </w:p>
        </w:tc>
      </w:tr>
      <w:tr>
        <w:trPr>
          <w:trHeight w:val="200"/>
        </w:trPr>
        <w:tc>
          <w:tcPr>
            <w:tcW w:w="28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Lease Year 2</w:t>
            </w:r>
          </w:p>
        </w:tc>
        <w:tc>
          <w:tcPr>
            <w:tcW w:w="12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5"/>
                <w:szCs w:val="15"/>
                <w:color w:val="auto"/>
              </w:rPr>
              <w:t>$</w:t>
            </w:r>
          </w:p>
        </w:tc>
        <w:tc>
          <w:tcPr>
            <w:tcW w:w="2360" w:type="dxa"/>
            <w:vAlign w:val="bottom"/>
          </w:tcPr>
          <w:p>
            <w:pPr>
              <w:spacing w:after="0"/>
              <w:rPr>
                <w:sz w:val="17"/>
                <w:szCs w:val="17"/>
                <w:color w:val="auto"/>
              </w:rPr>
            </w:pPr>
          </w:p>
        </w:tc>
      </w:tr>
      <w:tr>
        <w:trPr>
          <w:trHeight w:val="200"/>
        </w:trPr>
        <w:tc>
          <w:tcPr>
            <w:tcW w:w="28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Lease Year 3</w:t>
            </w:r>
          </w:p>
        </w:tc>
        <w:tc>
          <w:tcPr>
            <w:tcW w:w="12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5"/>
                <w:szCs w:val="15"/>
                <w:color w:val="auto"/>
              </w:rPr>
              <w:t>$</w:t>
            </w:r>
          </w:p>
        </w:tc>
        <w:tc>
          <w:tcPr>
            <w:tcW w:w="2360" w:type="dxa"/>
            <w:vAlign w:val="bottom"/>
          </w:tcPr>
          <w:p>
            <w:pPr>
              <w:spacing w:after="0"/>
              <w:rPr>
                <w:sz w:val="17"/>
                <w:szCs w:val="17"/>
                <w:color w:val="auto"/>
              </w:rPr>
            </w:pPr>
          </w:p>
        </w:tc>
      </w:tr>
      <w:tr>
        <w:trPr>
          <w:trHeight w:val="200"/>
        </w:trPr>
        <w:tc>
          <w:tcPr>
            <w:tcW w:w="2800" w:type="dxa"/>
            <w:vAlign w:val="bottom"/>
          </w:tcPr>
          <w:p>
            <w:pPr>
              <w:spacing w:after="0"/>
              <w:rPr>
                <w:sz w:val="17"/>
                <w:szCs w:val="17"/>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Lease Year 4</w:t>
            </w:r>
          </w:p>
        </w:tc>
        <w:tc>
          <w:tcPr>
            <w:tcW w:w="12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7"/>
                <w:szCs w:val="17"/>
                <w:color w:val="auto"/>
              </w:rPr>
            </w:pPr>
          </w:p>
        </w:tc>
        <w:tc>
          <w:tcPr>
            <w:tcW w:w="740" w:type="dxa"/>
            <w:vAlign w:val="bottom"/>
          </w:tcPr>
          <w:p>
            <w:pPr>
              <w:spacing w:after="0"/>
              <w:rPr>
                <w:sz w:val="20"/>
                <w:szCs w:val="20"/>
                <w:color w:val="auto"/>
              </w:rPr>
            </w:pPr>
            <w:r>
              <w:rPr>
                <w:rFonts w:ascii="Arial" w:cs="Arial" w:eastAsia="Arial" w:hAnsi="Arial"/>
                <w:sz w:val="15"/>
                <w:szCs w:val="15"/>
                <w:color w:val="auto"/>
              </w:rPr>
              <w:t>$</w:t>
            </w:r>
          </w:p>
        </w:tc>
        <w:tc>
          <w:tcPr>
            <w:tcW w:w="2360" w:type="dxa"/>
            <w:vAlign w:val="bottom"/>
          </w:tcPr>
          <w:p>
            <w:pPr>
              <w:spacing w:after="0"/>
              <w:rPr>
                <w:sz w:val="17"/>
                <w:szCs w:val="17"/>
                <w:color w:val="auto"/>
              </w:rPr>
            </w:pPr>
          </w:p>
        </w:tc>
      </w:tr>
      <w:tr>
        <w:trPr>
          <w:trHeight w:val="211"/>
        </w:trPr>
        <w:tc>
          <w:tcPr>
            <w:tcW w:w="280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5"/>
                <w:szCs w:val="15"/>
                <w:b w:val="1"/>
                <w:bCs w:val="1"/>
                <w:color w:val="auto"/>
              </w:rPr>
              <w:t>Lease Year 5</w:t>
            </w:r>
          </w:p>
        </w:tc>
        <w:tc>
          <w:tcPr>
            <w:tcW w:w="1200" w:type="dxa"/>
            <w:vAlign w:val="bottom"/>
            <w:gridSpan w:val="2"/>
          </w:tcPr>
          <w:p>
            <w:pPr>
              <w:ind w:left="3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Arial" w:cs="Arial" w:eastAsia="Arial" w:hAnsi="Arial"/>
                <w:sz w:val="15"/>
                <w:szCs w:val="15"/>
                <w:color w:val="auto"/>
              </w:rPr>
              <w:t>$</w:t>
            </w:r>
          </w:p>
        </w:tc>
        <w:tc>
          <w:tcPr>
            <w:tcW w:w="2360" w:type="dxa"/>
            <w:vAlign w:val="bottom"/>
          </w:tcPr>
          <w:p>
            <w:pPr>
              <w:spacing w:after="0"/>
              <w:rPr>
                <w:sz w:val="18"/>
                <w:szCs w:val="18"/>
                <w:color w:val="auto"/>
              </w:rPr>
            </w:pPr>
          </w:p>
        </w:tc>
      </w:tr>
      <w:tr>
        <w:trPr>
          <w:trHeight w:val="524"/>
        </w:trPr>
        <w:tc>
          <w:tcPr>
            <w:tcW w:w="2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gridSpan w:val="2"/>
          </w:tcPr>
          <w:p>
            <w:pPr>
              <w:jc w:val="center"/>
              <w:ind w:right="163"/>
              <w:spacing w:after="0"/>
              <w:rPr>
                <w:sz w:val="20"/>
                <w:szCs w:val="20"/>
                <w:color w:val="auto"/>
              </w:rPr>
            </w:pPr>
            <w:r>
              <w:rPr>
                <w:rFonts w:ascii="Arial" w:cs="Arial" w:eastAsia="Arial" w:hAnsi="Arial"/>
                <w:sz w:val="14"/>
                <w:szCs w:val="14"/>
                <w:color w:val="auto"/>
                <w:w w:val="93"/>
              </w:rPr>
              <w:t>-1-</w:t>
            </w: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567"/>
        </w:trPr>
        <w:tc>
          <w:tcPr>
            <w:tcW w:w="280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662" w:name="page663"/>
    <w:bookmarkEnd w:id="662"/>
    <w:tbl>
      <w:tblPr>
        <w:tblLayout w:type="fixed"/>
        <w:tblInd w:w="1220" w:type="dxa"/>
        <w:tblCellMar>
          <w:top w:w="0" w:type="dxa"/>
          <w:left w:w="0" w:type="dxa"/>
          <w:bottom w:w="0" w:type="dxa"/>
          <w:right w:w="0" w:type="dxa"/>
        </w:tblCellMar>
      </w:tblPr>
      <w:tr>
        <w:trPr>
          <w:trHeight w:val="200"/>
        </w:trPr>
        <w:tc>
          <w:tcPr>
            <w:tcW w:w="154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5"/>
                <w:szCs w:val="15"/>
                <w:b w:val="1"/>
                <w:bCs w:val="1"/>
                <w:color w:val="auto"/>
              </w:rPr>
              <w:t>Lease Year 6</w:t>
            </w:r>
          </w:p>
        </w:tc>
        <w:tc>
          <w:tcPr>
            <w:tcW w:w="1340" w:type="dxa"/>
            <w:vAlign w:val="bottom"/>
          </w:tcPr>
          <w:p>
            <w:pPr>
              <w:jc w:val="right"/>
              <w:ind w:right="983"/>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1923"/>
              <w:spacing w:after="0"/>
              <w:rPr>
                <w:sz w:val="20"/>
                <w:szCs w:val="20"/>
                <w:color w:val="auto"/>
              </w:rPr>
            </w:pPr>
            <w:r>
              <w:rPr>
                <w:rFonts w:ascii="Arial" w:cs="Arial" w:eastAsia="Arial" w:hAnsi="Arial"/>
                <w:sz w:val="15"/>
                <w:szCs w:val="15"/>
                <w:color w:val="auto"/>
              </w:rPr>
              <w:t>$</w:t>
            </w:r>
          </w:p>
        </w:tc>
      </w:tr>
      <w:tr>
        <w:trPr>
          <w:trHeight w:val="200"/>
        </w:trPr>
        <w:tc>
          <w:tcPr>
            <w:tcW w:w="154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5"/>
                <w:szCs w:val="15"/>
                <w:b w:val="1"/>
                <w:bCs w:val="1"/>
                <w:color w:val="auto"/>
              </w:rPr>
              <w:t>Lease Year 7</w:t>
            </w:r>
          </w:p>
        </w:tc>
        <w:tc>
          <w:tcPr>
            <w:tcW w:w="1340" w:type="dxa"/>
            <w:vAlign w:val="bottom"/>
          </w:tcPr>
          <w:p>
            <w:pPr>
              <w:jc w:val="right"/>
              <w:ind w:right="983"/>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1923"/>
              <w:spacing w:after="0"/>
              <w:rPr>
                <w:sz w:val="20"/>
                <w:szCs w:val="20"/>
                <w:color w:val="auto"/>
              </w:rPr>
            </w:pPr>
            <w:r>
              <w:rPr>
                <w:rFonts w:ascii="Arial" w:cs="Arial" w:eastAsia="Arial" w:hAnsi="Arial"/>
                <w:sz w:val="15"/>
                <w:szCs w:val="15"/>
                <w:color w:val="auto"/>
              </w:rPr>
              <w:t>$</w:t>
            </w:r>
          </w:p>
        </w:tc>
      </w:tr>
      <w:tr>
        <w:trPr>
          <w:trHeight w:val="200"/>
        </w:trPr>
        <w:tc>
          <w:tcPr>
            <w:tcW w:w="154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5"/>
                <w:szCs w:val="15"/>
                <w:b w:val="1"/>
                <w:bCs w:val="1"/>
                <w:color w:val="auto"/>
              </w:rPr>
              <w:t>Lease Year 8</w:t>
            </w:r>
          </w:p>
        </w:tc>
        <w:tc>
          <w:tcPr>
            <w:tcW w:w="1340" w:type="dxa"/>
            <w:vAlign w:val="bottom"/>
          </w:tcPr>
          <w:p>
            <w:pPr>
              <w:jc w:val="right"/>
              <w:ind w:right="983"/>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1923"/>
              <w:spacing w:after="0"/>
              <w:rPr>
                <w:sz w:val="20"/>
                <w:szCs w:val="20"/>
                <w:color w:val="auto"/>
              </w:rPr>
            </w:pPr>
            <w:r>
              <w:rPr>
                <w:rFonts w:ascii="Arial" w:cs="Arial" w:eastAsia="Arial" w:hAnsi="Arial"/>
                <w:sz w:val="15"/>
                <w:szCs w:val="15"/>
                <w:color w:val="auto"/>
              </w:rPr>
              <w:t>$</w:t>
            </w:r>
          </w:p>
        </w:tc>
      </w:tr>
      <w:tr>
        <w:trPr>
          <w:trHeight w:val="200"/>
        </w:trPr>
        <w:tc>
          <w:tcPr>
            <w:tcW w:w="154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5"/>
                <w:szCs w:val="15"/>
                <w:b w:val="1"/>
                <w:bCs w:val="1"/>
                <w:color w:val="auto"/>
              </w:rPr>
              <w:t>Lease Year 9</w:t>
            </w:r>
          </w:p>
        </w:tc>
        <w:tc>
          <w:tcPr>
            <w:tcW w:w="1340" w:type="dxa"/>
            <w:vAlign w:val="bottom"/>
          </w:tcPr>
          <w:p>
            <w:pPr>
              <w:jc w:val="right"/>
              <w:ind w:right="983"/>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1923"/>
              <w:spacing w:after="0"/>
              <w:rPr>
                <w:sz w:val="20"/>
                <w:szCs w:val="20"/>
                <w:color w:val="auto"/>
              </w:rPr>
            </w:pPr>
            <w:r>
              <w:rPr>
                <w:rFonts w:ascii="Arial" w:cs="Arial" w:eastAsia="Arial" w:hAnsi="Arial"/>
                <w:sz w:val="15"/>
                <w:szCs w:val="15"/>
                <w:color w:val="auto"/>
              </w:rPr>
              <w:t>$</w:t>
            </w:r>
          </w:p>
        </w:tc>
      </w:tr>
      <w:tr>
        <w:trPr>
          <w:trHeight w:val="200"/>
        </w:trPr>
        <w:tc>
          <w:tcPr>
            <w:tcW w:w="154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5"/>
                <w:szCs w:val="15"/>
                <w:b w:val="1"/>
                <w:bCs w:val="1"/>
                <w:color w:val="auto"/>
              </w:rPr>
              <w:t>Lease Year 10</w:t>
            </w:r>
          </w:p>
        </w:tc>
        <w:tc>
          <w:tcPr>
            <w:tcW w:w="1340" w:type="dxa"/>
            <w:vAlign w:val="bottom"/>
          </w:tcPr>
          <w:p>
            <w:pPr>
              <w:jc w:val="right"/>
              <w:ind w:right="983"/>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1923"/>
              <w:spacing w:after="0"/>
              <w:rPr>
                <w:sz w:val="20"/>
                <w:szCs w:val="20"/>
                <w:color w:val="auto"/>
              </w:rPr>
            </w:pPr>
            <w:r>
              <w:rPr>
                <w:rFonts w:ascii="Arial" w:cs="Arial" w:eastAsia="Arial" w:hAnsi="Arial"/>
                <w:sz w:val="15"/>
                <w:szCs w:val="15"/>
                <w:color w:val="auto"/>
              </w:rPr>
              <w:t>$</w:t>
            </w:r>
          </w:p>
        </w:tc>
      </w:tr>
      <w:tr>
        <w:trPr>
          <w:trHeight w:val="200"/>
        </w:trPr>
        <w:tc>
          <w:tcPr>
            <w:tcW w:w="1540" w:type="dxa"/>
            <w:vAlign w:val="bottom"/>
          </w:tcPr>
          <w:p>
            <w:pPr>
              <w:spacing w:after="0"/>
              <w:rPr>
                <w:sz w:val="17"/>
                <w:szCs w:val="17"/>
                <w:color w:val="auto"/>
              </w:rPr>
            </w:pPr>
          </w:p>
        </w:tc>
        <w:tc>
          <w:tcPr>
            <w:tcW w:w="1440" w:type="dxa"/>
            <w:vAlign w:val="bottom"/>
          </w:tcPr>
          <w:p>
            <w:pPr>
              <w:ind w:left="240"/>
              <w:spacing w:after="0"/>
              <w:rPr>
                <w:sz w:val="20"/>
                <w:szCs w:val="20"/>
                <w:color w:val="auto"/>
              </w:rPr>
            </w:pPr>
            <w:r>
              <w:rPr>
                <w:rFonts w:ascii="Arial" w:cs="Arial" w:eastAsia="Arial" w:hAnsi="Arial"/>
                <w:sz w:val="15"/>
                <w:szCs w:val="15"/>
                <w:b w:val="1"/>
                <w:bCs w:val="1"/>
                <w:color w:val="auto"/>
              </w:rPr>
              <w:t>Lease Year 11</w:t>
            </w:r>
          </w:p>
        </w:tc>
        <w:tc>
          <w:tcPr>
            <w:tcW w:w="1340" w:type="dxa"/>
            <w:vAlign w:val="bottom"/>
          </w:tcPr>
          <w:p>
            <w:pPr>
              <w:jc w:val="right"/>
              <w:ind w:right="983"/>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1923"/>
              <w:spacing w:after="0"/>
              <w:rPr>
                <w:sz w:val="20"/>
                <w:szCs w:val="20"/>
                <w:color w:val="auto"/>
              </w:rPr>
            </w:pPr>
            <w:r>
              <w:rPr>
                <w:rFonts w:ascii="Arial" w:cs="Arial" w:eastAsia="Arial" w:hAnsi="Arial"/>
                <w:sz w:val="15"/>
                <w:szCs w:val="15"/>
                <w:color w:val="auto"/>
              </w:rPr>
              <w:t>$</w:t>
            </w:r>
          </w:p>
        </w:tc>
      </w:tr>
      <w:tr>
        <w:trPr>
          <w:trHeight w:val="211"/>
        </w:trPr>
        <w:tc>
          <w:tcPr>
            <w:tcW w:w="1540" w:type="dxa"/>
            <w:vAlign w:val="bottom"/>
          </w:tcPr>
          <w:p>
            <w:pPr>
              <w:spacing w:after="0"/>
              <w:rPr>
                <w:sz w:val="18"/>
                <w:szCs w:val="18"/>
                <w:color w:val="auto"/>
              </w:rPr>
            </w:pPr>
          </w:p>
        </w:tc>
        <w:tc>
          <w:tcPr>
            <w:tcW w:w="1440" w:type="dxa"/>
            <w:vAlign w:val="bottom"/>
          </w:tcPr>
          <w:p>
            <w:pPr>
              <w:ind w:left="240"/>
              <w:spacing w:after="0"/>
              <w:rPr>
                <w:sz w:val="20"/>
                <w:szCs w:val="20"/>
                <w:color w:val="auto"/>
              </w:rPr>
            </w:pPr>
            <w:r>
              <w:rPr>
                <w:rFonts w:ascii="Arial" w:cs="Arial" w:eastAsia="Arial" w:hAnsi="Arial"/>
                <w:sz w:val="15"/>
                <w:szCs w:val="15"/>
                <w:b w:val="1"/>
                <w:bCs w:val="1"/>
                <w:color w:val="auto"/>
              </w:rPr>
              <w:t>Lease Year 12</w:t>
            </w:r>
          </w:p>
        </w:tc>
        <w:tc>
          <w:tcPr>
            <w:tcW w:w="1340" w:type="dxa"/>
            <w:vAlign w:val="bottom"/>
          </w:tcPr>
          <w:p>
            <w:pPr>
              <w:jc w:val="right"/>
              <w:ind w:right="983"/>
              <w:spacing w:after="0"/>
              <w:rPr>
                <w:sz w:val="20"/>
                <w:szCs w:val="20"/>
                <w:color w:val="auto"/>
              </w:rPr>
            </w:pPr>
            <w:r>
              <w:rPr>
                <w:rFonts w:ascii="Arial" w:cs="Arial" w:eastAsia="Arial" w:hAnsi="Arial"/>
                <w:sz w:val="15"/>
                <w:szCs w:val="15"/>
                <w:color w:val="auto"/>
              </w:rPr>
              <w:t>$</w:t>
            </w:r>
          </w:p>
        </w:tc>
        <w:tc>
          <w:tcPr>
            <w:tcW w:w="2240" w:type="dxa"/>
            <w:vAlign w:val="bottom"/>
          </w:tcPr>
          <w:p>
            <w:pPr>
              <w:jc w:val="right"/>
              <w:ind w:right="1923"/>
              <w:spacing w:after="0"/>
              <w:rPr>
                <w:sz w:val="20"/>
                <w:szCs w:val="20"/>
                <w:color w:val="auto"/>
              </w:rPr>
            </w:pPr>
            <w:r>
              <w:rPr>
                <w:rFonts w:ascii="Arial" w:cs="Arial" w:eastAsia="Arial" w:hAnsi="Arial"/>
                <w:sz w:val="15"/>
                <w:szCs w:val="15"/>
                <w:color w:val="auto"/>
              </w:rPr>
              <w:t>$</w:t>
            </w:r>
          </w:p>
        </w:tc>
      </w:tr>
      <w:tr>
        <w:trPr>
          <w:trHeight w:val="378"/>
        </w:trPr>
        <w:tc>
          <w:tcPr>
            <w:tcW w:w="1540" w:type="dxa"/>
            <w:vAlign w:val="bottom"/>
          </w:tcPr>
          <w:p>
            <w:pPr>
              <w:spacing w:after="0"/>
              <w:rPr>
                <w:sz w:val="20"/>
                <w:szCs w:val="20"/>
                <w:color w:val="auto"/>
              </w:rPr>
            </w:pPr>
            <w:r>
              <w:rPr>
                <w:rFonts w:ascii="Arial" w:cs="Arial" w:eastAsia="Arial" w:hAnsi="Arial"/>
                <w:sz w:val="15"/>
                <w:szCs w:val="15"/>
                <w:b w:val="1"/>
                <w:bCs w:val="1"/>
                <w:color w:val="auto"/>
              </w:rPr>
              <w:t>GUARANTOR:</w:t>
            </w:r>
          </w:p>
        </w:tc>
        <w:tc>
          <w:tcPr>
            <w:tcW w:w="5020" w:type="dxa"/>
            <w:vAlign w:val="bottom"/>
            <w:gridSpan w:val="3"/>
          </w:tcPr>
          <w:p>
            <w:pPr>
              <w:ind w:left="240"/>
              <w:spacing w:after="0"/>
              <w:rPr>
                <w:sz w:val="20"/>
                <w:szCs w:val="20"/>
                <w:color w:val="auto"/>
              </w:rPr>
            </w:pPr>
            <w:r>
              <w:rPr>
                <w:rFonts w:ascii="Arial" w:cs="Arial" w:eastAsia="Arial" w:hAnsi="Arial"/>
                <w:sz w:val="15"/>
                <w:szCs w:val="15"/>
                <w:b w:val="1"/>
                <w:bCs w:val="1"/>
                <w:color w:val="auto"/>
              </w:rPr>
              <w:t>CRISPR Therapeutics AG, a Swiss corporation.</w:t>
            </w:r>
          </w:p>
        </w:tc>
      </w:tr>
      <w:tr>
        <w:trPr>
          <w:trHeight w:val="283"/>
        </w:trPr>
        <w:tc>
          <w:tcPr>
            <w:tcW w:w="1540" w:type="dxa"/>
            <w:vAlign w:val="bottom"/>
          </w:tcPr>
          <w:p>
            <w:pPr>
              <w:spacing w:after="0"/>
              <w:rPr>
                <w:sz w:val="20"/>
                <w:szCs w:val="20"/>
                <w:color w:val="auto"/>
              </w:rPr>
            </w:pPr>
            <w:r>
              <w:rPr>
                <w:rFonts w:ascii="Arial" w:cs="Arial" w:eastAsia="Arial" w:hAnsi="Arial"/>
                <w:sz w:val="15"/>
                <w:szCs w:val="15"/>
                <w:b w:val="1"/>
                <w:bCs w:val="1"/>
                <w:color w:val="auto"/>
              </w:rPr>
              <w:t>INTEREST RATE:</w:t>
            </w:r>
          </w:p>
        </w:tc>
        <w:tc>
          <w:tcPr>
            <w:tcW w:w="5020" w:type="dxa"/>
            <w:vAlign w:val="bottom"/>
            <w:gridSpan w:val="3"/>
          </w:tcPr>
          <w:p>
            <w:pPr>
              <w:ind w:left="240"/>
              <w:spacing w:after="0"/>
              <w:rPr>
                <w:sz w:val="20"/>
                <w:szCs w:val="20"/>
                <w:color w:val="auto"/>
              </w:rPr>
            </w:pPr>
            <w:r>
              <w:rPr>
                <w:rFonts w:ascii="Arial" w:cs="Arial" w:eastAsia="Arial" w:hAnsi="Arial"/>
                <w:sz w:val="15"/>
                <w:szCs w:val="15"/>
                <w:b w:val="1"/>
                <w:bCs w:val="1"/>
                <w:color w:val="auto"/>
              </w:rPr>
              <w:t>The lesser of (i) 4% per annum above the then-current Base Rate,</w:t>
            </w:r>
          </w:p>
        </w:tc>
      </w:tr>
      <w:tr>
        <w:trPr>
          <w:trHeight w:val="211"/>
        </w:trPr>
        <w:tc>
          <w:tcPr>
            <w:tcW w:w="1540" w:type="dxa"/>
            <w:vAlign w:val="bottom"/>
          </w:tcPr>
          <w:p>
            <w:pPr>
              <w:spacing w:after="0"/>
              <w:rPr>
                <w:sz w:val="18"/>
                <w:szCs w:val="18"/>
                <w:color w:val="auto"/>
              </w:rPr>
            </w:pPr>
          </w:p>
        </w:tc>
        <w:tc>
          <w:tcPr>
            <w:tcW w:w="5020" w:type="dxa"/>
            <w:vAlign w:val="bottom"/>
            <w:gridSpan w:val="3"/>
          </w:tcPr>
          <w:p>
            <w:pPr>
              <w:ind w:left="240"/>
              <w:spacing w:after="0"/>
              <w:rPr>
                <w:sz w:val="20"/>
                <w:szCs w:val="20"/>
                <w:color w:val="auto"/>
              </w:rPr>
            </w:pPr>
            <w:r>
              <w:rPr>
                <w:rFonts w:ascii="Arial" w:cs="Arial" w:eastAsia="Arial" w:hAnsi="Arial"/>
                <w:sz w:val="15"/>
                <w:szCs w:val="15"/>
                <w:b w:val="1"/>
                <w:bCs w:val="1"/>
                <w:color w:val="auto"/>
              </w:rPr>
              <w:t>and (ii) the maximum rate permitted by applicable Requirements.</w:t>
            </w:r>
          </w:p>
        </w:tc>
      </w:tr>
      <w:tr>
        <w:trPr>
          <w:trHeight w:val="283"/>
        </w:trPr>
        <w:tc>
          <w:tcPr>
            <w:tcW w:w="1540" w:type="dxa"/>
            <w:vAlign w:val="bottom"/>
          </w:tcPr>
          <w:p>
            <w:pPr>
              <w:spacing w:after="0"/>
              <w:rPr>
                <w:sz w:val="20"/>
                <w:szCs w:val="20"/>
                <w:color w:val="auto"/>
              </w:rPr>
            </w:pPr>
            <w:r>
              <w:rPr>
                <w:rFonts w:ascii="Arial" w:cs="Arial" w:eastAsia="Arial" w:hAnsi="Arial"/>
                <w:sz w:val="15"/>
                <w:szCs w:val="15"/>
                <w:b w:val="1"/>
                <w:bCs w:val="1"/>
                <w:color w:val="auto"/>
              </w:rPr>
              <w:t>LANDLORD'S</w:t>
            </w:r>
          </w:p>
        </w:tc>
        <w:tc>
          <w:tcPr>
            <w:tcW w:w="2780" w:type="dxa"/>
            <w:vAlign w:val="bottom"/>
            <w:gridSpan w:val="2"/>
          </w:tcPr>
          <w:p>
            <w:pPr>
              <w:ind w:left="240"/>
              <w:spacing w:after="0"/>
              <w:rPr>
                <w:sz w:val="20"/>
                <w:szCs w:val="20"/>
                <w:color w:val="auto"/>
              </w:rPr>
            </w:pPr>
            <w:r>
              <w:rPr>
                <w:rFonts w:ascii="Arial" w:cs="Arial" w:eastAsia="Arial" w:hAnsi="Arial"/>
                <w:sz w:val="15"/>
                <w:szCs w:val="15"/>
                <w:b w:val="1"/>
                <w:bCs w:val="1"/>
                <w:color w:val="auto"/>
              </w:rPr>
              <w:t>105 W First Street Owner, L.L.C.</w:t>
            </w:r>
          </w:p>
        </w:tc>
        <w:tc>
          <w:tcPr>
            <w:tcW w:w="2240" w:type="dxa"/>
            <w:vAlign w:val="bottom"/>
          </w:tcPr>
          <w:p>
            <w:pPr>
              <w:spacing w:after="0"/>
              <w:rPr>
                <w:sz w:val="24"/>
                <w:szCs w:val="24"/>
                <w:color w:val="auto"/>
              </w:rPr>
            </w:pPr>
          </w:p>
        </w:tc>
      </w:tr>
      <w:tr>
        <w:trPr>
          <w:trHeight w:val="168"/>
        </w:trPr>
        <w:tc>
          <w:tcPr>
            <w:tcW w:w="1540" w:type="dxa"/>
            <w:vAlign w:val="bottom"/>
          </w:tcPr>
          <w:p>
            <w:pPr>
              <w:spacing w:after="0" w:line="169" w:lineRule="exact"/>
              <w:rPr>
                <w:sz w:val="20"/>
                <w:szCs w:val="20"/>
                <w:color w:val="auto"/>
              </w:rPr>
            </w:pPr>
            <w:r>
              <w:rPr>
                <w:rFonts w:ascii="Arial" w:cs="Arial" w:eastAsia="Arial" w:hAnsi="Arial"/>
                <w:sz w:val="15"/>
                <w:szCs w:val="15"/>
                <w:b w:val="1"/>
                <w:bCs w:val="1"/>
                <w:color w:val="auto"/>
              </w:rPr>
              <w:t>ADDRESS FOR</w:t>
            </w:r>
          </w:p>
        </w:tc>
        <w:tc>
          <w:tcPr>
            <w:tcW w:w="2780" w:type="dxa"/>
            <w:vAlign w:val="bottom"/>
            <w:gridSpan w:val="2"/>
          </w:tcPr>
          <w:p>
            <w:pPr>
              <w:ind w:left="240"/>
              <w:spacing w:after="0" w:line="169" w:lineRule="exact"/>
              <w:rPr>
                <w:sz w:val="20"/>
                <w:szCs w:val="20"/>
                <w:color w:val="auto"/>
              </w:rPr>
            </w:pPr>
            <w:r>
              <w:rPr>
                <w:rFonts w:ascii="Arial" w:cs="Arial" w:eastAsia="Arial" w:hAnsi="Arial"/>
                <w:sz w:val="15"/>
                <w:szCs w:val="15"/>
                <w:b w:val="1"/>
                <w:bCs w:val="1"/>
                <w:color w:val="auto"/>
              </w:rPr>
              <w:t>c/o Breakthrough Spaces, L.L.C.</w:t>
            </w:r>
          </w:p>
        </w:tc>
        <w:tc>
          <w:tcPr>
            <w:tcW w:w="2240" w:type="dxa"/>
            <w:vAlign w:val="bottom"/>
          </w:tcPr>
          <w:p>
            <w:pPr>
              <w:spacing w:after="0"/>
              <w:rPr>
                <w:sz w:val="14"/>
                <w:szCs w:val="14"/>
                <w:color w:val="auto"/>
              </w:rPr>
            </w:pPr>
          </w:p>
        </w:tc>
      </w:tr>
      <w:tr>
        <w:trPr>
          <w:trHeight w:val="168"/>
        </w:trPr>
        <w:tc>
          <w:tcPr>
            <w:tcW w:w="1540" w:type="dxa"/>
            <w:vAlign w:val="bottom"/>
          </w:tcPr>
          <w:p>
            <w:pPr>
              <w:spacing w:after="0" w:line="169" w:lineRule="exact"/>
              <w:rPr>
                <w:sz w:val="20"/>
                <w:szCs w:val="20"/>
                <w:color w:val="auto"/>
              </w:rPr>
            </w:pPr>
            <w:r>
              <w:rPr>
                <w:rFonts w:ascii="Arial" w:cs="Arial" w:eastAsia="Arial" w:hAnsi="Arial"/>
                <w:sz w:val="15"/>
                <w:szCs w:val="15"/>
                <w:b w:val="1"/>
                <w:bCs w:val="1"/>
                <w:color w:val="auto"/>
              </w:rPr>
              <w:t>NOTICES:</w:t>
            </w:r>
          </w:p>
        </w:tc>
        <w:tc>
          <w:tcPr>
            <w:tcW w:w="2780" w:type="dxa"/>
            <w:vAlign w:val="bottom"/>
            <w:gridSpan w:val="2"/>
          </w:tcPr>
          <w:p>
            <w:pPr>
              <w:ind w:left="240"/>
              <w:spacing w:after="0" w:line="169" w:lineRule="exact"/>
              <w:rPr>
                <w:sz w:val="20"/>
                <w:szCs w:val="20"/>
                <w:color w:val="auto"/>
              </w:rPr>
            </w:pPr>
            <w:r>
              <w:rPr>
                <w:rFonts w:ascii="Arial" w:cs="Arial" w:eastAsia="Arial" w:hAnsi="Arial"/>
                <w:sz w:val="15"/>
                <w:szCs w:val="15"/>
                <w:b w:val="1"/>
                <w:bCs w:val="1"/>
                <w:color w:val="auto"/>
              </w:rPr>
              <w:t>105 West First Street</w:t>
            </w:r>
          </w:p>
        </w:tc>
        <w:tc>
          <w:tcPr>
            <w:tcW w:w="224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2780" w:type="dxa"/>
            <w:vAlign w:val="bottom"/>
            <w:gridSpan w:val="2"/>
          </w:tcPr>
          <w:p>
            <w:pPr>
              <w:ind w:left="240"/>
              <w:spacing w:after="0" w:line="169" w:lineRule="exact"/>
              <w:rPr>
                <w:sz w:val="20"/>
                <w:szCs w:val="20"/>
                <w:color w:val="auto"/>
              </w:rPr>
            </w:pPr>
            <w:r>
              <w:rPr>
                <w:rFonts w:ascii="Arial" w:cs="Arial" w:eastAsia="Arial" w:hAnsi="Arial"/>
                <w:sz w:val="15"/>
                <w:szCs w:val="15"/>
                <w:b w:val="1"/>
                <w:bCs w:val="1"/>
                <w:color w:val="auto"/>
              </w:rPr>
              <w:t>Boston, Massachusetts 02210</w:t>
            </w:r>
          </w:p>
        </w:tc>
        <w:tc>
          <w:tcPr>
            <w:tcW w:w="2240" w:type="dxa"/>
            <w:vAlign w:val="bottom"/>
          </w:tcPr>
          <w:p>
            <w:pPr>
              <w:spacing w:after="0"/>
              <w:rPr>
                <w:sz w:val="14"/>
                <w:szCs w:val="14"/>
                <w:color w:val="auto"/>
              </w:rPr>
            </w:pPr>
          </w:p>
        </w:tc>
      </w:tr>
      <w:tr>
        <w:trPr>
          <w:trHeight w:val="211"/>
        </w:trPr>
        <w:tc>
          <w:tcPr>
            <w:tcW w:w="1540" w:type="dxa"/>
            <w:vAlign w:val="bottom"/>
          </w:tcPr>
          <w:p>
            <w:pPr>
              <w:spacing w:after="0"/>
              <w:rPr>
                <w:sz w:val="18"/>
                <w:szCs w:val="18"/>
                <w:color w:val="auto"/>
              </w:rPr>
            </w:pPr>
          </w:p>
        </w:tc>
        <w:tc>
          <w:tcPr>
            <w:tcW w:w="2780" w:type="dxa"/>
            <w:vAlign w:val="bottom"/>
            <w:gridSpan w:val="2"/>
          </w:tcPr>
          <w:p>
            <w:pPr>
              <w:ind w:left="240"/>
              <w:spacing w:after="0"/>
              <w:rPr>
                <w:sz w:val="20"/>
                <w:szCs w:val="20"/>
                <w:color w:val="auto"/>
              </w:rPr>
            </w:pPr>
            <w:r>
              <w:rPr>
                <w:rFonts w:ascii="Arial" w:cs="Arial" w:eastAsia="Arial" w:hAnsi="Arial"/>
                <w:sz w:val="15"/>
                <w:szCs w:val="15"/>
                <w:b w:val="1"/>
                <w:bCs w:val="1"/>
                <w:color w:val="auto"/>
              </w:rPr>
              <w:t>Attn: Office of the Building</w:t>
            </w:r>
          </w:p>
        </w:tc>
        <w:tc>
          <w:tcPr>
            <w:tcW w:w="2240" w:type="dxa"/>
            <w:vAlign w:val="bottom"/>
          </w:tcPr>
          <w:p>
            <w:pPr>
              <w:spacing w:after="0"/>
              <w:rPr>
                <w:sz w:val="18"/>
                <w:szCs w:val="18"/>
                <w:color w:val="auto"/>
              </w:rPr>
            </w:pPr>
          </w:p>
        </w:tc>
      </w:tr>
    </w:tbl>
    <w:p>
      <w:pPr>
        <w:spacing w:after="0" w:line="114"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with copies to:</w:t>
      </w:r>
    </w:p>
    <w:p>
      <w:pPr>
        <w:spacing w:after="0" w:line="153"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105 W First Street Owner, L.L.C.</w:t>
      </w:r>
    </w:p>
    <w:p>
      <w:pPr>
        <w:spacing w:after="0" w:line="7"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c/o Breakthrough Spaces, L.L.C.</w:t>
      </w:r>
    </w:p>
    <w:p>
      <w:pPr>
        <w:ind w:left="3000"/>
        <w:spacing w:after="0" w:line="234" w:lineRule="auto"/>
        <w:rPr>
          <w:sz w:val="20"/>
          <w:szCs w:val="20"/>
          <w:color w:val="auto"/>
        </w:rPr>
      </w:pPr>
      <w:r>
        <w:rPr>
          <w:rFonts w:ascii="Arial" w:cs="Arial" w:eastAsia="Arial" w:hAnsi="Arial"/>
          <w:sz w:val="15"/>
          <w:szCs w:val="15"/>
          <w:b w:val="1"/>
          <w:bCs w:val="1"/>
          <w:color w:val="auto"/>
        </w:rPr>
        <w:t>Tishman Speyer</w:t>
      </w:r>
    </w:p>
    <w:p>
      <w:pPr>
        <w:ind w:left="3000"/>
        <w:spacing w:after="0" w:line="234" w:lineRule="auto"/>
        <w:rPr>
          <w:sz w:val="20"/>
          <w:szCs w:val="20"/>
          <w:color w:val="auto"/>
        </w:rPr>
      </w:pPr>
      <w:r>
        <w:rPr>
          <w:rFonts w:ascii="Arial" w:cs="Arial" w:eastAsia="Arial" w:hAnsi="Arial"/>
          <w:sz w:val="15"/>
          <w:szCs w:val="15"/>
          <w:b w:val="1"/>
          <w:bCs w:val="1"/>
          <w:color w:val="auto"/>
        </w:rPr>
        <w:t>45 Rockefeller Plaza</w:t>
      </w:r>
    </w:p>
    <w:p>
      <w:pPr>
        <w:ind w:left="3000"/>
        <w:spacing w:after="0" w:line="234" w:lineRule="auto"/>
        <w:rPr>
          <w:sz w:val="20"/>
          <w:szCs w:val="20"/>
          <w:color w:val="auto"/>
        </w:rPr>
      </w:pPr>
      <w:r>
        <w:rPr>
          <w:rFonts w:ascii="Arial" w:cs="Arial" w:eastAsia="Arial" w:hAnsi="Arial"/>
          <w:sz w:val="15"/>
          <w:szCs w:val="15"/>
          <w:b w:val="1"/>
          <w:bCs w:val="1"/>
          <w:color w:val="auto"/>
        </w:rPr>
        <w:t>New York, New York 10111</w:t>
      </w:r>
    </w:p>
    <w:p>
      <w:pPr>
        <w:ind w:left="3000"/>
        <w:spacing w:after="0"/>
        <w:rPr>
          <w:sz w:val="20"/>
          <w:szCs w:val="20"/>
          <w:color w:val="auto"/>
        </w:rPr>
      </w:pPr>
      <w:r>
        <w:rPr>
          <w:rFonts w:ascii="Arial" w:cs="Arial" w:eastAsia="Arial" w:hAnsi="Arial"/>
          <w:sz w:val="15"/>
          <w:szCs w:val="15"/>
          <w:b w:val="1"/>
          <w:bCs w:val="1"/>
          <w:color w:val="auto"/>
        </w:rPr>
        <w:t>Attn: Chief Legal Officer</w:t>
      </w:r>
    </w:p>
    <w:p>
      <w:pPr>
        <w:spacing w:after="0" w:line="137"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105 W First Street Owner, L.L.C.</w:t>
      </w:r>
    </w:p>
    <w:p>
      <w:pPr>
        <w:spacing w:after="0" w:line="7"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c/o Breakthrough Spaces, L.L.C.</w:t>
      </w:r>
    </w:p>
    <w:p>
      <w:pPr>
        <w:ind w:left="3000"/>
        <w:spacing w:after="0" w:line="234" w:lineRule="auto"/>
        <w:rPr>
          <w:sz w:val="20"/>
          <w:szCs w:val="20"/>
          <w:color w:val="auto"/>
        </w:rPr>
      </w:pPr>
      <w:r>
        <w:rPr>
          <w:rFonts w:ascii="Arial" w:cs="Arial" w:eastAsia="Arial" w:hAnsi="Arial"/>
          <w:sz w:val="15"/>
          <w:szCs w:val="15"/>
          <w:b w:val="1"/>
          <w:bCs w:val="1"/>
          <w:color w:val="auto"/>
        </w:rPr>
        <w:t>Bellco Capital</w:t>
      </w:r>
    </w:p>
    <w:p>
      <w:pPr>
        <w:ind w:left="3000"/>
        <w:spacing w:after="0" w:line="234" w:lineRule="auto"/>
        <w:rPr>
          <w:sz w:val="20"/>
          <w:szCs w:val="20"/>
          <w:color w:val="auto"/>
        </w:rPr>
      </w:pPr>
      <w:r>
        <w:rPr>
          <w:rFonts w:ascii="Arial" w:cs="Arial" w:eastAsia="Arial" w:hAnsi="Arial"/>
          <w:sz w:val="15"/>
          <w:szCs w:val="15"/>
          <w:b w:val="1"/>
          <w:bCs w:val="1"/>
          <w:color w:val="auto"/>
        </w:rPr>
        <w:t>2049 Century Park East, Suite 1940</w:t>
      </w:r>
    </w:p>
    <w:p>
      <w:pPr>
        <w:ind w:left="3000"/>
        <w:spacing w:after="0" w:line="234" w:lineRule="auto"/>
        <w:rPr>
          <w:sz w:val="20"/>
          <w:szCs w:val="20"/>
          <w:color w:val="auto"/>
        </w:rPr>
      </w:pPr>
      <w:r>
        <w:rPr>
          <w:rFonts w:ascii="Arial" w:cs="Arial" w:eastAsia="Arial" w:hAnsi="Arial"/>
          <w:sz w:val="15"/>
          <w:szCs w:val="15"/>
          <w:b w:val="1"/>
          <w:bCs w:val="1"/>
          <w:color w:val="auto"/>
        </w:rPr>
        <w:t>Los Angeles, CA 90067</w:t>
      </w:r>
    </w:p>
    <w:p>
      <w:pPr>
        <w:ind w:left="3000"/>
        <w:spacing w:after="0"/>
        <w:rPr>
          <w:sz w:val="20"/>
          <w:szCs w:val="20"/>
          <w:color w:val="auto"/>
        </w:rPr>
      </w:pPr>
      <w:r>
        <w:rPr>
          <w:rFonts w:ascii="Arial" w:cs="Arial" w:eastAsia="Arial" w:hAnsi="Arial"/>
          <w:sz w:val="15"/>
          <w:szCs w:val="15"/>
          <w:b w:val="1"/>
          <w:bCs w:val="1"/>
          <w:color w:val="auto"/>
        </w:rPr>
        <w:t>Attn: Legal</w:t>
      </w:r>
    </w:p>
    <w:p>
      <w:pPr>
        <w:spacing w:after="0" w:line="137"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and:</w:t>
      </w:r>
    </w:p>
    <w:p>
      <w:pPr>
        <w:spacing w:after="0" w:line="153"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Goulston &amp; Storrs PC</w:t>
      </w:r>
    </w:p>
    <w:p>
      <w:pPr>
        <w:spacing w:after="0" w:line="7" w:lineRule="exact"/>
        <w:rPr>
          <w:sz w:val="20"/>
          <w:szCs w:val="20"/>
          <w:color w:val="auto"/>
        </w:rPr>
      </w:pPr>
    </w:p>
    <w:p>
      <w:pPr>
        <w:ind w:left="3000"/>
        <w:spacing w:after="0"/>
        <w:rPr>
          <w:sz w:val="20"/>
          <w:szCs w:val="20"/>
          <w:color w:val="auto"/>
        </w:rPr>
      </w:pPr>
      <w:r>
        <w:rPr>
          <w:rFonts w:ascii="Arial" w:cs="Arial" w:eastAsia="Arial" w:hAnsi="Arial"/>
          <w:sz w:val="15"/>
          <w:szCs w:val="15"/>
          <w:b w:val="1"/>
          <w:bCs w:val="1"/>
          <w:color w:val="auto"/>
        </w:rPr>
        <w:t>400 Atlantic Avenue</w:t>
      </w:r>
    </w:p>
    <w:p>
      <w:pPr>
        <w:ind w:left="3000"/>
        <w:spacing w:after="0" w:line="234" w:lineRule="auto"/>
        <w:rPr>
          <w:sz w:val="20"/>
          <w:szCs w:val="20"/>
          <w:color w:val="auto"/>
        </w:rPr>
      </w:pPr>
      <w:r>
        <w:rPr>
          <w:rFonts w:ascii="Arial" w:cs="Arial" w:eastAsia="Arial" w:hAnsi="Arial"/>
          <w:sz w:val="15"/>
          <w:szCs w:val="15"/>
          <w:b w:val="1"/>
          <w:bCs w:val="1"/>
          <w:color w:val="auto"/>
        </w:rPr>
        <w:t>Boston, Massachusetts 02110</w:t>
      </w:r>
    </w:p>
    <w:p>
      <w:pPr>
        <w:ind w:left="3000"/>
        <w:spacing w:after="0"/>
        <w:rPr>
          <w:sz w:val="20"/>
          <w:szCs w:val="20"/>
          <w:color w:val="auto"/>
        </w:rPr>
      </w:pPr>
      <w:r>
        <w:rPr>
          <w:rFonts w:ascii="Arial" w:cs="Arial" w:eastAsia="Arial" w:hAnsi="Arial"/>
          <w:sz w:val="15"/>
          <w:szCs w:val="15"/>
          <w:b w:val="1"/>
          <w:bCs w:val="1"/>
          <w:color w:val="auto"/>
        </w:rPr>
        <w:t>Attn: [***]</w:t>
      </w:r>
    </w:p>
    <w:p>
      <w:pPr>
        <w:spacing w:after="0" w:line="137" w:lineRule="exact"/>
        <w:rPr>
          <w:sz w:val="20"/>
          <w:szCs w:val="20"/>
          <w:color w:val="auto"/>
        </w:rPr>
      </w:pPr>
    </w:p>
    <w:p>
      <w:pPr>
        <w:jc w:val="both"/>
        <w:ind w:left="3000" w:right="1239" w:hanging="1776"/>
        <w:spacing w:after="0" w:line="261" w:lineRule="auto"/>
        <w:tabs>
          <w:tab w:leader="none" w:pos="2980" w:val="left"/>
        </w:tabs>
        <w:rPr>
          <w:sz w:val="20"/>
          <w:szCs w:val="20"/>
          <w:color w:val="auto"/>
        </w:rPr>
      </w:pPr>
      <w:r>
        <w:rPr>
          <w:rFonts w:ascii="Arial" w:cs="Arial" w:eastAsia="Arial" w:hAnsi="Arial"/>
          <w:sz w:val="15"/>
          <w:szCs w:val="15"/>
          <w:b w:val="1"/>
          <w:bCs w:val="1"/>
          <w:color w:val="auto"/>
        </w:rPr>
        <w:t>LANDLORD'S AGENT:</w:t>
        <w:tab/>
        <w:t>Breakthrough Spaces, L.L.C. or any other person or entity designated at any time and from time to time by Landlord as Landlord's Agent.</w:t>
      </w:r>
    </w:p>
    <w:p>
      <w:pPr>
        <w:spacing w:after="0" w:line="95" w:lineRule="exact"/>
        <w:rPr>
          <w:sz w:val="20"/>
          <w:szCs w:val="20"/>
          <w:color w:val="auto"/>
        </w:rPr>
      </w:pPr>
    </w:p>
    <w:tbl>
      <w:tblPr>
        <w:tblLayout w:type="fixed"/>
        <w:tblInd w:w="200" w:type="dxa"/>
        <w:tblCellMar>
          <w:top w:w="0" w:type="dxa"/>
          <w:left w:w="0" w:type="dxa"/>
          <w:bottom w:w="0" w:type="dxa"/>
          <w:right w:w="0" w:type="dxa"/>
        </w:tblCellMar>
      </w:tblPr>
      <w:tr>
        <w:trPr>
          <w:trHeight w:val="172"/>
        </w:trPr>
        <w:tc>
          <w:tcPr>
            <w:tcW w:w="2420" w:type="dxa"/>
            <w:vAlign w:val="bottom"/>
          </w:tcPr>
          <w:p>
            <w:pPr>
              <w:ind w:left="1020"/>
              <w:spacing w:after="0"/>
              <w:rPr>
                <w:sz w:val="20"/>
                <w:szCs w:val="20"/>
                <w:color w:val="auto"/>
              </w:rPr>
            </w:pPr>
            <w:r>
              <w:rPr>
                <w:rFonts w:ascii="Arial" w:cs="Arial" w:eastAsia="Arial" w:hAnsi="Arial"/>
                <w:sz w:val="15"/>
                <w:szCs w:val="15"/>
                <w:b w:val="1"/>
                <w:bCs w:val="1"/>
                <w:color w:val="auto"/>
              </w:rPr>
              <w:t>LANDLORD'S</w:t>
            </w:r>
          </w:p>
        </w:tc>
        <w:tc>
          <w:tcPr>
            <w:tcW w:w="6180" w:type="dxa"/>
            <w:vAlign w:val="bottom"/>
          </w:tcPr>
          <w:p>
            <w:pPr>
              <w:ind w:left="380"/>
              <w:spacing w:after="0"/>
              <w:rPr>
                <w:sz w:val="20"/>
                <w:szCs w:val="20"/>
                <w:color w:val="auto"/>
              </w:rPr>
            </w:pPr>
            <w:r>
              <w:rPr>
                <w:rFonts w:ascii="Arial" w:cs="Arial" w:eastAsia="Arial" w:hAnsi="Arial"/>
                <w:sz w:val="15"/>
                <w:szCs w:val="15"/>
                <w:b w:val="1"/>
                <w:bCs w:val="1"/>
                <w:color w:val="auto"/>
              </w:rPr>
              <w:t>Newmark Real Estate of Massachusetts, LLC, d/b/a Newmark</w:t>
            </w:r>
          </w:p>
        </w:tc>
      </w:tr>
      <w:tr>
        <w:trPr>
          <w:trHeight w:val="211"/>
        </w:trPr>
        <w:tc>
          <w:tcPr>
            <w:tcW w:w="2420" w:type="dxa"/>
            <w:vAlign w:val="bottom"/>
          </w:tcPr>
          <w:p>
            <w:pPr>
              <w:ind w:left="1020"/>
              <w:spacing w:after="0"/>
              <w:rPr>
                <w:sz w:val="20"/>
                <w:szCs w:val="20"/>
                <w:color w:val="auto"/>
              </w:rPr>
            </w:pPr>
            <w:r>
              <w:rPr>
                <w:rFonts w:ascii="Arial" w:cs="Arial" w:eastAsia="Arial" w:hAnsi="Arial"/>
                <w:sz w:val="15"/>
                <w:szCs w:val="15"/>
                <w:b w:val="1"/>
                <w:bCs w:val="1"/>
                <w:color w:val="auto"/>
              </w:rPr>
              <w:t>BROKER:</w:t>
            </w:r>
          </w:p>
        </w:tc>
        <w:tc>
          <w:tcPr>
            <w:tcW w:w="6180" w:type="dxa"/>
            <w:vAlign w:val="bottom"/>
          </w:tcPr>
          <w:p>
            <w:pPr>
              <w:ind w:left="380"/>
              <w:spacing w:after="0"/>
              <w:rPr>
                <w:sz w:val="20"/>
                <w:szCs w:val="20"/>
                <w:color w:val="auto"/>
              </w:rPr>
            </w:pPr>
            <w:r>
              <w:rPr>
                <w:rFonts w:ascii="Arial" w:cs="Arial" w:eastAsia="Arial" w:hAnsi="Arial"/>
                <w:sz w:val="15"/>
                <w:szCs w:val="15"/>
                <w:b w:val="1"/>
                <w:bCs w:val="1"/>
                <w:color w:val="auto"/>
              </w:rPr>
              <w:t>Knight Frank.</w:t>
            </w:r>
          </w:p>
        </w:tc>
      </w:tr>
      <w:tr>
        <w:trPr>
          <w:trHeight w:val="661"/>
        </w:trPr>
        <w:tc>
          <w:tcPr>
            <w:tcW w:w="2420" w:type="dxa"/>
            <w:vAlign w:val="bottom"/>
          </w:tcPr>
          <w:p>
            <w:pPr>
              <w:spacing w:after="0"/>
              <w:rPr>
                <w:sz w:val="24"/>
                <w:szCs w:val="24"/>
                <w:color w:val="auto"/>
              </w:rPr>
            </w:pPr>
          </w:p>
        </w:tc>
        <w:tc>
          <w:tcPr>
            <w:tcW w:w="6180" w:type="dxa"/>
            <w:vAlign w:val="bottom"/>
          </w:tcPr>
          <w:p>
            <w:pPr>
              <w:jc w:val="right"/>
              <w:ind w:right="4145"/>
              <w:spacing w:after="0"/>
              <w:rPr>
                <w:sz w:val="20"/>
                <w:szCs w:val="20"/>
                <w:color w:val="auto"/>
              </w:rPr>
            </w:pPr>
            <w:r>
              <w:rPr>
                <w:rFonts w:ascii="Arial" w:cs="Arial" w:eastAsia="Arial" w:hAnsi="Arial"/>
                <w:sz w:val="14"/>
                <w:szCs w:val="14"/>
                <w:color w:val="auto"/>
              </w:rPr>
              <w:t>-2-</w:t>
            </w:r>
          </w:p>
        </w:tc>
      </w:tr>
      <w:tr>
        <w:trPr>
          <w:trHeight w:val="567"/>
        </w:trPr>
        <w:tc>
          <w:tcPr>
            <w:tcW w:w="2420" w:type="dxa"/>
            <w:vAlign w:val="bottom"/>
            <w:tcBorders>
              <w:bottom w:val="single" w:sz="8" w:color="9A9A9A"/>
            </w:tcBorders>
          </w:tcPr>
          <w:p>
            <w:pPr>
              <w:spacing w:after="0"/>
              <w:rPr>
                <w:sz w:val="24"/>
                <w:szCs w:val="24"/>
                <w:color w:val="auto"/>
              </w:rPr>
            </w:pPr>
          </w:p>
        </w:tc>
        <w:tc>
          <w:tcPr>
            <w:tcW w:w="6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5574030</wp:posOffset>
            </wp:positionH>
            <wp:positionV relativeFrom="paragraph">
              <wp:posOffset>-25400</wp:posOffset>
            </wp:positionV>
            <wp:extent cx="32385" cy="3873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120650</wp:posOffset>
            </wp:positionH>
            <wp:positionV relativeFrom="paragraph">
              <wp:posOffset>-25400</wp:posOffset>
            </wp:positionV>
            <wp:extent cx="32385" cy="3873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142" w:right="1440" w:bottom="1440" w:gutter="0" w:footer="0" w:header="0"/>
        </w:sectPr>
      </w:pPr>
    </w:p>
    <w:bookmarkStart w:id="663" w:name="page664"/>
    <w:bookmarkEnd w:id="663"/>
    <w:tbl>
      <w:tblPr>
        <w:tblLayout w:type="fixed"/>
        <w:tblInd w:w="1220" w:type="dxa"/>
        <w:tblCellMar>
          <w:top w:w="0" w:type="dxa"/>
          <w:left w:w="0" w:type="dxa"/>
          <w:bottom w:w="0" w:type="dxa"/>
          <w:right w:w="0" w:type="dxa"/>
        </w:tblCellMar>
      </w:tblPr>
      <w:tr>
        <w:trPr>
          <w:trHeight w:val="172"/>
        </w:trPr>
        <w:tc>
          <w:tcPr>
            <w:tcW w:w="1680" w:type="dxa"/>
            <w:vAlign w:val="bottom"/>
          </w:tcPr>
          <w:p>
            <w:pPr>
              <w:spacing w:after="0"/>
              <w:rPr>
                <w:sz w:val="20"/>
                <w:szCs w:val="20"/>
                <w:color w:val="auto"/>
              </w:rPr>
            </w:pPr>
            <w:r>
              <w:rPr>
                <w:rFonts w:ascii="Arial" w:cs="Arial" w:eastAsia="Arial" w:hAnsi="Arial"/>
                <w:sz w:val="15"/>
                <w:szCs w:val="15"/>
                <w:b w:val="1"/>
                <w:bCs w:val="1"/>
                <w:color w:val="auto"/>
              </w:rPr>
              <w:t>LETTER OF CREDIT</w:t>
            </w:r>
          </w:p>
        </w:tc>
        <w:tc>
          <w:tcPr>
            <w:tcW w:w="800" w:type="dxa"/>
            <w:vAlign w:val="bottom"/>
          </w:tcPr>
          <w:p>
            <w:pPr>
              <w:ind w:left="100"/>
              <w:spacing w:after="0"/>
              <w:rPr>
                <w:sz w:val="20"/>
                <w:szCs w:val="20"/>
                <w:color w:val="auto"/>
              </w:rPr>
            </w:pPr>
            <w:r>
              <w:rPr>
                <w:rFonts w:ascii="Arial" w:cs="Arial" w:eastAsia="Arial" w:hAnsi="Arial"/>
                <w:sz w:val="15"/>
                <w:szCs w:val="15"/>
                <w:b w:val="1"/>
                <w:bCs w:val="1"/>
                <w:color w:val="auto"/>
              </w:rPr>
              <w:t>$</w:t>
            </w:r>
          </w:p>
        </w:tc>
        <w:tc>
          <w:tcPr>
            <w:tcW w:w="4080" w:type="dxa"/>
            <w:vAlign w:val="bottom"/>
          </w:tcPr>
          <w:p>
            <w:pPr>
              <w:ind w:left="80"/>
              <w:spacing w:after="0"/>
              <w:rPr>
                <w:sz w:val="20"/>
                <w:szCs w:val="20"/>
                <w:color w:val="auto"/>
              </w:rPr>
            </w:pPr>
            <w:r>
              <w:rPr>
                <w:rFonts w:ascii="Arial" w:cs="Arial" w:eastAsia="Arial" w:hAnsi="Arial"/>
                <w:sz w:val="15"/>
                <w:szCs w:val="15"/>
                <w:b w:val="1"/>
                <w:bCs w:val="1"/>
                <w:color w:val="auto"/>
              </w:rPr>
              <w:t>, subject to the provisions of Article 28.</w:t>
            </w: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5"/>
                <w:szCs w:val="15"/>
                <w:b w:val="1"/>
                <w:bCs w:val="1"/>
                <w:color w:val="auto"/>
              </w:rPr>
              <w:t>AMOUNT:</w:t>
            </w:r>
          </w:p>
        </w:tc>
        <w:tc>
          <w:tcPr>
            <w:tcW w:w="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0"/>
                <w:szCs w:val="20"/>
                <w:color w:val="auto"/>
              </w:rPr>
            </w:pPr>
            <w:r>
              <w:rPr>
                <w:rFonts w:ascii="Arial" w:cs="Arial" w:eastAsia="Arial" w:hAnsi="Arial"/>
                <w:sz w:val="15"/>
                <w:szCs w:val="15"/>
                <w:b w:val="1"/>
                <w:bCs w:val="1"/>
                <w:color w:val="auto"/>
              </w:rPr>
              <w:t>PREMISES:</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The rentable areas located on the 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through 7</w:t>
            </w:r>
            <w:r>
              <w:rPr>
                <w:rFonts w:ascii="Arial" w:cs="Arial" w:eastAsia="Arial" w:hAnsi="Arial"/>
                <w:sz w:val="20"/>
                <w:szCs w:val="20"/>
                <w:color w:val="auto"/>
                <w:vertAlign w:val="superscript"/>
              </w:rPr>
              <w:t>th</w:t>
            </w:r>
            <w:r>
              <w:rPr>
                <w:rFonts w:ascii="Arial" w:cs="Arial" w:eastAsia="Arial" w:hAnsi="Arial"/>
                <w:sz w:val="15"/>
                <w:szCs w:val="15"/>
                <w:color w:val="auto"/>
              </w:rPr>
              <w:t xml:space="preserve"> floors of the Building</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gridSpan w:val="2"/>
          </w:tcPr>
          <w:p>
            <w:pPr>
              <w:ind w:left="100"/>
              <w:spacing w:after="0" w:line="167" w:lineRule="exact"/>
              <w:rPr>
                <w:sz w:val="20"/>
                <w:szCs w:val="20"/>
                <w:color w:val="auto"/>
              </w:rPr>
            </w:pPr>
            <w:r>
              <w:rPr>
                <w:rFonts w:ascii="Arial" w:cs="Arial" w:eastAsia="Arial" w:hAnsi="Arial"/>
                <w:sz w:val="15"/>
                <w:szCs w:val="15"/>
                <w:color w:val="auto"/>
              </w:rPr>
              <w:t>(inclusive), as more particularly shown on the floor plans attached</w:t>
            </w:r>
          </w:p>
        </w:tc>
        <w:tc>
          <w:tcPr>
            <w:tcW w:w="0" w:type="dxa"/>
            <w:vAlign w:val="bottom"/>
          </w:tcPr>
          <w:p>
            <w:pPr>
              <w:spacing w:after="0"/>
              <w:rPr>
                <w:sz w:val="1"/>
                <w:szCs w:val="1"/>
                <w:color w:val="auto"/>
              </w:rPr>
            </w:pPr>
          </w:p>
        </w:tc>
      </w:tr>
      <w:tr>
        <w:trPr>
          <w:trHeight w:val="211"/>
        </w:trPr>
        <w:tc>
          <w:tcPr>
            <w:tcW w:w="1680" w:type="dxa"/>
            <w:vAlign w:val="bottom"/>
          </w:tcPr>
          <w:p>
            <w:pPr>
              <w:spacing w:after="0"/>
              <w:rPr>
                <w:sz w:val="18"/>
                <w:szCs w:val="18"/>
                <w:color w:val="auto"/>
              </w:rPr>
            </w:pP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 xml:space="preserve">hereto as </w:t>
            </w:r>
            <w:r>
              <w:rPr>
                <w:rFonts w:ascii="Arial" w:cs="Arial" w:eastAsia="Arial" w:hAnsi="Arial"/>
                <w:sz w:val="15"/>
                <w:szCs w:val="15"/>
                <w:b w:val="1"/>
                <w:bCs w:val="1"/>
                <w:color w:val="auto"/>
              </w:rPr>
              <w:t>Exhibit A.</w:t>
            </w: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0"/>
                <w:szCs w:val="20"/>
                <w:color w:val="auto"/>
              </w:rPr>
            </w:pPr>
            <w:r>
              <w:rPr>
                <w:rFonts w:ascii="Arial" w:cs="Arial" w:eastAsia="Arial" w:hAnsi="Arial"/>
                <w:sz w:val="15"/>
                <w:szCs w:val="15"/>
                <w:b w:val="1"/>
                <w:bCs w:val="1"/>
                <w:color w:val="auto"/>
              </w:rPr>
              <w:t>PERMITTED USES:</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Within the Office Areas, general office and other lawfully permitted</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gridSpan w:val="2"/>
          </w:tcPr>
          <w:p>
            <w:pPr>
              <w:ind w:left="100"/>
              <w:spacing w:after="0" w:line="167" w:lineRule="exact"/>
              <w:rPr>
                <w:sz w:val="20"/>
                <w:szCs w:val="20"/>
                <w:color w:val="auto"/>
              </w:rPr>
            </w:pPr>
            <w:r>
              <w:rPr>
                <w:rFonts w:ascii="Arial" w:cs="Arial" w:eastAsia="Arial" w:hAnsi="Arial"/>
                <w:sz w:val="15"/>
                <w:szCs w:val="15"/>
                <w:color w:val="auto"/>
              </w:rPr>
              <w:t>uses  ancillary  thereto,  subject  in  all  respects  to  applicable</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4880" w:type="dxa"/>
            <w:vAlign w:val="bottom"/>
            <w:gridSpan w:val="2"/>
          </w:tcPr>
          <w:p>
            <w:pPr>
              <w:ind w:left="100"/>
              <w:spacing w:after="0" w:line="170" w:lineRule="exact"/>
              <w:rPr>
                <w:sz w:val="20"/>
                <w:szCs w:val="20"/>
                <w:color w:val="auto"/>
              </w:rPr>
            </w:pPr>
            <w:r>
              <w:rPr>
                <w:rFonts w:ascii="Arial" w:cs="Arial" w:eastAsia="Arial" w:hAnsi="Arial"/>
                <w:sz w:val="15"/>
                <w:szCs w:val="15"/>
                <w:color w:val="auto"/>
              </w:rPr>
              <w:t>Requirements (the “</w:t>
            </w:r>
            <w:r>
              <w:rPr>
                <w:rFonts w:ascii="Arial" w:cs="Arial" w:eastAsia="Arial" w:hAnsi="Arial"/>
                <w:sz w:val="15"/>
                <w:szCs w:val="15"/>
                <w:b w:val="1"/>
                <w:bCs w:val="1"/>
                <w:color w:val="auto"/>
              </w:rPr>
              <w:t>Office Area Permitted Uses</w:t>
            </w:r>
            <w:r>
              <w:rPr>
                <w:rFonts w:ascii="Arial" w:cs="Arial" w:eastAsia="Arial" w:hAnsi="Arial"/>
                <w:sz w:val="15"/>
                <w:szCs w:val="15"/>
                <w:color w:val="auto"/>
              </w:rPr>
              <w:t>”). Within the Lab</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488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Areas, research, development and laboratory uses, and other lawfully</w:t>
            </w:r>
          </w:p>
        </w:tc>
        <w:tc>
          <w:tcPr>
            <w:tcW w:w="0" w:type="dxa"/>
            <w:vAlign w:val="bottom"/>
          </w:tcPr>
          <w:p>
            <w:pPr>
              <w:spacing w:after="0"/>
              <w:rPr>
                <w:sz w:val="1"/>
                <w:szCs w:val="1"/>
                <w:color w:val="auto"/>
              </w:rPr>
            </w:pPr>
          </w:p>
        </w:tc>
      </w:tr>
      <w:tr>
        <w:trPr>
          <w:trHeight w:val="166"/>
        </w:trPr>
        <w:tc>
          <w:tcPr>
            <w:tcW w:w="1680" w:type="dxa"/>
            <w:vAlign w:val="bottom"/>
          </w:tcPr>
          <w:p>
            <w:pPr>
              <w:spacing w:after="0"/>
              <w:rPr>
                <w:sz w:val="14"/>
                <w:szCs w:val="14"/>
                <w:color w:val="auto"/>
              </w:rPr>
            </w:pPr>
          </w:p>
        </w:tc>
        <w:tc>
          <w:tcPr>
            <w:tcW w:w="4880" w:type="dxa"/>
            <w:vAlign w:val="bottom"/>
            <w:gridSpan w:val="2"/>
          </w:tcPr>
          <w:p>
            <w:pPr>
              <w:ind w:left="100"/>
              <w:spacing w:after="0" w:line="167" w:lineRule="exact"/>
              <w:rPr>
                <w:sz w:val="20"/>
                <w:szCs w:val="20"/>
                <w:color w:val="auto"/>
              </w:rPr>
            </w:pPr>
            <w:r>
              <w:rPr>
                <w:rFonts w:ascii="Arial" w:cs="Arial" w:eastAsia="Arial" w:hAnsi="Arial"/>
                <w:sz w:val="15"/>
                <w:szCs w:val="15"/>
                <w:color w:val="auto"/>
              </w:rPr>
              <w:t>permitted uses ancillary thereto, including a Vivarium, subject in all</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488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respects  to  applicable  Requirements  (the  “</w:t>
            </w:r>
            <w:r>
              <w:rPr>
                <w:rFonts w:ascii="Arial" w:cs="Arial" w:eastAsia="Arial" w:hAnsi="Arial"/>
                <w:sz w:val="15"/>
                <w:szCs w:val="15"/>
                <w:b w:val="1"/>
                <w:bCs w:val="1"/>
                <w:color w:val="auto"/>
              </w:rPr>
              <w:t>Lab  Area  Permitted</w:t>
            </w:r>
          </w:p>
        </w:tc>
        <w:tc>
          <w:tcPr>
            <w:tcW w:w="0" w:type="dxa"/>
            <w:vAlign w:val="bottom"/>
          </w:tcPr>
          <w:p>
            <w:pPr>
              <w:spacing w:after="0"/>
              <w:rPr>
                <w:sz w:val="1"/>
                <w:szCs w:val="1"/>
                <w:color w:val="auto"/>
              </w:rPr>
            </w:pPr>
          </w:p>
        </w:tc>
      </w:tr>
      <w:tr>
        <w:trPr>
          <w:trHeight w:val="170"/>
        </w:trPr>
        <w:tc>
          <w:tcPr>
            <w:tcW w:w="1680" w:type="dxa"/>
            <w:vAlign w:val="bottom"/>
          </w:tcPr>
          <w:p>
            <w:pPr>
              <w:spacing w:after="0"/>
              <w:rPr>
                <w:sz w:val="14"/>
                <w:szCs w:val="14"/>
                <w:color w:val="auto"/>
              </w:rPr>
            </w:pPr>
          </w:p>
        </w:tc>
        <w:tc>
          <w:tcPr>
            <w:tcW w:w="4880" w:type="dxa"/>
            <w:vAlign w:val="bottom"/>
            <w:gridSpan w:val="2"/>
          </w:tcPr>
          <w:p>
            <w:pPr>
              <w:ind w:left="100"/>
              <w:spacing w:after="0" w:line="170" w:lineRule="exact"/>
              <w:rPr>
                <w:sz w:val="20"/>
                <w:szCs w:val="20"/>
                <w:color w:val="auto"/>
              </w:rPr>
            </w:pPr>
            <w:r>
              <w:rPr>
                <w:rFonts w:ascii="Arial" w:cs="Arial" w:eastAsia="Arial" w:hAnsi="Arial"/>
                <w:sz w:val="15"/>
                <w:szCs w:val="15"/>
                <w:b w:val="1"/>
                <w:bCs w:val="1"/>
                <w:color w:val="auto"/>
              </w:rPr>
              <w:t>Uses</w:t>
            </w:r>
            <w:r>
              <w:rPr>
                <w:rFonts w:ascii="Arial" w:cs="Arial" w:eastAsia="Arial" w:hAnsi="Arial"/>
                <w:sz w:val="15"/>
                <w:szCs w:val="15"/>
                <w:color w:val="auto"/>
              </w:rPr>
              <w:t>”). Within the Flex Areas, either Office Area Permitted Uses or</w:t>
            </w: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Lab Area Permitted Uses.</w:t>
            </w:r>
          </w:p>
        </w:tc>
        <w:tc>
          <w:tcPr>
            <w:tcW w:w="0" w:type="dxa"/>
            <w:vAlign w:val="bottom"/>
          </w:tcPr>
          <w:p>
            <w:pPr>
              <w:spacing w:after="0"/>
              <w:rPr>
                <w:sz w:val="1"/>
                <w:szCs w:val="1"/>
                <w:color w:val="auto"/>
              </w:rPr>
            </w:pPr>
          </w:p>
        </w:tc>
      </w:tr>
      <w:tr>
        <w:trPr>
          <w:trHeight w:val="334"/>
        </w:trPr>
        <w:tc>
          <w:tcPr>
            <w:tcW w:w="1680" w:type="dxa"/>
            <w:vAlign w:val="bottom"/>
          </w:tcPr>
          <w:p>
            <w:pPr>
              <w:spacing w:after="0"/>
              <w:rPr>
                <w:sz w:val="20"/>
                <w:szCs w:val="20"/>
                <w:color w:val="auto"/>
              </w:rPr>
            </w:pPr>
            <w:r>
              <w:rPr>
                <w:rFonts w:ascii="Arial" w:cs="Arial" w:eastAsia="Arial" w:hAnsi="Arial"/>
                <w:sz w:val="15"/>
                <w:szCs w:val="15"/>
                <w:b w:val="1"/>
                <w:bCs w:val="1"/>
                <w:color w:val="auto"/>
              </w:rPr>
              <w:t>REAL PROPERTY:</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The Building, together with the plot(s) of land upon which it stands.</w:t>
            </w:r>
          </w:p>
        </w:tc>
        <w:tc>
          <w:tcPr>
            <w:tcW w:w="0" w:type="dxa"/>
            <w:vAlign w:val="bottom"/>
          </w:tcPr>
          <w:p>
            <w:pPr>
              <w:spacing w:after="0"/>
              <w:rPr>
                <w:sz w:val="1"/>
                <w:szCs w:val="1"/>
                <w:color w:val="auto"/>
              </w:rPr>
            </w:pPr>
          </w:p>
        </w:tc>
      </w:tr>
      <w:tr>
        <w:trPr>
          <w:trHeight w:val="326"/>
        </w:trPr>
        <w:tc>
          <w:tcPr>
            <w:tcW w:w="1680" w:type="dxa"/>
            <w:vAlign w:val="bottom"/>
          </w:tcPr>
          <w:p>
            <w:pPr>
              <w:spacing w:after="0"/>
              <w:rPr>
                <w:sz w:val="20"/>
                <w:szCs w:val="20"/>
                <w:color w:val="auto"/>
              </w:rPr>
            </w:pPr>
            <w:r>
              <w:rPr>
                <w:rFonts w:ascii="Arial" w:cs="Arial" w:eastAsia="Arial" w:hAnsi="Arial"/>
                <w:sz w:val="15"/>
                <w:szCs w:val="15"/>
                <w:b w:val="1"/>
                <w:bCs w:val="1"/>
                <w:color w:val="auto"/>
              </w:rPr>
              <w:t>RENT:</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Fixed Rent and Additional Rent, collectively.</w:t>
            </w:r>
          </w:p>
        </w:tc>
        <w:tc>
          <w:tcPr>
            <w:tcW w:w="0" w:type="dxa"/>
            <w:vAlign w:val="bottom"/>
          </w:tcPr>
          <w:p>
            <w:pPr>
              <w:spacing w:after="0"/>
              <w:rPr>
                <w:sz w:val="1"/>
                <w:szCs w:val="1"/>
                <w:color w:val="auto"/>
              </w:rPr>
            </w:pPr>
          </w:p>
        </w:tc>
      </w:tr>
      <w:tr>
        <w:trPr>
          <w:trHeight w:val="283"/>
        </w:trPr>
        <w:tc>
          <w:tcPr>
            <w:tcW w:w="1680" w:type="dxa"/>
            <w:vAlign w:val="bottom"/>
          </w:tcPr>
          <w:p>
            <w:pPr>
              <w:spacing w:after="0"/>
              <w:rPr>
                <w:sz w:val="20"/>
                <w:szCs w:val="20"/>
                <w:color w:val="auto"/>
              </w:rPr>
            </w:pPr>
            <w:r>
              <w:rPr>
                <w:rFonts w:ascii="Arial" w:cs="Arial" w:eastAsia="Arial" w:hAnsi="Arial"/>
                <w:sz w:val="15"/>
                <w:szCs w:val="15"/>
                <w:b w:val="1"/>
                <w:bCs w:val="1"/>
                <w:color w:val="auto"/>
              </w:rPr>
              <w:t>RENT</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The later to occur of (i) the date which is two hundred forty (240) days</w:t>
            </w:r>
          </w:p>
        </w:tc>
        <w:tc>
          <w:tcPr>
            <w:tcW w:w="0" w:type="dxa"/>
            <w:vAlign w:val="bottom"/>
          </w:tcPr>
          <w:p>
            <w:pPr>
              <w:spacing w:after="0"/>
              <w:rPr>
                <w:sz w:val="1"/>
                <w:szCs w:val="1"/>
                <w:color w:val="auto"/>
              </w:rPr>
            </w:pPr>
          </w:p>
        </w:tc>
      </w:tr>
      <w:tr>
        <w:trPr>
          <w:trHeight w:val="168"/>
        </w:trPr>
        <w:tc>
          <w:tcPr>
            <w:tcW w:w="1680" w:type="dxa"/>
            <w:vAlign w:val="bottom"/>
          </w:tcPr>
          <w:p>
            <w:pPr>
              <w:spacing w:after="0" w:line="169" w:lineRule="exact"/>
              <w:rPr>
                <w:sz w:val="20"/>
                <w:szCs w:val="20"/>
                <w:color w:val="auto"/>
              </w:rPr>
            </w:pPr>
            <w:r>
              <w:rPr>
                <w:rFonts w:ascii="Arial" w:cs="Arial" w:eastAsia="Arial" w:hAnsi="Arial"/>
                <w:sz w:val="15"/>
                <w:szCs w:val="15"/>
                <w:b w:val="1"/>
                <w:bCs w:val="1"/>
                <w:color w:val="auto"/>
              </w:rPr>
              <w:t>COMMENCEMENT</w:t>
            </w:r>
          </w:p>
        </w:tc>
        <w:tc>
          <w:tcPr>
            <w:tcW w:w="488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after the Commencement Date, or (ii) November 1, 2022.</w:t>
            </w: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80" w:type="dxa"/>
            <w:vAlign w:val="bottom"/>
          </w:tcPr>
          <w:p>
            <w:pPr>
              <w:spacing w:after="0"/>
              <w:rPr>
                <w:sz w:val="20"/>
                <w:szCs w:val="20"/>
                <w:color w:val="auto"/>
              </w:rPr>
            </w:pPr>
            <w:r>
              <w:rPr>
                <w:rFonts w:ascii="Arial" w:cs="Arial" w:eastAsia="Arial" w:hAnsi="Arial"/>
                <w:sz w:val="15"/>
                <w:szCs w:val="15"/>
                <w:b w:val="1"/>
                <w:bCs w:val="1"/>
                <w:color w:val="auto"/>
              </w:rPr>
              <w:t>SCHEDULED</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March 1, 2022</w:t>
            </w:r>
          </w:p>
        </w:tc>
        <w:tc>
          <w:tcPr>
            <w:tcW w:w="0" w:type="dxa"/>
            <w:vAlign w:val="bottom"/>
          </w:tcPr>
          <w:p>
            <w:pPr>
              <w:spacing w:after="0"/>
              <w:rPr>
                <w:sz w:val="1"/>
                <w:szCs w:val="1"/>
                <w:color w:val="auto"/>
              </w:rPr>
            </w:pPr>
          </w:p>
        </w:tc>
      </w:tr>
      <w:tr>
        <w:trPr>
          <w:trHeight w:val="168"/>
        </w:trPr>
        <w:tc>
          <w:tcPr>
            <w:tcW w:w="1680" w:type="dxa"/>
            <w:vAlign w:val="bottom"/>
          </w:tcPr>
          <w:p>
            <w:pPr>
              <w:spacing w:after="0" w:line="169" w:lineRule="exact"/>
              <w:rPr>
                <w:sz w:val="20"/>
                <w:szCs w:val="20"/>
                <w:color w:val="auto"/>
              </w:rPr>
            </w:pPr>
            <w:r>
              <w:rPr>
                <w:rFonts w:ascii="Arial" w:cs="Arial" w:eastAsia="Arial" w:hAnsi="Arial"/>
                <w:sz w:val="15"/>
                <w:szCs w:val="15"/>
                <w:b w:val="1"/>
                <w:bCs w:val="1"/>
                <w:color w:val="auto"/>
              </w:rPr>
              <w:t>COMMENCEMENT</w:t>
            </w:r>
          </w:p>
        </w:tc>
        <w:tc>
          <w:tcPr>
            <w:tcW w:w="80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5"/>
                <w:szCs w:val="15"/>
                <w:b w:val="1"/>
                <w:bCs w:val="1"/>
                <w:color w:val="auto"/>
              </w:rPr>
              <w:t>DATE:</w:t>
            </w:r>
          </w:p>
        </w:tc>
        <w:tc>
          <w:tcPr>
            <w:tcW w:w="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1680" w:type="dxa"/>
            <w:vAlign w:val="bottom"/>
          </w:tcPr>
          <w:p>
            <w:pPr>
              <w:spacing w:after="0"/>
              <w:rPr>
                <w:sz w:val="20"/>
                <w:szCs w:val="20"/>
                <w:color w:val="auto"/>
              </w:rPr>
            </w:pPr>
            <w:r>
              <w:rPr>
                <w:rFonts w:ascii="Arial" w:cs="Arial" w:eastAsia="Arial" w:hAnsi="Arial"/>
                <w:sz w:val="15"/>
                <w:szCs w:val="15"/>
                <w:b w:val="1"/>
                <w:bCs w:val="1"/>
                <w:color w:val="auto"/>
              </w:rPr>
              <w:t>TENANT’S ADDRESS</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Until Tenant commences business operations from the Premises:</w:t>
            </w: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5"/>
                <w:szCs w:val="15"/>
                <w:b w:val="1"/>
                <w:bCs w:val="1"/>
                <w:color w:val="auto"/>
              </w:rPr>
              <w:t>FOR NOTICES:</w:t>
            </w:r>
          </w:p>
        </w:tc>
        <w:tc>
          <w:tcPr>
            <w:tcW w:w="4880" w:type="dxa"/>
            <w:vAlign w:val="bottom"/>
            <w:gridSpan w:val="2"/>
            <w:vMerge w:val="restart"/>
          </w:tcPr>
          <w:p>
            <w:pPr>
              <w:ind w:left="100"/>
              <w:spacing w:after="0"/>
              <w:rPr>
                <w:sz w:val="20"/>
                <w:szCs w:val="20"/>
                <w:color w:val="auto"/>
              </w:rPr>
            </w:pPr>
            <w:r>
              <w:rPr>
                <w:rFonts w:ascii="Arial" w:cs="Arial" w:eastAsia="Arial" w:hAnsi="Arial"/>
                <w:sz w:val="15"/>
                <w:szCs w:val="15"/>
                <w:color w:val="auto"/>
              </w:rPr>
              <w:t>610 Main Street North</w:t>
            </w:r>
          </w:p>
        </w:tc>
        <w:tc>
          <w:tcPr>
            <w:tcW w:w="0" w:type="dxa"/>
            <w:vAlign w:val="bottom"/>
          </w:tcPr>
          <w:p>
            <w:pPr>
              <w:spacing w:after="0"/>
              <w:rPr>
                <w:sz w:val="1"/>
                <w:szCs w:val="1"/>
                <w:color w:val="auto"/>
              </w:rPr>
            </w:pPr>
          </w:p>
        </w:tc>
      </w:tr>
      <w:tr>
        <w:trPr>
          <w:trHeight w:val="127"/>
        </w:trPr>
        <w:tc>
          <w:tcPr>
            <w:tcW w:w="1680" w:type="dxa"/>
            <w:vAlign w:val="bottom"/>
          </w:tcPr>
          <w:p>
            <w:pPr>
              <w:spacing w:after="0"/>
              <w:rPr>
                <w:sz w:val="11"/>
                <w:szCs w:val="11"/>
                <w:color w:val="auto"/>
              </w:rPr>
            </w:pPr>
          </w:p>
        </w:tc>
        <w:tc>
          <w:tcPr>
            <w:tcW w:w="48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488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Cambridge, Massachusetts 02139</w:t>
            </w: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5"/>
                <w:szCs w:val="15"/>
                <w:color w:val="auto"/>
              </w:rPr>
              <w:t>Attn: [***]</w:t>
            </w: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6"/>
        </w:trPr>
        <w:tc>
          <w:tcPr>
            <w:tcW w:w="1680" w:type="dxa"/>
            <w:vAlign w:val="bottom"/>
          </w:tcPr>
          <w:p>
            <w:pPr>
              <w:spacing w:after="0"/>
              <w:rPr>
                <w:sz w:val="24"/>
                <w:szCs w:val="24"/>
                <w:color w:val="auto"/>
              </w:rPr>
            </w:pP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Thereafter, at the Premises.</w:t>
            </w:r>
          </w:p>
        </w:tc>
        <w:tc>
          <w:tcPr>
            <w:tcW w:w="0" w:type="dxa"/>
            <w:vAlign w:val="bottom"/>
          </w:tcPr>
          <w:p>
            <w:pPr>
              <w:spacing w:after="0"/>
              <w:rPr>
                <w:sz w:val="1"/>
                <w:szCs w:val="1"/>
                <w:color w:val="auto"/>
              </w:rPr>
            </w:pPr>
          </w:p>
        </w:tc>
      </w:tr>
      <w:tr>
        <w:trPr>
          <w:trHeight w:val="303"/>
        </w:trPr>
        <w:tc>
          <w:tcPr>
            <w:tcW w:w="1680" w:type="dxa"/>
            <w:vAlign w:val="bottom"/>
          </w:tcPr>
          <w:p>
            <w:pPr>
              <w:spacing w:after="0"/>
              <w:rPr>
                <w:sz w:val="24"/>
                <w:szCs w:val="24"/>
                <w:color w:val="auto"/>
              </w:rPr>
            </w:pP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In each instance, with a copy to the same address, to the attention of</w:t>
            </w: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the General Counsel.</w:t>
            </w:r>
          </w:p>
        </w:tc>
        <w:tc>
          <w:tcPr>
            <w:tcW w:w="0" w:type="dxa"/>
            <w:vAlign w:val="bottom"/>
          </w:tcPr>
          <w:p>
            <w:pPr>
              <w:spacing w:after="0"/>
              <w:rPr>
                <w:sz w:val="1"/>
                <w:szCs w:val="1"/>
                <w:color w:val="auto"/>
              </w:rPr>
            </w:pPr>
          </w:p>
        </w:tc>
      </w:tr>
      <w:tr>
        <w:trPr>
          <w:trHeight w:val="334"/>
        </w:trPr>
        <w:tc>
          <w:tcPr>
            <w:tcW w:w="1680" w:type="dxa"/>
            <w:vAlign w:val="bottom"/>
          </w:tcPr>
          <w:p>
            <w:pPr>
              <w:spacing w:after="0"/>
              <w:rPr>
                <w:sz w:val="20"/>
                <w:szCs w:val="20"/>
                <w:color w:val="auto"/>
              </w:rPr>
            </w:pPr>
            <w:r>
              <w:rPr>
                <w:rFonts w:ascii="Arial" w:cs="Arial" w:eastAsia="Arial" w:hAnsi="Arial"/>
                <w:sz w:val="15"/>
                <w:szCs w:val="15"/>
                <w:b w:val="1"/>
                <w:bCs w:val="1"/>
                <w:color w:val="auto"/>
              </w:rPr>
              <w:t>TENANT’S BROKER:</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Cushman &amp; Wakefield of Massachusetts, Inc.</w:t>
            </w:r>
          </w:p>
        </w:tc>
        <w:tc>
          <w:tcPr>
            <w:tcW w:w="0" w:type="dxa"/>
            <w:vAlign w:val="bottom"/>
          </w:tcPr>
          <w:p>
            <w:pPr>
              <w:spacing w:after="0"/>
              <w:rPr>
                <w:sz w:val="1"/>
                <w:szCs w:val="1"/>
                <w:color w:val="auto"/>
              </w:rPr>
            </w:pPr>
          </w:p>
        </w:tc>
      </w:tr>
      <w:tr>
        <w:trPr>
          <w:trHeight w:val="283"/>
        </w:trPr>
        <w:tc>
          <w:tcPr>
            <w:tcW w:w="1680" w:type="dxa"/>
            <w:vAlign w:val="bottom"/>
          </w:tcPr>
          <w:p>
            <w:pPr>
              <w:spacing w:after="0"/>
              <w:rPr>
                <w:sz w:val="20"/>
                <w:szCs w:val="20"/>
                <w:color w:val="auto"/>
              </w:rPr>
            </w:pPr>
            <w:r>
              <w:rPr>
                <w:rFonts w:ascii="Arial" w:cs="Arial" w:eastAsia="Arial" w:hAnsi="Arial"/>
                <w:sz w:val="15"/>
                <w:szCs w:val="15"/>
                <w:b w:val="1"/>
                <w:bCs w:val="1"/>
                <w:color w:val="auto"/>
              </w:rPr>
              <w:t>TENANT’S</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100 % (i.e., ratio of the rentable area of the Premises to the rentable</w:t>
            </w:r>
          </w:p>
        </w:tc>
        <w:tc>
          <w:tcPr>
            <w:tcW w:w="0" w:type="dxa"/>
            <w:vAlign w:val="bottom"/>
          </w:tcPr>
          <w:p>
            <w:pPr>
              <w:spacing w:after="0"/>
              <w:rPr>
                <w:sz w:val="1"/>
                <w:szCs w:val="1"/>
                <w:color w:val="auto"/>
              </w:rPr>
            </w:pPr>
          </w:p>
        </w:tc>
      </w:tr>
      <w:tr>
        <w:trPr>
          <w:trHeight w:val="168"/>
        </w:trPr>
        <w:tc>
          <w:tcPr>
            <w:tcW w:w="1680" w:type="dxa"/>
            <w:vAlign w:val="bottom"/>
          </w:tcPr>
          <w:p>
            <w:pPr>
              <w:spacing w:after="0" w:line="169" w:lineRule="exact"/>
              <w:rPr>
                <w:sz w:val="20"/>
                <w:szCs w:val="20"/>
                <w:color w:val="auto"/>
              </w:rPr>
            </w:pPr>
            <w:r>
              <w:rPr>
                <w:rFonts w:ascii="Arial" w:cs="Arial" w:eastAsia="Arial" w:hAnsi="Arial"/>
                <w:sz w:val="15"/>
                <w:szCs w:val="15"/>
                <w:b w:val="1"/>
                <w:bCs w:val="1"/>
                <w:color w:val="auto"/>
              </w:rPr>
              <w:t>PROPORTIONATE</w:t>
            </w:r>
          </w:p>
        </w:tc>
        <w:tc>
          <w:tcPr>
            <w:tcW w:w="488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area of the Building, expressed as a percentage).</w:t>
            </w:r>
          </w:p>
        </w:tc>
        <w:tc>
          <w:tcPr>
            <w:tcW w:w="0" w:type="dxa"/>
            <w:vAlign w:val="bottom"/>
          </w:tcPr>
          <w:p>
            <w:pPr>
              <w:spacing w:after="0"/>
              <w:rPr>
                <w:sz w:val="1"/>
                <w:szCs w:val="1"/>
                <w:color w:val="auto"/>
              </w:rPr>
            </w:pPr>
          </w:p>
        </w:tc>
      </w:tr>
      <w:tr>
        <w:trPr>
          <w:trHeight w:val="211"/>
        </w:trPr>
        <w:tc>
          <w:tcPr>
            <w:tcW w:w="1680" w:type="dxa"/>
            <w:vAlign w:val="bottom"/>
          </w:tcPr>
          <w:p>
            <w:pPr>
              <w:spacing w:after="0"/>
              <w:rPr>
                <w:sz w:val="20"/>
                <w:szCs w:val="20"/>
                <w:color w:val="auto"/>
              </w:rPr>
            </w:pPr>
            <w:r>
              <w:rPr>
                <w:rFonts w:ascii="Arial" w:cs="Arial" w:eastAsia="Arial" w:hAnsi="Arial"/>
                <w:sz w:val="15"/>
                <w:szCs w:val="15"/>
                <w:b w:val="1"/>
                <w:bCs w:val="1"/>
                <w:color w:val="auto"/>
              </w:rPr>
              <w:t>SHARE</w:t>
            </w:r>
          </w:p>
        </w:tc>
        <w:tc>
          <w:tcPr>
            <w:tcW w:w="80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680" w:type="dxa"/>
            <w:vAlign w:val="bottom"/>
          </w:tcPr>
          <w:p>
            <w:pPr>
              <w:spacing w:after="0"/>
              <w:rPr>
                <w:sz w:val="20"/>
                <w:szCs w:val="20"/>
                <w:color w:val="auto"/>
              </w:rPr>
            </w:pPr>
            <w:r>
              <w:rPr>
                <w:rFonts w:ascii="Arial" w:cs="Arial" w:eastAsia="Arial" w:hAnsi="Arial"/>
                <w:sz w:val="15"/>
                <w:szCs w:val="15"/>
                <w:b w:val="1"/>
                <w:bCs w:val="1"/>
                <w:color w:val="auto"/>
              </w:rPr>
              <w:t>TERM:</w:t>
            </w:r>
          </w:p>
        </w:tc>
        <w:tc>
          <w:tcPr>
            <w:tcW w:w="4880" w:type="dxa"/>
            <w:vAlign w:val="bottom"/>
            <w:gridSpan w:val="2"/>
          </w:tcPr>
          <w:p>
            <w:pPr>
              <w:ind w:left="100"/>
              <w:spacing w:after="0"/>
              <w:rPr>
                <w:sz w:val="20"/>
                <w:szCs w:val="20"/>
                <w:color w:val="auto"/>
              </w:rPr>
            </w:pPr>
            <w:r>
              <w:rPr>
                <w:rFonts w:ascii="Arial" w:cs="Arial" w:eastAsia="Arial" w:hAnsi="Arial"/>
                <w:sz w:val="15"/>
                <w:szCs w:val="15"/>
                <w:color w:val="auto"/>
              </w:rPr>
              <w:t>The period of time commencing on the Commencement Date and</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488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ending on the Expiration Date, or such earlier date upon which this</w:t>
            </w:r>
          </w:p>
        </w:tc>
        <w:tc>
          <w:tcPr>
            <w:tcW w:w="0" w:type="dxa"/>
            <w:vAlign w:val="bottom"/>
          </w:tcPr>
          <w:p>
            <w:pPr>
              <w:spacing w:after="0"/>
              <w:rPr>
                <w:sz w:val="1"/>
                <w:szCs w:val="1"/>
                <w:color w:val="auto"/>
              </w:rPr>
            </w:pPr>
          </w:p>
        </w:tc>
      </w:tr>
      <w:tr>
        <w:trPr>
          <w:trHeight w:val="168"/>
        </w:trPr>
        <w:tc>
          <w:tcPr>
            <w:tcW w:w="1680" w:type="dxa"/>
            <w:vAlign w:val="bottom"/>
          </w:tcPr>
          <w:p>
            <w:pPr>
              <w:spacing w:after="0"/>
              <w:rPr>
                <w:sz w:val="14"/>
                <w:szCs w:val="14"/>
                <w:color w:val="auto"/>
              </w:rPr>
            </w:pPr>
          </w:p>
        </w:tc>
        <w:tc>
          <w:tcPr>
            <w:tcW w:w="4880" w:type="dxa"/>
            <w:vAlign w:val="bottom"/>
            <w:gridSpan w:val="2"/>
          </w:tcPr>
          <w:p>
            <w:pPr>
              <w:ind w:left="100"/>
              <w:spacing w:after="0" w:line="169" w:lineRule="exact"/>
              <w:rPr>
                <w:sz w:val="20"/>
                <w:szCs w:val="20"/>
                <w:color w:val="auto"/>
              </w:rPr>
            </w:pPr>
            <w:r>
              <w:rPr>
                <w:rFonts w:ascii="Arial" w:cs="Arial" w:eastAsia="Arial" w:hAnsi="Arial"/>
                <w:sz w:val="15"/>
                <w:szCs w:val="15"/>
                <w:color w:val="auto"/>
              </w:rPr>
              <w:t>Lease is terminated in accordance with the terms and conditions</w:t>
            </w:r>
          </w:p>
        </w:tc>
        <w:tc>
          <w:tcPr>
            <w:tcW w:w="0" w:type="dxa"/>
            <w:vAlign w:val="bottom"/>
          </w:tcPr>
          <w:p>
            <w:pPr>
              <w:spacing w:after="0"/>
              <w:rPr>
                <w:sz w:val="1"/>
                <w:szCs w:val="1"/>
                <w:color w:val="auto"/>
              </w:rPr>
            </w:pPr>
          </w:p>
        </w:tc>
      </w:tr>
      <w:tr>
        <w:trPr>
          <w:trHeight w:val="201"/>
        </w:trPr>
        <w:tc>
          <w:tcPr>
            <w:tcW w:w="1680" w:type="dxa"/>
            <w:vAlign w:val="bottom"/>
          </w:tcPr>
          <w:p>
            <w:pPr>
              <w:spacing w:after="0"/>
              <w:rPr>
                <w:sz w:val="17"/>
                <w:szCs w:val="17"/>
                <w:color w:val="auto"/>
              </w:rPr>
            </w:pPr>
          </w:p>
        </w:tc>
        <w:tc>
          <w:tcPr>
            <w:tcW w:w="800" w:type="dxa"/>
            <w:vAlign w:val="bottom"/>
          </w:tcPr>
          <w:p>
            <w:pPr>
              <w:ind w:left="100"/>
              <w:spacing w:after="0"/>
              <w:rPr>
                <w:sz w:val="20"/>
                <w:szCs w:val="20"/>
                <w:color w:val="auto"/>
              </w:rPr>
            </w:pPr>
            <w:r>
              <w:rPr>
                <w:rFonts w:ascii="Arial" w:cs="Arial" w:eastAsia="Arial" w:hAnsi="Arial"/>
                <w:sz w:val="15"/>
                <w:szCs w:val="15"/>
                <w:color w:val="auto"/>
              </w:rPr>
              <w:t>hereof.</w:t>
            </w: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1220" w:right="1399"/>
        <w:spacing w:after="0" w:line="288" w:lineRule="auto"/>
        <w:rPr>
          <w:sz w:val="20"/>
          <w:szCs w:val="20"/>
          <w:color w:val="auto"/>
        </w:rPr>
      </w:pPr>
      <w:r>
        <w:rPr>
          <w:rFonts w:ascii="Arial" w:cs="Arial" w:eastAsia="Arial" w:hAnsi="Arial"/>
          <w:sz w:val="15"/>
          <w:szCs w:val="15"/>
          <w:b w:val="1"/>
          <w:bCs w:val="1"/>
          <w:color w:val="auto"/>
        </w:rPr>
        <w:t>All capitalized terms used in this Lease which are not otherwise defined in this Article 1 or in the following Articles of this Lease are defined in Exhibit B.</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664" w:name="page665"/>
    <w:bookmarkEnd w:id="664"/>
    <w:p>
      <w:pPr>
        <w:jc w:val="center"/>
        <w:ind w:right="19"/>
        <w:spacing w:after="0"/>
        <w:rPr>
          <w:sz w:val="20"/>
          <w:szCs w:val="20"/>
          <w:color w:val="auto"/>
        </w:rPr>
      </w:pPr>
      <w:r>
        <w:rPr>
          <w:rFonts w:ascii="Arial" w:cs="Arial" w:eastAsia="Arial" w:hAnsi="Arial"/>
          <w:sz w:val="15"/>
          <w:szCs w:val="15"/>
          <w:b w:val="1"/>
          <w:bCs w:val="1"/>
          <w:color w:val="auto"/>
        </w:rPr>
        <w:t>ARTICLE 2</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PREMISES; TERM; RENT</w:t>
      </w:r>
    </w:p>
    <w:p>
      <w:pPr>
        <w:spacing w:after="0" w:line="148"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2.1. </w:t>
      </w:r>
      <w:r>
        <w:rPr>
          <w:rFonts w:ascii="Arial" w:cs="Arial" w:eastAsia="Arial" w:hAnsi="Arial"/>
          <w:sz w:val="15"/>
          <w:szCs w:val="15"/>
          <w:b w:val="1"/>
          <w:bCs w:val="1"/>
          <w:u w:val="single" w:color="auto"/>
          <w:color w:val="auto"/>
        </w:rPr>
        <w:t>Lease of Premises</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terms of this Lease, Landlord leases to</w:t>
      </w:r>
      <w:r>
        <w:rPr>
          <w:rFonts w:ascii="Arial" w:cs="Arial" w:eastAsia="Arial" w:hAnsi="Arial"/>
          <w:sz w:val="15"/>
          <w:szCs w:val="15"/>
          <w:b w:val="1"/>
          <w:bCs w:val="1"/>
          <w:color w:val="auto"/>
        </w:rPr>
        <w:t xml:space="preserve"> </w:t>
      </w:r>
      <w:r>
        <w:rPr>
          <w:rFonts w:ascii="Arial" w:cs="Arial" w:eastAsia="Arial" w:hAnsi="Arial"/>
          <w:sz w:val="15"/>
          <w:szCs w:val="15"/>
          <w:color w:val="auto"/>
        </w:rPr>
        <w:t>Tenant and Tenant leases from Landlord the Premises for the Term. In addition, Landlord grants to Tenant the right to use the Common Areas, the Common Facilities, and the Building Systems, which usage shall be on an exclusive basis for as long as the Premises includes all of the rentable areas of the Building, subject in all respects to access to and use by Landlord and Landlord’s Agent of the Common Areas, the Common Facilities, and the Building Systems, in accordance with the provisions of this Lease, and to access to and use by others of the passageway area, the Convenor Space, and the Lobby Café. Subject to casualties and to Unavoidable Delays and the terms and conditions of this Lease, Landlord shall provide Tenant with access to and use of the Premises, on a 24 hour per day, 7 day per week basis.</w:t>
      </w:r>
    </w:p>
    <w:p>
      <w:pPr>
        <w:spacing w:after="0" w:line="140"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2.2. </w:t>
      </w:r>
      <w:r>
        <w:rPr>
          <w:rFonts w:ascii="Arial" w:cs="Arial" w:eastAsia="Arial" w:hAnsi="Arial"/>
          <w:sz w:val="15"/>
          <w:szCs w:val="15"/>
          <w:b w:val="1"/>
          <w:bCs w:val="1"/>
          <w:u w:val="single" w:color="auto"/>
          <w:color w:val="auto"/>
        </w:rPr>
        <w:t>Commencement Date</w:t>
      </w:r>
      <w:r>
        <w:rPr>
          <w:rFonts w:ascii="Arial" w:cs="Arial" w:eastAsia="Arial" w:hAnsi="Arial"/>
          <w:sz w:val="15"/>
          <w:szCs w:val="15"/>
          <w:b w:val="1"/>
          <w:bCs w:val="1"/>
          <w:color w:val="auto"/>
        </w:rPr>
        <w:t xml:space="preserve">. </w:t>
      </w:r>
      <w:r>
        <w:rPr>
          <w:rFonts w:ascii="Arial" w:cs="Arial" w:eastAsia="Arial" w:hAnsi="Arial"/>
          <w:sz w:val="15"/>
          <w:szCs w:val="15"/>
          <w:color w:val="auto"/>
        </w:rPr>
        <w:t>Upon the Effective Date, the terms and 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of this Lease shall be fully binding on Landlord and Tenant. The Term of this Lease shall commence on the Commencement Date (as defined in </w:t>
      </w:r>
      <w:r>
        <w:rPr>
          <w:rFonts w:ascii="Arial" w:cs="Arial" w:eastAsia="Arial" w:hAnsi="Arial"/>
          <w:sz w:val="15"/>
          <w:szCs w:val="15"/>
          <w:b w:val="1"/>
          <w:bCs w:val="1"/>
          <w:color w:val="auto"/>
        </w:rPr>
        <w:t>Article 1</w:t>
      </w:r>
      <w:r>
        <w:rPr>
          <w:rFonts w:ascii="Arial" w:cs="Arial" w:eastAsia="Arial" w:hAnsi="Arial"/>
          <w:sz w:val="15"/>
          <w:szCs w:val="15"/>
          <w:color w:val="auto"/>
        </w:rPr>
        <w:t xml:space="preserve">). Unless sooner terminated or extended as hereinafter provided, the Term shall expire on the Expiration Date. Once the Commencement Date is determined, Landlord and Tenant shall endeavor to execute an agreement, substantially in the form attached hereto as </w:t>
      </w:r>
      <w:r>
        <w:rPr>
          <w:rFonts w:ascii="Arial" w:cs="Arial" w:eastAsia="Arial" w:hAnsi="Arial"/>
          <w:sz w:val="15"/>
          <w:szCs w:val="15"/>
          <w:b w:val="1"/>
          <w:bCs w:val="1"/>
          <w:color w:val="auto"/>
        </w:rPr>
        <w:t>Exhibit G</w:t>
      </w:r>
      <w:r>
        <w:rPr>
          <w:rFonts w:ascii="Arial" w:cs="Arial" w:eastAsia="Arial" w:hAnsi="Arial"/>
          <w:sz w:val="15"/>
          <w:szCs w:val="15"/>
          <w:color w:val="auto"/>
        </w:rPr>
        <w:t>, confirming the Commencement Date, the Rent Commencement Date and the Expiration Date; provided, however, the failure to execute said agreement will not limit or detract from the occurrence of such dates.</w:t>
      </w:r>
    </w:p>
    <w:p>
      <w:pPr>
        <w:spacing w:after="0" w:line="302"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2.3. </w:t>
      </w:r>
      <w:r>
        <w:rPr>
          <w:rFonts w:ascii="Arial" w:cs="Arial" w:eastAsia="Arial" w:hAnsi="Arial"/>
          <w:sz w:val="15"/>
          <w:szCs w:val="15"/>
          <w:b w:val="1"/>
          <w:bCs w:val="1"/>
          <w:u w:val="single" w:color="auto"/>
          <w:color w:val="auto"/>
        </w:rPr>
        <w:t>Payment of Rent</w:t>
      </w:r>
      <w:r>
        <w:rPr>
          <w:rFonts w:ascii="Arial" w:cs="Arial" w:eastAsia="Arial" w:hAnsi="Arial"/>
          <w:sz w:val="15"/>
          <w:szCs w:val="15"/>
          <w:color w:val="auto"/>
        </w:rPr>
        <w:t>. Tenant shall pay to Landlord, without notice or demand,</w:t>
      </w:r>
      <w:r>
        <w:rPr>
          <w:rFonts w:ascii="Arial" w:cs="Arial" w:eastAsia="Arial" w:hAnsi="Arial"/>
          <w:sz w:val="15"/>
          <w:szCs w:val="15"/>
          <w:b w:val="1"/>
          <w:bCs w:val="1"/>
          <w:color w:val="auto"/>
        </w:rPr>
        <w:t xml:space="preserve"> </w:t>
      </w:r>
      <w:r>
        <w:rPr>
          <w:rFonts w:ascii="Arial" w:cs="Arial" w:eastAsia="Arial" w:hAnsi="Arial"/>
          <w:sz w:val="15"/>
          <w:szCs w:val="15"/>
          <w:color w:val="auto"/>
        </w:rPr>
        <w:t>and without any set-off, counterclaim, abatement or deduction whatsoever, except as may be expressly set forth in this Lease, in lawful money of the United States by wire transfer of funds,</w:t>
      </w:r>
    </w:p>
    <w:p>
      <w:pPr>
        <w:spacing w:after="0" w:line="1" w:lineRule="exact"/>
        <w:rPr>
          <w:sz w:val="20"/>
          <w:szCs w:val="20"/>
          <w:color w:val="auto"/>
        </w:rPr>
      </w:pPr>
    </w:p>
    <w:p>
      <w:pPr>
        <w:jc w:val="both"/>
        <w:ind w:left="1220" w:right="1239" w:firstLine="4"/>
        <w:spacing w:after="0" w:line="244" w:lineRule="auto"/>
        <w:tabs>
          <w:tab w:leader="none" w:pos="1411" w:val="left"/>
        </w:tabs>
        <w:numPr>
          <w:ilvl w:val="0"/>
          <w:numId w:val="591"/>
        </w:numPr>
        <w:rPr>
          <w:rFonts w:ascii="Arial" w:cs="Arial" w:eastAsia="Arial" w:hAnsi="Arial"/>
          <w:sz w:val="15"/>
          <w:szCs w:val="15"/>
          <w:color w:val="auto"/>
        </w:rPr>
      </w:pPr>
      <w:r>
        <w:rPr>
          <w:rFonts w:ascii="Arial" w:cs="Arial" w:eastAsia="Arial" w:hAnsi="Arial"/>
          <w:sz w:val="15"/>
          <w:szCs w:val="15"/>
          <w:color w:val="auto"/>
        </w:rPr>
        <w:t>Fixed Rent in equal monthly installments, in advance, on the first day of each month during the Term, commencing on the Rent Commencement Date, and (ii) Additional Rent, at the times and in the manner set forth in this Lease.</w:t>
      </w:r>
    </w:p>
    <w:p>
      <w:pPr>
        <w:spacing w:after="0" w:line="131" w:lineRule="exact"/>
        <w:rPr>
          <w:sz w:val="20"/>
          <w:szCs w:val="20"/>
          <w:color w:val="auto"/>
        </w:rPr>
      </w:pPr>
    </w:p>
    <w:p>
      <w:pPr>
        <w:jc w:val="both"/>
        <w:ind w:left="1220" w:right="1239" w:firstLine="505"/>
        <w:spacing w:after="0" w:line="245" w:lineRule="auto"/>
        <w:rPr>
          <w:sz w:val="20"/>
          <w:szCs w:val="20"/>
          <w:color w:val="auto"/>
        </w:rPr>
      </w:pPr>
      <w:r>
        <w:rPr>
          <w:rFonts w:ascii="Arial" w:cs="Arial" w:eastAsia="Arial" w:hAnsi="Arial"/>
          <w:sz w:val="15"/>
          <w:szCs w:val="15"/>
          <w:b w:val="1"/>
          <w:bCs w:val="1"/>
          <w:color w:val="auto"/>
        </w:rPr>
        <w:t xml:space="preserve">Section 2.4. </w:t>
      </w:r>
      <w:r>
        <w:rPr>
          <w:rFonts w:ascii="Arial" w:cs="Arial" w:eastAsia="Arial" w:hAnsi="Arial"/>
          <w:sz w:val="15"/>
          <w:szCs w:val="15"/>
          <w:b w:val="1"/>
          <w:bCs w:val="1"/>
          <w:u w:val="single" w:color="auto"/>
          <w:color w:val="auto"/>
        </w:rPr>
        <w:t>Guaranty</w:t>
      </w:r>
      <w:r>
        <w:rPr>
          <w:rFonts w:ascii="Arial" w:cs="Arial" w:eastAsia="Arial" w:hAnsi="Arial"/>
          <w:sz w:val="15"/>
          <w:szCs w:val="15"/>
          <w:b w:val="1"/>
          <w:bCs w:val="1"/>
          <w:color w:val="auto"/>
        </w:rPr>
        <w:t xml:space="preserve">. </w:t>
      </w:r>
      <w:r>
        <w:rPr>
          <w:rFonts w:ascii="Arial" w:cs="Arial" w:eastAsia="Arial" w:hAnsi="Arial"/>
          <w:sz w:val="15"/>
          <w:szCs w:val="15"/>
          <w:color w:val="auto"/>
        </w:rPr>
        <w:t>Concurrent with the execution of this Lease, the Guarantor has</w:t>
      </w:r>
      <w:r>
        <w:rPr>
          <w:rFonts w:ascii="Arial" w:cs="Arial" w:eastAsia="Arial" w:hAnsi="Arial"/>
          <w:sz w:val="15"/>
          <w:szCs w:val="15"/>
          <w:b w:val="1"/>
          <w:bCs w:val="1"/>
          <w:color w:val="auto"/>
        </w:rPr>
        <w:t xml:space="preserve"> </w:t>
      </w:r>
      <w:r>
        <w:rPr>
          <w:rFonts w:ascii="Arial" w:cs="Arial" w:eastAsia="Arial" w:hAnsi="Arial"/>
          <w:sz w:val="15"/>
          <w:szCs w:val="15"/>
          <w:color w:val="auto"/>
        </w:rPr>
        <w:t>executed and delivered to Landlord the Guaranty (the “</w:t>
      </w:r>
      <w:r>
        <w:rPr>
          <w:rFonts w:ascii="Arial" w:cs="Arial" w:eastAsia="Arial" w:hAnsi="Arial"/>
          <w:sz w:val="15"/>
          <w:szCs w:val="15"/>
          <w:b w:val="1"/>
          <w:bCs w:val="1"/>
          <w:color w:val="auto"/>
        </w:rPr>
        <w:t>Guaranty</w:t>
      </w:r>
      <w:r>
        <w:rPr>
          <w:rFonts w:ascii="Arial" w:cs="Arial" w:eastAsia="Arial" w:hAnsi="Arial"/>
          <w:sz w:val="15"/>
          <w:szCs w:val="15"/>
          <w:color w:val="auto"/>
        </w:rPr>
        <w:t xml:space="preserve">”) in the form attached hereto as </w:t>
      </w:r>
      <w:r>
        <w:rPr>
          <w:rFonts w:ascii="Arial" w:cs="Arial" w:eastAsia="Arial" w:hAnsi="Arial"/>
          <w:sz w:val="15"/>
          <w:szCs w:val="15"/>
          <w:b w:val="1"/>
          <w:bCs w:val="1"/>
          <w:color w:val="auto"/>
        </w:rPr>
        <w:t>Exhibit N</w:t>
      </w:r>
      <w:r>
        <w:rPr>
          <w:rFonts w:ascii="Arial" w:cs="Arial" w:eastAsia="Arial" w:hAnsi="Arial"/>
          <w:sz w:val="15"/>
          <w:szCs w:val="15"/>
          <w:color w:val="auto"/>
        </w:rPr>
        <w:t>. The Guaranty shall remain in full force and effect throughout the Term</w:t>
      </w:r>
      <w:r>
        <w:rPr>
          <w:rFonts w:ascii="Arial" w:cs="Arial" w:eastAsia="Arial" w:hAnsi="Arial"/>
          <w:sz w:val="15"/>
          <w:szCs w:val="15"/>
          <w:b w:val="1"/>
          <w:bCs w:val="1"/>
          <w:color w:val="auto"/>
        </w:rPr>
        <w:t>.</w:t>
      </w:r>
      <w:r>
        <w:rPr>
          <w:rFonts w:ascii="Arial" w:cs="Arial" w:eastAsia="Arial" w:hAnsi="Arial"/>
          <w:sz w:val="15"/>
          <w:szCs w:val="15"/>
          <w:color w:val="auto"/>
        </w:rPr>
        <w:t xml:space="preserve"> Tenant hereby represents and warrants to Landlord that it is a wholly-owned direct subsidiary of Guarantor.</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3</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USE AND OCCUPANCY</w:t>
      </w:r>
    </w:p>
    <w:p>
      <w:pPr>
        <w:spacing w:after="0" w:line="16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3.1. </w:t>
      </w:r>
      <w:r>
        <w:rPr>
          <w:rFonts w:ascii="Arial" w:cs="Arial" w:eastAsia="Arial" w:hAnsi="Arial"/>
          <w:sz w:val="15"/>
          <w:szCs w:val="15"/>
          <w:b w:val="1"/>
          <w:bCs w:val="1"/>
          <w:u w:val="single" w:color="auto"/>
          <w:color w:val="auto"/>
        </w:rPr>
        <w:t>Permitted Uses</w:t>
      </w:r>
      <w:r>
        <w:rPr>
          <w:rFonts w:ascii="Arial" w:cs="Arial" w:eastAsia="Arial" w:hAnsi="Arial"/>
          <w:sz w:val="15"/>
          <w:szCs w:val="15"/>
          <w:b w:val="1"/>
          <w:bCs w:val="1"/>
          <w:color w:val="auto"/>
        </w:rPr>
        <w:t xml:space="preserve">. </w:t>
      </w:r>
      <w:r>
        <w:rPr>
          <w:rFonts w:ascii="Arial" w:cs="Arial" w:eastAsia="Arial" w:hAnsi="Arial"/>
          <w:sz w:val="15"/>
          <w:szCs w:val="15"/>
          <w:color w:val="auto"/>
        </w:rPr>
        <w:t>(a) Tenant shall use and occupy the Premises only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Permitted Uses and for no other purpose or purposes. Tenant shall not use or occupy or permit the use or occupancy of any part of the Premises in a manner constituting a Prohibited Use. If Tenant uses the Premises for any Prohibited Use, in violation of any applicable Requirement, or in a manner which causes the Building to be in violation of any Requirement, then Tenant shall promptly discontinue such use upon notice from Landlord.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665" w:name="page666"/>
    <w:bookmarkEnd w:id="665"/>
    <w:p>
      <w:pPr>
        <w:jc w:val="both"/>
        <w:ind w:left="1220" w:right="1239" w:firstLine="509"/>
        <w:spacing w:after="0" w:line="239" w:lineRule="auto"/>
        <w:tabs>
          <w:tab w:leader="none" w:pos="2088" w:val="left"/>
        </w:tabs>
        <w:numPr>
          <w:ilvl w:val="0"/>
          <w:numId w:val="592"/>
        </w:numPr>
        <w:rPr>
          <w:rFonts w:ascii="Arial" w:cs="Arial" w:eastAsia="Arial" w:hAnsi="Arial"/>
          <w:sz w:val="15"/>
          <w:szCs w:val="15"/>
          <w:color w:val="auto"/>
        </w:rPr>
      </w:pPr>
      <w:r>
        <w:rPr>
          <w:rFonts w:ascii="Arial" w:cs="Arial" w:eastAsia="Arial" w:hAnsi="Arial"/>
          <w:sz w:val="15"/>
          <w:szCs w:val="15"/>
          <w:color w:val="auto"/>
        </w:rPr>
        <w:t xml:space="preserve">Tenant shall use Office Areas only for the Office Area Permitted Uses and for no other purposes. Notwithstanding the foregoing, Tenant may elect, from time-to-time, subject to the terms and conditions of </w:t>
      </w:r>
      <w:r>
        <w:rPr>
          <w:rFonts w:ascii="Arial" w:cs="Arial" w:eastAsia="Arial" w:hAnsi="Arial"/>
          <w:sz w:val="15"/>
          <w:szCs w:val="15"/>
          <w:b w:val="1"/>
          <w:bCs w:val="1"/>
          <w:color w:val="auto"/>
        </w:rPr>
        <w:t>Section 3.1(e),</w:t>
      </w:r>
      <w:r>
        <w:rPr>
          <w:rFonts w:ascii="Arial" w:cs="Arial" w:eastAsia="Arial" w:hAnsi="Arial"/>
          <w:sz w:val="15"/>
          <w:szCs w:val="15"/>
          <w:color w:val="auto"/>
        </w:rPr>
        <w:t xml:space="preserve"> to change the use of Office Areas to the Lab Area Permitted Uses, subject in each instance to the prior consent of Landlord, which consent may be granted or withheld by Landlord in its sole discretion. Any such change in use of Office Areas to the Lab Area Permitted Uses shall be subject to applicable Requirements and to compliance by Tenant with the terms and conditions of </w:t>
      </w:r>
      <w:r>
        <w:rPr>
          <w:rFonts w:ascii="Arial" w:cs="Arial" w:eastAsia="Arial" w:hAnsi="Arial"/>
          <w:sz w:val="15"/>
          <w:szCs w:val="15"/>
          <w:b w:val="1"/>
          <w:bCs w:val="1"/>
          <w:color w:val="auto"/>
        </w:rPr>
        <w:t>Article 5</w:t>
      </w:r>
      <w:r>
        <w:rPr>
          <w:rFonts w:ascii="Arial" w:cs="Arial" w:eastAsia="Arial" w:hAnsi="Arial"/>
          <w:sz w:val="15"/>
          <w:szCs w:val="15"/>
          <w:color w:val="auto"/>
        </w:rPr>
        <w:t>. Tenant shall be responsible for all costs and expenses arising out of or resulting from any such change in use of Office Areas to the Lab Area Permitted Uses.</w:t>
      </w:r>
    </w:p>
    <w:p>
      <w:pPr>
        <w:spacing w:after="0" w:line="136" w:lineRule="exact"/>
        <w:rPr>
          <w:rFonts w:ascii="Arial" w:cs="Arial" w:eastAsia="Arial" w:hAnsi="Arial"/>
          <w:sz w:val="15"/>
          <w:szCs w:val="15"/>
          <w:color w:val="auto"/>
        </w:rPr>
      </w:pPr>
    </w:p>
    <w:p>
      <w:pPr>
        <w:jc w:val="both"/>
        <w:ind w:left="1220" w:right="1239" w:firstLine="509"/>
        <w:spacing w:after="0" w:line="239" w:lineRule="auto"/>
        <w:tabs>
          <w:tab w:leader="none" w:pos="2083" w:val="left"/>
        </w:tabs>
        <w:numPr>
          <w:ilvl w:val="0"/>
          <w:numId w:val="592"/>
        </w:numPr>
        <w:rPr>
          <w:rFonts w:ascii="Arial" w:cs="Arial" w:eastAsia="Arial" w:hAnsi="Arial"/>
          <w:sz w:val="15"/>
          <w:szCs w:val="15"/>
          <w:color w:val="auto"/>
        </w:rPr>
      </w:pPr>
      <w:r>
        <w:rPr>
          <w:rFonts w:ascii="Arial" w:cs="Arial" w:eastAsia="Arial" w:hAnsi="Arial"/>
          <w:sz w:val="15"/>
          <w:szCs w:val="15"/>
          <w:color w:val="auto"/>
        </w:rPr>
        <w:t xml:space="preserve">Tenant shall use the Lab Areas only for the Lab Area Permitted Uses and for no other purposes. Tenant may elect, from time-to-time, subject to the terms and conditions of </w:t>
      </w:r>
      <w:r>
        <w:rPr>
          <w:rFonts w:ascii="Arial" w:cs="Arial" w:eastAsia="Arial" w:hAnsi="Arial"/>
          <w:sz w:val="15"/>
          <w:szCs w:val="15"/>
          <w:b w:val="1"/>
          <w:bCs w:val="1"/>
          <w:color w:val="auto"/>
        </w:rPr>
        <w:t xml:space="preserve">Section 3.1(e), </w:t>
      </w:r>
      <w:r>
        <w:rPr>
          <w:rFonts w:ascii="Arial" w:cs="Arial" w:eastAsia="Arial" w:hAnsi="Arial"/>
          <w:sz w:val="15"/>
          <w:szCs w:val="15"/>
          <w:color w:val="auto"/>
        </w:rPr>
        <w:t>to change the use of Lab Areas to Office Area Permitted Uses, subject in each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instance to the prior consent of Landlord, which consent shall not be unreasonably withheld, conditioned, or delayed (subject to the terms and conditions of </w:t>
      </w:r>
      <w:r>
        <w:rPr>
          <w:rFonts w:ascii="Arial" w:cs="Arial" w:eastAsia="Arial" w:hAnsi="Arial"/>
          <w:sz w:val="15"/>
          <w:szCs w:val="15"/>
          <w:b w:val="1"/>
          <w:bCs w:val="1"/>
          <w:color w:val="auto"/>
        </w:rPr>
        <w:t>Section 3.1(e)</w:t>
      </w:r>
      <w:r>
        <w:rPr>
          <w:rFonts w:ascii="Arial" w:cs="Arial" w:eastAsia="Arial" w:hAnsi="Arial"/>
          <w:sz w:val="15"/>
          <w:szCs w:val="15"/>
          <w:color w:val="auto"/>
        </w:rPr>
        <w:t xml:space="preserve">). Any such change in use of Lab Areas to Office Area Permitted Uses shall be subject to applicable Requirements and to compliance by Tenant with the terms and conditions of </w:t>
      </w:r>
      <w:r>
        <w:rPr>
          <w:rFonts w:ascii="Arial" w:cs="Arial" w:eastAsia="Arial" w:hAnsi="Arial"/>
          <w:sz w:val="15"/>
          <w:szCs w:val="15"/>
          <w:b w:val="1"/>
          <w:bCs w:val="1"/>
          <w:color w:val="auto"/>
        </w:rPr>
        <w:t>Article 5</w:t>
      </w:r>
      <w:r>
        <w:rPr>
          <w:rFonts w:ascii="Arial" w:cs="Arial" w:eastAsia="Arial" w:hAnsi="Arial"/>
          <w:sz w:val="15"/>
          <w:szCs w:val="15"/>
          <w:color w:val="auto"/>
        </w:rPr>
        <w:t>. Tenant shall be responsible for all costs and expenses arising out of or resulting from any such change in use of Lab Areas to Office Area Permitted Uses.</w:t>
      </w:r>
    </w:p>
    <w:p>
      <w:pPr>
        <w:spacing w:after="0" w:line="136" w:lineRule="exact"/>
        <w:rPr>
          <w:rFonts w:ascii="Arial" w:cs="Arial" w:eastAsia="Arial" w:hAnsi="Arial"/>
          <w:sz w:val="15"/>
          <w:szCs w:val="15"/>
          <w:color w:val="auto"/>
        </w:rPr>
      </w:pPr>
    </w:p>
    <w:p>
      <w:pPr>
        <w:jc w:val="both"/>
        <w:ind w:left="1220" w:right="1239" w:firstLine="509"/>
        <w:spacing w:after="0" w:line="242" w:lineRule="auto"/>
        <w:tabs>
          <w:tab w:leader="none" w:pos="2089" w:val="left"/>
        </w:tabs>
        <w:numPr>
          <w:ilvl w:val="0"/>
          <w:numId w:val="592"/>
        </w:numPr>
        <w:rPr>
          <w:rFonts w:ascii="Arial" w:cs="Arial" w:eastAsia="Arial" w:hAnsi="Arial"/>
          <w:sz w:val="15"/>
          <w:szCs w:val="15"/>
          <w:color w:val="auto"/>
        </w:rPr>
      </w:pPr>
      <w:r>
        <w:rPr>
          <w:rFonts w:ascii="Arial" w:cs="Arial" w:eastAsia="Arial" w:hAnsi="Arial"/>
          <w:sz w:val="15"/>
          <w:szCs w:val="15"/>
          <w:color w:val="auto"/>
        </w:rPr>
        <w:t xml:space="preserve">Tenant may elect to use Flex Areas for either Lab Area Permitted Uses or Office Area Permitted Uses, subject to the terms and conditions of </w:t>
      </w:r>
      <w:r>
        <w:rPr>
          <w:rFonts w:ascii="Arial" w:cs="Arial" w:eastAsia="Arial" w:hAnsi="Arial"/>
          <w:sz w:val="15"/>
          <w:szCs w:val="15"/>
          <w:b w:val="1"/>
          <w:bCs w:val="1"/>
          <w:color w:val="auto"/>
        </w:rPr>
        <w:t>Section 3.1(e),</w:t>
      </w:r>
      <w:r>
        <w:rPr>
          <w:rFonts w:ascii="Arial" w:cs="Arial" w:eastAsia="Arial" w:hAnsi="Arial"/>
          <w:sz w:val="15"/>
          <w:szCs w:val="15"/>
          <w:color w:val="auto"/>
        </w:rPr>
        <w:t xml:space="preserve"> to applicable Requirements, and to compliance by Tenant with the terms and conditions of </w:t>
      </w:r>
      <w:r>
        <w:rPr>
          <w:rFonts w:ascii="Arial" w:cs="Arial" w:eastAsia="Arial" w:hAnsi="Arial"/>
          <w:sz w:val="15"/>
          <w:szCs w:val="15"/>
          <w:b w:val="1"/>
          <w:bCs w:val="1"/>
          <w:color w:val="auto"/>
        </w:rPr>
        <w:t>Article 5</w:t>
      </w:r>
      <w:r>
        <w:rPr>
          <w:rFonts w:ascii="Arial" w:cs="Arial" w:eastAsia="Arial" w:hAnsi="Arial"/>
          <w:sz w:val="15"/>
          <w:szCs w:val="15"/>
          <w:color w:val="auto"/>
        </w:rPr>
        <w:t xml:space="preserve">. The prior consent of Landlord shall not be required for such change in use of Flex Areas, subject to the provisions of </w:t>
      </w:r>
      <w:r>
        <w:rPr>
          <w:rFonts w:ascii="Arial" w:cs="Arial" w:eastAsia="Arial" w:hAnsi="Arial"/>
          <w:sz w:val="15"/>
          <w:szCs w:val="15"/>
          <w:b w:val="1"/>
          <w:bCs w:val="1"/>
          <w:color w:val="auto"/>
        </w:rPr>
        <w:t>Article 5</w:t>
      </w:r>
      <w:r>
        <w:rPr>
          <w:rFonts w:ascii="Arial" w:cs="Arial" w:eastAsia="Arial" w:hAnsi="Arial"/>
          <w:sz w:val="15"/>
          <w:szCs w:val="15"/>
          <w:color w:val="auto"/>
        </w:rPr>
        <w:t>. Tenant shall be responsible for all costs and expenses arising out of or resulting from any such change in use of Flex Areas.</w:t>
      </w:r>
    </w:p>
    <w:p>
      <w:pPr>
        <w:spacing w:after="0" w:line="133" w:lineRule="exact"/>
        <w:rPr>
          <w:rFonts w:ascii="Arial" w:cs="Arial" w:eastAsia="Arial" w:hAnsi="Arial"/>
          <w:sz w:val="15"/>
          <w:szCs w:val="15"/>
          <w:color w:val="auto"/>
        </w:rPr>
      </w:pPr>
    </w:p>
    <w:p>
      <w:pPr>
        <w:jc w:val="both"/>
        <w:ind w:left="1220" w:right="1239" w:firstLine="509"/>
        <w:spacing w:after="0"/>
        <w:tabs>
          <w:tab w:leader="none" w:pos="2210" w:val="left"/>
        </w:tabs>
        <w:numPr>
          <w:ilvl w:val="0"/>
          <w:numId w:val="592"/>
        </w:numPr>
        <w:rPr>
          <w:rFonts w:ascii="Arial" w:cs="Arial" w:eastAsia="Arial" w:hAnsi="Arial"/>
          <w:sz w:val="15"/>
          <w:szCs w:val="15"/>
          <w:color w:val="auto"/>
        </w:rPr>
      </w:pPr>
      <w:r>
        <w:rPr>
          <w:rFonts w:ascii="Arial" w:cs="Arial" w:eastAsia="Arial" w:hAnsi="Arial"/>
          <w:sz w:val="15"/>
          <w:szCs w:val="15"/>
          <w:color w:val="auto"/>
        </w:rPr>
        <w:t>Notwithstanding the foregoing, at all times during the Term, not less than approximately thirty percent (30%) of the rentable area of the Premises shall be used for the Lab Area Permitted Uses, and not more than approximately seventy percent (70%) of the rentable area of the Premises shall be used for the Office Area Permitted Uses. Landlord shall not be considered to be unreasonable in withholding consent for a change in the use of any respective area of the Premises that when given effect would result in the use of the Premises being in breach of the foregoing covenant.</w:t>
      </w:r>
    </w:p>
    <w:p>
      <w:pPr>
        <w:spacing w:after="0" w:line="136"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3.2. </w:t>
      </w:r>
      <w:r>
        <w:rPr>
          <w:rFonts w:ascii="Arial" w:cs="Arial" w:eastAsia="Arial" w:hAnsi="Arial"/>
          <w:sz w:val="15"/>
          <w:szCs w:val="15"/>
          <w:b w:val="1"/>
          <w:bCs w:val="1"/>
          <w:u w:val="single" w:color="auto"/>
          <w:color w:val="auto"/>
        </w:rPr>
        <w:t>Permits and Approvals</w:t>
      </w:r>
      <w:r>
        <w:rPr>
          <w:rFonts w:ascii="Arial" w:cs="Arial" w:eastAsia="Arial" w:hAnsi="Arial"/>
          <w:sz w:val="15"/>
          <w:szCs w:val="15"/>
          <w:color w:val="auto"/>
        </w:rPr>
        <w:t>. Tenant shall, at its sole cost and expense, obtain</w:t>
      </w:r>
      <w:r>
        <w:rPr>
          <w:rFonts w:ascii="Arial" w:cs="Arial" w:eastAsia="Arial" w:hAnsi="Arial"/>
          <w:sz w:val="15"/>
          <w:szCs w:val="15"/>
          <w:b w:val="1"/>
          <w:bCs w:val="1"/>
          <w:color w:val="auto"/>
        </w:rPr>
        <w:t xml:space="preserve"> </w:t>
      </w:r>
      <w:r>
        <w:rPr>
          <w:rFonts w:ascii="Arial" w:cs="Arial" w:eastAsia="Arial" w:hAnsi="Arial"/>
          <w:sz w:val="15"/>
          <w:szCs w:val="15"/>
          <w:color w:val="auto"/>
        </w:rPr>
        <w:t>and at all times maintain all licenses, approvals, and permits required for the lawful conduct of the business operations of Tenant in the Premises, including any and all permits and approvals required for or incident to the conduct of its scientific activities in the Premises, or the transportation, storage, handling, use and disposal of Hazardous Materials, chemical or biological substances or organisms, animals, and/or laboratory specimens. Upon request of Landlord from time-to-time, Tenant shall provide copies of such licenses, permits and approvals to Landlord. Landlord will exercise commercially reasonable efforts to cooperate with the efforts of Tenant to obtain and maintain such licenses, permits or approvals; provided, however, Tenant shall reimburse Landlord for all commercially reasonable actual documented out-of-pocket costs and expenses incurred by Landlord in connection therewith. Immediately upon receipt, Tenant shall provide Landlord with copies of any notices or other communications concerning the termination or expiration of any such permits, licenses or approvals, or concerning or alleging a violation or alleged violation by Tenant of any Requirements. In no event shall Tenant seek any amendments or modifications to, or variances or special use permits under, the Zoning Code of the City of Boston without the prior written consent of Landlord in each instance; provided, however,</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66" w:name="page667"/>
    <w:bookmarkEnd w:id="666"/>
    <w:p>
      <w:pPr>
        <w:jc w:val="both"/>
        <w:ind w:left="1220" w:right="1239"/>
        <w:spacing w:after="0" w:line="244" w:lineRule="auto"/>
        <w:rPr>
          <w:sz w:val="20"/>
          <w:szCs w:val="20"/>
          <w:color w:val="auto"/>
        </w:rPr>
      </w:pPr>
      <w:r>
        <w:rPr>
          <w:rFonts w:ascii="Arial" w:cs="Arial" w:eastAsia="Arial" w:hAnsi="Arial"/>
          <w:sz w:val="15"/>
          <w:szCs w:val="15"/>
          <w:color w:val="auto"/>
        </w:rPr>
        <w:t>Landlord hereby consents to Tenant obtaining a conditional use permit to construct and operate the Vivarium (as hereinafter defined), subject to the review and approval by Landlord of any conditions and requirements set forth in said conditional use permit which could impact or restrict the Building and/or the Real Property after the expiration or termination of this Lease (which approval will not be unreasonably withheld).</w:t>
      </w:r>
    </w:p>
    <w:p>
      <w:pPr>
        <w:spacing w:after="0" w:line="130"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3.3. </w:t>
      </w:r>
      <w:r>
        <w:rPr>
          <w:rFonts w:ascii="Arial" w:cs="Arial" w:eastAsia="Arial" w:hAnsi="Arial"/>
          <w:sz w:val="15"/>
          <w:szCs w:val="15"/>
          <w:b w:val="1"/>
          <w:bCs w:val="1"/>
          <w:u w:val="single" w:color="auto"/>
          <w:color w:val="auto"/>
        </w:rPr>
        <w:t>Building Roof and Penthouse Roof Areas</w:t>
      </w:r>
      <w:r>
        <w:rPr>
          <w:rFonts w:ascii="Arial" w:cs="Arial" w:eastAsia="Arial" w:hAnsi="Arial"/>
          <w:sz w:val="15"/>
          <w:szCs w:val="15"/>
          <w:color w:val="auto"/>
        </w:rPr>
        <w:t>. Subject to the terms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conditions of this </w:t>
      </w:r>
      <w:r>
        <w:rPr>
          <w:rFonts w:ascii="Arial" w:cs="Arial" w:eastAsia="Arial" w:hAnsi="Arial"/>
          <w:sz w:val="15"/>
          <w:szCs w:val="15"/>
          <w:b w:val="1"/>
          <w:bCs w:val="1"/>
          <w:color w:val="auto"/>
        </w:rPr>
        <w:t>Section 3.3</w:t>
      </w:r>
      <w:r>
        <w:rPr>
          <w:rFonts w:ascii="Arial" w:cs="Arial" w:eastAsia="Arial" w:hAnsi="Arial"/>
          <w:sz w:val="15"/>
          <w:szCs w:val="15"/>
          <w:color w:val="auto"/>
        </w:rPr>
        <w:t>, during the Term of this Lease Tenant shall have the right to install, operate, maintain, repair and replace mechanical equipment which is required for its operations in the Premises (collectively, the “</w:t>
      </w:r>
      <w:r>
        <w:rPr>
          <w:rFonts w:ascii="Arial" w:cs="Arial" w:eastAsia="Arial" w:hAnsi="Arial"/>
          <w:sz w:val="15"/>
          <w:szCs w:val="15"/>
          <w:b w:val="1"/>
          <w:bCs w:val="1"/>
          <w:color w:val="auto"/>
        </w:rPr>
        <w:t>Rooftop Equipment</w:t>
      </w:r>
      <w:r>
        <w:rPr>
          <w:rFonts w:ascii="Arial" w:cs="Arial" w:eastAsia="Arial" w:hAnsi="Arial"/>
          <w:sz w:val="15"/>
          <w:szCs w:val="15"/>
          <w:color w:val="auto"/>
        </w:rPr>
        <w:t>”) located on the roof of the Building and the roof of the penthouse area of the Building, respectively, in the areas (collectively, the “</w:t>
      </w:r>
      <w:r>
        <w:rPr>
          <w:rFonts w:ascii="Arial" w:cs="Arial" w:eastAsia="Arial" w:hAnsi="Arial"/>
          <w:sz w:val="15"/>
          <w:szCs w:val="15"/>
          <w:b w:val="1"/>
          <w:bCs w:val="1"/>
          <w:color w:val="auto"/>
        </w:rPr>
        <w:t>Rooftop Areas</w:t>
      </w:r>
      <w:r>
        <w:rPr>
          <w:rFonts w:ascii="Arial" w:cs="Arial" w:eastAsia="Arial" w:hAnsi="Arial"/>
          <w:sz w:val="15"/>
          <w:szCs w:val="15"/>
          <w:color w:val="auto"/>
        </w:rPr>
        <w:t xml:space="preserve">”) depicted on the plan attached to this Lease as </w:t>
      </w:r>
      <w:r>
        <w:rPr>
          <w:rFonts w:ascii="Arial" w:cs="Arial" w:eastAsia="Arial" w:hAnsi="Arial"/>
          <w:sz w:val="15"/>
          <w:szCs w:val="15"/>
          <w:b w:val="1"/>
          <w:bCs w:val="1"/>
          <w:color w:val="auto"/>
        </w:rPr>
        <w:t>Exhibit J.</w:t>
      </w:r>
      <w:r>
        <w:rPr>
          <w:rFonts w:ascii="Arial" w:cs="Arial" w:eastAsia="Arial" w:hAnsi="Arial"/>
          <w:sz w:val="15"/>
          <w:szCs w:val="15"/>
          <w:color w:val="auto"/>
        </w:rPr>
        <w:t xml:space="preserve"> The Rooftop Areas shall be provided to Tenant in the condition set forth in the Base Building Plans, and except as expressly set forth in the Base Building Plans, Landlord shall have no obligation to prepare the roof, the penthouse, or any portion thereof for use by Tenant. The location, type, size, weight and manner of attachment of the Rooftop Equipment shall be subject to the prior approval of Landlord in each instance. Landlord’s approval of the Rooftop Equipment shall not be unreasonably withheld, conditioned or delayed, provided that Tenant demonstrates to Landlord’s reasonable satisfaction that the proposed Rooftop Equipment (i) does not interfere with any Building Systems; (ii) will not affect the structural integrity of the Building or adversely impact the roof or the roof membrane in any manner or void, or adversely affect Landlord’s rights under, the roof warranty in any manner; and (iii) complies with all applicable Requirements. Tenant shall be responsible for screening the Rooftop Equipment in accordance with all applicable Requirements, subject however to Landlord installing the base building equipment to be installed on the roof of the Building in the locations set forth in the Base Building Plans. Tenant shall not install Tenant’s Rooftop Equipment unless and until Tenant has obtained and submitted to Landlord copies of all required governmental permits, licenses, approvals, and authorizations necessary for the installation and operation thereof. Tenant shall not operate Tenant’s Rooftop Equipment unless and until Tenant has obtained and submitted to Landlord commissioning reports and acoustical reports, as required pursuant to, and evidencing compliance with, all applicable Requirements. Tenant shall comply with all Requirements applicable to the operation, use, repair and maintenance of the Rooftop Equipment. In addition, in connection with the installation, maintenance and operation of the Rooftop Equipment, Tenant shall comply with all customary construction Rules and Regulations adopted by Landlord from time-to-time. In connection with all work and services performed by or on behalf of Tenant on the roof and/or penthouse of the Building, such work or services (i) shall not interfere with any Building Systems; (ii) shall not affect the structural integrity of the Building or adversely impact the roof or the roof membrane in any manner or void, or adversely affect Landlord’s rights under, the roof warranty in any manner; (iii) shall be adequately screened in accordance with all applicable Requirements; and (iv) shall comply with all applicable Requirements. Notwithstanding the foregoing, upon the request of Tenant, the electricity and/or other utilities provided to the Rooftop Areas may be temporarily interrupted as required in connection with the installation, maintenance, and testing of the Rooftop Equipment, provided that (A) Tenant provides reasonable prior notice of such required interruption to Landlord, (B) such interruption shall be scheduled at a time which is reasonably satisfactory to Landlord and Tenant (taking into account the need for immediate scheduling in the event of an emergency);</w:t>
      </w:r>
    </w:p>
    <w:p>
      <w:pPr>
        <w:spacing w:after="0" w:line="17" w:lineRule="exact"/>
        <w:rPr>
          <w:sz w:val="20"/>
          <w:szCs w:val="20"/>
          <w:color w:val="auto"/>
        </w:rPr>
      </w:pPr>
    </w:p>
    <w:p>
      <w:pPr>
        <w:jc w:val="both"/>
        <w:ind w:left="1220" w:right="1239" w:firstLine="4"/>
        <w:spacing w:after="0"/>
        <w:tabs>
          <w:tab w:leader="none" w:pos="1491" w:val="left"/>
        </w:tabs>
        <w:numPr>
          <w:ilvl w:val="0"/>
          <w:numId w:val="593"/>
        </w:numPr>
        <w:rPr>
          <w:rFonts w:ascii="Arial" w:cs="Arial" w:eastAsia="Arial" w:hAnsi="Arial"/>
          <w:sz w:val="15"/>
          <w:szCs w:val="15"/>
          <w:color w:val="auto"/>
        </w:rPr>
      </w:pPr>
      <w:r>
        <w:rPr>
          <w:rFonts w:ascii="Arial" w:cs="Arial" w:eastAsia="Arial" w:hAnsi="Arial"/>
          <w:sz w:val="15"/>
          <w:szCs w:val="15"/>
          <w:color w:val="auto"/>
        </w:rPr>
        <w:t>Tenant shall exercise good faith diligent efforts to minimize the extent and duration of any such interruption, and (D) Tenant shall reimburse Landlord, as Additional Rent, for all reasonable out-of-pocket costs and expenses incurred by Landlord in connection with such interruption. Landlord shall have no obligation to provide any electricity or other utilities or services to the Rooftop Equipment. Tenant shall be responsible for connecting the Rooftop Equipment to the electrical</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67" w:name="page668"/>
    <w:bookmarkEnd w:id="667"/>
    <w:p>
      <w:pPr>
        <w:jc w:val="both"/>
        <w:ind w:left="1220" w:right="1239"/>
        <w:spacing w:after="0" w:line="274" w:lineRule="auto"/>
        <w:rPr>
          <w:sz w:val="20"/>
          <w:szCs w:val="20"/>
          <w:color w:val="auto"/>
        </w:rPr>
      </w:pPr>
      <w:r>
        <w:rPr>
          <w:rFonts w:ascii="Arial" w:cs="Arial" w:eastAsia="Arial" w:hAnsi="Arial"/>
          <w:sz w:val="15"/>
          <w:szCs w:val="15"/>
          <w:color w:val="auto"/>
        </w:rPr>
        <w:t>outlets located on the roof, and for the costs and expenses of all electricity consumed in connection with the operation of the Rooftop Equipment.</w:t>
      </w:r>
    </w:p>
    <w:p>
      <w:pPr>
        <w:spacing w:after="0" w:line="109"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3.4. </w:t>
      </w:r>
      <w:r>
        <w:rPr>
          <w:rFonts w:ascii="Arial" w:cs="Arial" w:eastAsia="Arial" w:hAnsi="Arial"/>
          <w:sz w:val="15"/>
          <w:szCs w:val="15"/>
          <w:b w:val="1"/>
          <w:bCs w:val="1"/>
          <w:u w:val="single" w:color="auto"/>
          <w:color w:val="auto"/>
        </w:rPr>
        <w:t>Vivarium</w:t>
      </w:r>
      <w:r>
        <w:rPr>
          <w:rFonts w:ascii="Arial" w:cs="Arial" w:eastAsia="Arial" w:hAnsi="Arial"/>
          <w:sz w:val="15"/>
          <w:szCs w:val="15"/>
          <w:color w:val="auto"/>
        </w:rPr>
        <w:t>. Tenant shall be responsible, at its sole expense,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installation, operation, maintenance, repair and removal of any vivarium (the “</w:t>
      </w:r>
      <w:r>
        <w:rPr>
          <w:rFonts w:ascii="Arial" w:cs="Arial" w:eastAsia="Arial" w:hAnsi="Arial"/>
          <w:sz w:val="15"/>
          <w:szCs w:val="15"/>
          <w:b w:val="1"/>
          <w:bCs w:val="1"/>
          <w:color w:val="auto"/>
        </w:rPr>
        <w:t>Vivarium</w:t>
      </w:r>
      <w:r>
        <w:rPr>
          <w:rFonts w:ascii="Arial" w:cs="Arial" w:eastAsia="Arial" w:hAnsi="Arial"/>
          <w:sz w:val="15"/>
          <w:szCs w:val="15"/>
          <w:color w:val="auto"/>
        </w:rPr>
        <w:t xml:space="preserve">”) installed or operated by Tenant in the Premises, in accordance with all applicable Requirements and with first-class standards and best industry practices. Without limitation, Tenant shall separately dispose of all waste products from the operation of the Vivarium, including all animals, animal carcasses, food or supplies relating to any animals in accordance with all applicable Requirements. Tenant shall comply with all Rules and Regulations adopted by Landlord from time-to-time with respect to the operation of the Vivarium, including Rules and Regulations concerning noise mitigation. All transportation by Tenant to and from the Premises of any animals, animal waste, animal carcasses, food or supplies relating to any animals from time to time in any animal storage areas of the Premises shall be in accordance with the terms and conditions of this </w:t>
      </w:r>
      <w:r>
        <w:rPr>
          <w:rFonts w:ascii="Arial" w:cs="Arial" w:eastAsia="Arial" w:hAnsi="Arial"/>
          <w:sz w:val="15"/>
          <w:szCs w:val="15"/>
          <w:b w:val="1"/>
          <w:bCs w:val="1"/>
          <w:color w:val="auto"/>
        </w:rPr>
        <w:t>Section 3.4</w:t>
      </w:r>
      <w:r>
        <w:rPr>
          <w:rFonts w:ascii="Arial" w:cs="Arial" w:eastAsia="Arial" w:hAnsi="Arial"/>
          <w:sz w:val="15"/>
          <w:szCs w:val="15"/>
          <w:color w:val="auto"/>
        </w:rPr>
        <w:t>. All animals shall be transported to and from the Premises in appropriate cages or other containers. At no time shall any animals, animal waste, animal carcasses, food or supplies relating to the animals be brought into, transported through, or delivered to the lobby of the Building or be transported in any passenger elevators. At no time shall any large animals or the carcasses of any large animals be used in the Vivarium.</w:t>
      </w:r>
    </w:p>
    <w:p>
      <w:pPr>
        <w:spacing w:after="0" w:line="13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3.5. </w:t>
      </w:r>
      <w:r>
        <w:rPr>
          <w:rFonts w:ascii="Arial" w:cs="Arial" w:eastAsia="Arial" w:hAnsi="Arial"/>
          <w:sz w:val="15"/>
          <w:szCs w:val="15"/>
          <w:b w:val="1"/>
          <w:bCs w:val="1"/>
          <w:u w:val="single" w:color="auto"/>
          <w:color w:val="auto"/>
        </w:rPr>
        <w:t>Innovation Area.</w:t>
      </w:r>
      <w:r>
        <w:rPr>
          <w:rFonts w:ascii="Arial" w:cs="Arial" w:eastAsia="Arial" w:hAnsi="Arial"/>
          <w:sz w:val="15"/>
          <w:szCs w:val="15"/>
          <w:b w:val="1"/>
          <w:bCs w:val="1"/>
          <w:color w:val="auto"/>
        </w:rPr>
        <w:t xml:space="preserve"> </w:t>
      </w:r>
      <w:r>
        <w:rPr>
          <w:rFonts w:ascii="Arial" w:cs="Arial" w:eastAsia="Arial" w:hAnsi="Arial"/>
          <w:sz w:val="15"/>
          <w:szCs w:val="15"/>
          <w:color w:val="auto"/>
        </w:rPr>
        <w:t>The Landlord’s Work shall include the buildout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improvement of the area shown as the “Innovation Areas” on the floor plans attached as </w:t>
      </w:r>
      <w:r>
        <w:rPr>
          <w:rFonts w:ascii="Arial" w:cs="Arial" w:eastAsia="Arial" w:hAnsi="Arial"/>
          <w:sz w:val="15"/>
          <w:szCs w:val="15"/>
          <w:b w:val="1"/>
          <w:bCs w:val="1"/>
          <w:color w:val="auto"/>
        </w:rPr>
        <w:t>Exhibit</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C </w:t>
      </w:r>
      <w:r>
        <w:rPr>
          <w:rFonts w:ascii="Arial" w:cs="Arial" w:eastAsia="Arial" w:hAnsi="Arial"/>
          <w:sz w:val="15"/>
          <w:szCs w:val="15"/>
          <w:color w:val="auto"/>
        </w:rPr>
        <w:t>(the</w:t>
      </w:r>
      <w:r>
        <w:rPr>
          <w:rFonts w:ascii="Arial" w:cs="Arial" w:eastAsia="Arial" w:hAnsi="Arial"/>
          <w:sz w:val="15"/>
          <w:szCs w:val="15"/>
          <w:b w:val="1"/>
          <w:bCs w:val="1"/>
          <w:color w:val="auto"/>
        </w:rPr>
        <w:t xml:space="preserve"> “Innovation Area”</w:t>
      </w:r>
      <w:r>
        <w:rPr>
          <w:rFonts w:ascii="Arial" w:cs="Arial" w:eastAsia="Arial" w:hAnsi="Arial"/>
          <w:sz w:val="15"/>
          <w:szCs w:val="15"/>
          <w:color w:val="auto"/>
        </w:rPr>
        <w:t>). Tenant may use and occupy the Innovation Area for any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Permitted Uses and for no other purpose or purposes; provided, however, in no event shall Tenant use the Innovation Area for any Prohibited Innovation Area Use. Pursuant to the approval of the construction of the Building by the Boston Redevelopment Authority d/b/a Boston Planning &amp; Development Agency (the “</w:t>
      </w:r>
      <w:r>
        <w:rPr>
          <w:rFonts w:ascii="Arial" w:cs="Arial" w:eastAsia="Arial" w:hAnsi="Arial"/>
          <w:sz w:val="15"/>
          <w:szCs w:val="15"/>
          <w:b w:val="1"/>
          <w:bCs w:val="1"/>
          <w:color w:val="auto"/>
        </w:rPr>
        <w:t>BPDA</w:t>
      </w:r>
      <w:r>
        <w:rPr>
          <w:rFonts w:ascii="Arial" w:cs="Arial" w:eastAsia="Arial" w:hAnsi="Arial"/>
          <w:sz w:val="15"/>
          <w:szCs w:val="15"/>
          <w:color w:val="auto"/>
        </w:rPr>
        <w:t>”), the Innovation Area is to be used as “innovation space.” As long as Tenant uses the Innovation Area for Permitted Uses and does not use the Innovation Area for any Prohibited Innovation Area Use, if the BPDA or another Governmental Authority issues an order or directive prohibiting Tenant from using the Innovation Area for such Permitted Use (each, an “</w:t>
      </w:r>
      <w:r>
        <w:rPr>
          <w:rFonts w:ascii="Arial" w:cs="Arial" w:eastAsia="Arial" w:hAnsi="Arial"/>
          <w:sz w:val="15"/>
          <w:szCs w:val="15"/>
          <w:b w:val="1"/>
          <w:bCs w:val="1"/>
          <w:color w:val="auto"/>
        </w:rPr>
        <w:t>Innovation Area Prohibition</w:t>
      </w:r>
      <w:r>
        <w:rPr>
          <w:rFonts w:ascii="Arial" w:cs="Arial" w:eastAsia="Arial" w:hAnsi="Arial"/>
          <w:sz w:val="15"/>
          <w:szCs w:val="15"/>
          <w:color w:val="auto"/>
        </w:rPr>
        <w:t>”), then (i) the party which receives notice of said Innovation Area Prohibition shall deliver a copy of such notice to the other party promptly after receipt thereof, (ii) Landlord shall be afforded sixty (60) days after receipt of such notice within which period of time it may elect to contest or dispute the Innovation Area Prohibition, and to seek to cause the BPDA or other Governmental Authority to rescind or revoke the Innovation Area Prohibition, and (iii) if Landlord does not cause the Innovation Area Prohibition to be revoked or rescinded within said sixty (60) day period of time, then within thirty (30) days after the expiration of said sixty (60) day period of time, Tenant shall either (a) elect to surrender the Innovation Area to Landlord and to remove the Innovation Area from the Premises by delivering notice (an “</w:t>
      </w:r>
      <w:r>
        <w:rPr>
          <w:rFonts w:ascii="Arial" w:cs="Arial" w:eastAsia="Arial" w:hAnsi="Arial"/>
          <w:sz w:val="15"/>
          <w:szCs w:val="15"/>
          <w:b w:val="1"/>
          <w:bCs w:val="1"/>
          <w:color w:val="auto"/>
        </w:rPr>
        <w:t>Innovation Area Surrender Notice</w:t>
      </w:r>
      <w:r>
        <w:rPr>
          <w:rFonts w:ascii="Arial" w:cs="Arial" w:eastAsia="Arial" w:hAnsi="Arial"/>
          <w:sz w:val="15"/>
          <w:szCs w:val="15"/>
          <w:color w:val="auto"/>
        </w:rPr>
        <w:t>”) of such election to Landlord, or (b) elect to comply with the Innovation Area Prohibition, and to change the use of the Innovation Area and to comply with the requirements, directives, and conditions of the BPDA or other Governmental Authority by delivering notice (an “</w:t>
      </w:r>
      <w:r>
        <w:rPr>
          <w:rFonts w:ascii="Arial" w:cs="Arial" w:eastAsia="Arial" w:hAnsi="Arial"/>
          <w:sz w:val="15"/>
          <w:szCs w:val="15"/>
          <w:b w:val="1"/>
          <w:bCs w:val="1"/>
          <w:color w:val="auto"/>
        </w:rPr>
        <w:t>Innovation Area Use</w:t>
      </w:r>
      <w:r>
        <w:rPr>
          <w:rFonts w:ascii="Arial" w:cs="Arial" w:eastAsia="Arial" w:hAnsi="Arial"/>
          <w:sz w:val="15"/>
          <w:szCs w:val="15"/>
          <w:color w:val="auto"/>
        </w:rPr>
        <w:t xml:space="preserve"> </w:t>
      </w:r>
      <w:r>
        <w:rPr>
          <w:rFonts w:ascii="Arial" w:cs="Arial" w:eastAsia="Arial" w:hAnsi="Arial"/>
          <w:sz w:val="15"/>
          <w:szCs w:val="15"/>
          <w:b w:val="1"/>
          <w:bCs w:val="1"/>
          <w:color w:val="auto"/>
        </w:rPr>
        <w:t>Change Notice</w:t>
      </w:r>
      <w:r>
        <w:rPr>
          <w:rFonts w:ascii="Arial" w:cs="Arial" w:eastAsia="Arial" w:hAnsi="Arial"/>
          <w:sz w:val="15"/>
          <w:szCs w:val="15"/>
          <w:color w:val="auto"/>
        </w:rPr>
        <w:t>”) of such election to Landlord. If Tenant so elects to comply with the Innovation</w:t>
      </w:r>
      <w:r>
        <w:rPr>
          <w:rFonts w:ascii="Arial" w:cs="Arial" w:eastAsia="Arial" w:hAnsi="Arial"/>
          <w:sz w:val="15"/>
          <w:szCs w:val="15"/>
          <w:b w:val="1"/>
          <w:bCs w:val="1"/>
          <w:color w:val="auto"/>
        </w:rPr>
        <w:t xml:space="preserve"> </w:t>
      </w:r>
      <w:r>
        <w:rPr>
          <w:rFonts w:ascii="Arial" w:cs="Arial" w:eastAsia="Arial" w:hAnsi="Arial"/>
          <w:sz w:val="15"/>
          <w:szCs w:val="15"/>
          <w:color w:val="auto"/>
        </w:rPr>
        <w:t>Area Prohibition and to change the use of the Innovation Area, then as soon as reasonably practicable after delivery of the Innovation Area Use Change Notice, Tenant shall change the use of the Innovation Area to cause the use of the Innovation Area to comply with the requirements, directives, and conditions of the BPDA or other Governmental Authority with respect thereto. If Tenant so elects to change the use and to cause the use of the Innovation Area to comply with the requirements, directives, and conditions of the BPDA or other Governmental Authority, then Tenant shall assume all liabilities and obligations for such compliance, and in connection therewith, shall reimburse Landlord for any fines, penalties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68" w:name="page669"/>
    <w:bookmarkEnd w:id="668"/>
    <w:p>
      <w:pPr>
        <w:jc w:val="both"/>
        <w:ind w:left="1220" w:right="1239"/>
        <w:spacing w:after="0"/>
        <w:rPr>
          <w:sz w:val="20"/>
          <w:szCs w:val="20"/>
          <w:color w:val="auto"/>
        </w:rPr>
      </w:pPr>
      <w:r>
        <w:rPr>
          <w:rFonts w:ascii="Arial" w:cs="Arial" w:eastAsia="Arial" w:hAnsi="Arial"/>
          <w:sz w:val="15"/>
          <w:szCs w:val="15"/>
          <w:color w:val="auto"/>
        </w:rPr>
        <w:t>or other governmental charges imposed as a result of the Innovation Area Prohibition, and shall indemnify Landlord for all liabilities and obligations arising out of or resulting therefrom. If Tenant so elects to surrender the Innovation Area and to remove the Innovation Area from the Premises in accordance with the foregoing provisions, then on the date specified in the Innovation Area Surrender Notice (the “</w:t>
      </w:r>
      <w:r>
        <w:rPr>
          <w:rFonts w:ascii="Arial" w:cs="Arial" w:eastAsia="Arial" w:hAnsi="Arial"/>
          <w:sz w:val="15"/>
          <w:szCs w:val="15"/>
          <w:b w:val="1"/>
          <w:bCs w:val="1"/>
          <w:color w:val="auto"/>
        </w:rPr>
        <w:t>Innovation Area Surrender Date</w:t>
      </w:r>
      <w:r>
        <w:rPr>
          <w:rFonts w:ascii="Arial" w:cs="Arial" w:eastAsia="Arial" w:hAnsi="Arial"/>
          <w:sz w:val="15"/>
          <w:szCs w:val="15"/>
          <w:color w:val="auto"/>
        </w:rPr>
        <w:t>”), Tenant shall surrender to Landlord possession of the Innovation Area, free and clear of all occupants, vacant and free of any lien or encumbrance created by Tenant or persons claiming by, through or under Tenant, and with Tenant’s Property removed therefrom</w:t>
      </w:r>
      <w:r>
        <w:rPr>
          <w:rFonts w:ascii="Arial" w:cs="Arial" w:eastAsia="Arial" w:hAnsi="Arial"/>
          <w:sz w:val="15"/>
          <w:szCs w:val="15"/>
          <w:b w:val="1"/>
          <w:bCs w:val="1"/>
          <w:color w:val="auto"/>
        </w:rPr>
        <w:t>.</w:t>
      </w:r>
      <w:r>
        <w:rPr>
          <w:rFonts w:ascii="Arial" w:cs="Arial" w:eastAsia="Arial" w:hAnsi="Arial"/>
          <w:sz w:val="15"/>
          <w:szCs w:val="15"/>
          <w:color w:val="auto"/>
        </w:rPr>
        <w:t xml:space="preserve"> Landlord shall indemnify and hold Tenant harmless from the costs and expenses incurred by Tenant in connection with such surrender of the Innovation Area, including the costs of moving Tenant’s Property from the Innovation Area, relocation costs and demising costs. Effective as of the Innovation Area Surrender Date, Tenant’s lease of the Innovation Area shall end and expire, and the Term of this Lease solely with respect to the Innovation Area shall terminate and expire as if the Innovation Area Surrender Date was the Expiration Date (solely with respect to the Innovation Area). Effective as of the Innovation Area Surrender Date, the Fixed Rent, Tenant’s Proportionate Share, the number of parking passes afforded to Tenant, and all other amounts payable under this Lease which are calculated based on the area of the Premises shall be adjusted to reflect the removal of the Innovation Area from the Premises. If Tenant fails to timely deliver either an Innovation Area Surrender Notice or an Innovation Area Use Change Notice pursuant to the foregoing provisions, then Tenant shall be considered to have delivered an Innovation Use Change Notice.</w:t>
      </w:r>
    </w:p>
    <w:p>
      <w:pPr>
        <w:spacing w:after="0" w:line="249"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3.6. </w:t>
      </w:r>
      <w:r>
        <w:rPr>
          <w:rFonts w:ascii="Arial" w:cs="Arial" w:eastAsia="Arial" w:hAnsi="Arial"/>
          <w:sz w:val="15"/>
          <w:szCs w:val="15"/>
          <w:b w:val="1"/>
          <w:bCs w:val="1"/>
          <w:u w:val="single" w:color="auto"/>
          <w:color w:val="auto"/>
        </w:rPr>
        <w:t>Lobby Café</w:t>
      </w:r>
      <w:r>
        <w:rPr>
          <w:rFonts w:ascii="Arial" w:cs="Arial" w:eastAsia="Arial" w:hAnsi="Arial"/>
          <w:sz w:val="15"/>
          <w:szCs w:val="15"/>
          <w:color w:val="auto"/>
        </w:rPr>
        <w:t>. The area on the ground floor of the Building shown as “Cafe”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on the floor plans attached as </w:t>
      </w:r>
      <w:r>
        <w:rPr>
          <w:rFonts w:ascii="Arial" w:cs="Arial" w:eastAsia="Arial" w:hAnsi="Arial"/>
          <w:sz w:val="15"/>
          <w:szCs w:val="15"/>
          <w:b w:val="1"/>
          <w:bCs w:val="1"/>
          <w:color w:val="auto"/>
        </w:rPr>
        <w:t>Exhibit C</w:t>
      </w:r>
      <w:r>
        <w:rPr>
          <w:rFonts w:ascii="Arial" w:cs="Arial" w:eastAsia="Arial" w:hAnsi="Arial"/>
          <w:sz w:val="15"/>
          <w:szCs w:val="15"/>
          <w:color w:val="auto"/>
        </w:rPr>
        <w:t xml:space="preserve"> is referred to in this Lease as the </w:t>
      </w:r>
      <w:r>
        <w:rPr>
          <w:rFonts w:ascii="Arial" w:cs="Arial" w:eastAsia="Arial" w:hAnsi="Arial"/>
          <w:sz w:val="15"/>
          <w:szCs w:val="15"/>
          <w:b w:val="1"/>
          <w:bCs w:val="1"/>
          <w:color w:val="auto"/>
        </w:rPr>
        <w:t>“Lobby Cafe”</w:t>
      </w:r>
      <w:r>
        <w:rPr>
          <w:rFonts w:ascii="Arial" w:cs="Arial" w:eastAsia="Arial" w:hAnsi="Arial"/>
          <w:sz w:val="15"/>
          <w:szCs w:val="15"/>
          <w:color w:val="auto"/>
        </w:rPr>
        <w:t>. Pursuant to applicable Requirements, the Lobby Café is to be used to operate a café which is open to the general public. In accordance with and subject to applicable Requirements, Landlord will operate or cause the Lobby Café to be operated in a first-class manner, consistent with the quality standards of lobby café operations in Comparable Buildings. Both parties will meet as often as reasonably practicable to review and discuss the operation of the Lobby Cafe. If, from time-to-time, Tenant has suggestions or concerns with respect to the quality of the operation of the Lobby Café, then Landlord and Tenant shall engage in good faith discussions and consultations in order to address such suggestions and concerns. As part of said discussions, Tenant may suggest alternative menu items and services to be provided at the Lobby Café.</w:t>
      </w:r>
    </w:p>
    <w:p>
      <w:pPr>
        <w:spacing w:after="0" w:line="289"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3.7. </w:t>
      </w:r>
      <w:r>
        <w:rPr>
          <w:rFonts w:ascii="Arial" w:cs="Arial" w:eastAsia="Arial" w:hAnsi="Arial"/>
          <w:sz w:val="15"/>
          <w:szCs w:val="15"/>
          <w:b w:val="1"/>
          <w:bCs w:val="1"/>
          <w:u w:val="single" w:color="auto"/>
          <w:color w:val="auto"/>
        </w:rPr>
        <w:t>Convenor Space</w:t>
      </w:r>
      <w:r>
        <w:rPr>
          <w:rFonts w:ascii="Arial" w:cs="Arial" w:eastAsia="Arial" w:hAnsi="Arial"/>
          <w:sz w:val="15"/>
          <w:szCs w:val="15"/>
          <w:color w:val="auto"/>
        </w:rPr>
        <w:t>. The area shown as “Convenor Space” on the floor plans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attached as </w:t>
      </w:r>
      <w:r>
        <w:rPr>
          <w:rFonts w:ascii="Arial" w:cs="Arial" w:eastAsia="Arial" w:hAnsi="Arial"/>
          <w:sz w:val="15"/>
          <w:szCs w:val="15"/>
          <w:b w:val="1"/>
          <w:bCs w:val="1"/>
          <w:color w:val="auto"/>
        </w:rPr>
        <w:t>Exhibit C</w:t>
      </w:r>
      <w:r>
        <w:rPr>
          <w:rFonts w:ascii="Arial" w:cs="Arial" w:eastAsia="Arial" w:hAnsi="Arial"/>
          <w:sz w:val="15"/>
          <w:szCs w:val="15"/>
          <w:color w:val="auto"/>
        </w:rPr>
        <w:t xml:space="preserve"> is referred to in this Lease as the </w:t>
      </w:r>
      <w:r>
        <w:rPr>
          <w:rFonts w:ascii="Arial" w:cs="Arial" w:eastAsia="Arial" w:hAnsi="Arial"/>
          <w:sz w:val="15"/>
          <w:szCs w:val="15"/>
          <w:b w:val="1"/>
          <w:bCs w:val="1"/>
          <w:color w:val="auto"/>
        </w:rPr>
        <w:t>“Convenor Space.”</w:t>
      </w:r>
      <w:r>
        <w:rPr>
          <w:rFonts w:ascii="Arial" w:cs="Arial" w:eastAsia="Arial" w:hAnsi="Arial"/>
          <w:sz w:val="15"/>
          <w:szCs w:val="15"/>
          <w:color w:val="auto"/>
        </w:rPr>
        <w:t xml:space="preserve"> Pursuant to applicable Requirements, the Convenor Space is to be open to the general public, for use by community and neighborhood groups. In accordance with and subject to applicable Requirements, Landlord will operate or cause the Convenor Space to be operated in a first-class manner, consistent with the quality standards of Comparable Buildings. Landlord shall provide Tenant with the schedule for use of the Convenor Space, including the names of the groups which are scheduled to use the Convenor Space. The use and operation of the Convenor Space shall not disrupt the business operations of Tenant in the Premises, and the Convenor Space shall not (x) be used for any offensive purposes or for any for purposes constituting a nuisance, or (y) be used by other life science companies which are business competitors of Tenant. If, from time-to-time, Tenant has suggestions or concerns with respect to the quality of the operation of the Convenor Space, then Landlord and Tenant shall engage in good faith discussions and consultations in order to address such suggestions and concerns.</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69" w:name="page670"/>
    <w:bookmarkEnd w:id="669"/>
    <w:p>
      <w:pPr>
        <w:jc w:val="center"/>
        <w:ind w:right="19"/>
        <w:spacing w:after="0"/>
        <w:rPr>
          <w:sz w:val="20"/>
          <w:szCs w:val="20"/>
          <w:color w:val="auto"/>
        </w:rPr>
      </w:pPr>
      <w:r>
        <w:rPr>
          <w:rFonts w:ascii="Arial" w:cs="Arial" w:eastAsia="Arial" w:hAnsi="Arial"/>
          <w:sz w:val="15"/>
          <w:szCs w:val="15"/>
          <w:b w:val="1"/>
          <w:bCs w:val="1"/>
          <w:color w:val="auto"/>
        </w:rPr>
        <w:t>ARTICLE 4</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BASE BUILDING WORK; CONDITION OF THE PREMISES</w:t>
      </w:r>
    </w:p>
    <w:p>
      <w:pPr>
        <w:spacing w:after="0" w:line="164" w:lineRule="exact"/>
        <w:rPr>
          <w:sz w:val="20"/>
          <w:szCs w:val="20"/>
          <w:color w:val="auto"/>
        </w:rPr>
      </w:pPr>
    </w:p>
    <w:p>
      <w:pPr>
        <w:jc w:val="both"/>
        <w:ind w:left="1220" w:right="1239" w:firstLine="505"/>
        <w:spacing w:after="0" w:line="235" w:lineRule="auto"/>
        <w:rPr>
          <w:sz w:val="20"/>
          <w:szCs w:val="20"/>
          <w:color w:val="auto"/>
        </w:rPr>
      </w:pPr>
      <w:r>
        <w:rPr>
          <w:rFonts w:ascii="Arial" w:cs="Arial" w:eastAsia="Arial" w:hAnsi="Arial"/>
          <w:sz w:val="15"/>
          <w:szCs w:val="15"/>
          <w:b w:val="1"/>
          <w:bCs w:val="1"/>
          <w:color w:val="auto"/>
        </w:rPr>
        <w:t xml:space="preserve">Section 4.1. </w:t>
      </w:r>
      <w:r>
        <w:rPr>
          <w:rFonts w:ascii="Arial" w:cs="Arial" w:eastAsia="Arial" w:hAnsi="Arial"/>
          <w:sz w:val="15"/>
          <w:szCs w:val="15"/>
          <w:b w:val="1"/>
          <w:bCs w:val="1"/>
          <w:u w:val="single" w:color="auto"/>
          <w:color w:val="auto"/>
        </w:rPr>
        <w:t>Base Building Work</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and in accordance with the provisions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w:t>
      </w:r>
      <w:r>
        <w:rPr>
          <w:rFonts w:ascii="Arial" w:cs="Arial" w:eastAsia="Arial" w:hAnsi="Arial"/>
          <w:sz w:val="15"/>
          <w:szCs w:val="15"/>
          <w:b w:val="1"/>
          <w:bCs w:val="1"/>
          <w:color w:val="auto"/>
        </w:rPr>
        <w:t>Section 4.1</w:t>
      </w:r>
      <w:r>
        <w:rPr>
          <w:rFonts w:ascii="Arial" w:cs="Arial" w:eastAsia="Arial" w:hAnsi="Arial"/>
          <w:sz w:val="15"/>
          <w:szCs w:val="15"/>
          <w:color w:val="auto"/>
        </w:rPr>
        <w:t xml:space="preserve">, Landlord shall perform the Base Building Work (as hereinafter defined), at its sole cost and expense, substantially in accordance with the plans which are listed on the schedule attached to this Lease as </w:t>
      </w:r>
      <w:r>
        <w:rPr>
          <w:rFonts w:ascii="Arial" w:cs="Arial" w:eastAsia="Arial" w:hAnsi="Arial"/>
          <w:sz w:val="15"/>
          <w:szCs w:val="15"/>
          <w:b w:val="1"/>
          <w:bCs w:val="1"/>
          <w:color w:val="auto"/>
        </w:rPr>
        <w:t>Exhibit D-1</w:t>
      </w:r>
      <w:r>
        <w:rPr>
          <w:rFonts w:ascii="Arial" w:cs="Arial" w:eastAsia="Arial" w:hAnsi="Arial"/>
          <w:sz w:val="15"/>
          <w:szCs w:val="15"/>
          <w:color w:val="auto"/>
        </w:rPr>
        <w:t xml:space="preserve"> (the </w:t>
      </w:r>
      <w:r>
        <w:rPr>
          <w:rFonts w:ascii="Arial" w:cs="Arial" w:eastAsia="Arial" w:hAnsi="Arial"/>
          <w:sz w:val="15"/>
          <w:szCs w:val="15"/>
          <w:b w:val="1"/>
          <w:bCs w:val="1"/>
          <w:color w:val="auto"/>
        </w:rPr>
        <w:t>“Base Building Plans”)</w:t>
      </w:r>
      <w:r>
        <w:rPr>
          <w:rFonts w:ascii="Arial" w:cs="Arial" w:eastAsia="Arial" w:hAnsi="Arial"/>
          <w:sz w:val="15"/>
          <w:szCs w:val="15"/>
          <w:color w:val="auto"/>
        </w:rPr>
        <w:t xml:space="preserve">, including the items which are listed in the column marked “landlord” on the Base Building Work Matrix attached to this Lease as </w:t>
      </w:r>
      <w:r>
        <w:rPr>
          <w:rFonts w:ascii="Arial" w:cs="Arial" w:eastAsia="Arial" w:hAnsi="Arial"/>
          <w:sz w:val="15"/>
          <w:szCs w:val="15"/>
          <w:b w:val="1"/>
          <w:bCs w:val="1"/>
          <w:color w:val="auto"/>
        </w:rPr>
        <w:t>Exhibit D-2</w:t>
      </w:r>
      <w:r>
        <w:rPr>
          <w:rFonts w:ascii="Arial" w:cs="Arial" w:eastAsia="Arial" w:hAnsi="Arial"/>
          <w:sz w:val="15"/>
          <w:szCs w:val="15"/>
          <w:color w:val="auto"/>
        </w:rPr>
        <w:t>. The work which is depicted and described in the Base Building Plans is referred to in this Lease as the “</w:t>
      </w:r>
      <w:r>
        <w:rPr>
          <w:rFonts w:ascii="Arial" w:cs="Arial" w:eastAsia="Arial" w:hAnsi="Arial"/>
          <w:sz w:val="15"/>
          <w:szCs w:val="15"/>
          <w:b w:val="1"/>
          <w:bCs w:val="1"/>
          <w:color w:val="auto"/>
        </w:rPr>
        <w:t>Base Building Work</w:t>
      </w:r>
      <w:r>
        <w:rPr>
          <w:rFonts w:ascii="Arial" w:cs="Arial" w:eastAsia="Arial" w:hAnsi="Arial"/>
          <w:sz w:val="15"/>
          <w:szCs w:val="15"/>
          <w:color w:val="auto"/>
        </w:rPr>
        <w:t>.” Landlord has commenced performance of the Base Building Work and, subject to extensions for Unavoidable Delays, COVID-19 Delays, and Tenant Delays, Landlord anticipates commencing vertical construction of the Building by November 1, 2020. Landlord shall cause the Base Building Work to be completed in a good and workmanlike manner, in compliance with all applicable Requirements. The issuance by the architect for the Base Building Work of a certificate of substantial completion for the Base Building Work (the “</w:t>
      </w:r>
      <w:r>
        <w:rPr>
          <w:rFonts w:ascii="Arial" w:cs="Arial" w:eastAsia="Arial" w:hAnsi="Arial"/>
          <w:sz w:val="15"/>
          <w:szCs w:val="15"/>
          <w:b w:val="1"/>
          <w:bCs w:val="1"/>
          <w:color w:val="auto"/>
        </w:rPr>
        <w:t>Base Building Work Certificate of</w:t>
      </w:r>
      <w:r>
        <w:rPr>
          <w:rFonts w:ascii="Arial" w:cs="Arial" w:eastAsia="Arial" w:hAnsi="Arial"/>
          <w:sz w:val="15"/>
          <w:szCs w:val="15"/>
          <w:color w:val="auto"/>
        </w:rPr>
        <w:t xml:space="preserve"> </w:t>
      </w:r>
      <w:r>
        <w:rPr>
          <w:rFonts w:ascii="Arial" w:cs="Arial" w:eastAsia="Arial" w:hAnsi="Arial"/>
          <w:sz w:val="15"/>
          <w:szCs w:val="15"/>
          <w:b w:val="1"/>
          <w:bCs w:val="1"/>
          <w:color w:val="auto"/>
        </w:rPr>
        <w:t>Substantial Completion</w:t>
      </w:r>
      <w:r>
        <w:rPr>
          <w:rFonts w:ascii="Arial" w:cs="Arial" w:eastAsia="Arial" w:hAnsi="Arial"/>
          <w:sz w:val="15"/>
          <w:szCs w:val="15"/>
          <w:color w:val="auto"/>
        </w:rPr>
        <w:t>”) shall be presumptive evidence that Landlord has substantially</w:t>
      </w:r>
      <w:r>
        <w:rPr>
          <w:rFonts w:ascii="Arial" w:cs="Arial" w:eastAsia="Arial" w:hAnsi="Arial"/>
          <w:sz w:val="15"/>
          <w:szCs w:val="15"/>
          <w:b w:val="1"/>
          <w:bCs w:val="1"/>
          <w:color w:val="auto"/>
        </w:rPr>
        <w:t xml:space="preserve"> </w:t>
      </w:r>
      <w:r>
        <w:rPr>
          <w:rFonts w:ascii="Arial" w:cs="Arial" w:eastAsia="Arial" w:hAnsi="Arial"/>
          <w:sz w:val="15"/>
          <w:szCs w:val="15"/>
          <w:color w:val="auto"/>
        </w:rPr>
        <w:t>completed all of the Base Building Work; provided, however, if Tenant in good faith disputes whether substantial completion of the Base Building Work has in fact occurred, then within thirty</w:t>
      </w:r>
    </w:p>
    <w:p>
      <w:pPr>
        <w:spacing w:after="0" w:line="5" w:lineRule="exact"/>
        <w:rPr>
          <w:sz w:val="20"/>
          <w:szCs w:val="20"/>
          <w:color w:val="auto"/>
        </w:rPr>
      </w:pPr>
    </w:p>
    <w:p>
      <w:pPr>
        <w:jc w:val="both"/>
        <w:ind w:left="1220" w:right="1239" w:firstLine="4"/>
        <w:spacing w:after="0"/>
        <w:tabs>
          <w:tab w:leader="none" w:pos="1568" w:val="left"/>
        </w:tabs>
        <w:numPr>
          <w:ilvl w:val="0"/>
          <w:numId w:val="594"/>
        </w:numPr>
        <w:rPr>
          <w:rFonts w:ascii="Arial" w:cs="Arial" w:eastAsia="Arial" w:hAnsi="Arial"/>
          <w:sz w:val="15"/>
          <w:szCs w:val="15"/>
          <w:color w:val="auto"/>
        </w:rPr>
      </w:pPr>
      <w:r>
        <w:rPr>
          <w:rFonts w:ascii="Arial" w:cs="Arial" w:eastAsia="Arial" w:hAnsi="Arial"/>
          <w:sz w:val="15"/>
          <w:szCs w:val="15"/>
          <w:color w:val="auto"/>
        </w:rPr>
        <w:t>days after the delivery to Tenant of said Base Building Work Certificate of Substantial Completion, Tenant shall deliver notice thereof to Landlord (a “</w:t>
      </w:r>
      <w:r>
        <w:rPr>
          <w:rFonts w:ascii="Arial" w:cs="Arial" w:eastAsia="Arial" w:hAnsi="Arial"/>
          <w:sz w:val="15"/>
          <w:szCs w:val="15"/>
          <w:b w:val="1"/>
          <w:bCs w:val="1"/>
          <w:color w:val="auto"/>
        </w:rPr>
        <w:t>Base Building Work</w:t>
      </w:r>
      <w:r>
        <w:rPr>
          <w:rFonts w:ascii="Arial" w:cs="Arial" w:eastAsia="Arial" w:hAnsi="Arial"/>
          <w:sz w:val="15"/>
          <w:szCs w:val="15"/>
          <w:color w:val="auto"/>
        </w:rPr>
        <w:t xml:space="preserve"> </w:t>
      </w:r>
      <w:r>
        <w:rPr>
          <w:rFonts w:ascii="Arial" w:cs="Arial" w:eastAsia="Arial" w:hAnsi="Arial"/>
          <w:sz w:val="15"/>
          <w:szCs w:val="15"/>
          <w:b w:val="1"/>
          <w:bCs w:val="1"/>
          <w:color w:val="auto"/>
        </w:rPr>
        <w:t>Substantial Completion Dispute Notice</w:t>
      </w:r>
      <w:r>
        <w:rPr>
          <w:rFonts w:ascii="Arial" w:cs="Arial" w:eastAsia="Arial" w:hAnsi="Arial"/>
          <w:sz w:val="15"/>
          <w:szCs w:val="15"/>
          <w:color w:val="auto"/>
        </w:rPr>
        <w:t>”), in which event either Landlord or Tenant may elect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to submit the resolution of such dispute to the Dispute Resolution Procedure (as defined in </w:t>
      </w:r>
      <w:r>
        <w:rPr>
          <w:rFonts w:ascii="Arial" w:cs="Arial" w:eastAsia="Arial" w:hAnsi="Arial"/>
          <w:sz w:val="15"/>
          <w:szCs w:val="15"/>
          <w:b w:val="1"/>
          <w:bCs w:val="1"/>
          <w:color w:val="auto"/>
        </w:rPr>
        <w:t>Article 34</w:t>
      </w:r>
      <w:r>
        <w:rPr>
          <w:rFonts w:ascii="Arial" w:cs="Arial" w:eastAsia="Arial" w:hAnsi="Arial"/>
          <w:sz w:val="15"/>
          <w:szCs w:val="15"/>
          <w:color w:val="auto"/>
        </w:rPr>
        <w:t>). Time is of the essence of the delivery of a Base Building Work Substantial</w:t>
      </w:r>
      <w:r>
        <w:rPr>
          <w:rFonts w:ascii="Arial" w:cs="Arial" w:eastAsia="Arial" w:hAnsi="Arial"/>
          <w:sz w:val="15"/>
          <w:szCs w:val="15"/>
          <w:b w:val="1"/>
          <w:bCs w:val="1"/>
          <w:color w:val="auto"/>
        </w:rPr>
        <w:t xml:space="preserve"> </w:t>
      </w:r>
      <w:r>
        <w:rPr>
          <w:rFonts w:ascii="Arial" w:cs="Arial" w:eastAsia="Arial" w:hAnsi="Arial"/>
          <w:sz w:val="15"/>
          <w:szCs w:val="15"/>
          <w:color w:val="auto"/>
        </w:rPr>
        <w:t>Completion Dispute Notice, and notwithstanding the foregoing, if Tenant fails to timely deliver a Base Building Work Substantial Completion Dispute Notice within said thirty (30) day period, then substantial completion of the Base Building Work shall be considered to have occurred, and Tenant shall have no further right to contest said occurrence. The Base Building Work Certificate of Substantial Completion shall include confirmation of the completion of required inspections of the Base Building Work by ISD. Landlord will cause its general contractor to complete all punch-list items of the Base Building Work and will obtain from its general contractor customary construction warranties with regard to defects in materials and workmanship of the Base Building Work covering, without limitation, the roof, elevators, Building Systems, and structural elements of the Base Building Work. With respect to any material defects or deficiencies in the Base Building Work of which Tenant notifies Landlord prior to the first (1</w:t>
      </w:r>
      <w:r>
        <w:rPr>
          <w:rFonts w:ascii="Arial" w:cs="Arial" w:eastAsia="Arial" w:hAnsi="Arial"/>
          <w:sz w:val="20"/>
          <w:szCs w:val="20"/>
          <w:color w:val="auto"/>
          <w:vertAlign w:val="superscript"/>
        </w:rPr>
        <w:t>st</w:t>
      </w:r>
      <w:r>
        <w:rPr>
          <w:rFonts w:ascii="Arial" w:cs="Arial" w:eastAsia="Arial" w:hAnsi="Arial"/>
          <w:sz w:val="15"/>
          <w:szCs w:val="15"/>
          <w:color w:val="auto"/>
        </w:rPr>
        <w:t>) anniversary of the Commencement Date, Landlord will cause the Contractor to repair and correct such defect or deficiency promptly after receipt of such notice. In addition, Landlord will repair or cause the Contractor to repair all Latent Defects in the Base Building Work of which Tenant provides notice prior to the first (1st) anniversary of the substantial completion of the Base Building Work. Tenant shall notify Landlord promptly after it becomes aware of any Latent Defects in the Base Building Work. All Building Systems shall be delivered in good working order, condition, and repair, and in compliance with the operating specifications for such Building Systems (as set forth in the Base Building Plans), all applicable Requirements, and the standards established by the American Society of Heating, Refrigeration, and Air Conditioning Engineers (ASHRAE) for Class A office buildings. Landlord will cause all Building Systems to be commissioned, and will provide complete commissioning data reports to Tenant. In addition, Landlord will cause the base building architect to provide complete as-built CAD plans for the base building and core and shell areas to Tenant. After the Base Building Work is completed, Landlord shall submit an application to the United States Green Building Council (“</w:t>
      </w:r>
      <w:r>
        <w:rPr>
          <w:rFonts w:ascii="Arial" w:cs="Arial" w:eastAsia="Arial" w:hAnsi="Arial"/>
          <w:sz w:val="15"/>
          <w:szCs w:val="15"/>
          <w:b w:val="1"/>
          <w:bCs w:val="1"/>
          <w:color w:val="auto"/>
        </w:rPr>
        <w:t>USGBC</w:t>
      </w:r>
      <w:r>
        <w:rPr>
          <w:rFonts w:ascii="Arial" w:cs="Arial" w:eastAsia="Arial" w:hAnsi="Arial"/>
          <w:sz w:val="15"/>
          <w:szCs w:val="15"/>
          <w:color w:val="auto"/>
        </w:rPr>
        <w:t>”) based upon the LEED CS Matrix for Base Building, in order to obtain certification by the USGBC of the Building as a Gold LEED Rated building. Thereafter, Landlord will exercise good faith reasonable efforts to obtain said LEED certification,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670" w:name="page671"/>
    <w:bookmarkEnd w:id="670"/>
    <w:p>
      <w:pPr>
        <w:jc w:val="both"/>
        <w:ind w:left="1220" w:right="1239"/>
        <w:spacing w:after="0" w:line="242" w:lineRule="auto"/>
        <w:rPr>
          <w:sz w:val="20"/>
          <w:szCs w:val="20"/>
          <w:color w:val="auto"/>
        </w:rPr>
      </w:pPr>
      <w:r>
        <w:rPr>
          <w:rFonts w:ascii="Arial" w:cs="Arial" w:eastAsia="Arial" w:hAnsi="Arial"/>
          <w:sz w:val="15"/>
          <w:szCs w:val="15"/>
          <w:color w:val="auto"/>
        </w:rPr>
        <w:t>at its sole cost and expense. Tenant shall cooperate with such application process and provide such customary information and documentation as may be reasonably required by Landlord in connection with said application, if any. Landlord has no obligation to perform any work, supply any materials, incur any expense or make any alterations, additions or improvements in order to prepare the Building for Tenant’s use and occupancy, except for the performance of the Base Building Work and the Landlord’s Work.</w:t>
      </w:r>
    </w:p>
    <w:p>
      <w:pPr>
        <w:spacing w:after="0" w:line="132" w:lineRule="exact"/>
        <w:rPr>
          <w:sz w:val="20"/>
          <w:szCs w:val="20"/>
          <w:color w:val="auto"/>
        </w:rPr>
      </w:pPr>
    </w:p>
    <w:p>
      <w:pPr>
        <w:ind w:left="1220" w:right="1699" w:firstLine="505"/>
        <w:spacing w:after="0" w:line="277" w:lineRule="auto"/>
        <w:rPr>
          <w:sz w:val="20"/>
          <w:szCs w:val="20"/>
          <w:color w:val="auto"/>
        </w:rPr>
      </w:pPr>
      <w:r>
        <w:rPr>
          <w:rFonts w:ascii="Arial" w:cs="Arial" w:eastAsia="Arial" w:hAnsi="Arial"/>
          <w:sz w:val="15"/>
          <w:szCs w:val="15"/>
          <w:b w:val="1"/>
          <w:bCs w:val="1"/>
          <w:color w:val="auto"/>
        </w:rPr>
        <w:t xml:space="preserve">Section 4.2. </w:t>
      </w:r>
      <w:r>
        <w:rPr>
          <w:rFonts w:ascii="Arial" w:cs="Arial" w:eastAsia="Arial" w:hAnsi="Arial"/>
          <w:sz w:val="15"/>
          <w:szCs w:val="15"/>
          <w:b w:val="1"/>
          <w:bCs w:val="1"/>
          <w:u w:val="single" w:color="auto"/>
          <w:color w:val="auto"/>
        </w:rPr>
        <w:t>Definitions for Landlord’s Work</w:t>
      </w:r>
      <w:r>
        <w:rPr>
          <w:rFonts w:ascii="Arial" w:cs="Arial" w:eastAsia="Arial" w:hAnsi="Arial"/>
          <w:sz w:val="15"/>
          <w:szCs w:val="15"/>
          <w:color w:val="auto"/>
        </w:rPr>
        <w:t>. For purposes of this</w:t>
      </w:r>
      <w:r>
        <w:rPr>
          <w:rFonts w:ascii="Arial" w:cs="Arial" w:eastAsia="Arial" w:hAnsi="Arial"/>
          <w:sz w:val="15"/>
          <w:szCs w:val="15"/>
          <w:b w:val="1"/>
          <w:bCs w:val="1"/>
          <w:color w:val="auto"/>
        </w:rPr>
        <w:t xml:space="preserve"> Article 4</w:t>
      </w:r>
      <w:r>
        <w:rPr>
          <w:rFonts w:ascii="Arial" w:cs="Arial" w:eastAsia="Arial" w:hAnsi="Arial"/>
          <w:sz w:val="15"/>
          <w:szCs w:val="15"/>
          <w:color w:val="auto"/>
        </w:rPr>
        <w:t>, the</w:t>
      </w:r>
      <w:r>
        <w:rPr>
          <w:rFonts w:ascii="Arial" w:cs="Arial" w:eastAsia="Arial" w:hAnsi="Arial"/>
          <w:sz w:val="15"/>
          <w:szCs w:val="15"/>
          <w:b w:val="1"/>
          <w:bCs w:val="1"/>
          <w:color w:val="auto"/>
        </w:rPr>
        <w:t xml:space="preserve"> </w:t>
      </w:r>
      <w:r>
        <w:rPr>
          <w:rFonts w:ascii="Arial" w:cs="Arial" w:eastAsia="Arial" w:hAnsi="Arial"/>
          <w:sz w:val="15"/>
          <w:szCs w:val="15"/>
          <w:color w:val="auto"/>
        </w:rPr>
        <w:t>following terms shall have the meanings set forth below:</w:t>
      </w:r>
    </w:p>
    <w:p>
      <w:pPr>
        <w:spacing w:after="0" w:line="106" w:lineRule="exact"/>
        <w:rPr>
          <w:sz w:val="20"/>
          <w:szCs w:val="20"/>
          <w:color w:val="auto"/>
        </w:rPr>
      </w:pPr>
    </w:p>
    <w:p>
      <w:pPr>
        <w:jc w:val="both"/>
        <w:ind w:left="1220" w:right="1239" w:firstLine="1013"/>
        <w:spacing w:after="0" w:line="248" w:lineRule="auto"/>
        <w:tabs>
          <w:tab w:leader="none" w:pos="2592" w:val="left"/>
        </w:tabs>
        <w:numPr>
          <w:ilvl w:val="0"/>
          <w:numId w:val="595"/>
        </w:numPr>
        <w:rPr>
          <w:rFonts w:ascii="Arial" w:cs="Arial" w:eastAsia="Arial" w:hAnsi="Arial"/>
          <w:sz w:val="15"/>
          <w:szCs w:val="15"/>
          <w:color w:val="auto"/>
        </w:rPr>
      </w:pPr>
      <w:r>
        <w:rPr>
          <w:rFonts w:ascii="Arial" w:cs="Arial" w:eastAsia="Arial" w:hAnsi="Arial"/>
          <w:sz w:val="15"/>
          <w:szCs w:val="15"/>
          <w:b w:val="1"/>
          <w:bCs w:val="1"/>
          <w:color w:val="auto"/>
        </w:rPr>
        <w:t>“Architect</w:t>
      </w:r>
      <w:r>
        <w:rPr>
          <w:rFonts w:ascii="Arial" w:cs="Arial" w:eastAsia="Arial" w:hAnsi="Arial"/>
          <w:sz w:val="15"/>
          <w:szCs w:val="15"/>
          <w:color w:val="auto"/>
        </w:rPr>
        <w:t>” shall mean Jacobs or another qualified third-party architect</w:t>
      </w:r>
      <w:r>
        <w:rPr>
          <w:rFonts w:ascii="Arial" w:cs="Arial" w:eastAsia="Arial" w:hAnsi="Arial"/>
          <w:sz w:val="15"/>
          <w:szCs w:val="15"/>
          <w:b w:val="1"/>
          <w:bCs w:val="1"/>
          <w:color w:val="auto"/>
        </w:rPr>
        <w:t xml:space="preserve"> </w:t>
      </w:r>
      <w:r>
        <w:rPr>
          <w:rFonts w:ascii="Arial" w:cs="Arial" w:eastAsia="Arial" w:hAnsi="Arial"/>
          <w:sz w:val="15"/>
          <w:szCs w:val="15"/>
          <w:color w:val="auto"/>
        </w:rPr>
        <w:t>selected by Tenant and approved by Landlord (such approval not to be unreasonably withheld, conditioned, or delayed) to prepare each of the Test Fit Plans, the Permit Set Plans, and the Construction Set Plans.</w:t>
      </w:r>
    </w:p>
    <w:p>
      <w:pPr>
        <w:spacing w:after="0" w:line="128" w:lineRule="exact"/>
        <w:rPr>
          <w:rFonts w:ascii="Arial" w:cs="Arial" w:eastAsia="Arial" w:hAnsi="Arial"/>
          <w:sz w:val="15"/>
          <w:szCs w:val="15"/>
          <w:color w:val="auto"/>
        </w:rPr>
      </w:pPr>
    </w:p>
    <w:p>
      <w:pPr>
        <w:jc w:val="both"/>
        <w:ind w:left="1220" w:right="1239" w:firstLine="1013"/>
        <w:spacing w:after="0" w:line="261" w:lineRule="auto"/>
        <w:tabs>
          <w:tab w:leader="none" w:pos="2592" w:val="left"/>
        </w:tabs>
        <w:numPr>
          <w:ilvl w:val="0"/>
          <w:numId w:val="5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Approved Plans</w:t>
      </w:r>
      <w:r>
        <w:rPr>
          <w:rFonts w:ascii="Arial" w:cs="Arial" w:eastAsia="Arial" w:hAnsi="Arial"/>
          <w:sz w:val="15"/>
          <w:szCs w:val="15"/>
          <w:color w:val="auto"/>
        </w:rPr>
        <w:t xml:space="preserve">” shall mean the Construction Set Plans for the Landlord’s Work, prepared by the Architect and approved by both Landlord and Tenant in accordance with the provisions of this </w:t>
      </w:r>
      <w:r>
        <w:rPr>
          <w:rFonts w:ascii="Arial" w:cs="Arial" w:eastAsia="Arial" w:hAnsi="Arial"/>
          <w:sz w:val="15"/>
          <w:szCs w:val="15"/>
          <w:b w:val="1"/>
          <w:bCs w:val="1"/>
          <w:color w:val="auto"/>
        </w:rPr>
        <w:t>Article 4</w:t>
      </w:r>
      <w:r>
        <w:rPr>
          <w:rFonts w:ascii="Arial" w:cs="Arial" w:eastAsia="Arial" w:hAnsi="Arial"/>
          <w:sz w:val="15"/>
          <w:szCs w:val="15"/>
          <w:color w:val="auto"/>
        </w:rPr>
        <w:t>.</w:t>
      </w:r>
    </w:p>
    <w:p>
      <w:pPr>
        <w:spacing w:after="0" w:line="110" w:lineRule="exact"/>
        <w:rPr>
          <w:rFonts w:ascii="Arial" w:cs="Arial" w:eastAsia="Arial" w:hAnsi="Arial"/>
          <w:sz w:val="15"/>
          <w:szCs w:val="15"/>
          <w:color w:val="auto"/>
        </w:rPr>
      </w:pPr>
    </w:p>
    <w:p>
      <w:pPr>
        <w:jc w:val="both"/>
        <w:ind w:left="1220" w:right="1239" w:firstLine="1013"/>
        <w:spacing w:after="0" w:line="247" w:lineRule="auto"/>
        <w:tabs>
          <w:tab w:leader="none" w:pos="2592" w:val="left"/>
        </w:tabs>
        <w:numPr>
          <w:ilvl w:val="0"/>
          <w:numId w:val="5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Budget</w:t>
      </w:r>
      <w:r>
        <w:rPr>
          <w:rFonts w:ascii="Arial" w:cs="Arial" w:eastAsia="Arial" w:hAnsi="Arial"/>
          <w:sz w:val="15"/>
          <w:szCs w:val="15"/>
          <w:color w:val="auto"/>
        </w:rPr>
        <w:t xml:space="preserve">” shall mean the project budget for the Landlord’s Work (including allowances and contingencies), prepared by the Contractor and approved by both Landlord and Tenant in accordance with the provisions of this </w:t>
      </w:r>
      <w:r>
        <w:rPr>
          <w:rFonts w:ascii="Arial" w:cs="Arial" w:eastAsia="Arial" w:hAnsi="Arial"/>
          <w:sz w:val="15"/>
          <w:szCs w:val="15"/>
          <w:b w:val="1"/>
          <w:bCs w:val="1"/>
          <w:color w:val="auto"/>
        </w:rPr>
        <w:t>Article 4</w:t>
      </w:r>
      <w:r>
        <w:rPr>
          <w:rFonts w:ascii="Arial" w:cs="Arial" w:eastAsia="Arial" w:hAnsi="Arial"/>
          <w:sz w:val="15"/>
          <w:szCs w:val="15"/>
          <w:color w:val="auto"/>
        </w:rPr>
        <w:t xml:space="preserve">, as the same may be revised and updated from time-to-time with the approval of both Landlord and Tenant in accordance with the provisions of this </w:t>
      </w:r>
      <w:r>
        <w:rPr>
          <w:rFonts w:ascii="Arial" w:cs="Arial" w:eastAsia="Arial" w:hAnsi="Arial"/>
          <w:sz w:val="15"/>
          <w:szCs w:val="15"/>
          <w:b w:val="1"/>
          <w:bCs w:val="1"/>
          <w:color w:val="auto"/>
        </w:rPr>
        <w:t>Article 4</w:t>
      </w:r>
      <w:r>
        <w:rPr>
          <w:rFonts w:ascii="Arial" w:cs="Arial" w:eastAsia="Arial" w:hAnsi="Arial"/>
          <w:sz w:val="15"/>
          <w:szCs w:val="15"/>
          <w:color w:val="auto"/>
        </w:rPr>
        <w:t>.</w:t>
      </w:r>
    </w:p>
    <w:p>
      <w:pPr>
        <w:spacing w:after="0" w:line="121" w:lineRule="exact"/>
        <w:rPr>
          <w:rFonts w:ascii="Arial" w:cs="Arial" w:eastAsia="Arial" w:hAnsi="Arial"/>
          <w:sz w:val="15"/>
          <w:szCs w:val="15"/>
          <w:color w:val="auto"/>
        </w:rPr>
      </w:pPr>
    </w:p>
    <w:p>
      <w:pPr>
        <w:jc w:val="both"/>
        <w:ind w:left="1220" w:right="1239" w:firstLine="1013"/>
        <w:spacing w:after="0" w:line="261" w:lineRule="auto"/>
        <w:tabs>
          <w:tab w:leader="none" w:pos="2592" w:val="left"/>
        </w:tabs>
        <w:numPr>
          <w:ilvl w:val="0"/>
          <w:numId w:val="5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Construction Set Plans</w:t>
      </w:r>
      <w:r>
        <w:rPr>
          <w:rFonts w:ascii="Arial" w:cs="Arial" w:eastAsia="Arial" w:hAnsi="Arial"/>
          <w:sz w:val="15"/>
          <w:szCs w:val="15"/>
          <w:color w:val="auto"/>
        </w:rPr>
        <w:t xml:space="preserve">” shall mean the construction set architectural and engineering plans and specifications for the Landlord’s Work, issued by the Architect in accordance with the provisions of this </w:t>
      </w:r>
      <w:r>
        <w:rPr>
          <w:rFonts w:ascii="Arial" w:cs="Arial" w:eastAsia="Arial" w:hAnsi="Arial"/>
          <w:sz w:val="15"/>
          <w:szCs w:val="15"/>
          <w:b w:val="1"/>
          <w:bCs w:val="1"/>
          <w:color w:val="auto"/>
        </w:rPr>
        <w:t>Article 4</w:t>
      </w:r>
      <w:r>
        <w:rPr>
          <w:rFonts w:ascii="Arial" w:cs="Arial" w:eastAsia="Arial" w:hAnsi="Arial"/>
          <w:sz w:val="15"/>
          <w:szCs w:val="15"/>
          <w:color w:val="auto"/>
        </w:rPr>
        <w:t>.</w:t>
      </w:r>
    </w:p>
    <w:p>
      <w:pPr>
        <w:spacing w:after="0" w:line="110" w:lineRule="exact"/>
        <w:rPr>
          <w:rFonts w:ascii="Arial" w:cs="Arial" w:eastAsia="Arial" w:hAnsi="Arial"/>
          <w:sz w:val="15"/>
          <w:szCs w:val="15"/>
          <w:color w:val="auto"/>
        </w:rPr>
      </w:pPr>
    </w:p>
    <w:p>
      <w:pPr>
        <w:ind w:left="1220" w:right="1239" w:firstLine="1013"/>
        <w:spacing w:after="0" w:line="288" w:lineRule="auto"/>
        <w:tabs>
          <w:tab w:leader="none" w:pos="2592" w:val="left"/>
        </w:tabs>
        <w:numPr>
          <w:ilvl w:val="0"/>
          <w:numId w:val="5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Construction Schedule</w:t>
      </w:r>
      <w:r>
        <w:rPr>
          <w:rFonts w:ascii="Arial" w:cs="Arial" w:eastAsia="Arial" w:hAnsi="Arial"/>
          <w:sz w:val="15"/>
          <w:szCs w:val="15"/>
          <w:color w:val="auto"/>
        </w:rPr>
        <w:t xml:space="preserve">” shall mean the milestone construction schedule for the performance of Landlord’s Work which is attached to this Lease as </w:t>
      </w:r>
      <w:r>
        <w:rPr>
          <w:rFonts w:ascii="Arial" w:cs="Arial" w:eastAsia="Arial" w:hAnsi="Arial"/>
          <w:sz w:val="15"/>
          <w:szCs w:val="15"/>
          <w:b w:val="1"/>
          <w:bCs w:val="1"/>
          <w:color w:val="auto"/>
        </w:rPr>
        <w:t>Exhibit M.</w:t>
      </w:r>
    </w:p>
    <w:p>
      <w:pPr>
        <w:spacing w:after="0" w:line="90" w:lineRule="exact"/>
        <w:rPr>
          <w:rFonts w:ascii="Arial" w:cs="Arial" w:eastAsia="Arial" w:hAnsi="Arial"/>
          <w:sz w:val="15"/>
          <w:szCs w:val="15"/>
          <w:color w:val="auto"/>
        </w:rPr>
      </w:pPr>
    </w:p>
    <w:p>
      <w:pPr>
        <w:jc w:val="both"/>
        <w:ind w:left="1220" w:right="1239" w:firstLine="1013"/>
        <w:spacing w:after="0" w:line="255" w:lineRule="auto"/>
        <w:tabs>
          <w:tab w:leader="none" w:pos="2592" w:val="left"/>
        </w:tabs>
        <w:numPr>
          <w:ilvl w:val="0"/>
          <w:numId w:val="595"/>
        </w:numPr>
        <w:rPr>
          <w:rFonts w:ascii="Arial" w:cs="Arial" w:eastAsia="Arial" w:hAnsi="Arial"/>
          <w:sz w:val="15"/>
          <w:szCs w:val="15"/>
          <w:color w:val="auto"/>
        </w:rPr>
      </w:pPr>
      <w:r>
        <w:rPr>
          <w:rFonts w:ascii="Arial" w:cs="Arial" w:eastAsia="Arial" w:hAnsi="Arial"/>
          <w:sz w:val="15"/>
          <w:szCs w:val="15"/>
          <w:b w:val="1"/>
          <w:bCs w:val="1"/>
          <w:color w:val="auto"/>
        </w:rPr>
        <w:t>Contractor</w:t>
      </w:r>
      <w:r>
        <w:rPr>
          <w:rFonts w:ascii="Arial" w:cs="Arial" w:eastAsia="Arial" w:hAnsi="Arial"/>
          <w:sz w:val="15"/>
          <w:szCs w:val="15"/>
          <w:color w:val="auto"/>
        </w:rPr>
        <w:t>” means the general contractor designated and engaged by</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and approved by Tenant (such approval not to be unreasonably withheld, conditioned, or delayed) to construct, install and perform the Landlord’s Work.</w:t>
      </w:r>
    </w:p>
    <w:p>
      <w:pPr>
        <w:spacing w:after="0" w:line="123" w:lineRule="exact"/>
        <w:rPr>
          <w:rFonts w:ascii="Arial" w:cs="Arial" w:eastAsia="Arial" w:hAnsi="Arial"/>
          <w:sz w:val="15"/>
          <w:szCs w:val="15"/>
          <w:color w:val="auto"/>
        </w:rPr>
      </w:pPr>
    </w:p>
    <w:p>
      <w:pPr>
        <w:jc w:val="both"/>
        <w:ind w:left="1220" w:right="1239" w:firstLine="1013"/>
        <w:spacing w:after="0" w:line="242" w:lineRule="auto"/>
        <w:tabs>
          <w:tab w:leader="none" w:pos="2592" w:val="left"/>
        </w:tabs>
        <w:numPr>
          <w:ilvl w:val="0"/>
          <w:numId w:val="5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Delivery Condition</w:t>
      </w:r>
      <w:r>
        <w:rPr>
          <w:rFonts w:ascii="Arial" w:cs="Arial" w:eastAsia="Arial" w:hAnsi="Arial"/>
          <w:sz w:val="15"/>
          <w:szCs w:val="15"/>
          <w:color w:val="auto"/>
        </w:rPr>
        <w:t xml:space="preserve">” shall mean the following: (i) Substantial Completion of the Landlord’s Work has occurred (subject only to the completion of the Punch-List Items) (subject to the provisions of </w:t>
      </w:r>
      <w:r>
        <w:rPr>
          <w:rFonts w:ascii="Arial" w:cs="Arial" w:eastAsia="Arial" w:hAnsi="Arial"/>
          <w:sz w:val="15"/>
          <w:szCs w:val="15"/>
          <w:b w:val="1"/>
          <w:bCs w:val="1"/>
          <w:color w:val="auto"/>
        </w:rPr>
        <w:t>Section 4.3(f)</w:t>
      </w:r>
      <w:r>
        <w:rPr>
          <w:rFonts w:ascii="Arial" w:cs="Arial" w:eastAsia="Arial" w:hAnsi="Arial"/>
          <w:sz w:val="15"/>
          <w:szCs w:val="15"/>
          <w:color w:val="auto"/>
        </w:rPr>
        <w:t xml:space="preserve"> and </w:t>
      </w:r>
      <w:r>
        <w:rPr>
          <w:rFonts w:ascii="Arial" w:cs="Arial" w:eastAsia="Arial" w:hAnsi="Arial"/>
          <w:sz w:val="15"/>
          <w:szCs w:val="15"/>
          <w:b w:val="1"/>
          <w:bCs w:val="1"/>
          <w:color w:val="auto"/>
        </w:rPr>
        <w:t>Section 4.5(c)</w:t>
      </w:r>
      <w:r>
        <w:rPr>
          <w:rFonts w:ascii="Arial" w:cs="Arial" w:eastAsia="Arial" w:hAnsi="Arial"/>
          <w:sz w:val="15"/>
          <w:szCs w:val="15"/>
          <w:color w:val="auto"/>
        </w:rPr>
        <w:t xml:space="preserve">), (ii) the Base Building Work Substantial Completion Certificate has been delivered and the Base Building Work has been substantially completed in accordance with and subject to the provisions of </w:t>
      </w:r>
      <w:r>
        <w:rPr>
          <w:rFonts w:ascii="Arial" w:cs="Arial" w:eastAsia="Arial" w:hAnsi="Arial"/>
          <w:sz w:val="15"/>
          <w:szCs w:val="15"/>
          <w:b w:val="1"/>
          <w:bCs w:val="1"/>
          <w:color w:val="auto"/>
        </w:rPr>
        <w:t>Section 4.1</w:t>
      </w:r>
      <w:r>
        <w:rPr>
          <w:rFonts w:ascii="Arial" w:cs="Arial" w:eastAsia="Arial" w:hAnsi="Arial"/>
          <w:sz w:val="15"/>
          <w:szCs w:val="15"/>
          <w:color w:val="auto"/>
        </w:rPr>
        <w:t>, and (iii) the Premises are vacant, and free and clear of all tenants and occupants.</w:t>
      </w:r>
    </w:p>
    <w:p>
      <w:pPr>
        <w:spacing w:after="0" w:line="133" w:lineRule="exact"/>
        <w:rPr>
          <w:rFonts w:ascii="Arial" w:cs="Arial" w:eastAsia="Arial" w:hAnsi="Arial"/>
          <w:sz w:val="15"/>
          <w:szCs w:val="15"/>
          <w:color w:val="auto"/>
        </w:rPr>
      </w:pPr>
    </w:p>
    <w:p>
      <w:pPr>
        <w:ind w:left="2600" w:hanging="367"/>
        <w:spacing w:after="0"/>
        <w:tabs>
          <w:tab w:leader="none" w:pos="2600" w:val="left"/>
        </w:tabs>
        <w:numPr>
          <w:ilvl w:val="0"/>
          <w:numId w:val="59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Additional Contribution Amount</w:t>
      </w:r>
      <w:r>
        <w:rPr>
          <w:rFonts w:ascii="Arial" w:cs="Arial" w:eastAsia="Arial" w:hAnsi="Arial"/>
          <w:sz w:val="15"/>
          <w:szCs w:val="15"/>
          <w:color w:val="auto"/>
        </w:rPr>
        <w:t>” shall mean an amount</w:t>
      </w:r>
    </w:p>
    <w:p>
      <w:pPr>
        <w:spacing w:after="0" w:line="12" w:lineRule="exact"/>
        <w:rPr>
          <w:sz w:val="20"/>
          <w:szCs w:val="20"/>
          <w:color w:val="auto"/>
        </w:rPr>
      </w:pPr>
    </w:p>
    <w:p>
      <w:pPr>
        <w:ind w:left="1220"/>
        <w:spacing w:after="0"/>
        <w:tabs>
          <w:tab w:leader="none" w:pos="3940" w:val="left"/>
        </w:tabs>
        <w:rPr>
          <w:sz w:val="20"/>
          <w:szCs w:val="20"/>
          <w:color w:val="auto"/>
        </w:rPr>
      </w:pPr>
      <w:r>
        <w:rPr>
          <w:rFonts w:ascii="Arial" w:cs="Arial" w:eastAsia="Arial" w:hAnsi="Arial"/>
          <w:sz w:val="15"/>
          <w:szCs w:val="15"/>
          <w:color w:val="auto"/>
        </w:rPr>
        <w:t>equal to up but not more than $</w:t>
      </w:r>
      <w:r>
        <w:rPr>
          <w:sz w:val="20"/>
          <w:szCs w:val="20"/>
          <w:color w:val="auto"/>
        </w:rPr>
        <w:tab/>
      </w:r>
      <w:r>
        <w:rPr>
          <w:rFonts w:ascii="Arial" w:cs="Arial" w:eastAsia="Arial" w:hAnsi="Arial"/>
          <w:sz w:val="14"/>
          <w:szCs w:val="14"/>
          <w:color w:val="auto"/>
        </w:rPr>
        <w:t>.</w:t>
      </w:r>
    </w:p>
    <w:p>
      <w:pPr>
        <w:spacing w:after="0" w:line="148" w:lineRule="exact"/>
        <w:rPr>
          <w:sz w:val="20"/>
          <w:szCs w:val="20"/>
          <w:color w:val="auto"/>
        </w:rPr>
      </w:pPr>
    </w:p>
    <w:p>
      <w:pPr>
        <w:ind w:left="1220" w:right="1239" w:firstLine="1013"/>
        <w:spacing w:after="0" w:line="277" w:lineRule="auto"/>
        <w:tabs>
          <w:tab w:leader="none" w:pos="2592" w:val="left"/>
        </w:tabs>
        <w:numPr>
          <w:ilvl w:val="0"/>
          <w:numId w:val="596"/>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Change Order</w:t>
      </w:r>
      <w:r>
        <w:rPr>
          <w:rFonts w:ascii="Arial" w:cs="Arial" w:eastAsia="Arial" w:hAnsi="Arial"/>
          <w:sz w:val="15"/>
          <w:szCs w:val="15"/>
          <w:color w:val="auto"/>
        </w:rPr>
        <w:t>” shall mean a change order proposed by Landlord to the Approved Plans.</w:t>
      </w: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71" w:name="page672"/>
    <w:bookmarkEnd w:id="671"/>
    <w:p>
      <w:pPr>
        <w:ind w:left="1220" w:right="1239" w:firstLine="1013"/>
        <w:spacing w:after="0" w:line="277" w:lineRule="auto"/>
        <w:tabs>
          <w:tab w:leader="none" w:pos="2592" w:val="left"/>
        </w:tabs>
        <w:numPr>
          <w:ilvl w:val="0"/>
          <w:numId w:val="5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Contribution”</w:t>
      </w:r>
      <w:r>
        <w:rPr>
          <w:rFonts w:ascii="Arial" w:cs="Arial" w:eastAsia="Arial" w:hAnsi="Arial"/>
          <w:sz w:val="15"/>
          <w:szCs w:val="15"/>
          <w:color w:val="auto"/>
        </w:rPr>
        <w:t xml:space="preserve"> shall mean an amount equal to Landlord’s Initial Contribution Amount and Landlord’s Additional Contribution Amount, if applicable.</w:t>
      </w:r>
    </w:p>
    <w:p>
      <w:pPr>
        <w:spacing w:after="0" w:line="106" w:lineRule="exact"/>
        <w:rPr>
          <w:rFonts w:ascii="Arial" w:cs="Arial" w:eastAsia="Arial" w:hAnsi="Arial"/>
          <w:sz w:val="15"/>
          <w:szCs w:val="15"/>
          <w:color w:val="auto"/>
        </w:rPr>
      </w:pPr>
    </w:p>
    <w:p>
      <w:pPr>
        <w:jc w:val="both"/>
        <w:ind w:left="1220" w:right="1239" w:firstLine="1013"/>
        <w:spacing w:after="0" w:line="238" w:lineRule="auto"/>
        <w:tabs>
          <w:tab w:leader="none" w:pos="2592" w:val="left"/>
        </w:tabs>
        <w:numPr>
          <w:ilvl w:val="0"/>
          <w:numId w:val="59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 Delay</w:t>
      </w:r>
      <w:r>
        <w:rPr>
          <w:rFonts w:ascii="Arial" w:cs="Arial" w:eastAsia="Arial" w:hAnsi="Arial"/>
          <w:sz w:val="15"/>
          <w:szCs w:val="15"/>
          <w:color w:val="auto"/>
        </w:rPr>
        <w:t>” shall mean the following: (i) if the proposed Test Fit Plans are not submitted to Tenant by the Proposed Test Fit Plans Submission Date, each day after the Proposed Test Fit Plans Submission Date which is prior to the date on which the Test Fit Plans actually are submitted to Tenant; (ii) if the proposed Budget is not submitted to Tenant by the Proposed Budget Submission Date, each day after the Proposed Budget Submission Date which is prior to the date on which the proposed Budget actually is submitted to Tenant; (iii) if the proposed Permit Set Plans are not submitted to Tenant by the Proposed Permit Set Plans Submission Date, each day after the Proposed Permit Set Plans Submission Date which is prior to the date on which the Permit Set Plans actually are submitted to Tenant; and (iv) if the Construction Set Plans are not submitted to Tenant by the Proposed Construction Set Plans Submission Date, each day after the Proposed Construction Set Plans Submission Date which is prior to the date on which the Construction Set Plans actually are submitted to Tenant.</w:t>
      </w:r>
    </w:p>
    <w:p>
      <w:pPr>
        <w:spacing w:after="0" w:line="134" w:lineRule="exact"/>
        <w:rPr>
          <w:sz w:val="20"/>
          <w:szCs w:val="20"/>
          <w:color w:val="auto"/>
        </w:rPr>
      </w:pPr>
    </w:p>
    <w:p>
      <w:pPr>
        <w:ind w:left="2240"/>
        <w:spacing w:after="0"/>
        <w:tabs>
          <w:tab w:leader="none" w:pos="2580" w:val="left"/>
          <w:tab w:leader="none" w:pos="7020" w:val="left"/>
        </w:tabs>
        <w:rPr>
          <w:sz w:val="20"/>
          <w:szCs w:val="20"/>
          <w:color w:val="auto"/>
        </w:rPr>
      </w:pPr>
      <w:r>
        <w:rPr>
          <w:rFonts w:ascii="Arial" w:cs="Arial" w:eastAsia="Arial" w:hAnsi="Arial"/>
          <w:sz w:val="15"/>
          <w:szCs w:val="15"/>
          <w:color w:val="auto"/>
        </w:rPr>
        <w:t>(l)</w:t>
        <w:tab/>
        <w:t>“</w:t>
      </w:r>
      <w:r>
        <w:rPr>
          <w:rFonts w:ascii="Arial" w:cs="Arial" w:eastAsia="Arial" w:hAnsi="Arial"/>
          <w:sz w:val="15"/>
          <w:szCs w:val="15"/>
          <w:b w:val="1"/>
          <w:bCs w:val="1"/>
          <w:color w:val="auto"/>
        </w:rPr>
        <w:t>Landlord’s Initial Contribution Amount</w:t>
      </w:r>
      <w:r>
        <w:rPr>
          <w:rFonts w:ascii="Arial" w:cs="Arial" w:eastAsia="Arial" w:hAnsi="Arial"/>
          <w:sz w:val="15"/>
          <w:szCs w:val="15"/>
          <w:color w:val="auto"/>
        </w:rPr>
        <w:t>” shall mean $</w:t>
      </w:r>
      <w:r>
        <w:rPr>
          <w:sz w:val="20"/>
          <w:szCs w:val="20"/>
          <w:color w:val="auto"/>
        </w:rPr>
        <w:tab/>
      </w:r>
      <w:r>
        <w:rPr>
          <w:rFonts w:ascii="Arial" w:cs="Arial" w:eastAsia="Arial" w:hAnsi="Arial"/>
          <w:sz w:val="14"/>
          <w:szCs w:val="14"/>
          <w:color w:val="auto"/>
        </w:rPr>
        <w:t>.</w:t>
      </w:r>
    </w:p>
    <w:p>
      <w:pPr>
        <w:spacing w:after="0" w:line="164" w:lineRule="exact"/>
        <w:rPr>
          <w:sz w:val="20"/>
          <w:szCs w:val="20"/>
          <w:color w:val="auto"/>
        </w:rPr>
      </w:pPr>
    </w:p>
    <w:p>
      <w:pPr>
        <w:jc w:val="both"/>
        <w:ind w:left="1220" w:right="1239" w:firstLine="1013"/>
        <w:spacing w:after="0" w:line="255" w:lineRule="auto"/>
        <w:tabs>
          <w:tab w:leader="none" w:pos="2592" w:val="left"/>
        </w:tabs>
        <w:numPr>
          <w:ilvl w:val="0"/>
          <w:numId w:val="5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Work</w:t>
      </w:r>
      <w:r>
        <w:rPr>
          <w:rFonts w:ascii="Arial" w:cs="Arial" w:eastAsia="Arial" w:hAnsi="Arial"/>
          <w:sz w:val="15"/>
          <w:szCs w:val="15"/>
          <w:color w:val="auto"/>
        </w:rPr>
        <w:t>” shall mean the improvements and alterations expressly and specifically shown on the Approved Plans. Without limitation, Landlord’s Work shall not include the acquisition or installation of Tenant’s trade fixtures, furniture or personal property.</w:t>
      </w:r>
    </w:p>
    <w:p>
      <w:pPr>
        <w:spacing w:after="0" w:line="123" w:lineRule="exact"/>
        <w:rPr>
          <w:rFonts w:ascii="Arial" w:cs="Arial" w:eastAsia="Arial" w:hAnsi="Arial"/>
          <w:sz w:val="15"/>
          <w:szCs w:val="15"/>
          <w:color w:val="auto"/>
        </w:rPr>
      </w:pPr>
    </w:p>
    <w:p>
      <w:pPr>
        <w:jc w:val="both"/>
        <w:ind w:left="1220" w:right="1239" w:firstLine="1013"/>
        <w:spacing w:after="0" w:line="238" w:lineRule="auto"/>
        <w:tabs>
          <w:tab w:leader="none" w:pos="2592" w:val="left"/>
        </w:tabs>
        <w:numPr>
          <w:ilvl w:val="0"/>
          <w:numId w:val="5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Landlord’s Work Costs</w:t>
      </w:r>
      <w:r>
        <w:rPr>
          <w:rFonts w:ascii="Arial" w:cs="Arial" w:eastAsia="Arial" w:hAnsi="Arial"/>
          <w:sz w:val="15"/>
          <w:szCs w:val="15"/>
          <w:color w:val="auto"/>
        </w:rPr>
        <w:t>” shall mean, collectively, all of the out-of-pocket costs and expenses incurred by Landlord arising out of and in connection with designing, permitting, and performing the Landlord’s Work, including construction costs, permit fees, fees and general conditions payable to the Contractor (at the rates set forth in the Budget), overhead and profit of the Contractor (at the rates set forth in the Budget), costs and expenses for the purchase and installation of improvements set forth in the Approved Plans, the costs of commissioning and testing the Building Systems serving the Premises and equipment installed in or serving the Premises as part of the Landlord’s Work, a construction oversight fee payable to Landlord or Landlord’s Agent in an amount equal to two and one-half percent (2.5%) of the hard construction costs, and the actual commercially reasonable out-of-pocket architectural and engineering fees and costs incurred by Landlord in connection with the preparation and review of the plans and specifications for the Landlord’s Work.</w:t>
      </w:r>
    </w:p>
    <w:p>
      <w:pPr>
        <w:spacing w:after="0" w:line="134" w:lineRule="exact"/>
        <w:rPr>
          <w:rFonts w:ascii="Arial" w:cs="Arial" w:eastAsia="Arial" w:hAnsi="Arial"/>
          <w:sz w:val="15"/>
          <w:szCs w:val="15"/>
          <w:color w:val="auto"/>
        </w:rPr>
      </w:pPr>
    </w:p>
    <w:p>
      <w:pPr>
        <w:jc w:val="both"/>
        <w:ind w:left="1220" w:right="1239" w:firstLine="1013"/>
        <w:spacing w:after="0" w:line="244" w:lineRule="auto"/>
        <w:tabs>
          <w:tab w:leader="none" w:pos="2592" w:val="left"/>
        </w:tabs>
        <w:numPr>
          <w:ilvl w:val="0"/>
          <w:numId w:val="598"/>
        </w:numPr>
        <w:rPr>
          <w:rFonts w:ascii="Arial" w:cs="Arial" w:eastAsia="Arial" w:hAnsi="Arial"/>
          <w:sz w:val="15"/>
          <w:szCs w:val="15"/>
          <w:color w:val="auto"/>
        </w:rPr>
      </w:pPr>
      <w:r>
        <w:rPr>
          <w:rFonts w:ascii="Arial" w:cs="Arial" w:eastAsia="Arial" w:hAnsi="Arial"/>
          <w:sz w:val="15"/>
          <w:szCs w:val="15"/>
          <w:b w:val="1"/>
          <w:bCs w:val="1"/>
          <w:color w:val="auto"/>
        </w:rPr>
        <w:t>“Long Lead Items</w:t>
      </w:r>
      <w:r>
        <w:rPr>
          <w:rFonts w:ascii="Arial" w:cs="Arial" w:eastAsia="Arial" w:hAnsi="Arial"/>
          <w:sz w:val="15"/>
          <w:szCs w:val="15"/>
          <w:color w:val="auto"/>
        </w:rPr>
        <w:t>” means improvements, items, materials, finishes or</w:t>
      </w:r>
      <w:r>
        <w:rPr>
          <w:rFonts w:ascii="Arial" w:cs="Arial" w:eastAsia="Arial" w:hAnsi="Arial"/>
          <w:sz w:val="15"/>
          <w:szCs w:val="15"/>
          <w:b w:val="1"/>
          <w:bCs w:val="1"/>
          <w:color w:val="auto"/>
        </w:rPr>
        <w:t xml:space="preserve"> </w:t>
      </w:r>
      <w:r>
        <w:rPr>
          <w:rFonts w:ascii="Arial" w:cs="Arial" w:eastAsia="Arial" w:hAnsi="Arial"/>
          <w:sz w:val="15"/>
          <w:szCs w:val="15"/>
          <w:color w:val="auto"/>
        </w:rPr>
        <w:t>installations that Landlord, the Architect, or the Contractor advises Tenant in writing (in connection with the review of the Test Fit Plans, Permit Set Plans, Construction Set Plans and/or the review of proposed Tenant Change Orders) are not generally available as needed to meet the milestone dates set forth on the Construction Schedule.</w:t>
      </w:r>
    </w:p>
    <w:p>
      <w:pPr>
        <w:spacing w:after="0" w:line="132" w:lineRule="exact"/>
        <w:rPr>
          <w:rFonts w:ascii="Arial" w:cs="Arial" w:eastAsia="Arial" w:hAnsi="Arial"/>
          <w:sz w:val="15"/>
          <w:szCs w:val="15"/>
          <w:color w:val="auto"/>
        </w:rPr>
      </w:pPr>
    </w:p>
    <w:p>
      <w:pPr>
        <w:jc w:val="both"/>
        <w:ind w:left="1220" w:right="1239" w:firstLine="1013"/>
        <w:spacing w:after="0" w:line="252" w:lineRule="auto"/>
        <w:tabs>
          <w:tab w:leader="none" w:pos="2592" w:val="left"/>
        </w:tabs>
        <w:numPr>
          <w:ilvl w:val="0"/>
          <w:numId w:val="59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 Set Plans</w:t>
      </w:r>
      <w:r>
        <w:rPr>
          <w:rFonts w:ascii="Arial" w:cs="Arial" w:eastAsia="Arial" w:hAnsi="Arial"/>
          <w:sz w:val="15"/>
          <w:szCs w:val="15"/>
          <w:color w:val="auto"/>
        </w:rPr>
        <w:t xml:space="preserve">” shall mean the permit set architectural and engineering plans and specifications for the Landlord’s Work to be submitted to ISD for issuance of a building permit for Landlord’s Work, prepared by the Architect and approved by both Landlord and Tenant in accordance with the provisions of this </w:t>
      </w:r>
      <w:r>
        <w:rPr>
          <w:rFonts w:ascii="Arial" w:cs="Arial" w:eastAsia="Arial" w:hAnsi="Arial"/>
          <w:sz w:val="15"/>
          <w:szCs w:val="15"/>
          <w:b w:val="1"/>
          <w:bCs w:val="1"/>
          <w:color w:val="auto"/>
        </w:rPr>
        <w:t>Article 4</w:t>
      </w:r>
      <w:r>
        <w:rPr>
          <w:rFonts w:ascii="Arial" w:cs="Arial" w:eastAsia="Arial" w:hAnsi="Arial"/>
          <w:sz w:val="15"/>
          <w:szCs w:val="15"/>
          <w:color w:val="auto"/>
        </w:rPr>
        <w:t>.</w:t>
      </w:r>
    </w:p>
    <w:p>
      <w:pPr>
        <w:spacing w:after="0" w:line="116" w:lineRule="exact"/>
        <w:rPr>
          <w:rFonts w:ascii="Arial" w:cs="Arial" w:eastAsia="Arial" w:hAnsi="Arial"/>
          <w:sz w:val="15"/>
          <w:szCs w:val="15"/>
          <w:color w:val="auto"/>
        </w:rPr>
      </w:pPr>
    </w:p>
    <w:p>
      <w:pPr>
        <w:jc w:val="both"/>
        <w:ind w:left="1220" w:right="1239" w:firstLine="1013"/>
        <w:spacing w:after="0" w:line="248" w:lineRule="auto"/>
        <w:tabs>
          <w:tab w:leader="none" w:pos="2592" w:val="left"/>
        </w:tabs>
        <w:numPr>
          <w:ilvl w:val="0"/>
          <w:numId w:val="598"/>
        </w:numPr>
        <w:rPr>
          <w:rFonts w:ascii="Arial" w:cs="Arial" w:eastAsia="Arial" w:hAnsi="Arial"/>
          <w:sz w:val="15"/>
          <w:szCs w:val="15"/>
          <w:color w:val="auto"/>
        </w:rPr>
      </w:pPr>
      <w:r>
        <w:rPr>
          <w:rFonts w:ascii="Arial" w:cs="Arial" w:eastAsia="Arial" w:hAnsi="Arial"/>
          <w:sz w:val="15"/>
          <w:szCs w:val="15"/>
          <w:b w:val="1"/>
          <w:bCs w:val="1"/>
          <w:color w:val="auto"/>
        </w:rPr>
        <w:t xml:space="preserve">“Punch-List Items” </w:t>
      </w:r>
      <w:r>
        <w:rPr>
          <w:rFonts w:ascii="Arial" w:cs="Arial" w:eastAsia="Arial" w:hAnsi="Arial"/>
          <w:sz w:val="15"/>
          <w:szCs w:val="15"/>
          <w:color w:val="auto"/>
        </w:rPr>
        <w:t>shall mean punch-list items of Landlord’s Work</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identified by Landlord’s construction representative and Tenant’s construction representative in accordance with </w:t>
      </w:r>
      <w:r>
        <w:rPr>
          <w:rFonts w:ascii="Arial" w:cs="Arial" w:eastAsia="Arial" w:hAnsi="Arial"/>
          <w:sz w:val="15"/>
          <w:szCs w:val="15"/>
          <w:b w:val="1"/>
          <w:bCs w:val="1"/>
          <w:color w:val="auto"/>
        </w:rPr>
        <w:t>Section 4.5(c)</w:t>
      </w:r>
      <w:r>
        <w:rPr>
          <w:rFonts w:ascii="Arial" w:cs="Arial" w:eastAsia="Arial" w:hAnsi="Arial"/>
          <w:sz w:val="15"/>
          <w:szCs w:val="15"/>
          <w:color w:val="auto"/>
        </w:rPr>
        <w:t>, which punch-list items can be completed without material interference with Tenant’s use and occupancy of the Premises, and any other items which</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672" w:name="page673"/>
    <w:bookmarkEnd w:id="672"/>
    <w:p>
      <w:pPr>
        <w:ind w:left="1220" w:right="1239"/>
        <w:spacing w:after="0" w:line="274" w:lineRule="auto"/>
        <w:rPr>
          <w:sz w:val="20"/>
          <w:szCs w:val="20"/>
          <w:color w:val="auto"/>
        </w:rPr>
      </w:pPr>
      <w:r>
        <w:rPr>
          <w:rFonts w:ascii="Arial" w:cs="Arial" w:eastAsia="Arial" w:hAnsi="Arial"/>
          <w:sz w:val="15"/>
          <w:szCs w:val="15"/>
          <w:color w:val="auto"/>
        </w:rPr>
        <w:t>because of the seasonal nature of the item (such as HVAC balancing) or in accordance with good construction practice, are not practicable to complete at such time.</w:t>
      </w:r>
    </w:p>
    <w:p>
      <w:pPr>
        <w:spacing w:after="0" w:line="109" w:lineRule="exact"/>
        <w:rPr>
          <w:sz w:val="20"/>
          <w:szCs w:val="20"/>
          <w:color w:val="auto"/>
        </w:rPr>
      </w:pPr>
    </w:p>
    <w:p>
      <w:pPr>
        <w:jc w:val="both"/>
        <w:ind w:left="1220" w:right="1239" w:firstLine="1013"/>
        <w:spacing w:after="0" w:line="243" w:lineRule="auto"/>
        <w:tabs>
          <w:tab w:leader="none" w:pos="2592" w:val="left"/>
        </w:tabs>
        <w:numPr>
          <w:ilvl w:val="0"/>
          <w:numId w:val="59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Substantial Completion</w:t>
      </w:r>
      <w:r>
        <w:rPr>
          <w:rFonts w:ascii="Arial" w:cs="Arial" w:eastAsia="Arial" w:hAnsi="Arial"/>
          <w:sz w:val="15"/>
          <w:szCs w:val="15"/>
          <w:color w:val="auto"/>
        </w:rPr>
        <w:t xml:space="preserve">” shall mean (a) the substantial completion of Landlord’s Work, excepting only Punch-List Items (subject to the provisions of </w:t>
      </w:r>
      <w:r>
        <w:rPr>
          <w:rFonts w:ascii="Arial" w:cs="Arial" w:eastAsia="Arial" w:hAnsi="Arial"/>
          <w:sz w:val="15"/>
          <w:szCs w:val="15"/>
          <w:b w:val="1"/>
          <w:bCs w:val="1"/>
          <w:color w:val="auto"/>
        </w:rPr>
        <w:t>Section 4.3(f)</w:t>
      </w:r>
      <w:r>
        <w:rPr>
          <w:rFonts w:ascii="Arial" w:cs="Arial" w:eastAsia="Arial" w:hAnsi="Arial"/>
          <w:sz w:val="15"/>
          <w:szCs w:val="15"/>
          <w:color w:val="auto"/>
        </w:rPr>
        <w:t xml:space="preserve"> and </w:t>
      </w:r>
      <w:r>
        <w:rPr>
          <w:rFonts w:ascii="Arial" w:cs="Arial" w:eastAsia="Arial" w:hAnsi="Arial"/>
          <w:sz w:val="15"/>
          <w:szCs w:val="15"/>
          <w:b w:val="1"/>
          <w:bCs w:val="1"/>
          <w:color w:val="auto"/>
        </w:rPr>
        <w:t>Section 4.5(c)</w:t>
      </w:r>
      <w:r>
        <w:rPr>
          <w:rFonts w:ascii="Arial" w:cs="Arial" w:eastAsia="Arial" w:hAnsi="Arial"/>
          <w:sz w:val="15"/>
          <w:szCs w:val="15"/>
          <w:color w:val="auto"/>
        </w:rPr>
        <w:t xml:space="preserve">); (b) the delivery by the Architect of a certificate of substantial completion with respect to Landlord’s Work, substantially in the form of AIA G704-2017; and (c) the Base Building Work Substantial Completion Certificate has been delivered and the Base Building Work has been substantially completed in accordance with and subject to the provisions of </w:t>
      </w:r>
      <w:r>
        <w:rPr>
          <w:rFonts w:ascii="Arial" w:cs="Arial" w:eastAsia="Arial" w:hAnsi="Arial"/>
          <w:sz w:val="15"/>
          <w:szCs w:val="15"/>
          <w:b w:val="1"/>
          <w:bCs w:val="1"/>
          <w:color w:val="auto"/>
        </w:rPr>
        <w:t>Section 4.1</w:t>
      </w:r>
      <w:r>
        <w:rPr>
          <w:rFonts w:ascii="Arial" w:cs="Arial" w:eastAsia="Arial" w:hAnsi="Arial"/>
          <w:sz w:val="15"/>
          <w:szCs w:val="15"/>
          <w:color w:val="auto"/>
        </w:rPr>
        <w:t>.</w:t>
      </w:r>
    </w:p>
    <w:p>
      <w:pPr>
        <w:spacing w:after="0" w:line="297" w:lineRule="exact"/>
        <w:rPr>
          <w:rFonts w:ascii="Arial" w:cs="Arial" w:eastAsia="Arial" w:hAnsi="Arial"/>
          <w:sz w:val="15"/>
          <w:szCs w:val="15"/>
          <w:color w:val="auto"/>
        </w:rPr>
      </w:pPr>
    </w:p>
    <w:p>
      <w:pPr>
        <w:ind w:left="1220" w:right="1239" w:firstLine="1013"/>
        <w:spacing w:after="0" w:line="277" w:lineRule="auto"/>
        <w:tabs>
          <w:tab w:leader="none" w:pos="2592" w:val="left"/>
        </w:tabs>
        <w:numPr>
          <w:ilvl w:val="0"/>
          <w:numId w:val="59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 Change Order</w:t>
      </w:r>
      <w:r>
        <w:rPr>
          <w:rFonts w:ascii="Arial" w:cs="Arial" w:eastAsia="Arial" w:hAnsi="Arial"/>
          <w:sz w:val="15"/>
          <w:szCs w:val="15"/>
          <w:color w:val="auto"/>
        </w:rPr>
        <w:t>” shall mean a change order proposed by Tenant to the Approved Plans.</w:t>
      </w:r>
    </w:p>
    <w:p>
      <w:pPr>
        <w:spacing w:after="0" w:line="106" w:lineRule="exact"/>
        <w:rPr>
          <w:rFonts w:ascii="Arial" w:cs="Arial" w:eastAsia="Arial" w:hAnsi="Arial"/>
          <w:sz w:val="15"/>
          <w:szCs w:val="15"/>
          <w:color w:val="auto"/>
        </w:rPr>
      </w:pPr>
    </w:p>
    <w:p>
      <w:pPr>
        <w:jc w:val="both"/>
        <w:ind w:left="1220" w:right="1239" w:firstLine="1013"/>
        <w:spacing w:after="0" w:line="260" w:lineRule="auto"/>
        <w:tabs>
          <w:tab w:leader="none" w:pos="2592" w:val="left"/>
        </w:tabs>
        <w:numPr>
          <w:ilvl w:val="0"/>
          <w:numId w:val="59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Contribution</w:t>
      </w:r>
      <w:r>
        <w:rPr>
          <w:rFonts w:ascii="Arial" w:cs="Arial" w:eastAsia="Arial" w:hAnsi="Arial"/>
          <w:sz w:val="15"/>
          <w:szCs w:val="15"/>
          <w:color w:val="auto"/>
        </w:rPr>
        <w:t xml:space="preserve">” shall mean an amount equal to the positive excess (if any) of (i) the Landlord’s Work Costs </w:t>
      </w:r>
      <w:r>
        <w:rPr>
          <w:rFonts w:ascii="Arial" w:cs="Arial" w:eastAsia="Arial" w:hAnsi="Arial"/>
          <w:sz w:val="15"/>
          <w:szCs w:val="15"/>
          <w:u w:val="single" w:color="auto"/>
          <w:color w:val="auto"/>
        </w:rPr>
        <w:t>minus</w:t>
      </w:r>
      <w:r>
        <w:rPr>
          <w:rFonts w:ascii="Arial" w:cs="Arial" w:eastAsia="Arial" w:hAnsi="Arial"/>
          <w:sz w:val="15"/>
          <w:szCs w:val="15"/>
          <w:color w:val="auto"/>
        </w:rPr>
        <w:t xml:space="preserve"> (ii) the amount of the Landlord’s Contribution.</w:t>
      </w:r>
    </w:p>
    <w:p>
      <w:pPr>
        <w:spacing w:after="0" w:line="299"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59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 Delay</w:t>
      </w:r>
      <w:r>
        <w:rPr>
          <w:rFonts w:ascii="Arial" w:cs="Arial" w:eastAsia="Arial" w:hAnsi="Arial"/>
          <w:sz w:val="15"/>
          <w:szCs w:val="15"/>
          <w:color w:val="auto"/>
        </w:rPr>
        <w:t xml:space="preserve">” shall mean any delay in the performance of Landlord’s Work and/or the issuance of a building permit for Landlord’s Work arising out of or resulting from the following: (i) the failure of the Test Fit Plans Approval Date to occur by the Scheduled Test Fit Plans Approval Date, excepting only as a result of a Landlord Delay; (ii) the failure of the Budget Approval Date to occur by the Scheduled Budget Approval Date, excepting only as a result of a Landlord Delay; (iii) the failure of the Permit Set Plans Approval Date to occur by the Scheduled Permit Set Plans Approval Date, excepting only as a result of a Landlord Delay; (iv) the failure of the Construction Set Plans Approval Date to occur by the Scheduled Construction Set Plans Approval Date, excepting only as a result of a Landlord Delay; (v) the failure by Tenant to review and consent to, or to provide comments or responses to, the proposed Test Fit Plans, the Budget, the Permit Set Plans, and/or the Construction Set Plans, as applicable, by not later the respective period of time set forth in </w:t>
      </w:r>
      <w:r>
        <w:rPr>
          <w:rFonts w:ascii="Arial" w:cs="Arial" w:eastAsia="Arial" w:hAnsi="Arial"/>
          <w:sz w:val="15"/>
          <w:szCs w:val="15"/>
          <w:b w:val="1"/>
          <w:bCs w:val="1"/>
          <w:color w:val="auto"/>
        </w:rPr>
        <w:t>Section 4.3</w:t>
      </w:r>
      <w:r>
        <w:rPr>
          <w:rFonts w:ascii="Arial" w:cs="Arial" w:eastAsia="Arial" w:hAnsi="Arial"/>
          <w:sz w:val="15"/>
          <w:szCs w:val="15"/>
          <w:color w:val="auto"/>
        </w:rPr>
        <w:t xml:space="preserve"> (time being of the essence of each such date), (vi) the failure by Tenant to timely pay to Landlord any Tenant’s Progress Payment when due in accordance with the provisions of </w:t>
      </w:r>
      <w:r>
        <w:rPr>
          <w:rFonts w:ascii="Arial" w:cs="Arial" w:eastAsia="Arial" w:hAnsi="Arial"/>
          <w:sz w:val="15"/>
          <w:szCs w:val="15"/>
          <w:b w:val="1"/>
          <w:bCs w:val="1"/>
          <w:color w:val="auto"/>
        </w:rPr>
        <w:t>Section 4.3(f)</w:t>
      </w:r>
      <w:r>
        <w:rPr>
          <w:rFonts w:ascii="Arial" w:cs="Arial" w:eastAsia="Arial" w:hAnsi="Arial"/>
          <w:sz w:val="15"/>
          <w:szCs w:val="15"/>
          <w:color w:val="auto"/>
        </w:rPr>
        <w:t>; (vii) any Tenant Change Orders or Long Lead Items requested by Tenant, (viii) any delay and/or default on the part of Tenant or its agents, engineers, architects, or contractors which delays performance of an obligation beyond the respective milestone date set forth in the Construction Schedule, (ix) any material interference with the performance of Landlord’s Work by Tenant or any of its agents, engineers, architects, or contractors, or (x) any other action or inaction by Tenant or any of Tenant’s agents, engineers, architects, or contractors. Notwithstanding the foregoing, except where a Tenant Delay arises from Tenant’s failure timely to act on or before a date or within a time period expressly set forth in this Lease (in which event no Tenant Delay Notice shall be required): (A) in no event shall any act or omission be deemed to be a Tenant Delay until and unless Landlord has given Tenant notice (the “</w:t>
      </w:r>
      <w:r>
        <w:rPr>
          <w:rFonts w:ascii="Arial" w:cs="Arial" w:eastAsia="Arial" w:hAnsi="Arial"/>
          <w:sz w:val="15"/>
          <w:szCs w:val="15"/>
          <w:b w:val="1"/>
          <w:bCs w:val="1"/>
          <w:color w:val="auto"/>
        </w:rPr>
        <w:t>Tenant Delay Notice</w:t>
      </w:r>
      <w:r>
        <w:rPr>
          <w:rFonts w:ascii="Arial" w:cs="Arial" w:eastAsia="Arial" w:hAnsi="Arial"/>
          <w:sz w:val="15"/>
          <w:szCs w:val="15"/>
          <w:color w:val="auto"/>
        </w:rPr>
        <w:t>”) (which notice may be by email to Tenant’s construction representative) advising Tenant (a) that a Tenant Delay is occurring, and (b) of the basis on which Landlord has determined that a Tenant Delay is occurring, and (B) no period of time prior to the date that is two (2) Business Days after Tenant receives a Tenant Delay Notice shall be included in the period of time charged to Tenant pursuant to such Tenant Delay Notice.</w:t>
      </w:r>
    </w:p>
    <w:p>
      <w:pPr>
        <w:spacing w:after="0" w:line="216" w:lineRule="exact"/>
        <w:rPr>
          <w:rFonts w:ascii="Arial" w:cs="Arial" w:eastAsia="Arial" w:hAnsi="Arial"/>
          <w:sz w:val="15"/>
          <w:szCs w:val="15"/>
          <w:color w:val="auto"/>
        </w:rPr>
      </w:pPr>
    </w:p>
    <w:p>
      <w:pPr>
        <w:jc w:val="both"/>
        <w:ind w:left="1220" w:right="1239" w:firstLine="1013"/>
        <w:spacing w:after="0" w:line="261" w:lineRule="auto"/>
        <w:tabs>
          <w:tab w:leader="none" w:pos="2592" w:val="left"/>
        </w:tabs>
        <w:numPr>
          <w:ilvl w:val="0"/>
          <w:numId w:val="59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Progress Payments”</w:t>
      </w:r>
      <w:r>
        <w:rPr>
          <w:rFonts w:ascii="Arial" w:cs="Arial" w:eastAsia="Arial" w:hAnsi="Arial"/>
          <w:sz w:val="15"/>
          <w:szCs w:val="15"/>
          <w:color w:val="auto"/>
        </w:rPr>
        <w:t xml:space="preserve"> shall mean the payments to be made by Tenant on account of Tenant’s Contribution as the Landlord’s Work is performed, in accordance with the provisions of </w:t>
      </w:r>
      <w:r>
        <w:rPr>
          <w:rFonts w:ascii="Arial" w:cs="Arial" w:eastAsia="Arial" w:hAnsi="Arial"/>
          <w:sz w:val="15"/>
          <w:szCs w:val="15"/>
          <w:b w:val="1"/>
          <w:bCs w:val="1"/>
          <w:color w:val="auto"/>
        </w:rPr>
        <w:t>Section 4.3(f)</w:t>
      </w:r>
      <w:r>
        <w:rPr>
          <w:rFonts w:ascii="Arial" w:cs="Arial" w:eastAsia="Arial" w:hAnsi="Arial"/>
          <w:sz w:val="15"/>
          <w:szCs w:val="15"/>
          <w:color w:val="auto"/>
        </w:rPr>
        <w:t>.</w:t>
      </w: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73" w:name="page674"/>
    <w:bookmarkEnd w:id="673"/>
    <w:p>
      <w:pPr>
        <w:jc w:val="both"/>
        <w:ind w:left="1220" w:right="1239" w:firstLine="1013"/>
        <w:spacing w:after="0" w:line="243" w:lineRule="auto"/>
        <w:tabs>
          <w:tab w:leader="none" w:pos="2592" w:val="left"/>
        </w:tabs>
        <w:numPr>
          <w:ilvl w:val="0"/>
          <w:numId w:val="60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Tenant’s Work</w:t>
      </w:r>
      <w:r>
        <w:rPr>
          <w:rFonts w:ascii="Arial" w:cs="Arial" w:eastAsia="Arial" w:hAnsi="Arial"/>
          <w:sz w:val="15"/>
          <w:szCs w:val="15"/>
          <w:color w:val="auto"/>
        </w:rPr>
        <w:t xml:space="preserve">” shall mean the installation and commissioning of laboratory and related equipment to be installed by Tenant, and the installation of trade fixtures, furniture, personal property, and any other improvements and alterations necessary or desired to prepare the Premises for initial occupancy of the Premises by Tenant, excepting only such alterations and improvements performed in connection with Landlord’s Work. Without limitation, Tenant’s Work shall include each item marked in the “tenant” column on the Base Building Work Matrix attached to this Lease as </w:t>
      </w:r>
      <w:r>
        <w:rPr>
          <w:rFonts w:ascii="Arial" w:cs="Arial" w:eastAsia="Arial" w:hAnsi="Arial"/>
          <w:sz w:val="15"/>
          <w:szCs w:val="15"/>
          <w:b w:val="1"/>
          <w:bCs w:val="1"/>
          <w:color w:val="auto"/>
        </w:rPr>
        <w:t>Exhibit D-2</w:t>
      </w:r>
      <w:r>
        <w:rPr>
          <w:rFonts w:ascii="Arial" w:cs="Arial" w:eastAsia="Arial" w:hAnsi="Arial"/>
          <w:sz w:val="15"/>
          <w:szCs w:val="15"/>
          <w:color w:val="auto"/>
        </w:rPr>
        <w:t>.</w:t>
      </w:r>
    </w:p>
    <w:p>
      <w:pPr>
        <w:spacing w:after="0" w:line="123" w:lineRule="exact"/>
        <w:rPr>
          <w:rFonts w:ascii="Arial" w:cs="Arial" w:eastAsia="Arial" w:hAnsi="Arial"/>
          <w:sz w:val="15"/>
          <w:szCs w:val="15"/>
          <w:color w:val="auto"/>
        </w:rPr>
      </w:pPr>
    </w:p>
    <w:p>
      <w:pPr>
        <w:jc w:val="both"/>
        <w:ind w:left="1220" w:right="1239" w:firstLine="1013"/>
        <w:spacing w:after="0" w:line="241" w:lineRule="auto"/>
        <w:tabs>
          <w:tab w:leader="none" w:pos="2592" w:val="left"/>
        </w:tabs>
        <w:numPr>
          <w:ilvl w:val="0"/>
          <w:numId w:val="600"/>
        </w:numPr>
        <w:rPr>
          <w:rFonts w:ascii="Arial" w:cs="Arial" w:eastAsia="Arial" w:hAnsi="Arial"/>
          <w:sz w:val="15"/>
          <w:szCs w:val="15"/>
          <w:color w:val="auto"/>
        </w:rPr>
      </w:pPr>
      <w:r>
        <w:rPr>
          <w:rFonts w:ascii="Arial" w:cs="Arial" w:eastAsia="Arial" w:hAnsi="Arial"/>
          <w:sz w:val="15"/>
          <w:szCs w:val="15"/>
          <w:b w:val="1"/>
          <w:bCs w:val="1"/>
          <w:color w:val="auto"/>
        </w:rPr>
        <w:t>“Test Fit Plans</w:t>
      </w:r>
      <w:r>
        <w:rPr>
          <w:rFonts w:ascii="Arial" w:cs="Arial" w:eastAsia="Arial" w:hAnsi="Arial"/>
          <w:sz w:val="15"/>
          <w:szCs w:val="15"/>
          <w:color w:val="auto"/>
        </w:rPr>
        <w:t>” means, collectively, (i) the preliminary test fit plans</w:t>
      </w:r>
      <w:r>
        <w:rPr>
          <w:rFonts w:ascii="Arial" w:cs="Arial" w:eastAsia="Arial" w:hAnsi="Arial"/>
          <w:sz w:val="15"/>
          <w:szCs w:val="15"/>
          <w:b w:val="1"/>
          <w:bCs w:val="1"/>
          <w:color w:val="auto"/>
        </w:rPr>
        <w:t xml:space="preserve"> </w:t>
      </w:r>
      <w:r>
        <w:rPr>
          <w:rFonts w:ascii="Arial" w:cs="Arial" w:eastAsia="Arial" w:hAnsi="Arial"/>
          <w:sz w:val="15"/>
          <w:szCs w:val="15"/>
          <w:color w:val="auto"/>
        </w:rPr>
        <w:t>showing the general layout of the Premises upon completion of the Landlord’s Work, prepared by the Architect</w:t>
      </w:r>
      <w:r>
        <w:rPr>
          <w:rFonts w:ascii="Arial" w:cs="Arial" w:eastAsia="Arial" w:hAnsi="Arial"/>
          <w:sz w:val="15"/>
          <w:szCs w:val="15"/>
          <w:b w:val="1"/>
          <w:bCs w:val="1"/>
          <w:color w:val="auto"/>
        </w:rPr>
        <w:t>,</w:t>
      </w:r>
      <w:r>
        <w:rPr>
          <w:rFonts w:ascii="Arial" w:cs="Arial" w:eastAsia="Arial" w:hAnsi="Arial"/>
          <w:sz w:val="15"/>
          <w:szCs w:val="15"/>
          <w:color w:val="auto"/>
        </w:rPr>
        <w:t xml:space="preserve"> (ii) the preliminary equipment list for the Landlord’s Work, and (iii) the conceptual budget for the Landlord’s Work, each as approved by both Landlord and Tenant in accordance with the provisions of this </w:t>
      </w:r>
      <w:r>
        <w:rPr>
          <w:rFonts w:ascii="Arial" w:cs="Arial" w:eastAsia="Arial" w:hAnsi="Arial"/>
          <w:sz w:val="15"/>
          <w:szCs w:val="15"/>
          <w:b w:val="1"/>
          <w:bCs w:val="1"/>
          <w:color w:val="auto"/>
        </w:rPr>
        <w:t>Article 4.</w:t>
      </w:r>
      <w:r>
        <w:rPr>
          <w:rFonts w:ascii="Arial" w:cs="Arial" w:eastAsia="Arial" w:hAnsi="Arial"/>
          <w:sz w:val="15"/>
          <w:szCs w:val="15"/>
          <w:color w:val="auto"/>
        </w:rPr>
        <w:t xml:space="preserve"> Without limitation, the Test Fit Plans shall designate which of the Flex Areas initially shall be constructed as Lab Areas and which of the Flex Areas initially shall be constructed as Office Areas.</w:t>
      </w:r>
    </w:p>
    <w:p>
      <w:pPr>
        <w:spacing w:after="0" w:line="133"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4.3. </w:t>
      </w:r>
      <w:r>
        <w:rPr>
          <w:rFonts w:ascii="Arial" w:cs="Arial" w:eastAsia="Arial" w:hAnsi="Arial"/>
          <w:sz w:val="15"/>
          <w:szCs w:val="15"/>
          <w:b w:val="1"/>
          <w:bCs w:val="1"/>
          <w:u w:val="single" w:color="auto"/>
          <w:color w:val="auto"/>
        </w:rPr>
        <w:t>Landlord’s Work; Plans and Specifications; Change Orders</w:t>
      </w:r>
      <w:r>
        <w:rPr>
          <w:rFonts w:ascii="Arial" w:cs="Arial" w:eastAsia="Arial" w:hAnsi="Arial"/>
          <w:sz w:val="15"/>
          <w:szCs w:val="15"/>
          <w:color w:val="auto"/>
        </w:rPr>
        <w:t>.</w:t>
      </w:r>
    </w:p>
    <w:p>
      <w:pPr>
        <w:spacing w:after="0" w:line="166" w:lineRule="exact"/>
        <w:rPr>
          <w:sz w:val="20"/>
          <w:szCs w:val="20"/>
          <w:color w:val="auto"/>
        </w:rPr>
      </w:pPr>
    </w:p>
    <w:p>
      <w:pPr>
        <w:jc w:val="both"/>
        <w:ind w:left="1220" w:right="1239" w:firstLine="1013"/>
        <w:spacing w:after="0" w:line="239" w:lineRule="auto"/>
        <w:tabs>
          <w:tab w:leader="none" w:pos="2592" w:val="left"/>
        </w:tabs>
        <w:numPr>
          <w:ilvl w:val="1"/>
          <w:numId w:val="601"/>
        </w:numPr>
        <w:rPr>
          <w:rFonts w:ascii="Arial" w:cs="Arial" w:eastAsia="Arial" w:hAnsi="Arial"/>
          <w:sz w:val="15"/>
          <w:szCs w:val="15"/>
          <w:color w:val="auto"/>
        </w:rPr>
      </w:pPr>
      <w:r>
        <w:rPr>
          <w:rFonts w:ascii="Arial" w:cs="Arial" w:eastAsia="Arial" w:hAnsi="Arial"/>
          <w:sz w:val="15"/>
          <w:szCs w:val="15"/>
          <w:color w:val="auto"/>
        </w:rPr>
        <w:t>Tenant has elected and Landlord has approved the selection of Jacobs as the Architect for Landlord’s Work. Tenant shall cooperate with Landlord, the Architect, and the Contractor in connection with the preparation of each of the Test Fit Plans, the Permit Set Plans, and the Construction Set Plans, and, promptly after request therefor, shall respond to requests for information and authorizations in connection therewith. Tenant shall reasonably cooperate with Landlord in order to establish the anticipated budget for Landlord’s Work prior to commencement of the design process and thereafter from time to time in connection with the design, acquisition, installation and construction of the Landlord’s Work.</w:t>
      </w:r>
    </w:p>
    <w:p>
      <w:pPr>
        <w:spacing w:after="0" w:line="139" w:lineRule="exact"/>
        <w:rPr>
          <w:rFonts w:ascii="Arial" w:cs="Arial" w:eastAsia="Arial" w:hAnsi="Arial"/>
          <w:sz w:val="15"/>
          <w:szCs w:val="15"/>
          <w:color w:val="auto"/>
        </w:rPr>
      </w:pPr>
    </w:p>
    <w:p>
      <w:pPr>
        <w:jc w:val="both"/>
        <w:ind w:left="1220" w:right="1239" w:firstLine="1013"/>
        <w:spacing w:after="0" w:line="237" w:lineRule="auto"/>
        <w:tabs>
          <w:tab w:leader="none" w:pos="2592" w:val="left"/>
        </w:tabs>
        <w:numPr>
          <w:ilvl w:val="1"/>
          <w:numId w:val="601"/>
        </w:numPr>
        <w:rPr>
          <w:rFonts w:ascii="Arial" w:cs="Arial" w:eastAsia="Arial" w:hAnsi="Arial"/>
          <w:sz w:val="15"/>
          <w:szCs w:val="15"/>
          <w:color w:val="auto"/>
        </w:rPr>
      </w:pPr>
      <w:r>
        <w:rPr>
          <w:rFonts w:ascii="Arial" w:cs="Arial" w:eastAsia="Arial" w:hAnsi="Arial"/>
          <w:sz w:val="15"/>
          <w:szCs w:val="15"/>
          <w:color w:val="auto"/>
        </w:rPr>
        <w:t>Landlord shall cause the proposed Test Fit Plans to be prepared and submitted to Tenant for its approval by not later than August 21, 2020 (as such date may be extended on a day-for-day basis for Tenant Delays and/or Unavoidable Delays, the “</w:t>
      </w:r>
      <w:r>
        <w:rPr>
          <w:rFonts w:ascii="Arial" w:cs="Arial" w:eastAsia="Arial" w:hAnsi="Arial"/>
          <w:sz w:val="15"/>
          <w:szCs w:val="15"/>
          <w:b w:val="1"/>
          <w:bCs w:val="1"/>
          <w:color w:val="auto"/>
        </w:rPr>
        <w:t>Proposed</w:t>
      </w:r>
      <w:r>
        <w:rPr>
          <w:rFonts w:ascii="Arial" w:cs="Arial" w:eastAsia="Arial" w:hAnsi="Arial"/>
          <w:sz w:val="15"/>
          <w:szCs w:val="15"/>
          <w:color w:val="auto"/>
        </w:rPr>
        <w:t xml:space="preserve"> </w:t>
      </w:r>
      <w:r>
        <w:rPr>
          <w:rFonts w:ascii="Arial" w:cs="Arial" w:eastAsia="Arial" w:hAnsi="Arial"/>
          <w:sz w:val="15"/>
          <w:szCs w:val="15"/>
          <w:b w:val="1"/>
          <w:bCs w:val="1"/>
          <w:color w:val="auto"/>
        </w:rPr>
        <w:t>Test Fit Plans Submission Date</w:t>
      </w:r>
      <w:r>
        <w:rPr>
          <w:rFonts w:ascii="Arial" w:cs="Arial" w:eastAsia="Arial" w:hAnsi="Arial"/>
          <w:sz w:val="15"/>
          <w:szCs w:val="15"/>
          <w:color w:val="auto"/>
        </w:rPr>
        <w:t>”). The approval by Tenant of the proposed Test Fit Plans</w:t>
      </w:r>
      <w:r>
        <w:rPr>
          <w:rFonts w:ascii="Arial" w:cs="Arial" w:eastAsia="Arial" w:hAnsi="Arial"/>
          <w:sz w:val="15"/>
          <w:szCs w:val="15"/>
          <w:b w:val="1"/>
          <w:bCs w:val="1"/>
          <w:color w:val="auto"/>
        </w:rPr>
        <w:t xml:space="preserve"> </w:t>
      </w:r>
      <w:r>
        <w:rPr>
          <w:rFonts w:ascii="Arial" w:cs="Arial" w:eastAsia="Arial" w:hAnsi="Arial"/>
          <w:sz w:val="15"/>
          <w:szCs w:val="15"/>
          <w:color w:val="auto"/>
        </w:rPr>
        <w:t>shall not be unreasonably withheld, conditioned or delayed, unless the proposed Test Fit Plans</w:t>
      </w:r>
    </w:p>
    <w:p>
      <w:pPr>
        <w:spacing w:after="0" w:line="3" w:lineRule="exact"/>
        <w:rPr>
          <w:rFonts w:ascii="Arial" w:cs="Arial" w:eastAsia="Arial" w:hAnsi="Arial"/>
          <w:sz w:val="15"/>
          <w:szCs w:val="15"/>
          <w:color w:val="auto"/>
        </w:rPr>
      </w:pPr>
    </w:p>
    <w:p>
      <w:pPr>
        <w:jc w:val="both"/>
        <w:ind w:left="1220" w:right="1239" w:firstLine="4"/>
        <w:spacing w:after="0" w:line="236" w:lineRule="auto"/>
        <w:tabs>
          <w:tab w:leader="none" w:pos="1429" w:val="left"/>
        </w:tabs>
        <w:numPr>
          <w:ilvl w:val="0"/>
          <w:numId w:val="602"/>
        </w:numPr>
        <w:rPr>
          <w:rFonts w:ascii="Arial" w:cs="Arial" w:eastAsia="Arial" w:hAnsi="Arial"/>
          <w:sz w:val="15"/>
          <w:szCs w:val="15"/>
          <w:color w:val="auto"/>
        </w:rPr>
      </w:pPr>
      <w:r>
        <w:rPr>
          <w:rFonts w:ascii="Arial" w:cs="Arial" w:eastAsia="Arial" w:hAnsi="Arial"/>
          <w:sz w:val="15"/>
          <w:szCs w:val="15"/>
          <w:color w:val="auto"/>
        </w:rPr>
        <w:t xml:space="preserve">are materially inconsistent with the Landlord’s Work Design Narrative attached hereto as </w:t>
      </w:r>
      <w:r>
        <w:rPr>
          <w:rFonts w:ascii="Arial" w:cs="Arial" w:eastAsia="Arial" w:hAnsi="Arial"/>
          <w:sz w:val="15"/>
          <w:szCs w:val="15"/>
          <w:b w:val="1"/>
          <w:bCs w:val="1"/>
          <w:color w:val="auto"/>
        </w:rPr>
        <w:t>Exhibit D-3</w:t>
      </w:r>
      <w:r>
        <w:rPr>
          <w:rFonts w:ascii="Arial" w:cs="Arial" w:eastAsia="Arial" w:hAnsi="Arial"/>
          <w:sz w:val="15"/>
          <w:szCs w:val="15"/>
          <w:color w:val="auto"/>
        </w:rPr>
        <w:t>, or (ii) would materially and adversely affect the use of the Premises by Tenant for</w:t>
      </w:r>
      <w:r>
        <w:rPr>
          <w:rFonts w:ascii="Arial" w:cs="Arial" w:eastAsia="Arial" w:hAnsi="Arial"/>
          <w:sz w:val="15"/>
          <w:szCs w:val="15"/>
          <w:b w:val="1"/>
          <w:bCs w:val="1"/>
          <w:color w:val="auto"/>
        </w:rPr>
        <w:t xml:space="preserve"> </w:t>
      </w:r>
      <w:r>
        <w:rPr>
          <w:rFonts w:ascii="Arial" w:cs="Arial" w:eastAsia="Arial" w:hAnsi="Arial"/>
          <w:sz w:val="15"/>
          <w:szCs w:val="15"/>
          <w:color w:val="auto"/>
        </w:rPr>
        <w:t>its intended business operations. Tenant shall approve or disapprove of each element of the proposed Test Fit Plans within ten (10) Business Days after receipt thereof, and if Tenant so disapproves Tenant shall specify the reason for disapproval in sufficient detail so that Landlord can attempt to make the necessary revisions to satisfy such objections). Landlord shall direct the Architect to revise the respective element of the proposed Test Fit Plans to address Tenant’s objections, if any, and to deliver the revised proposed Test Fit Plans to Tenant for its approval. Tenant shall advise Landlord of Tenant’s approval or disapproval of the revised proposed Test Fit Plans and specifications within five (5) Business Days after Landlord delivers same (which disapproval shall specify Tenant’s objections in sufficient detail so that Landlord can make the necessary revisions to satisfy such objections). Tenant and Landlord shall continue to follow the revision, delivery and notice of objections procedure and schedule set forth above until Tenant approves the proposed Test Fit Plans. The “</w:t>
      </w:r>
      <w:r>
        <w:rPr>
          <w:rFonts w:ascii="Arial" w:cs="Arial" w:eastAsia="Arial" w:hAnsi="Arial"/>
          <w:sz w:val="15"/>
          <w:szCs w:val="15"/>
          <w:b w:val="1"/>
          <w:bCs w:val="1"/>
          <w:color w:val="auto"/>
        </w:rPr>
        <w:t>Scheduled Test Fit Plans</w:t>
      </w:r>
      <w:r>
        <w:rPr>
          <w:rFonts w:ascii="Arial" w:cs="Arial" w:eastAsia="Arial" w:hAnsi="Arial"/>
          <w:sz w:val="15"/>
          <w:szCs w:val="15"/>
          <w:color w:val="auto"/>
        </w:rPr>
        <w:t xml:space="preserve"> </w:t>
      </w:r>
      <w:r>
        <w:rPr>
          <w:rFonts w:ascii="Arial" w:cs="Arial" w:eastAsia="Arial" w:hAnsi="Arial"/>
          <w:sz w:val="15"/>
          <w:szCs w:val="15"/>
          <w:b w:val="1"/>
          <w:bCs w:val="1"/>
          <w:color w:val="auto"/>
        </w:rPr>
        <w:t>Approval Date</w:t>
      </w:r>
      <w:r>
        <w:rPr>
          <w:rFonts w:ascii="Arial" w:cs="Arial" w:eastAsia="Arial" w:hAnsi="Arial"/>
          <w:sz w:val="15"/>
          <w:szCs w:val="15"/>
          <w:color w:val="auto"/>
        </w:rPr>
        <w:t>” shall mean September 4, 2020; provided, however, said date shall be extended</w:t>
      </w:r>
      <w:r>
        <w:rPr>
          <w:rFonts w:ascii="Arial" w:cs="Arial" w:eastAsia="Arial" w:hAnsi="Arial"/>
          <w:sz w:val="15"/>
          <w:szCs w:val="15"/>
          <w:b w:val="1"/>
          <w:bCs w:val="1"/>
          <w:color w:val="auto"/>
        </w:rPr>
        <w:t xml:space="preserve"> </w:t>
      </w:r>
      <w:r>
        <w:rPr>
          <w:rFonts w:ascii="Arial" w:cs="Arial" w:eastAsia="Arial" w:hAnsi="Arial"/>
          <w:sz w:val="15"/>
          <w:szCs w:val="15"/>
          <w:color w:val="auto"/>
        </w:rPr>
        <w:t>on a day-for-day basis for each day of Landlord Delay. The date on which Tenant approves the Test Fit Plans is referred to in this Lease as the “</w:t>
      </w:r>
      <w:r>
        <w:rPr>
          <w:rFonts w:ascii="Arial" w:cs="Arial" w:eastAsia="Arial" w:hAnsi="Arial"/>
          <w:sz w:val="15"/>
          <w:szCs w:val="15"/>
          <w:b w:val="1"/>
          <w:bCs w:val="1"/>
          <w:color w:val="auto"/>
        </w:rPr>
        <w:t>Test Fit Plans Approval Date</w:t>
      </w:r>
      <w:r>
        <w:rPr>
          <w:rFonts w:ascii="Arial" w:cs="Arial" w:eastAsia="Arial" w:hAnsi="Arial"/>
          <w:sz w:val="15"/>
          <w:szCs w:val="15"/>
          <w:color w:val="auto"/>
        </w:rPr>
        <w:t>.”</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674" w:name="page675"/>
    <w:bookmarkEnd w:id="674"/>
    <w:p>
      <w:pPr>
        <w:jc w:val="both"/>
        <w:ind w:left="1220" w:right="1239" w:firstLine="1013"/>
        <w:spacing w:after="0" w:line="237" w:lineRule="auto"/>
        <w:tabs>
          <w:tab w:leader="none" w:pos="2592" w:val="left"/>
        </w:tabs>
        <w:numPr>
          <w:ilvl w:val="0"/>
          <w:numId w:val="603"/>
        </w:numPr>
        <w:rPr>
          <w:rFonts w:ascii="Arial" w:cs="Arial" w:eastAsia="Arial" w:hAnsi="Arial"/>
          <w:sz w:val="15"/>
          <w:szCs w:val="15"/>
          <w:color w:val="auto"/>
        </w:rPr>
      </w:pPr>
      <w:r>
        <w:rPr>
          <w:rFonts w:ascii="Arial" w:cs="Arial" w:eastAsia="Arial" w:hAnsi="Arial"/>
          <w:sz w:val="15"/>
          <w:szCs w:val="15"/>
          <w:color w:val="auto"/>
        </w:rPr>
        <w:t>Landlord shall cause the proposed Budget to be prepared and submitted to Tenant for its approval by not later than November 16, 2020 (as such date may be extended on a day-for-day basis for Tenant Delays and/or Unavoidable Delays, the “</w:t>
      </w:r>
      <w:r>
        <w:rPr>
          <w:rFonts w:ascii="Arial" w:cs="Arial" w:eastAsia="Arial" w:hAnsi="Arial"/>
          <w:sz w:val="15"/>
          <w:szCs w:val="15"/>
          <w:b w:val="1"/>
          <w:bCs w:val="1"/>
          <w:color w:val="auto"/>
        </w:rPr>
        <w:t>Proposed Budget</w:t>
      </w:r>
      <w:r>
        <w:rPr>
          <w:rFonts w:ascii="Arial" w:cs="Arial" w:eastAsia="Arial" w:hAnsi="Arial"/>
          <w:sz w:val="15"/>
          <w:szCs w:val="15"/>
          <w:color w:val="auto"/>
        </w:rPr>
        <w:t xml:space="preserve"> </w:t>
      </w:r>
      <w:r>
        <w:rPr>
          <w:rFonts w:ascii="Arial" w:cs="Arial" w:eastAsia="Arial" w:hAnsi="Arial"/>
          <w:sz w:val="15"/>
          <w:szCs w:val="15"/>
          <w:b w:val="1"/>
          <w:bCs w:val="1"/>
          <w:color w:val="auto"/>
        </w:rPr>
        <w:t>Submission Date</w:t>
      </w:r>
      <w:r>
        <w:rPr>
          <w:rFonts w:ascii="Arial" w:cs="Arial" w:eastAsia="Arial" w:hAnsi="Arial"/>
          <w:sz w:val="15"/>
          <w:szCs w:val="15"/>
          <w:color w:val="auto"/>
        </w:rPr>
        <w:t>”). The approval by Tenant of the proposed Budget shall not be unreasonably</w:t>
      </w:r>
      <w:r>
        <w:rPr>
          <w:rFonts w:ascii="Arial" w:cs="Arial" w:eastAsia="Arial" w:hAnsi="Arial"/>
          <w:sz w:val="15"/>
          <w:szCs w:val="15"/>
          <w:b w:val="1"/>
          <w:bCs w:val="1"/>
          <w:color w:val="auto"/>
        </w:rPr>
        <w:t xml:space="preserve"> </w:t>
      </w:r>
      <w:r>
        <w:rPr>
          <w:rFonts w:ascii="Arial" w:cs="Arial" w:eastAsia="Arial" w:hAnsi="Arial"/>
          <w:sz w:val="15"/>
          <w:szCs w:val="15"/>
          <w:color w:val="auto"/>
        </w:rPr>
        <w:t>withheld, conditioned or delayed, unless the proposed Budget is materially inconsistent with the conceptual budget included with the Test Fit Plans. Tenant shall approve or disapprove of the proposed Budget within ten (10) Business Days after receipt thereof, and if Tenant so disapproves Tenant shall specify the reason for disapproval in sufficient detail so that Landlord can attempt to make the necessary revisions to satisfy such objections. Landlord, Tenant, the Contractor, and the Architect shall cooperate (including any required revisions to the plans and/or any value engineering) to address Tenant’s objections, if any, and to cause the proposed Budget to be revised until Tenant approves the proposed Budget. The “</w:t>
      </w:r>
      <w:r>
        <w:rPr>
          <w:rFonts w:ascii="Arial" w:cs="Arial" w:eastAsia="Arial" w:hAnsi="Arial"/>
          <w:sz w:val="15"/>
          <w:szCs w:val="15"/>
          <w:b w:val="1"/>
          <w:bCs w:val="1"/>
          <w:color w:val="auto"/>
        </w:rPr>
        <w:t>Scheduled Budget</w:t>
      </w:r>
      <w:r>
        <w:rPr>
          <w:rFonts w:ascii="Arial" w:cs="Arial" w:eastAsia="Arial" w:hAnsi="Arial"/>
          <w:sz w:val="15"/>
          <w:szCs w:val="15"/>
          <w:color w:val="auto"/>
        </w:rPr>
        <w:t xml:space="preserve"> </w:t>
      </w:r>
      <w:r>
        <w:rPr>
          <w:rFonts w:ascii="Arial" w:cs="Arial" w:eastAsia="Arial" w:hAnsi="Arial"/>
          <w:sz w:val="15"/>
          <w:szCs w:val="15"/>
          <w:b w:val="1"/>
          <w:bCs w:val="1"/>
          <w:color w:val="auto"/>
        </w:rPr>
        <w:t>Approval Date</w:t>
      </w:r>
      <w:r>
        <w:rPr>
          <w:rFonts w:ascii="Arial" w:cs="Arial" w:eastAsia="Arial" w:hAnsi="Arial"/>
          <w:sz w:val="15"/>
          <w:szCs w:val="15"/>
          <w:color w:val="auto"/>
        </w:rPr>
        <w:t>” shall mean December 2, 2020; provided, however, said date shall be extended</w:t>
      </w:r>
      <w:r>
        <w:rPr>
          <w:rFonts w:ascii="Arial" w:cs="Arial" w:eastAsia="Arial" w:hAnsi="Arial"/>
          <w:sz w:val="15"/>
          <w:szCs w:val="15"/>
          <w:b w:val="1"/>
          <w:bCs w:val="1"/>
          <w:color w:val="auto"/>
        </w:rPr>
        <w:t xml:space="preserve"> </w:t>
      </w:r>
      <w:r>
        <w:rPr>
          <w:rFonts w:ascii="Arial" w:cs="Arial" w:eastAsia="Arial" w:hAnsi="Arial"/>
          <w:sz w:val="15"/>
          <w:szCs w:val="15"/>
          <w:color w:val="auto"/>
        </w:rPr>
        <w:t>on a day-for-day basis for each day of Landlord Delay. The date on which Tenant approves the Budget is referred to in this Lease as the “</w:t>
      </w:r>
      <w:r>
        <w:rPr>
          <w:rFonts w:ascii="Arial" w:cs="Arial" w:eastAsia="Arial" w:hAnsi="Arial"/>
          <w:sz w:val="15"/>
          <w:szCs w:val="15"/>
          <w:b w:val="1"/>
          <w:bCs w:val="1"/>
          <w:color w:val="auto"/>
        </w:rPr>
        <w:t>Budget Approval Date</w:t>
      </w:r>
      <w:r>
        <w:rPr>
          <w:rFonts w:ascii="Arial" w:cs="Arial" w:eastAsia="Arial" w:hAnsi="Arial"/>
          <w:sz w:val="15"/>
          <w:szCs w:val="15"/>
          <w:color w:val="auto"/>
        </w:rPr>
        <w:t>.” After the initial approval thereof by Tenant, as the design and performance of Landlord’s Work progresses, Landlord may submit proposed revisions to and updates of the Budget to Tenant for its approval, which approval shall not be unreasonably withheld, conditioned, or delayed and, if applicable, after approval thereof by Tenant, the revised budget shall be considered to be the “</w:t>
      </w:r>
      <w:r>
        <w:rPr>
          <w:rFonts w:ascii="Arial" w:cs="Arial" w:eastAsia="Arial" w:hAnsi="Arial"/>
          <w:sz w:val="15"/>
          <w:szCs w:val="15"/>
          <w:b w:val="1"/>
          <w:bCs w:val="1"/>
          <w:color w:val="auto"/>
        </w:rPr>
        <w:t>Budget.</w:t>
      </w:r>
      <w:r>
        <w:rPr>
          <w:rFonts w:ascii="Arial" w:cs="Arial" w:eastAsia="Arial" w:hAnsi="Arial"/>
          <w:sz w:val="15"/>
          <w:szCs w:val="15"/>
          <w:color w:val="auto"/>
        </w:rPr>
        <w:t>”</w:t>
      </w:r>
    </w:p>
    <w:p>
      <w:pPr>
        <w:spacing w:after="0" w:line="127" w:lineRule="exact"/>
        <w:rPr>
          <w:rFonts w:ascii="Arial" w:cs="Arial" w:eastAsia="Arial" w:hAnsi="Arial"/>
          <w:sz w:val="15"/>
          <w:szCs w:val="15"/>
          <w:color w:val="auto"/>
        </w:rPr>
      </w:pPr>
    </w:p>
    <w:p>
      <w:pPr>
        <w:jc w:val="both"/>
        <w:ind w:left="1220" w:right="1239" w:firstLine="1013"/>
        <w:spacing w:after="0" w:line="236" w:lineRule="auto"/>
        <w:tabs>
          <w:tab w:leader="none" w:pos="2592" w:val="left"/>
        </w:tabs>
        <w:numPr>
          <w:ilvl w:val="0"/>
          <w:numId w:val="603"/>
        </w:numPr>
        <w:rPr>
          <w:rFonts w:ascii="Arial" w:cs="Arial" w:eastAsia="Arial" w:hAnsi="Arial"/>
          <w:sz w:val="15"/>
          <w:szCs w:val="15"/>
          <w:color w:val="auto"/>
        </w:rPr>
      </w:pPr>
      <w:r>
        <w:rPr>
          <w:rFonts w:ascii="Arial" w:cs="Arial" w:eastAsia="Arial" w:hAnsi="Arial"/>
          <w:sz w:val="15"/>
          <w:szCs w:val="15"/>
          <w:color w:val="auto"/>
        </w:rPr>
        <w:t>Landlord shall cause the proposed Permit Set Plans to be prepared and submitted to Tenant for its approval by not later than March 1, 2021 (as such date may be extended on a day-for-day basis for Tenant Delays and/or Unavoidable Delays, the “</w:t>
      </w:r>
      <w:r>
        <w:rPr>
          <w:rFonts w:ascii="Arial" w:cs="Arial" w:eastAsia="Arial" w:hAnsi="Arial"/>
          <w:sz w:val="15"/>
          <w:szCs w:val="15"/>
          <w:b w:val="1"/>
          <w:bCs w:val="1"/>
          <w:color w:val="auto"/>
        </w:rPr>
        <w:t>Proposed</w:t>
      </w:r>
      <w:r>
        <w:rPr>
          <w:rFonts w:ascii="Arial" w:cs="Arial" w:eastAsia="Arial" w:hAnsi="Arial"/>
          <w:sz w:val="15"/>
          <w:szCs w:val="15"/>
          <w:color w:val="auto"/>
        </w:rPr>
        <w:t xml:space="preserve"> </w:t>
      </w:r>
      <w:r>
        <w:rPr>
          <w:rFonts w:ascii="Arial" w:cs="Arial" w:eastAsia="Arial" w:hAnsi="Arial"/>
          <w:sz w:val="15"/>
          <w:szCs w:val="15"/>
          <w:b w:val="1"/>
          <w:bCs w:val="1"/>
          <w:color w:val="auto"/>
        </w:rPr>
        <w:t>Permit Set Plans Submission Date</w:t>
      </w:r>
      <w:r>
        <w:rPr>
          <w:rFonts w:ascii="Arial" w:cs="Arial" w:eastAsia="Arial" w:hAnsi="Arial"/>
          <w:sz w:val="15"/>
          <w:szCs w:val="15"/>
          <w:color w:val="auto"/>
        </w:rPr>
        <w:t>”). The approval by Tenant of the proposed Permit Set</w:t>
      </w:r>
      <w:r>
        <w:rPr>
          <w:rFonts w:ascii="Arial" w:cs="Arial" w:eastAsia="Arial" w:hAnsi="Arial"/>
          <w:sz w:val="15"/>
          <w:szCs w:val="15"/>
          <w:b w:val="1"/>
          <w:bCs w:val="1"/>
          <w:color w:val="auto"/>
        </w:rPr>
        <w:t xml:space="preserve"> </w:t>
      </w:r>
      <w:r>
        <w:rPr>
          <w:rFonts w:ascii="Arial" w:cs="Arial" w:eastAsia="Arial" w:hAnsi="Arial"/>
          <w:sz w:val="15"/>
          <w:szCs w:val="15"/>
          <w:color w:val="auto"/>
        </w:rPr>
        <w:t>Plans shall not be unreasonably withheld, conditioned or delayed, unless the proposed Permit Set Plans (i) are materially inconsistent with the Test Fit Plans, or (ii) would materially and adversely affect the use of the Premises by Tenant for its intended business operations. Tenant shall approve or disapprove of each element of the proposed Permit Set Plans within ten (10) Business Days after receipt thereof, and if Tenant so disapproves Tenant shall specify the reason for disapproval in sufficient detail so that Landlord can attempt to make the necessary revisions to satisfy such objections). Landlord shall direct the Architect to revise the respective element of the proposed Permit Set Plans to address Tenant’s objections, if any, and to deliver the revised proposed Permit Set Plans to Tenant for its approval. Tenant shall advise Landlord of Tenant’s approval or disapproval of the revised proposed Permit Set Plans and specifications within five (5) Business Days after Landlord delivers same (which disapproval shall specify Tenant’s objections in sufficient detail so that Landlord can make the necessary revisions to satisfy such objections). Tenant and Landlord shall continue to follow the revision, delivery and notice of objections procedure and schedule set forth above until Tenant approves the proposed Permit Set Plans. The “</w:t>
      </w:r>
      <w:r>
        <w:rPr>
          <w:rFonts w:ascii="Arial" w:cs="Arial" w:eastAsia="Arial" w:hAnsi="Arial"/>
          <w:sz w:val="15"/>
          <w:szCs w:val="15"/>
          <w:b w:val="1"/>
          <w:bCs w:val="1"/>
          <w:color w:val="auto"/>
        </w:rPr>
        <w:t>Scheduled Permit Set Plans Approval Date</w:t>
      </w:r>
      <w:r>
        <w:rPr>
          <w:rFonts w:ascii="Arial" w:cs="Arial" w:eastAsia="Arial" w:hAnsi="Arial"/>
          <w:sz w:val="15"/>
          <w:szCs w:val="15"/>
          <w:color w:val="auto"/>
        </w:rPr>
        <w:t>” shall mean March 15, 2021; provided, however, said date shall be extended on a day-for-day basis for each day of Landlord Delay. The date on which Tenant approves the Permit Set Plans is referred to in this Lease as the “</w:t>
      </w:r>
      <w:r>
        <w:rPr>
          <w:rFonts w:ascii="Arial" w:cs="Arial" w:eastAsia="Arial" w:hAnsi="Arial"/>
          <w:sz w:val="15"/>
          <w:szCs w:val="15"/>
          <w:b w:val="1"/>
          <w:bCs w:val="1"/>
          <w:color w:val="auto"/>
        </w:rPr>
        <w:t>Permit Set Plans Approval Date</w:t>
      </w:r>
      <w:r>
        <w:rPr>
          <w:rFonts w:ascii="Arial" w:cs="Arial" w:eastAsia="Arial" w:hAnsi="Arial"/>
          <w:sz w:val="15"/>
          <w:szCs w:val="15"/>
          <w:color w:val="auto"/>
        </w:rPr>
        <w:t>.”</w:t>
      </w:r>
    </w:p>
    <w:p>
      <w:pPr>
        <w:spacing w:after="0" w:line="137"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03"/>
        </w:numPr>
        <w:rPr>
          <w:rFonts w:ascii="Arial" w:cs="Arial" w:eastAsia="Arial" w:hAnsi="Arial"/>
          <w:sz w:val="15"/>
          <w:szCs w:val="15"/>
          <w:color w:val="auto"/>
        </w:rPr>
      </w:pPr>
      <w:r>
        <w:rPr>
          <w:rFonts w:ascii="Arial" w:cs="Arial" w:eastAsia="Arial" w:hAnsi="Arial"/>
          <w:sz w:val="15"/>
          <w:szCs w:val="15"/>
          <w:color w:val="auto"/>
        </w:rPr>
        <w:t>Landlord shall cause the proposed Construction Set Plans to be prepared and submitted to Tenant for its approval by not later than May 26, 2021 (as such date may be extended on a day-for-day basis for Tenant Delays and/or Unavoidable Delays, the “</w:t>
      </w:r>
      <w:r>
        <w:rPr>
          <w:rFonts w:ascii="Arial" w:cs="Arial" w:eastAsia="Arial" w:hAnsi="Arial"/>
          <w:sz w:val="15"/>
          <w:szCs w:val="15"/>
          <w:b w:val="1"/>
          <w:bCs w:val="1"/>
          <w:color w:val="auto"/>
        </w:rPr>
        <w:t>Proposed</w:t>
      </w:r>
      <w:r>
        <w:rPr>
          <w:rFonts w:ascii="Arial" w:cs="Arial" w:eastAsia="Arial" w:hAnsi="Arial"/>
          <w:sz w:val="15"/>
          <w:szCs w:val="15"/>
          <w:color w:val="auto"/>
        </w:rPr>
        <w:t xml:space="preserve"> </w:t>
      </w:r>
      <w:r>
        <w:rPr>
          <w:rFonts w:ascii="Arial" w:cs="Arial" w:eastAsia="Arial" w:hAnsi="Arial"/>
          <w:sz w:val="15"/>
          <w:szCs w:val="15"/>
          <w:b w:val="1"/>
          <w:bCs w:val="1"/>
          <w:color w:val="auto"/>
        </w:rPr>
        <w:t>Construction Set Plans Submission Date</w:t>
      </w:r>
      <w:r>
        <w:rPr>
          <w:rFonts w:ascii="Arial" w:cs="Arial" w:eastAsia="Arial" w:hAnsi="Arial"/>
          <w:sz w:val="15"/>
          <w:szCs w:val="15"/>
          <w:color w:val="auto"/>
        </w:rPr>
        <w:t>”). The approval by Tenant of the proposed</w:t>
      </w:r>
      <w:r>
        <w:rPr>
          <w:rFonts w:ascii="Arial" w:cs="Arial" w:eastAsia="Arial" w:hAnsi="Arial"/>
          <w:sz w:val="15"/>
          <w:szCs w:val="15"/>
          <w:b w:val="1"/>
          <w:bCs w:val="1"/>
          <w:color w:val="auto"/>
        </w:rPr>
        <w:t xml:space="preserve"> </w:t>
      </w:r>
      <w:r>
        <w:rPr>
          <w:rFonts w:ascii="Arial" w:cs="Arial" w:eastAsia="Arial" w:hAnsi="Arial"/>
          <w:sz w:val="15"/>
          <w:szCs w:val="15"/>
          <w:color w:val="auto"/>
        </w:rPr>
        <w:t>Construction Set Plans shall not be unreasonably withheld, conditioned or delayed, unless the proposed Construction Set Plans (i) are materially inconsistent with the Permit Set Plans, or (ii) would materially and adversely affect the use of the Premises by Tenant for its intended business operations. Tenant shall approve or disapprove of each element of the proposed Construction</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75" w:name="page676"/>
    <w:bookmarkEnd w:id="675"/>
    <w:p>
      <w:pPr>
        <w:jc w:val="both"/>
        <w:ind w:left="1220" w:right="1239"/>
        <w:spacing w:after="0"/>
        <w:rPr>
          <w:sz w:val="20"/>
          <w:szCs w:val="20"/>
          <w:color w:val="auto"/>
        </w:rPr>
      </w:pPr>
      <w:r>
        <w:rPr>
          <w:rFonts w:ascii="Arial" w:cs="Arial" w:eastAsia="Arial" w:hAnsi="Arial"/>
          <w:sz w:val="15"/>
          <w:szCs w:val="15"/>
          <w:color w:val="auto"/>
        </w:rPr>
        <w:t>Set Plans within ten (10) Business Days after receipt thereof, and if Tenant so disapproves Tenant shall specify the reason for disapproval in sufficient detail so that Landlord can attempt to make the necessary revisions to satisfy such objections). Landlord shall direct the Architect to revise the respective element of the proposed Construction Set Plans to address Tenant’s objections, if any, and to deliver the revised proposed Construction Set Plans to Tenant for its approval. Tenant shall advise Landlord of Tenant’s approval or disapproval of the revised proposed Construction Set Plans within five (5) Business Days after Landlord delivers same (which disapproval shall specify Tenant’s objections in sufficient detail so that Landlord can make the necessary revisions to satisfy such objections). Tenant and Landlord shall continue to follow the revision, delivery and notice of objections procedure and schedule set forth above until Tenant approves the proposed Construction Set Plans. The “</w:t>
      </w:r>
      <w:r>
        <w:rPr>
          <w:rFonts w:ascii="Arial" w:cs="Arial" w:eastAsia="Arial" w:hAnsi="Arial"/>
          <w:sz w:val="15"/>
          <w:szCs w:val="15"/>
          <w:b w:val="1"/>
          <w:bCs w:val="1"/>
          <w:color w:val="auto"/>
        </w:rPr>
        <w:t>Scheduled Construction Set</w:t>
      </w:r>
      <w:r>
        <w:rPr>
          <w:rFonts w:ascii="Arial" w:cs="Arial" w:eastAsia="Arial" w:hAnsi="Arial"/>
          <w:sz w:val="15"/>
          <w:szCs w:val="15"/>
          <w:color w:val="auto"/>
        </w:rPr>
        <w:t xml:space="preserve"> </w:t>
      </w:r>
      <w:r>
        <w:rPr>
          <w:rFonts w:ascii="Arial" w:cs="Arial" w:eastAsia="Arial" w:hAnsi="Arial"/>
          <w:sz w:val="15"/>
          <w:szCs w:val="15"/>
          <w:b w:val="1"/>
          <w:bCs w:val="1"/>
          <w:color w:val="auto"/>
        </w:rPr>
        <w:t>Plans Approval Date</w:t>
      </w:r>
      <w:r>
        <w:rPr>
          <w:rFonts w:ascii="Arial" w:cs="Arial" w:eastAsia="Arial" w:hAnsi="Arial"/>
          <w:sz w:val="15"/>
          <w:szCs w:val="15"/>
          <w:color w:val="auto"/>
        </w:rPr>
        <w:t>” shall mean June 10, 2021; provided, however, said date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extended on a day-for-day basis for each day of Landlord Delay. The date on which Tenant approves the Construction Set Plans is referred to in this Lease as the “</w:t>
      </w:r>
      <w:r>
        <w:rPr>
          <w:rFonts w:ascii="Arial" w:cs="Arial" w:eastAsia="Arial" w:hAnsi="Arial"/>
          <w:sz w:val="15"/>
          <w:szCs w:val="15"/>
          <w:b w:val="1"/>
          <w:bCs w:val="1"/>
          <w:color w:val="auto"/>
        </w:rPr>
        <w:t>Construction Set</w:t>
      </w:r>
      <w:r>
        <w:rPr>
          <w:rFonts w:ascii="Arial" w:cs="Arial" w:eastAsia="Arial" w:hAnsi="Arial"/>
          <w:sz w:val="15"/>
          <w:szCs w:val="15"/>
          <w:color w:val="auto"/>
        </w:rPr>
        <w:t xml:space="preserve"> </w:t>
      </w:r>
      <w:r>
        <w:rPr>
          <w:rFonts w:ascii="Arial" w:cs="Arial" w:eastAsia="Arial" w:hAnsi="Arial"/>
          <w:sz w:val="15"/>
          <w:szCs w:val="15"/>
          <w:b w:val="1"/>
          <w:bCs w:val="1"/>
          <w:color w:val="auto"/>
        </w:rPr>
        <w:t>Plans Approval Date</w:t>
      </w:r>
      <w:r>
        <w:rPr>
          <w:rFonts w:ascii="Arial" w:cs="Arial" w:eastAsia="Arial" w:hAnsi="Arial"/>
          <w:sz w:val="15"/>
          <w:szCs w:val="15"/>
          <w:color w:val="auto"/>
        </w:rPr>
        <w:t>.”</w:t>
      </w:r>
    </w:p>
    <w:p>
      <w:pPr>
        <w:spacing w:after="0" w:line="274" w:lineRule="exact"/>
        <w:rPr>
          <w:sz w:val="20"/>
          <w:szCs w:val="20"/>
          <w:color w:val="auto"/>
        </w:rPr>
      </w:pPr>
    </w:p>
    <w:p>
      <w:pPr>
        <w:jc w:val="both"/>
        <w:ind w:left="1220" w:right="1239" w:firstLine="1013"/>
        <w:spacing w:after="0"/>
        <w:tabs>
          <w:tab w:leader="none" w:pos="2592" w:val="left"/>
        </w:tabs>
        <w:numPr>
          <w:ilvl w:val="0"/>
          <w:numId w:val="604"/>
        </w:numPr>
        <w:rPr>
          <w:rFonts w:ascii="Arial" w:cs="Arial" w:eastAsia="Arial" w:hAnsi="Arial"/>
          <w:sz w:val="15"/>
          <w:szCs w:val="15"/>
          <w:color w:val="auto"/>
        </w:rPr>
      </w:pPr>
      <w:r>
        <w:rPr>
          <w:rFonts w:ascii="Arial" w:cs="Arial" w:eastAsia="Arial" w:hAnsi="Arial"/>
          <w:sz w:val="15"/>
          <w:szCs w:val="15"/>
          <w:color w:val="auto"/>
        </w:rPr>
        <w:t xml:space="preserve">Subject to and in accordance with the provisions of this </w:t>
      </w:r>
      <w:r>
        <w:rPr>
          <w:rFonts w:ascii="Arial" w:cs="Arial" w:eastAsia="Arial" w:hAnsi="Arial"/>
          <w:sz w:val="15"/>
          <w:szCs w:val="15"/>
          <w:b w:val="1"/>
          <w:bCs w:val="1"/>
          <w:color w:val="auto"/>
        </w:rPr>
        <w:t>Article 4</w:t>
      </w:r>
      <w:r>
        <w:rPr>
          <w:rFonts w:ascii="Arial" w:cs="Arial" w:eastAsia="Arial" w:hAnsi="Arial"/>
          <w:sz w:val="15"/>
          <w:szCs w:val="15"/>
          <w:color w:val="auto"/>
        </w:rPr>
        <w:t xml:space="preserve">, Landlord shall provide Tenant with a turnkey construction of the Premises by performing the Landlord’s Work substantially in accordance with the Approved Plans; provided, however, (i) in no event shall Landlord be obligated to perform any work or alterations which are not shown on the Approved Plans or the Base Building Plans; and (ii) in no event shall Landlord be obligated to expend an amount in excess of the Landlord’s Contribution on account of the Landlord’s Work. Landlord’s Contribution shall be applied toward all of the Landlord’s Work Costs. If, from time to time, Landlord determines in its good faith reasonable discretion (based on the Budget and requisitions submitted by the Contractor for the Landlord’s Work) that the Landlord’s Work Costs will exceed the amount of the Landlord’s Contribution, then Tenant shall pay Tenant’s Progress Payments on account of Tenant’s Contribution to Landlord, in accordance with the provisions of this </w:t>
      </w:r>
      <w:r>
        <w:rPr>
          <w:rFonts w:ascii="Arial" w:cs="Arial" w:eastAsia="Arial" w:hAnsi="Arial"/>
          <w:sz w:val="15"/>
          <w:szCs w:val="15"/>
          <w:b w:val="1"/>
          <w:bCs w:val="1"/>
          <w:color w:val="auto"/>
        </w:rPr>
        <w:t>Section 4.3</w:t>
      </w:r>
      <w:r>
        <w:rPr>
          <w:rFonts w:ascii="Arial" w:cs="Arial" w:eastAsia="Arial" w:hAnsi="Arial"/>
          <w:sz w:val="15"/>
          <w:szCs w:val="15"/>
          <w:color w:val="auto"/>
        </w:rPr>
        <w:t>. Tenant shall make Tenant’s Progress Payments on account of Tenant’s Contribution to Landlord from time-to-time as the Landlord’s Work progresses, concurrent with the performance of Landlord’s Work and the payment by Landlord of the requisitions therefor to the Contractor. The amount of such Tenant’s Progress Payments shall take into account any holdbacks and contingency amounts pursuant to the contract between Landlord and the Contractor. Each Tenant’s Progress Payment shall be paid by Tenant within twenty-five (25) days after submission by Landlord of the requisition therefor. Each requisition submitted to Tenant shall include copies of the respective requisition submitted by the Contractor, together with the supporting documents and information submitted by the Contractor in connection therewith. Each of Tenant’s Progress Payments shall be in an amount equal to the applicable aggregate amount of Landlord’s Work Costs set forth in the requisition multiplied by a fraction, the numerator of which is the amount of Tenant’s Contribution, and the denominator of which is the sum of the total amount of the Landlord’s Contribution plus the total amount of the Tenant’s Contribution, provided that in no event shall such fraction be greater than one. The final Tenant’s Progress Payment shall be paid to Landlord upon the completion of Landlord’s Work and the final determination of the Landlord’s Work Costs, not later than twenty-five (25) days after submission by Landlord of a requisition therefor. Said final requisition from Landlord shall include copies of the respective requisition submitted by the Contractor, together with the supporting documents and information submitted by the Contractor in connection therewith, and a reconciliation of all additive and deductive changes in Landlord’s Work Costs. In addition, upon request of Tenant, Landlord will provide Tenant with access to customary documentation substantiating the application of Landlord’s Contribution and Tenant’s Contribution, as well as customary documentation substantiating Landlord’s Work Costs, including paid bills, invoices, purchase orders or other customary documentation sufficient to substantiate the same. Tenant shall not be entitled to any payment or a credit for any portion of the Landlord’s Contribution that is not used for the performance of</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76" w:name="page677"/>
    <w:bookmarkEnd w:id="676"/>
    <w:p>
      <w:pPr>
        <w:jc w:val="both"/>
        <w:ind w:left="1220" w:right="1239"/>
        <w:spacing w:after="0"/>
        <w:rPr>
          <w:sz w:val="20"/>
          <w:szCs w:val="20"/>
          <w:color w:val="auto"/>
        </w:rPr>
      </w:pPr>
      <w:r>
        <w:rPr>
          <w:rFonts w:ascii="Arial" w:cs="Arial" w:eastAsia="Arial" w:hAnsi="Arial"/>
          <w:sz w:val="15"/>
          <w:szCs w:val="15"/>
          <w:color w:val="auto"/>
        </w:rPr>
        <w:t xml:space="preserve">Landlord’s Work. If Tenant fails to timely pay to Landlord any of Tenant’s Progress Payments when due in accordance with the provisions of this </w:t>
      </w:r>
      <w:r>
        <w:rPr>
          <w:rFonts w:ascii="Arial" w:cs="Arial" w:eastAsia="Arial" w:hAnsi="Arial"/>
          <w:sz w:val="15"/>
          <w:szCs w:val="15"/>
          <w:b w:val="1"/>
          <w:bCs w:val="1"/>
          <w:color w:val="auto"/>
        </w:rPr>
        <w:t>Section 4.3(f)</w:t>
      </w:r>
      <w:r>
        <w:rPr>
          <w:rFonts w:ascii="Arial" w:cs="Arial" w:eastAsia="Arial" w:hAnsi="Arial"/>
          <w:sz w:val="15"/>
          <w:szCs w:val="15"/>
          <w:color w:val="auto"/>
        </w:rPr>
        <w:t xml:space="preserve">, and such failure remains uncured for thirty (30) days after notice thereof from Landlord then, notwithstanding any provision contain in the </w:t>
      </w:r>
      <w:r>
        <w:rPr>
          <w:rFonts w:ascii="Arial" w:cs="Arial" w:eastAsia="Arial" w:hAnsi="Arial"/>
          <w:sz w:val="15"/>
          <w:szCs w:val="15"/>
          <w:b w:val="1"/>
          <w:bCs w:val="1"/>
          <w:color w:val="auto"/>
        </w:rPr>
        <w:t>Article 4</w:t>
      </w:r>
      <w:r>
        <w:rPr>
          <w:rFonts w:ascii="Arial" w:cs="Arial" w:eastAsia="Arial" w:hAnsi="Arial"/>
          <w:sz w:val="15"/>
          <w:szCs w:val="15"/>
          <w:color w:val="auto"/>
        </w:rPr>
        <w:t xml:space="preserve"> to the contrary, (i) Landlord may elect to cease performing the Landlord’s Work, and Landlord shall be relieved and discharged of any further obligation to proceed with the performance and/or completion of the Landlord’s Work, (ii) such failure shall constitute a Tenant Delay, and (iii) Landlord shall have all rights and remedies afforded to Landlord under this Lease as a result of a failure by Tenant to pay Additional Rent when due and payable.</w:t>
      </w:r>
    </w:p>
    <w:p>
      <w:pPr>
        <w:spacing w:after="0" w:line="302" w:lineRule="exact"/>
        <w:rPr>
          <w:sz w:val="20"/>
          <w:szCs w:val="20"/>
          <w:color w:val="auto"/>
        </w:rPr>
      </w:pPr>
    </w:p>
    <w:p>
      <w:pPr>
        <w:jc w:val="both"/>
        <w:ind w:left="1220" w:right="1239" w:firstLine="1013"/>
        <w:spacing w:after="0" w:line="237" w:lineRule="auto"/>
        <w:tabs>
          <w:tab w:leader="none" w:pos="2592" w:val="left"/>
        </w:tabs>
        <w:numPr>
          <w:ilvl w:val="0"/>
          <w:numId w:val="605"/>
        </w:numPr>
        <w:rPr>
          <w:rFonts w:ascii="Arial" w:cs="Arial" w:eastAsia="Arial" w:hAnsi="Arial"/>
          <w:sz w:val="15"/>
          <w:szCs w:val="15"/>
          <w:color w:val="auto"/>
        </w:rPr>
      </w:pPr>
      <w:r>
        <w:rPr>
          <w:rFonts w:ascii="Arial" w:cs="Arial" w:eastAsia="Arial" w:hAnsi="Arial"/>
          <w:sz w:val="15"/>
          <w:szCs w:val="15"/>
          <w:color w:val="auto"/>
        </w:rPr>
        <w:t>If the anticipated Landlord’s Work Costs exceed the Landlord’s Initial Contribution Amount, then upon the request of Tenant, the amount of Landlord’s Contribution may be increased by an amount of up to the Landlord’s Additional Contribution Amount. Tenant shall notify Landlord whether Tenant has elected to increase the amount of Landlord’s Contribution as aforesaid and the amount of said increase prior to the commencement of Landlord’s Work. If Tenant so elects, then Tenant shall pay to Landlord, during the Initial Term, as additional Fixed Rent, an amount equal to the Landlord’s Additional Contribution Amount so elected by Tenant and applied to Landlord’s Work Costs, together with interest thereon at a rate of ten percent (10%) per annum, which payments on account of the Landlord’s Additional Contribution, together with such interest, shall be amortized on a straight-line basis over the Initial Term and shall be payable in equally monthly installments concurrent with the monthly payments of Fixed Rent payable under this Lease during the Initial Term.</w:t>
      </w:r>
    </w:p>
    <w:p>
      <w:pPr>
        <w:spacing w:after="0" w:line="142"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05"/>
        </w:numPr>
        <w:rPr>
          <w:rFonts w:ascii="Arial" w:cs="Arial" w:eastAsia="Arial" w:hAnsi="Arial"/>
          <w:sz w:val="15"/>
          <w:szCs w:val="15"/>
          <w:color w:val="auto"/>
        </w:rPr>
      </w:pPr>
      <w:r>
        <w:rPr>
          <w:rFonts w:ascii="Arial" w:cs="Arial" w:eastAsia="Arial" w:hAnsi="Arial"/>
          <w:sz w:val="15"/>
          <w:szCs w:val="15"/>
          <w:color w:val="auto"/>
        </w:rPr>
        <w:t>The Approved Plans will not be modified or amended by more than a de minimus extent without the prior approval of Tenant, which approval shall not be unreasonably withheld, conditioned or delayed; provided, however proposed Landlord Change Orders which</w:t>
      </w:r>
    </w:p>
    <w:p>
      <w:pPr>
        <w:spacing w:after="0" w:line="1" w:lineRule="exact"/>
        <w:rPr>
          <w:sz w:val="20"/>
          <w:szCs w:val="20"/>
          <w:color w:val="auto"/>
        </w:rPr>
      </w:pPr>
    </w:p>
    <w:p>
      <w:pPr>
        <w:jc w:val="both"/>
        <w:ind w:left="1220" w:right="1239"/>
        <w:spacing w:after="0"/>
        <w:rPr>
          <w:sz w:val="20"/>
          <w:szCs w:val="20"/>
          <w:color w:val="auto"/>
        </w:rPr>
      </w:pPr>
      <w:r>
        <w:rPr>
          <w:rFonts w:ascii="Arial" w:cs="Arial" w:eastAsia="Arial" w:hAnsi="Arial"/>
          <w:sz w:val="15"/>
          <w:szCs w:val="15"/>
          <w:color w:val="auto"/>
        </w:rPr>
        <w:t>cost less than $ in each instance shall not require the prior approval of Tenant but shall be submitted to Tenant promptly after implementation thereof. From time to time, prior to or during the performance of the Landlord’s Work Landlord may elect to propose Landlord Change Orders to the Approved Plans. Landlord shall submit each proposed Landlord’s Change Order to Tenant for its approval, which approval shall not be unreasonably withheld, conditioned or delayed, unless the proposed Landlord Change Order (i) is materially inconsistent with the Approved Plans; or (ii) would materially and adversely affect the use of the Premises by Tenant for its intended business operations. Tenant shall approve or disapprove each proposed Landlord Change Order within three (3) Business Days after receipt thereof, and if Tenant so disapproves Tenant shall specify the reason for disapproval. If Tenant fails to approve or disapprove the proposed Landlord’s Change Order within three (3) Business Days after receipt thereof, then the proposed Landlord’s Change Order shall be considered to have been approved by Tenant, and the Approved Plans shall be considered to be amended and modified thereby.</w:t>
      </w:r>
    </w:p>
    <w:p>
      <w:pPr>
        <w:spacing w:after="0" w:line="267" w:lineRule="exact"/>
        <w:rPr>
          <w:sz w:val="20"/>
          <w:szCs w:val="20"/>
          <w:color w:val="auto"/>
        </w:rPr>
      </w:pPr>
    </w:p>
    <w:p>
      <w:pPr>
        <w:jc w:val="both"/>
        <w:ind w:left="1220" w:right="1239" w:firstLine="1013"/>
        <w:spacing w:after="0"/>
        <w:tabs>
          <w:tab w:leader="none" w:pos="2592" w:val="left"/>
        </w:tabs>
        <w:numPr>
          <w:ilvl w:val="0"/>
          <w:numId w:val="606"/>
        </w:numPr>
        <w:rPr>
          <w:rFonts w:ascii="Arial" w:cs="Arial" w:eastAsia="Arial" w:hAnsi="Arial"/>
          <w:sz w:val="15"/>
          <w:szCs w:val="15"/>
          <w:color w:val="auto"/>
        </w:rPr>
      </w:pPr>
      <w:r>
        <w:rPr>
          <w:rFonts w:ascii="Arial" w:cs="Arial" w:eastAsia="Arial" w:hAnsi="Arial"/>
          <w:sz w:val="15"/>
          <w:szCs w:val="15"/>
          <w:color w:val="auto"/>
        </w:rPr>
        <w:t>Tenant may elect to propose Tenant Change Orders to the Approved Plans by written request to Landlord from time to time prior to Substantial Completion of the respective component of Landlord’s Work. Each proposed Tenant Change Order shall be subject to Landlord’s approval, which approval shall not be unreasonably withheld, conditioned or delayed. If a proposed Tenant Change Order is determined by Landlord in its reasonable discretion to be likely to increase the Landlord’s Work Costs and/or to delay the performance of the Landlord’s Work, then Landlord shall provide Tenant with its good faith estimate of the increase in Landlord’s Work Costs and/or the delay in the performance of Landlord’s Work resulting therefrom, and within five (5) Business Days after receipt of such notice from Landlord, Tenant shall notify Landlord as to whether Tenant has elected to proceed with or to withdraw the proposed Tenant Change Order. If Tenant fails to notify Landlord within said five (5) Business Day period then Tenant shall be considered to have elected to proceed with the proposed Tenant Change Order.</w:t>
      </w: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77" w:name="page678"/>
    <w:bookmarkEnd w:id="677"/>
    <w:p>
      <w:pPr>
        <w:jc w:val="both"/>
        <w:ind w:left="1220" w:right="1239"/>
        <w:spacing w:after="0" w:line="237" w:lineRule="auto"/>
        <w:rPr>
          <w:sz w:val="20"/>
          <w:szCs w:val="20"/>
          <w:color w:val="auto"/>
        </w:rPr>
      </w:pPr>
      <w:r>
        <w:rPr>
          <w:rFonts w:ascii="Arial" w:cs="Arial" w:eastAsia="Arial" w:hAnsi="Arial"/>
          <w:sz w:val="15"/>
          <w:szCs w:val="15"/>
          <w:color w:val="auto"/>
        </w:rPr>
        <w:t>Without limitation, if Tenant elects to proceed with the proposed Tenant Change Order (or is considered to have elected to proceed with the proposed Tenant Change Order pursuant to the foregoing provisions), then Tenant shall be responsible for the increase in Landlord’s Work Costs and/or the delay in the performance of Landlord’s Work resulting therefrom, and Tenant shall pay the increased costs resulting from the respective Tenant Change Order to Landlord, as Additional Rent, as the work resulting from the Tenant Change Order progresses, within thirty</w:t>
      </w:r>
    </w:p>
    <w:p>
      <w:pPr>
        <w:spacing w:after="0" w:line="1" w:lineRule="exact"/>
        <w:rPr>
          <w:sz w:val="20"/>
          <w:szCs w:val="20"/>
          <w:color w:val="auto"/>
        </w:rPr>
      </w:pPr>
    </w:p>
    <w:p>
      <w:pPr>
        <w:ind w:left="1540" w:hanging="316"/>
        <w:spacing w:after="0"/>
        <w:tabs>
          <w:tab w:leader="none" w:pos="1540" w:val="left"/>
        </w:tabs>
        <w:numPr>
          <w:ilvl w:val="0"/>
          <w:numId w:val="607"/>
        </w:numPr>
        <w:rPr>
          <w:rFonts w:ascii="Arial" w:cs="Arial" w:eastAsia="Arial" w:hAnsi="Arial"/>
          <w:sz w:val="15"/>
          <w:szCs w:val="15"/>
          <w:color w:val="auto"/>
        </w:rPr>
      </w:pPr>
      <w:r>
        <w:rPr>
          <w:rFonts w:ascii="Arial" w:cs="Arial" w:eastAsia="Arial" w:hAnsi="Arial"/>
          <w:sz w:val="15"/>
          <w:szCs w:val="15"/>
          <w:color w:val="auto"/>
        </w:rPr>
        <w:t>days after submission by Landlord of requisitions therefor.</w:t>
      </w:r>
    </w:p>
    <w:p>
      <w:pPr>
        <w:spacing w:after="0" w:line="149" w:lineRule="exact"/>
        <w:rPr>
          <w:rFonts w:ascii="Arial" w:cs="Arial" w:eastAsia="Arial" w:hAnsi="Arial"/>
          <w:sz w:val="15"/>
          <w:szCs w:val="15"/>
          <w:color w:val="auto"/>
        </w:rPr>
      </w:pPr>
    </w:p>
    <w:p>
      <w:pPr>
        <w:jc w:val="both"/>
        <w:ind w:left="1220" w:right="1239" w:firstLine="1013"/>
        <w:spacing w:after="0" w:line="236" w:lineRule="auto"/>
        <w:tabs>
          <w:tab w:leader="none" w:pos="2592" w:val="left"/>
        </w:tabs>
        <w:numPr>
          <w:ilvl w:val="1"/>
          <w:numId w:val="607"/>
        </w:numPr>
        <w:rPr>
          <w:rFonts w:ascii="Arial" w:cs="Arial" w:eastAsia="Arial" w:hAnsi="Arial"/>
          <w:sz w:val="15"/>
          <w:szCs w:val="15"/>
          <w:color w:val="auto"/>
        </w:rPr>
      </w:pPr>
      <w:r>
        <w:rPr>
          <w:rFonts w:ascii="Arial" w:cs="Arial" w:eastAsia="Arial" w:hAnsi="Arial"/>
          <w:sz w:val="15"/>
          <w:szCs w:val="15"/>
          <w:color w:val="auto"/>
        </w:rPr>
        <w:t>After the approval thereof by Landlord and Tenant, Landlord and the Contractor shall execute the construction contract for the Landlord’s Work or an amendment to the previously-executed construction contract confirming the Budget. The Contractor shall obtain all approvals and permits required by applicable Requirements to perform the Landlord’s Work. Landlord shall keep Tenant and Tenant’s Representative informed of all changes to the Construction Schedule. Tenant and Tenant’s Representative shall have the right to attend Landlord’s weekly construction meetings for the Landlord’s Work (in person or by telephone conference). Landlord shall provide Tenant and Tenant’s Representative with a copy of the weekly construction meeting minutes following each such construction meeting for Landlord’s Work. Landlord shall inform Tenant and Tenant’s Representative of changes to scheduled weekly construction meetings for Landlord’s Work. Upon reasonable prior notice and subject to coordination with Landlord and the Contractor, Tenant and/or Tenant's Representative shall have the right to inspect the construction of Landlord’s Work on a weekly basis in a manner that does not interfere with, hinder or delay the performance thereof. If Tenant and/or Tenant's Representative reasonably believes that Landlord’s Work is not being conducted in accordance with this Lease or the Approved Plans, they shall promptly inform Landlord by a writing setting forth in reasonable detail their respective concerns, and Landlord shall exercise good faith efforts to investigate and take such customary and commercially reasonable measures (if any) as may be reasonably necessary to ensure such compliance.</w:t>
      </w:r>
    </w:p>
    <w:p>
      <w:pPr>
        <w:spacing w:after="0" w:line="139" w:lineRule="exact"/>
        <w:rPr>
          <w:rFonts w:ascii="Arial" w:cs="Arial" w:eastAsia="Arial" w:hAnsi="Arial"/>
          <w:sz w:val="15"/>
          <w:szCs w:val="15"/>
          <w:color w:val="auto"/>
        </w:rPr>
      </w:pPr>
    </w:p>
    <w:p>
      <w:pPr>
        <w:ind w:left="2600" w:hanging="367"/>
        <w:spacing w:after="0"/>
        <w:tabs>
          <w:tab w:leader="none" w:pos="2600" w:val="left"/>
        </w:tabs>
        <w:numPr>
          <w:ilvl w:val="1"/>
          <w:numId w:val="607"/>
        </w:numPr>
        <w:rPr>
          <w:rFonts w:ascii="Arial" w:cs="Arial" w:eastAsia="Arial" w:hAnsi="Arial"/>
          <w:sz w:val="15"/>
          <w:szCs w:val="15"/>
          <w:color w:val="auto"/>
        </w:rPr>
      </w:pPr>
      <w:r>
        <w:rPr>
          <w:rFonts w:ascii="Arial" w:cs="Arial" w:eastAsia="Arial" w:hAnsi="Arial"/>
          <w:sz w:val="15"/>
          <w:szCs w:val="15"/>
          <w:color w:val="auto"/>
        </w:rPr>
        <w:t xml:space="preserve">Time is of the essence of this </w:t>
      </w:r>
      <w:r>
        <w:rPr>
          <w:rFonts w:ascii="Arial" w:cs="Arial" w:eastAsia="Arial" w:hAnsi="Arial"/>
          <w:sz w:val="15"/>
          <w:szCs w:val="15"/>
          <w:b w:val="1"/>
          <w:bCs w:val="1"/>
          <w:color w:val="auto"/>
        </w:rPr>
        <w:t>Section 4.3</w:t>
      </w:r>
      <w:r>
        <w:rPr>
          <w:rFonts w:ascii="Arial" w:cs="Arial" w:eastAsia="Arial" w:hAnsi="Arial"/>
          <w:sz w:val="15"/>
          <w:szCs w:val="15"/>
          <w:color w:val="auto"/>
        </w:rPr>
        <w:t>.</w:t>
      </w:r>
    </w:p>
    <w:p>
      <w:pPr>
        <w:spacing w:after="0" w:line="16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4.4. </w:t>
      </w:r>
      <w:r>
        <w:rPr>
          <w:rFonts w:ascii="Arial" w:cs="Arial" w:eastAsia="Arial" w:hAnsi="Arial"/>
          <w:sz w:val="15"/>
          <w:szCs w:val="15"/>
          <w:b w:val="1"/>
          <w:bCs w:val="1"/>
          <w:u w:val="single" w:color="auto"/>
          <w:color w:val="auto"/>
        </w:rPr>
        <w:t>Tenant’s Early Access</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and Tenant shall coordinate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Construction Schedule in order to permit Tenant to access the Premises prior to Substantial Completion of Landlord’s Work, in order to commence the performance of Tenant’s Work, at such time as will not adversely affect the timely completion of the then-remaining elements of Landlord’s Work. In connection with such early access and subject to the provisions of this </w:t>
      </w:r>
      <w:r>
        <w:rPr>
          <w:rFonts w:ascii="Arial" w:cs="Arial" w:eastAsia="Arial" w:hAnsi="Arial"/>
          <w:sz w:val="15"/>
          <w:szCs w:val="15"/>
          <w:b w:val="1"/>
          <w:bCs w:val="1"/>
          <w:color w:val="auto"/>
        </w:rPr>
        <w:t>Section 4.4</w:t>
      </w:r>
      <w:r>
        <w:rPr>
          <w:rFonts w:ascii="Arial" w:cs="Arial" w:eastAsia="Arial" w:hAnsi="Arial"/>
          <w:sz w:val="15"/>
          <w:szCs w:val="15"/>
          <w:color w:val="auto"/>
        </w:rPr>
        <w:t>, Tenant may enter the Premises and use the loading docks and freight elevators of</w:t>
      </w:r>
      <w:r>
        <w:rPr>
          <w:rFonts w:ascii="Arial" w:cs="Arial" w:eastAsia="Arial" w:hAnsi="Arial"/>
          <w:sz w:val="15"/>
          <w:szCs w:val="15"/>
          <w:b w:val="1"/>
          <w:bCs w:val="1"/>
          <w:color w:val="auto"/>
        </w:rPr>
        <w:t xml:space="preserve"> </w:t>
      </w:r>
      <w:r>
        <w:rPr>
          <w:rFonts w:ascii="Arial" w:cs="Arial" w:eastAsia="Arial" w:hAnsi="Arial"/>
          <w:sz w:val="15"/>
          <w:szCs w:val="15"/>
          <w:color w:val="auto"/>
        </w:rPr>
        <w:t>the Building, for the purpose of installing its furniture, fixtures and equipment (including lab equipment) in the Premises. Any such early access shall be at Tenant’s sole risk and expense, and Landlord shall have no liabilities or obligations to Tenant in connection therewith, including any liability for damage or injury to persons or property in connection therewith. Upon such early access to the Premises, Tenant shall be bound by and shall comply with all provisions of this Lease, including the provisions of this Lease regarding the performance of alterations, improvements and installations in the Premises, notwithstanding that the Commencement Date may not yet have occurred; provided, however, Tenant shall not be obligated to pay any costs for utilities provided to Tenant during said early access period. Tenant shall reimburse Landlord for the actual out-of-pocket costs and expenses (without mark-up) incurred by Landlord in connection with the overtime use by Tenant of the elevators and/or loading docks during said early access period. Without limitation, all of such work performed by Tenant in the Premises shall be coordinated with any work being performed by Landlord and in such manner as to maintain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78" w:name="page679"/>
    <w:bookmarkEnd w:id="678"/>
    <w:p>
      <w:pPr>
        <w:ind w:left="1220" w:right="1239"/>
        <w:spacing w:after="0" w:line="274" w:lineRule="auto"/>
        <w:rPr>
          <w:sz w:val="20"/>
          <w:szCs w:val="20"/>
          <w:color w:val="auto"/>
        </w:rPr>
      </w:pPr>
      <w:r>
        <w:rPr>
          <w:rFonts w:ascii="Arial" w:cs="Arial" w:eastAsia="Arial" w:hAnsi="Arial"/>
          <w:sz w:val="15"/>
          <w:szCs w:val="15"/>
          <w:color w:val="auto"/>
        </w:rPr>
        <w:t>harmonious labor relations. In no event shall any such work by Tenant damage the Building or the Premises or materially interfere with the timely performance of Landlord’s Work.</w:t>
      </w:r>
    </w:p>
    <w:p>
      <w:pPr>
        <w:spacing w:after="0" w:line="109"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4.5. </w:t>
      </w:r>
      <w:r>
        <w:rPr>
          <w:rFonts w:ascii="Arial" w:cs="Arial" w:eastAsia="Arial" w:hAnsi="Arial"/>
          <w:sz w:val="15"/>
          <w:szCs w:val="15"/>
          <w:b w:val="1"/>
          <w:bCs w:val="1"/>
          <w:u w:val="single" w:color="auto"/>
          <w:color w:val="auto"/>
        </w:rPr>
        <w:t>Substantial Completion and Delivery; Delays in Delivery</w:t>
      </w:r>
      <w:r>
        <w:rPr>
          <w:rFonts w:ascii="Arial" w:cs="Arial" w:eastAsia="Arial" w:hAnsi="Arial"/>
          <w:sz w:val="15"/>
          <w:szCs w:val="15"/>
          <w:color w:val="auto"/>
        </w:rPr>
        <w:t>.</w:t>
      </w:r>
    </w:p>
    <w:p>
      <w:pPr>
        <w:spacing w:after="0" w:line="166" w:lineRule="exact"/>
        <w:rPr>
          <w:sz w:val="20"/>
          <w:szCs w:val="20"/>
          <w:color w:val="auto"/>
        </w:rPr>
      </w:pPr>
    </w:p>
    <w:p>
      <w:pPr>
        <w:jc w:val="both"/>
        <w:ind w:left="1220" w:right="1239" w:firstLine="1013"/>
        <w:spacing w:after="0" w:line="239" w:lineRule="auto"/>
        <w:tabs>
          <w:tab w:leader="none" w:pos="2592" w:val="left"/>
        </w:tabs>
        <w:numPr>
          <w:ilvl w:val="1"/>
          <w:numId w:val="608"/>
        </w:numPr>
        <w:rPr>
          <w:rFonts w:ascii="Arial" w:cs="Arial" w:eastAsia="Arial" w:hAnsi="Arial"/>
          <w:sz w:val="15"/>
          <w:szCs w:val="15"/>
          <w:color w:val="auto"/>
        </w:rPr>
      </w:pPr>
      <w:r>
        <w:rPr>
          <w:rFonts w:ascii="Arial" w:cs="Arial" w:eastAsia="Arial" w:hAnsi="Arial"/>
          <w:sz w:val="15"/>
          <w:szCs w:val="15"/>
          <w:color w:val="auto"/>
        </w:rPr>
        <w:t>After Tenant installs its furniture, fixtures, and personal property in the Premises, Tenant will apply for and obtain a certificate of occupancy for the Premises. Landlord will cooperate and assist Tenant in connection therewith. If ISD refuses to issue a certificate of occupancy for the Premises solely as a result of a defect or deficiency in the Base Building Work or the Landlord’s Work, then Tenant shall notify Landlord thereof, and if Landlord does not correct such defect or deficiency within ten (10) Business Days after delivery of said notice, then the Commencement Date shall be extended on a day-for-day basis for each day between the date which is ten (10) Business Days after delivery of said notice and the date on which said defect or deficiency is corrected by Landlord.</w:t>
      </w:r>
    </w:p>
    <w:p>
      <w:pPr>
        <w:spacing w:after="0" w:line="136" w:lineRule="exact"/>
        <w:rPr>
          <w:rFonts w:ascii="Arial" w:cs="Arial" w:eastAsia="Arial" w:hAnsi="Arial"/>
          <w:sz w:val="15"/>
          <w:szCs w:val="15"/>
          <w:color w:val="auto"/>
        </w:rPr>
      </w:pPr>
    </w:p>
    <w:p>
      <w:pPr>
        <w:jc w:val="both"/>
        <w:ind w:left="1220" w:right="1239" w:firstLine="1013"/>
        <w:spacing w:after="0" w:line="237" w:lineRule="auto"/>
        <w:tabs>
          <w:tab w:leader="none" w:pos="2592" w:val="left"/>
        </w:tabs>
        <w:numPr>
          <w:ilvl w:val="1"/>
          <w:numId w:val="608"/>
        </w:numPr>
        <w:rPr>
          <w:rFonts w:ascii="Arial" w:cs="Arial" w:eastAsia="Arial" w:hAnsi="Arial"/>
          <w:sz w:val="15"/>
          <w:szCs w:val="15"/>
          <w:color w:val="auto"/>
        </w:rPr>
      </w:pPr>
      <w:r>
        <w:rPr>
          <w:rFonts w:ascii="Arial" w:cs="Arial" w:eastAsia="Arial" w:hAnsi="Arial"/>
          <w:sz w:val="15"/>
          <w:szCs w:val="15"/>
          <w:color w:val="auto"/>
        </w:rPr>
        <w:t>Landlord will exercise reasonable efforts to cause the Commencement Date to occur by the Scheduled Commencement Date, as the same may be extended by Tenant Delays, COVID-19 Delays, and/or Unavoidable Delays; provided, however, the failure to cause the Commencement Date to have occurred by the Scheduled Commencement Date or any other particular date, shall not impair the validity of this Lease or extend the Term. Without limiting the foregoing, if the Commencement Date has not occurred by the date which is thirty</w:t>
      </w:r>
    </w:p>
    <w:p>
      <w:pPr>
        <w:spacing w:after="0" w:line="1" w:lineRule="exact"/>
        <w:rPr>
          <w:rFonts w:ascii="Arial" w:cs="Arial" w:eastAsia="Arial" w:hAnsi="Arial"/>
          <w:sz w:val="15"/>
          <w:szCs w:val="15"/>
          <w:color w:val="auto"/>
        </w:rPr>
      </w:pPr>
    </w:p>
    <w:p>
      <w:pPr>
        <w:jc w:val="both"/>
        <w:ind w:left="1220" w:right="1239" w:firstLine="4"/>
        <w:spacing w:after="0" w:line="234" w:lineRule="auto"/>
        <w:tabs>
          <w:tab w:leader="none" w:pos="1544" w:val="left"/>
        </w:tabs>
        <w:numPr>
          <w:ilvl w:val="0"/>
          <w:numId w:val="609"/>
        </w:numPr>
        <w:rPr>
          <w:rFonts w:ascii="Arial" w:cs="Arial" w:eastAsia="Arial" w:hAnsi="Arial"/>
          <w:sz w:val="15"/>
          <w:szCs w:val="15"/>
          <w:color w:val="auto"/>
        </w:rPr>
      </w:pPr>
      <w:r>
        <w:rPr>
          <w:rFonts w:ascii="Arial" w:cs="Arial" w:eastAsia="Arial" w:hAnsi="Arial"/>
          <w:sz w:val="15"/>
          <w:szCs w:val="15"/>
          <w:color w:val="auto"/>
        </w:rPr>
        <w:t>days after the Scheduled Commencement Date (as such date may be extended on a day-for-day basis for Tenant Delays, COVID-19 Delays, and/or for up to but not more than one hundred twenty (120) days on account of Unavoidable Delays, the “</w:t>
      </w:r>
      <w:r>
        <w:rPr>
          <w:rFonts w:ascii="Arial" w:cs="Arial" w:eastAsia="Arial" w:hAnsi="Arial"/>
          <w:sz w:val="15"/>
          <w:szCs w:val="15"/>
          <w:b w:val="1"/>
          <w:bCs w:val="1"/>
          <w:color w:val="auto"/>
        </w:rPr>
        <w:t>Outside Delivery Date</w:t>
      </w:r>
      <w:r>
        <w:rPr>
          <w:rFonts w:ascii="Arial" w:cs="Arial" w:eastAsia="Arial" w:hAnsi="Arial"/>
          <w:sz w:val="15"/>
          <w:szCs w:val="15"/>
          <w:color w:val="auto"/>
        </w:rPr>
        <w:t>”), then as liquidated damages and the sole and exclusive remedy of Tenant on account thereof, Tenant shall receive the following credits against the Fixed Rent payable under this Lease: (x) for and with respect to each day between the Outside Delivery Date and the earlier to occur of</w:t>
      </w:r>
    </w:p>
    <w:p>
      <w:pPr>
        <w:ind w:left="1220"/>
        <w:spacing w:after="0" w:line="234" w:lineRule="auto"/>
        <w:rPr>
          <w:rFonts w:ascii="Arial" w:cs="Arial" w:eastAsia="Arial" w:hAnsi="Arial"/>
          <w:sz w:val="15"/>
          <w:szCs w:val="15"/>
          <w:color w:val="auto"/>
        </w:rPr>
      </w:pPr>
      <w:r>
        <w:rPr>
          <w:rFonts w:ascii="Arial" w:cs="Arial" w:eastAsia="Arial" w:hAnsi="Arial"/>
          <w:sz w:val="15"/>
          <w:szCs w:val="15"/>
          <w:color w:val="auto"/>
        </w:rPr>
        <w:t>(i) the date on which the Commencement Date actually occurs, or (ii) the date which is thirty</w:t>
      </w:r>
    </w:p>
    <w:p>
      <w:pPr>
        <w:jc w:val="both"/>
        <w:ind w:left="1220" w:right="1239" w:firstLine="4"/>
        <w:spacing w:after="0" w:line="235" w:lineRule="auto"/>
        <w:tabs>
          <w:tab w:leader="none" w:pos="1548" w:val="left"/>
        </w:tabs>
        <w:numPr>
          <w:ilvl w:val="0"/>
          <w:numId w:val="610"/>
        </w:numPr>
        <w:rPr>
          <w:rFonts w:ascii="Arial" w:cs="Arial" w:eastAsia="Arial" w:hAnsi="Arial"/>
          <w:sz w:val="15"/>
          <w:szCs w:val="15"/>
          <w:color w:val="auto"/>
        </w:rPr>
      </w:pPr>
      <w:r>
        <w:rPr>
          <w:rFonts w:ascii="Arial" w:cs="Arial" w:eastAsia="Arial" w:hAnsi="Arial"/>
          <w:sz w:val="15"/>
          <w:szCs w:val="15"/>
          <w:color w:val="auto"/>
        </w:rPr>
        <w:t>days after the Outside Delivery Date (both dates inclusive), in an amount equal to the per diem Fixed Rent payable for the Premises for the first Lease Year; (y) if the Commencement Date does not occur by the date which is thirty (30) days after the Outside Delivery Date, then for and with respect to each day between the date which is thirty-one (31) days after the Outside Delivery Date and the date on which the Commencement Date actually occurs (both dates inclusive), in an amount equal to 200% of the per diem Fixed Rent payable for the Premises for the first Lease Year; and (z) if the Commencement Date does not occur by the date which is one hundred fifty (150) days after the Outside Delivery Date, then for and with respect to each day between the date which is one hundred fifty-one (151) days after the Outside Delivery Date and the date on which the Commencement Date actually occurs (both dates inclusive), in an amount equal to 300% of the per diem Fixed Rent payable for the Premises for the first Lease Year. Notwithstanding any provision contained herein, Landlord shall have no liability for, and there shall be no postponement of the Rent Commencement Date, or any credit afforded to Tenant for any delay by Landlord in the performance of Landlord’s Work arising out of or resulting from Tenant Delay, COVID-19 Delays, and/or for up to but not more than one hundred twenty (120) days of delay on account of Unavoidable Delay.</w:t>
      </w:r>
    </w:p>
    <w:p>
      <w:pPr>
        <w:spacing w:after="0" w:line="143" w:lineRule="exact"/>
        <w:rPr>
          <w:sz w:val="20"/>
          <w:szCs w:val="20"/>
          <w:color w:val="auto"/>
        </w:rPr>
      </w:pPr>
    </w:p>
    <w:p>
      <w:pPr>
        <w:jc w:val="both"/>
        <w:ind w:left="1220" w:right="1239" w:firstLine="1009"/>
        <w:spacing w:after="0" w:line="242" w:lineRule="auto"/>
        <w:rPr>
          <w:sz w:val="20"/>
          <w:szCs w:val="20"/>
          <w:color w:val="auto"/>
        </w:rPr>
      </w:pPr>
      <w:r>
        <w:rPr>
          <w:rFonts w:ascii="Arial" w:cs="Arial" w:eastAsia="Arial" w:hAnsi="Arial"/>
          <w:sz w:val="15"/>
          <w:szCs w:val="15"/>
          <w:color w:val="auto"/>
        </w:rPr>
        <w:t>Notwithstanding the foregoing, if the Commencement Date has not occurred by the date which is three hundred sixty five (365) days after the Scheduled Commencement Date (as such date may be extended on a day-for-day basis for Tenant Delays, COVID-19 Delays, and/or for up to but not more than one hundred twenty (120) days on account of Unavoidable Delays, the “</w:t>
      </w:r>
      <w:r>
        <w:rPr>
          <w:rFonts w:ascii="Arial" w:cs="Arial" w:eastAsia="Arial" w:hAnsi="Arial"/>
          <w:sz w:val="15"/>
          <w:szCs w:val="15"/>
          <w:b w:val="1"/>
          <w:bCs w:val="1"/>
          <w:color w:val="auto"/>
        </w:rPr>
        <w:t>Lease Cancellation Date</w:t>
      </w:r>
      <w:r>
        <w:rPr>
          <w:rFonts w:ascii="Arial" w:cs="Arial" w:eastAsia="Arial" w:hAnsi="Arial"/>
          <w:sz w:val="15"/>
          <w:szCs w:val="15"/>
          <w:color w:val="auto"/>
        </w:rPr>
        <w:t>”), then at any time after the Lease Cancellation Date and prior to the date on which the Commencement Date actually occurs, Tenant may elect, as</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79" w:name="page680"/>
    <w:bookmarkEnd w:id="679"/>
    <w:p>
      <w:pPr>
        <w:jc w:val="both"/>
        <w:ind w:left="1220" w:right="1239"/>
        <w:spacing w:after="0" w:line="235" w:lineRule="auto"/>
        <w:rPr>
          <w:sz w:val="20"/>
          <w:szCs w:val="20"/>
          <w:color w:val="auto"/>
        </w:rPr>
      </w:pPr>
      <w:r>
        <w:rPr>
          <w:rFonts w:ascii="Arial" w:cs="Arial" w:eastAsia="Arial" w:hAnsi="Arial"/>
          <w:sz w:val="15"/>
          <w:szCs w:val="15"/>
          <w:color w:val="auto"/>
        </w:rPr>
        <w:t xml:space="preserve">liquidated damages and its sole and exclusive remedy on account thereof, to terminate this Lease by giving Landlord a Termination Notice, which Termination Notice may be given not earlier than the Lease Cancellation Date and not later than sixty (60) Business Days following the Lease Cancellation Date, with such termination to be effective immediately upon the giving by Tenant of such Termination Notice. If Tenant validly terminates this Lease in accordance with the foregoing provisions, this Lease shall be null and void and of no further force and effect, and except as expressly and specifically set forth herein, then the parties shall have no further liabilities, responsibilities or obligations hereunder. Notwithstanding any provision contained herein, if the Commencement Date occurs at any time prior to the valid termination of this Lease in accordance with the foregoing provisions, then Tenant shall have no further right to terminate this Lease pursuant to this </w:t>
      </w:r>
      <w:r>
        <w:rPr>
          <w:rFonts w:ascii="Arial" w:cs="Arial" w:eastAsia="Arial" w:hAnsi="Arial"/>
          <w:sz w:val="15"/>
          <w:szCs w:val="15"/>
          <w:b w:val="1"/>
          <w:bCs w:val="1"/>
          <w:color w:val="auto"/>
        </w:rPr>
        <w:t>Section 4.5</w:t>
      </w:r>
      <w:r>
        <w:rPr>
          <w:rFonts w:ascii="Arial" w:cs="Arial" w:eastAsia="Arial" w:hAnsi="Arial"/>
          <w:sz w:val="15"/>
          <w:szCs w:val="15"/>
          <w:color w:val="auto"/>
        </w:rPr>
        <w:t>. A “</w:t>
      </w:r>
      <w:r>
        <w:rPr>
          <w:rFonts w:ascii="Arial" w:cs="Arial" w:eastAsia="Arial" w:hAnsi="Arial"/>
          <w:sz w:val="15"/>
          <w:szCs w:val="15"/>
          <w:b w:val="1"/>
          <w:bCs w:val="1"/>
          <w:color w:val="auto"/>
        </w:rPr>
        <w:t>Termination Notice</w:t>
      </w:r>
      <w:r>
        <w:rPr>
          <w:rFonts w:ascii="Arial" w:cs="Arial" w:eastAsia="Arial" w:hAnsi="Arial"/>
          <w:sz w:val="15"/>
          <w:szCs w:val="15"/>
          <w:color w:val="auto"/>
        </w:rPr>
        <w:t xml:space="preserve">” shall mean a written notice delivered by Tenant to Landlord stating the following in capitalized and bold type on the first page of such notice: </w:t>
      </w:r>
      <w:r>
        <w:rPr>
          <w:rFonts w:ascii="Arial" w:cs="Arial" w:eastAsia="Arial" w:hAnsi="Arial"/>
          <w:sz w:val="15"/>
          <w:szCs w:val="15"/>
          <w:b w:val="1"/>
          <w:bCs w:val="1"/>
          <w:color w:val="auto"/>
        </w:rPr>
        <w:t>“IN ACCORDANCE WITH AND SUBJECT TO THE TERMS AND</w:t>
      </w:r>
    </w:p>
    <w:p>
      <w:pPr>
        <w:spacing w:after="0" w:line="5" w:lineRule="exact"/>
        <w:rPr>
          <w:sz w:val="20"/>
          <w:szCs w:val="20"/>
          <w:color w:val="auto"/>
        </w:rPr>
      </w:pPr>
    </w:p>
    <w:p>
      <w:pPr>
        <w:jc w:val="both"/>
        <w:ind w:left="1220" w:right="1239"/>
        <w:spacing w:after="0" w:line="266" w:lineRule="auto"/>
        <w:rPr>
          <w:sz w:val="20"/>
          <w:szCs w:val="20"/>
          <w:color w:val="auto"/>
        </w:rPr>
      </w:pPr>
      <w:r>
        <w:rPr>
          <w:rFonts w:ascii="Arial" w:cs="Arial" w:eastAsia="Arial" w:hAnsi="Arial"/>
          <w:sz w:val="15"/>
          <w:szCs w:val="15"/>
          <w:b w:val="1"/>
          <w:bCs w:val="1"/>
          <w:color w:val="auto"/>
        </w:rPr>
        <w:t>CONDITIONS OF SECTION 4.5 OF THE LEASE, TENANT HEREBY ELECTS TO TERMINATE THE LEASE.”</w:t>
      </w:r>
    </w:p>
    <w:p>
      <w:pPr>
        <w:spacing w:after="0" w:line="108" w:lineRule="exact"/>
        <w:rPr>
          <w:sz w:val="20"/>
          <w:szCs w:val="20"/>
          <w:color w:val="auto"/>
        </w:rPr>
      </w:pPr>
    </w:p>
    <w:p>
      <w:pPr>
        <w:jc w:val="both"/>
        <w:ind w:left="1220" w:right="1239" w:firstLine="1013"/>
        <w:spacing w:after="0" w:line="239" w:lineRule="auto"/>
        <w:tabs>
          <w:tab w:leader="none" w:pos="2592" w:val="left"/>
        </w:tabs>
        <w:numPr>
          <w:ilvl w:val="0"/>
          <w:numId w:val="611"/>
        </w:numPr>
        <w:rPr>
          <w:rFonts w:ascii="Arial" w:cs="Arial" w:eastAsia="Arial" w:hAnsi="Arial"/>
          <w:sz w:val="15"/>
          <w:szCs w:val="15"/>
          <w:color w:val="auto"/>
        </w:rPr>
      </w:pPr>
      <w:r>
        <w:rPr>
          <w:rFonts w:ascii="Arial" w:cs="Arial" w:eastAsia="Arial" w:hAnsi="Arial"/>
          <w:sz w:val="15"/>
          <w:szCs w:val="15"/>
          <w:color w:val="auto"/>
        </w:rPr>
        <w:t>If Substantial Completion of any part of Landlord’s Work is delayed as a result of or arising out of a Tenant Delay, then Landlord’s Work shall be deemed to have been Substantially Completed on the date that such work would have been Substantially Completed but for such Tenant Delay. Without limiting the foregoing, if the Landlord’s Work is deemed Substantially Completed as aforesaid, but the Landlord’s Work is not in fact Substantially Completed, then Tenant shall not (except with Landlord’s prior written consent) be entitled to take possession of the Premises for any purpose until the Landlord’s Work is in fact Substantially Completed.</w:t>
      </w:r>
    </w:p>
    <w:p>
      <w:pPr>
        <w:spacing w:after="0" w:line="139" w:lineRule="exact"/>
        <w:rPr>
          <w:rFonts w:ascii="Arial" w:cs="Arial" w:eastAsia="Arial" w:hAnsi="Arial"/>
          <w:sz w:val="15"/>
          <w:szCs w:val="15"/>
          <w:color w:val="auto"/>
        </w:rPr>
      </w:pPr>
    </w:p>
    <w:p>
      <w:pPr>
        <w:jc w:val="both"/>
        <w:ind w:left="1220" w:right="1239" w:firstLine="1013"/>
        <w:spacing w:after="0" w:line="244" w:lineRule="auto"/>
        <w:tabs>
          <w:tab w:leader="none" w:pos="2592" w:val="left"/>
        </w:tabs>
        <w:numPr>
          <w:ilvl w:val="0"/>
          <w:numId w:val="611"/>
        </w:numPr>
        <w:rPr>
          <w:rFonts w:ascii="Arial" w:cs="Arial" w:eastAsia="Arial" w:hAnsi="Arial"/>
          <w:sz w:val="15"/>
          <w:szCs w:val="15"/>
          <w:color w:val="auto"/>
        </w:rPr>
      </w:pPr>
      <w:r>
        <w:rPr>
          <w:rFonts w:ascii="Arial" w:cs="Arial" w:eastAsia="Arial" w:hAnsi="Arial"/>
          <w:sz w:val="15"/>
          <w:szCs w:val="15"/>
          <w:color w:val="auto"/>
        </w:rPr>
        <w:t>If a dispute arises between the parties as to whether Landlord Delays, Tenant Delays, COVID-19 Delays, and/or Unavoidable Delays have occurred, and the number of days of such delays claimed by either party exceed thirty (30) days in the aggregate, then either party may elect to submit such dispute to resolution in accordance with the Dispute Resolution Procedure.</w:t>
      </w:r>
    </w:p>
    <w:p>
      <w:pPr>
        <w:spacing w:after="0" w:line="307" w:lineRule="exact"/>
        <w:rPr>
          <w:rFonts w:ascii="Arial" w:cs="Arial" w:eastAsia="Arial" w:hAnsi="Arial"/>
          <w:sz w:val="15"/>
          <w:szCs w:val="15"/>
          <w:color w:val="auto"/>
        </w:rPr>
      </w:pPr>
    </w:p>
    <w:p>
      <w:pPr>
        <w:jc w:val="both"/>
        <w:ind w:left="1220" w:right="1239" w:firstLine="1013"/>
        <w:spacing w:after="0" w:line="242" w:lineRule="auto"/>
        <w:tabs>
          <w:tab w:leader="none" w:pos="2592" w:val="left"/>
        </w:tabs>
        <w:numPr>
          <w:ilvl w:val="0"/>
          <w:numId w:val="611"/>
        </w:numPr>
        <w:rPr>
          <w:rFonts w:ascii="Arial" w:cs="Arial" w:eastAsia="Arial" w:hAnsi="Arial"/>
          <w:sz w:val="15"/>
          <w:szCs w:val="15"/>
          <w:color w:val="auto"/>
        </w:rPr>
      </w:pPr>
      <w:r>
        <w:rPr>
          <w:rFonts w:ascii="Arial" w:cs="Arial" w:eastAsia="Arial" w:hAnsi="Arial"/>
          <w:sz w:val="15"/>
          <w:szCs w:val="15"/>
          <w:color w:val="auto"/>
        </w:rPr>
        <w:t>On or about the date when Landlord’s Work is Substantially Completed, the Architect, Landlord’s construction representative, and Tenant’s construction representative shall inspect the Landlord’s Work, and based on said inspection the Architect shall prepare a punch-list setting forth any Punch-List Items of Landlord’s Work which are incomplete and deliver the same to Tenant and Landlord. Landlord shall complete such Punch-List Items as soon as reasonably practicable after such walk-through of the Premises.</w:t>
      </w:r>
    </w:p>
    <w:p>
      <w:pPr>
        <w:spacing w:after="0" w:line="133"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11"/>
        </w:numPr>
        <w:rPr>
          <w:rFonts w:ascii="Arial" w:cs="Arial" w:eastAsia="Arial" w:hAnsi="Arial"/>
          <w:sz w:val="15"/>
          <w:szCs w:val="15"/>
          <w:color w:val="auto"/>
        </w:rPr>
      </w:pPr>
      <w:r>
        <w:rPr>
          <w:rFonts w:ascii="Arial" w:cs="Arial" w:eastAsia="Arial" w:hAnsi="Arial"/>
          <w:sz w:val="15"/>
          <w:szCs w:val="15"/>
          <w:color w:val="auto"/>
        </w:rPr>
        <w:t>Promptly following the Commencement Date and the completion by Landlord of the Landlord’s Work, the Architect shall prepare as-built plans for the Landlord’s Work, shall measure the actual rentable area of the Premises shown on the as-built plans, and shall deliver said measurement to Landlord and Tenant (said measurement, the “</w:t>
      </w:r>
      <w:r>
        <w:rPr>
          <w:rFonts w:ascii="Arial" w:cs="Arial" w:eastAsia="Arial" w:hAnsi="Arial"/>
          <w:sz w:val="15"/>
          <w:szCs w:val="15"/>
          <w:b w:val="1"/>
          <w:bCs w:val="1"/>
          <w:color w:val="auto"/>
        </w:rPr>
        <w:t>As-Built Plans</w:t>
      </w:r>
      <w:r>
        <w:rPr>
          <w:rFonts w:ascii="Arial" w:cs="Arial" w:eastAsia="Arial" w:hAnsi="Arial"/>
          <w:sz w:val="15"/>
          <w:szCs w:val="15"/>
          <w:color w:val="auto"/>
        </w:rPr>
        <w:t xml:space="preserve"> </w:t>
      </w:r>
      <w:r>
        <w:rPr>
          <w:rFonts w:ascii="Arial" w:cs="Arial" w:eastAsia="Arial" w:hAnsi="Arial"/>
          <w:sz w:val="15"/>
          <w:szCs w:val="15"/>
          <w:b w:val="1"/>
          <w:bCs w:val="1"/>
          <w:color w:val="auto"/>
        </w:rPr>
        <w:t>Measurement</w:t>
      </w:r>
      <w:r>
        <w:rPr>
          <w:rFonts w:ascii="Arial" w:cs="Arial" w:eastAsia="Arial" w:hAnsi="Arial"/>
          <w:sz w:val="15"/>
          <w:szCs w:val="15"/>
          <w:color w:val="auto"/>
        </w:rPr>
        <w:t>”). The Architect shall certify that said As-Built Plans Measurement has been</w:t>
      </w:r>
      <w:r>
        <w:rPr>
          <w:rFonts w:ascii="Arial" w:cs="Arial" w:eastAsia="Arial" w:hAnsi="Arial"/>
          <w:sz w:val="15"/>
          <w:szCs w:val="15"/>
          <w:b w:val="1"/>
          <w:bCs w:val="1"/>
          <w:color w:val="auto"/>
        </w:rPr>
        <w:t xml:space="preserve"> </w:t>
      </w:r>
      <w:r>
        <w:rPr>
          <w:rFonts w:ascii="Arial" w:cs="Arial" w:eastAsia="Arial" w:hAnsi="Arial"/>
          <w:sz w:val="15"/>
          <w:szCs w:val="15"/>
          <w:color w:val="auto"/>
        </w:rPr>
        <w:t>calculated in accordance with the Measurement Method. If the rentable area of the Premises pursuant to the As-Built Plans Measurement is either (x) less than 97% of the Agreed Area of the Premises as set forth in Article 1, or (y) greater than 103% of the Agreed Area of the Premises as set forth in Article 1, then the Fixed Rent payable by Tenant under this Lease shall be proportionately increased or decreased, as applicable, on account thereof. If the rentable area of the Premises pursuant to the As-Built Plans Measurement is equal to or greater than 97% of the Agreed Area of the Premises as set forth in Article 1, and equal to or less than 103% of the rentable area of the Premises as set forth in Article 1, then there shall be no decrease or increase in the Fixed Rent payable by Tenant under this Lease on account thereof. The results of the</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80" w:name="page681"/>
    <w:bookmarkEnd w:id="680"/>
    <w:p>
      <w:pPr>
        <w:jc w:val="both"/>
        <w:ind w:left="1220" w:right="1239"/>
        <w:spacing w:after="0" w:line="236" w:lineRule="auto"/>
        <w:rPr>
          <w:sz w:val="20"/>
          <w:szCs w:val="20"/>
          <w:color w:val="auto"/>
        </w:rPr>
      </w:pPr>
      <w:r>
        <w:rPr>
          <w:rFonts w:ascii="Arial" w:cs="Arial" w:eastAsia="Arial" w:hAnsi="Arial"/>
          <w:sz w:val="15"/>
          <w:szCs w:val="15"/>
          <w:color w:val="auto"/>
        </w:rPr>
        <w:t>As-Built Plans Measurement by the Architect shall be conclusive, definitive and binding upon the parties, unless Tenant gives notice to the Landlord of a dispute as to the calculation of the actual rentable area of the Premises within thirty (30) days after receipt of the As-Built Plans Measurement, which notice shall include the alternative calculation by Tenant’s architect of the actual rentable area of the Premises (using the Measurement Method). Time is of the essence of the delivery of said notice by Tenant. In the event Tenant timely disputes the calculation of the As-Built Plans Measurement by the Architect pursuant to the foregoing provisions, and if the two architects are unable to agree as to the remeasurement of the rentable area of the Premises, then they shall jointly appoint a third independent qualified architect to remeasure the rentable area of the Premises, which architect shall be duly licensed in the Commonwealth of Massachusetts, having at least ten (10) years of experience as a licensed architect providing architectural services for Class A laboratory buildings in the Boston, Massachusetts area. The fees payable to said third independent architect shall be shared equally by both parties. The results of such remeasurement by said third architect shall be definitive and binding upon the parties. Promptly after the completion of said remeasurement procedure, if applicable, Landlord and Tenant shall execute a confirmatory agreement confirming the resulting remeasurement of the rentable area of the Premises and the changes to the Fixed Rent payable under this Lease resulting therefrom, if applicable.</w:t>
      </w:r>
    </w:p>
    <w:p>
      <w:pPr>
        <w:spacing w:after="0" w:line="143" w:lineRule="exact"/>
        <w:rPr>
          <w:sz w:val="20"/>
          <w:szCs w:val="20"/>
          <w:color w:val="auto"/>
        </w:rPr>
      </w:pPr>
    </w:p>
    <w:p>
      <w:pPr>
        <w:jc w:val="both"/>
        <w:ind w:left="1220" w:right="1239" w:firstLine="1013"/>
        <w:spacing w:after="0" w:line="236" w:lineRule="auto"/>
        <w:tabs>
          <w:tab w:leader="none" w:pos="2592" w:val="left"/>
        </w:tabs>
        <w:numPr>
          <w:ilvl w:val="0"/>
          <w:numId w:val="612"/>
        </w:numPr>
        <w:rPr>
          <w:rFonts w:ascii="Arial" w:cs="Arial" w:eastAsia="Arial" w:hAnsi="Arial"/>
          <w:sz w:val="15"/>
          <w:szCs w:val="15"/>
          <w:color w:val="auto"/>
        </w:rPr>
      </w:pPr>
      <w:r>
        <w:rPr>
          <w:rFonts w:ascii="Arial" w:cs="Arial" w:eastAsia="Arial" w:hAnsi="Arial"/>
          <w:sz w:val="15"/>
          <w:szCs w:val="15"/>
          <w:color w:val="auto"/>
        </w:rPr>
        <w:t>Landlord will cause the Contractor to provide customary commercially reasonable warranties for Landlord’s Work. Landlord will cause the Contractor to include the warranty durations in the bid requirements for the Landlord’s Work and will exercise good faith efforts to obtain warranties with the requested durations for the respective components of the Landlord’s Work. Upon completion of Landlord’s Work, Landlord shall, at Tenant’s request, assign to Tenant all warranties with respect to Landlord’s Work provided by Contractor or any contractors, subcontractors or manufacturers performing any portion of Landlord’s Work or providing any material or equipment in connection therewith, if and to the extent such warranties are assignable. If any such warranties are not assignable, Landlord shall enforce said warranties on Tenant's behalf if so requested by Tenant. With respect to any defects or deficiencies in the Landlord’s Work of which Tenant notifies Landlord prior to the expiration of the respective warranty, Landlord will cause the Contractor to repair and correct such defect or deficiency promptly after receipt of such written notice. In addition, Landlord will repair or cause the Contractor to repair all Latent Defects of which Tenant provides notice prior to the first (1</w:t>
      </w:r>
      <w:r>
        <w:rPr>
          <w:rFonts w:ascii="Arial" w:cs="Arial" w:eastAsia="Arial" w:hAnsi="Arial"/>
          <w:sz w:val="10"/>
          <w:szCs w:val="10"/>
          <w:color w:val="auto"/>
        </w:rPr>
        <w:t>st</w:t>
      </w:r>
      <w:r>
        <w:rPr>
          <w:rFonts w:ascii="Arial" w:cs="Arial" w:eastAsia="Arial" w:hAnsi="Arial"/>
          <w:sz w:val="15"/>
          <w:szCs w:val="15"/>
          <w:color w:val="auto"/>
        </w:rPr>
        <w:t>) anniversary of the Commencement Date (the “</w:t>
      </w:r>
      <w:r>
        <w:rPr>
          <w:rFonts w:ascii="Arial" w:cs="Arial" w:eastAsia="Arial" w:hAnsi="Arial"/>
          <w:sz w:val="15"/>
          <w:szCs w:val="15"/>
          <w:b w:val="1"/>
          <w:bCs w:val="1"/>
          <w:color w:val="auto"/>
        </w:rPr>
        <w:t>Outside Latent Defect Repair Date</w:t>
      </w:r>
      <w:r>
        <w:rPr>
          <w:rFonts w:ascii="Arial" w:cs="Arial" w:eastAsia="Arial" w:hAnsi="Arial"/>
          <w:sz w:val="15"/>
          <w:szCs w:val="15"/>
          <w:color w:val="auto"/>
        </w:rPr>
        <w:t xml:space="preserve">”). Tenant shall notify Landlord promptly after it becomes aware of any Latent Defects in Landlord’s Work. If Tenant does not notify Landlord of a Latent Defect in Landlord’s Work by the Outside Latent Defect Repair Date, then Landlord shall have no further obligations of any kind, to repair such Latent Defects in Landlord’s Work. Notwithstanding the foregoing, Landlord shall not be responsible to repair or correct (i) defective work or materials installed by Tenant or Tenant’s contractors, (ii) damage arising out of or resulting from the negligence or intentional misconduct or misuse by Tenant or its contractors, employees, or agents, or (iii) usual and customary wear and tear. The foregoing shall not limit or restrict the maintenance and repair obligations of Landlord under the other provisions of this Lease, including </w:t>
      </w:r>
      <w:r>
        <w:rPr>
          <w:rFonts w:ascii="Arial" w:cs="Arial" w:eastAsia="Arial" w:hAnsi="Arial"/>
          <w:sz w:val="15"/>
          <w:szCs w:val="15"/>
          <w:b w:val="1"/>
          <w:bCs w:val="1"/>
          <w:color w:val="auto"/>
        </w:rPr>
        <w:t>Section 6.1</w:t>
      </w:r>
      <w:r>
        <w:rPr>
          <w:rFonts w:ascii="Arial" w:cs="Arial" w:eastAsia="Arial" w:hAnsi="Arial"/>
          <w:sz w:val="15"/>
          <w:szCs w:val="15"/>
          <w:color w:val="auto"/>
        </w:rPr>
        <w: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81" w:name="page682"/>
    <w:bookmarkEnd w:id="681"/>
    <w:p>
      <w:pPr>
        <w:ind w:left="1720"/>
        <w:spacing w:after="0"/>
        <w:rPr>
          <w:sz w:val="20"/>
          <w:szCs w:val="20"/>
          <w:color w:val="auto"/>
        </w:rPr>
      </w:pPr>
      <w:r>
        <w:rPr>
          <w:rFonts w:ascii="Arial" w:cs="Arial" w:eastAsia="Arial" w:hAnsi="Arial"/>
          <w:sz w:val="15"/>
          <w:szCs w:val="15"/>
          <w:b w:val="1"/>
          <w:bCs w:val="1"/>
          <w:color w:val="auto"/>
        </w:rPr>
        <w:t xml:space="preserve">Section 4.6. </w:t>
      </w:r>
      <w:r>
        <w:rPr>
          <w:rFonts w:ascii="Arial" w:cs="Arial" w:eastAsia="Arial" w:hAnsi="Arial"/>
          <w:sz w:val="15"/>
          <w:szCs w:val="15"/>
          <w:b w:val="1"/>
          <w:bCs w:val="1"/>
          <w:u w:val="single" w:color="auto"/>
          <w:color w:val="auto"/>
        </w:rPr>
        <w:t>Space Planning Allowance</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provide an allowance (the</w:t>
      </w:r>
    </w:p>
    <w:p>
      <w:pPr>
        <w:spacing w:after="0" w:line="12" w:lineRule="exact"/>
        <w:rPr>
          <w:sz w:val="20"/>
          <w:szCs w:val="20"/>
          <w:color w:val="auto"/>
        </w:rPr>
      </w:pPr>
    </w:p>
    <w:p>
      <w:pPr>
        <w:jc w:val="both"/>
        <w:ind w:left="1220" w:right="1239"/>
        <w:spacing w:after="0" w:line="239"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Space Planning Allowance</w:t>
      </w:r>
      <w:r>
        <w:rPr>
          <w:rFonts w:ascii="Arial" w:cs="Arial" w:eastAsia="Arial" w:hAnsi="Arial"/>
          <w:sz w:val="15"/>
          <w:szCs w:val="15"/>
          <w:color w:val="auto"/>
        </w:rPr>
        <w:t>”) to Tenant of up to $ to reimburse Tenant for the architectural and engineering fees incurred by Tenant in preparing an initial space plan for the Premises. Said Space Planning Allowance shall be provided to Tenant not later than thirty (30) days after delivery to Landlord of the initial space plan, along with a copy of the invoice for said architectural and engineering fees.</w:t>
      </w:r>
    </w:p>
    <w:p>
      <w:pPr>
        <w:spacing w:after="0" w:line="13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4.7. </w:t>
      </w:r>
      <w:r>
        <w:rPr>
          <w:rFonts w:ascii="Arial" w:cs="Arial" w:eastAsia="Arial" w:hAnsi="Arial"/>
          <w:sz w:val="15"/>
          <w:szCs w:val="15"/>
          <w:b w:val="1"/>
          <w:bCs w:val="1"/>
          <w:u w:val="single" w:color="auto"/>
          <w:color w:val="auto"/>
        </w:rPr>
        <w:t>General Provisions</w:t>
      </w:r>
      <w:r>
        <w:rPr>
          <w:rFonts w:ascii="Arial" w:cs="Arial" w:eastAsia="Arial" w:hAnsi="Arial"/>
          <w:sz w:val="15"/>
          <w:szCs w:val="15"/>
          <w:color w:val="auto"/>
        </w:rPr>
        <w:t>. Except for the performance of Landlord’s Work and</w:t>
      </w:r>
      <w:r>
        <w:rPr>
          <w:rFonts w:ascii="Arial" w:cs="Arial" w:eastAsia="Arial" w:hAnsi="Arial"/>
          <w:sz w:val="15"/>
          <w:szCs w:val="15"/>
          <w:b w:val="1"/>
          <w:bCs w:val="1"/>
          <w:color w:val="auto"/>
        </w:rPr>
        <w:t xml:space="preserve"> </w:t>
      </w:r>
      <w:r>
        <w:rPr>
          <w:rFonts w:ascii="Arial" w:cs="Arial" w:eastAsia="Arial" w:hAnsi="Arial"/>
          <w:sz w:val="15"/>
          <w:szCs w:val="15"/>
          <w:color w:val="auto"/>
        </w:rPr>
        <w:t>the Base Building Work, Landlord has no obligation to perform any work, supply any materials, incur any expense or make any alterations, additions or improvements to the Premises in order to prepare the Premises for Tenant’s use and occupancy. Excepting only Landlord’s Work and the Base Building Work, Tenant shall, at its own cost and expense (subject only to the funding of the Landlord’s Contribution in accordance with and subject to the terms and conditions of this Lease), in accordance with and subject to the terms and provisions of this Lease, perform or cause to be performed the Tenant’s Work, shall equip the Premises with all laboratory equipment, trade fixtures and personal property necessary or proper for the conduct of Tenant’s business. All of Tenant’s Work shall be considered to be an Alteration (as hereinafter defined). Tenant’s commencement of business operations in the Premises shall be presumptive evidence, that Tenant has accepted possession of the Premises in its then-current condition, and that at the time such possession was taken, the Premises and the Building were in a good and satisfactory condition as required by this Lease. The foregoing shall not derogate from the obligations of Landlord to complete any Punch-List Items of Landlord’s Work, to repair any Latent Defects, or to perform the maintenance and repair obligations of Landlord in accordance with the terms and conditions of this Lease. Neither the review or approval of the Approved Plans by Landlord nor the performance of the Landlord’s Work shall constitute a representation or warranty by Landlord that such Approved Plans either are complete or suitable for their intended purpose, it being expressly agreed by Tenant that Landlord assumes no responsibility or liability whatsoever to Tenant or to any other person or entity for such completeness or suitability.</w:t>
      </w:r>
    </w:p>
    <w:p>
      <w:pPr>
        <w:spacing w:after="0" w:line="246"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4.8. </w:t>
      </w:r>
      <w:r>
        <w:rPr>
          <w:rFonts w:ascii="Arial" w:cs="Arial" w:eastAsia="Arial" w:hAnsi="Arial"/>
          <w:sz w:val="15"/>
          <w:szCs w:val="15"/>
          <w:b w:val="1"/>
          <w:bCs w:val="1"/>
          <w:u w:val="single" w:color="auto"/>
          <w:color w:val="auto"/>
        </w:rPr>
        <w:t>Construction Representatives</w:t>
      </w:r>
      <w:r>
        <w:rPr>
          <w:rFonts w:ascii="Arial" w:cs="Arial" w:eastAsia="Arial" w:hAnsi="Arial"/>
          <w:sz w:val="15"/>
          <w:szCs w:val="15"/>
          <w:b w:val="1"/>
          <w:bCs w:val="1"/>
          <w:color w:val="auto"/>
        </w:rPr>
        <w:t xml:space="preserve">. </w:t>
      </w:r>
      <w:r>
        <w:rPr>
          <w:rFonts w:ascii="Arial" w:cs="Arial" w:eastAsia="Arial" w:hAnsi="Arial"/>
          <w:sz w:val="15"/>
          <w:szCs w:val="15"/>
          <w:color w:val="auto"/>
        </w:rPr>
        <w:t>Each party authorizes the other to rely</w:t>
      </w:r>
      <w:r>
        <w:rPr>
          <w:rFonts w:ascii="Arial" w:cs="Arial" w:eastAsia="Arial" w:hAnsi="Arial"/>
          <w:sz w:val="15"/>
          <w:szCs w:val="15"/>
          <w:b w:val="1"/>
          <w:bCs w:val="1"/>
          <w:color w:val="auto"/>
        </w:rPr>
        <w:t xml:space="preserve"> </w:t>
      </w:r>
      <w:r>
        <w:rPr>
          <w:rFonts w:ascii="Arial" w:cs="Arial" w:eastAsia="Arial" w:hAnsi="Arial"/>
          <w:sz w:val="15"/>
          <w:szCs w:val="15"/>
          <w:color w:val="auto"/>
        </w:rPr>
        <w:t>upon all approvals granted and other actions taken by the respective construction representative designated from time to time by such party, or any person hereafter expressly designated in writing in substitution or addition thereof by notice to the party relying thereon. Tenant hereby designates Mike Tomsicek as its construction representative and Landlord hereby designates Rustom A. Cowasjee and Tim Stoll as its construction representatives.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ALTERATIONS</w:t>
      </w:r>
    </w:p>
    <w:p>
      <w:pPr>
        <w:spacing w:after="0" w:line="16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5.1. </w:t>
      </w:r>
      <w:r>
        <w:rPr>
          <w:rFonts w:ascii="Arial" w:cs="Arial" w:eastAsia="Arial" w:hAnsi="Arial"/>
          <w:sz w:val="15"/>
          <w:szCs w:val="15"/>
          <w:b w:val="1"/>
          <w:bCs w:val="1"/>
          <w:u w:val="single" w:color="auto"/>
          <w:color w:val="auto"/>
        </w:rPr>
        <w:t>Tenant’s Alterations</w:t>
      </w:r>
      <w:r>
        <w:rPr>
          <w:rFonts w:ascii="Arial" w:cs="Arial" w:eastAsia="Arial" w:hAnsi="Arial"/>
          <w:sz w:val="15"/>
          <w:szCs w:val="15"/>
          <w:b w:val="1"/>
          <w:bCs w:val="1"/>
          <w:color w:val="auto"/>
        </w:rPr>
        <w:t xml:space="preserve">. </w:t>
      </w:r>
      <w:r>
        <w:rPr>
          <w:rFonts w:ascii="Arial" w:cs="Arial" w:eastAsia="Arial" w:hAnsi="Arial"/>
          <w:sz w:val="15"/>
          <w:szCs w:val="15"/>
          <w:color w:val="auto"/>
        </w:rPr>
        <w:t>(a) Tenant shall not make any alterations, additions,</w:t>
      </w:r>
      <w:r>
        <w:rPr>
          <w:rFonts w:ascii="Arial" w:cs="Arial" w:eastAsia="Arial" w:hAnsi="Arial"/>
          <w:sz w:val="15"/>
          <w:szCs w:val="15"/>
          <w:b w:val="1"/>
          <w:bCs w:val="1"/>
          <w:color w:val="auto"/>
        </w:rPr>
        <w:t xml:space="preserve"> </w:t>
      </w:r>
      <w:r>
        <w:rPr>
          <w:rFonts w:ascii="Arial" w:cs="Arial" w:eastAsia="Arial" w:hAnsi="Arial"/>
          <w:sz w:val="15"/>
          <w:szCs w:val="15"/>
          <w:color w:val="auto"/>
        </w:rPr>
        <w:t>or other physical changes in or about the Premises, or install any fixtures or equipment in or about the Premises (collectively, “</w:t>
      </w:r>
      <w:r>
        <w:rPr>
          <w:rFonts w:ascii="Arial" w:cs="Arial" w:eastAsia="Arial" w:hAnsi="Arial"/>
          <w:sz w:val="15"/>
          <w:szCs w:val="15"/>
          <w:b w:val="1"/>
          <w:bCs w:val="1"/>
          <w:color w:val="auto"/>
        </w:rPr>
        <w:t>Alterations</w:t>
      </w:r>
      <w:r>
        <w:rPr>
          <w:rFonts w:ascii="Arial" w:cs="Arial" w:eastAsia="Arial" w:hAnsi="Arial"/>
          <w:sz w:val="15"/>
          <w:szCs w:val="15"/>
          <w:color w:val="auto"/>
        </w:rPr>
        <w:t>”), excepting only Decorative Alterations or Minor Alterations, without Landlord’s prior consent in each instance, which consent shall not be unreasonably withheld, conditioned, or delayed if such Alterations (i) are non-structural and do not adversely impact any Building Systems, (ii) affect only the Premises and are not visible from outside of the Building, (iii) are not visible from the first (1st) floor Common Areas, unless they are consistent with the standards of appearance and presentation of similar premises in Comparable Buildings; (iv) do not require a conditional use permit, variance, waiver or other relief from any applicable Requirement (excepting only a conditional use permit for the construction and operation of the Vivarium), (v) do not increase or decrease the rentable area of the Premises, and</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682" w:name="page683"/>
    <w:bookmarkEnd w:id="682"/>
    <w:p>
      <w:pPr>
        <w:jc w:val="both"/>
        <w:ind w:left="1220" w:right="1239" w:firstLine="4"/>
        <w:spacing w:after="0" w:line="254" w:lineRule="auto"/>
        <w:tabs>
          <w:tab w:leader="none" w:pos="1515" w:val="left"/>
        </w:tabs>
        <w:numPr>
          <w:ilvl w:val="0"/>
          <w:numId w:val="613"/>
        </w:numPr>
        <w:rPr>
          <w:rFonts w:ascii="Arial" w:cs="Arial" w:eastAsia="Arial" w:hAnsi="Arial"/>
          <w:sz w:val="15"/>
          <w:szCs w:val="15"/>
          <w:color w:val="auto"/>
        </w:rPr>
      </w:pPr>
      <w:r>
        <w:rPr>
          <w:rFonts w:ascii="Arial" w:cs="Arial" w:eastAsia="Arial" w:hAnsi="Arial"/>
          <w:sz w:val="15"/>
          <w:szCs w:val="15"/>
          <w:color w:val="auto"/>
        </w:rPr>
        <w:t>comply in all respects with all applicable Requirements. Without limiting the foregoing, laboratory and related research equipment shall be installed only in the Lab Areas of the Premises, except as approved in advance by Landlord.</w:t>
      </w:r>
    </w:p>
    <w:p>
      <w:pPr>
        <w:spacing w:after="0" w:line="125" w:lineRule="exact"/>
        <w:rPr>
          <w:rFonts w:ascii="Arial" w:cs="Arial" w:eastAsia="Arial" w:hAnsi="Arial"/>
          <w:sz w:val="15"/>
          <w:szCs w:val="15"/>
          <w:color w:val="auto"/>
        </w:rPr>
      </w:pPr>
    </w:p>
    <w:p>
      <w:pPr>
        <w:jc w:val="both"/>
        <w:ind w:left="1220" w:right="1239" w:firstLine="1013"/>
        <w:spacing w:after="0" w:line="234" w:lineRule="auto"/>
        <w:tabs>
          <w:tab w:leader="none" w:pos="2592" w:val="left"/>
        </w:tabs>
        <w:numPr>
          <w:ilvl w:val="1"/>
          <w:numId w:val="613"/>
        </w:numPr>
        <w:rPr>
          <w:rFonts w:ascii="Arial" w:cs="Arial" w:eastAsia="Arial" w:hAnsi="Arial"/>
          <w:sz w:val="15"/>
          <w:szCs w:val="15"/>
          <w:color w:val="auto"/>
        </w:rPr>
      </w:pPr>
      <w:r>
        <w:rPr>
          <w:rFonts w:ascii="Arial" w:cs="Arial" w:eastAsia="Arial" w:hAnsi="Arial"/>
          <w:sz w:val="15"/>
          <w:szCs w:val="15"/>
          <w:color w:val="auto"/>
        </w:rPr>
        <w:t>Prior to making any Alterations (including the Tenant’s Work), Tenant, at its expense, shall (i) excepting only for Decorative Alterations, submit to Landlord for its approval, detailed plans and specifications (each, the “</w:t>
      </w:r>
      <w:r>
        <w:rPr>
          <w:rFonts w:ascii="Arial" w:cs="Arial" w:eastAsia="Arial" w:hAnsi="Arial"/>
          <w:sz w:val="15"/>
          <w:szCs w:val="15"/>
          <w:b w:val="1"/>
          <w:bCs w:val="1"/>
          <w:color w:val="auto"/>
        </w:rPr>
        <w:t>Plans</w:t>
      </w:r>
      <w:r>
        <w:rPr>
          <w:rFonts w:ascii="Arial" w:cs="Arial" w:eastAsia="Arial" w:hAnsi="Arial"/>
          <w:sz w:val="15"/>
          <w:szCs w:val="15"/>
          <w:color w:val="auto"/>
        </w:rPr>
        <w:t xml:space="preserve">”) for such proposed Alteration, (ii) obtain all permits, approvals and certificates required by any Governmental Authorities for the proposed Alteration, and furnish copies thereof to Landlord, and (iii) furnish to Landlord certificates of worker’s compensation insurance (covering all persons to be employed by Tenant, and Tenant’s contractors and subcontractors in connection with such Alteration) and commercial general liability (including property damage coverage) insurance and Builder’s Risk coverage (as described in </w:t>
      </w:r>
      <w:r>
        <w:rPr>
          <w:rFonts w:ascii="Arial" w:cs="Arial" w:eastAsia="Arial" w:hAnsi="Arial"/>
          <w:sz w:val="15"/>
          <w:szCs w:val="15"/>
          <w:b w:val="1"/>
          <w:bCs w:val="1"/>
          <w:color w:val="auto"/>
        </w:rPr>
        <w:t>Article 11</w:t>
      </w:r>
      <w:r>
        <w:rPr>
          <w:rFonts w:ascii="Arial" w:cs="Arial" w:eastAsia="Arial" w:hAnsi="Arial"/>
          <w:sz w:val="15"/>
          <w:szCs w:val="15"/>
          <w:color w:val="auto"/>
        </w:rPr>
        <w:t>) all in such form, with such companies, for such periods and in such amounts as Landlord may reasonably require, naming Landlord, Landlord’s Agent, any Lessor and any Mortgagee as additional insureds. The review or approval of the Plans by Landlord shall not constitute a representation or warranty by Landlord that such Plans either are complete or suitable for their intended purpose or comply with applicable Requirements. Landlord assumes no responsibility or liability whatsoever to Tenant or to any other person or entity for such completeness or suitability. In addition, with respect to any Alteration affecting any Building System, Tenant shall submit to Landlord satisfactory evidence that the proposed Alteration has been designed by, or reviewed and approved by, Landlord’s designated engineer for the affected Building System. The prior consent of Landlord shall not be required in connection with Decorative Alterations or Minor Alterations performed by Tenant; provided, however, Tenant shall give Landlord not less than five (5) Business Days’ notice prior to performing any Decorative Alteration or Minor Alteration, which notice shall contain a description of such Decorative Alteration or Minor Alteration, as applicable. Landlord shall not unreasonably withhold its approval of Plans submitted by Tenant and shall respond to the request of Tenant for such approval within ten (10) Business Days after receipt thereof. If Landlord disapproves said Plans, then concurrent therewith Landlord will specify in writing the reason(s) for such disapproval with sufficient specificity so as to allow Tenant to make such changes as Landlord may reasonably require. If Tenant revises the Plans based on said disapproval by Landlord and resubmits the revised Plans to Landlord, then Landlord respond to the request of Tenant for such approval of the revised Plans within five (5) Business Days after receipt thereof. If Landlord does not respond to a request for approval of proposed Plans within said ten (10) or five (5) Business Day period of time (as applicable), then Tenant may elect to submit an Alteration Reminder Notice (as hereinafter defined) to Landlord and if Landlord does not respond to the Alteration Reminder Notice within five (5) Business Days after receipt thereof, then the proposed Alterations shown on said Plans shall be considered to have been approved by Landlord. An “</w:t>
      </w:r>
      <w:r>
        <w:rPr>
          <w:rFonts w:ascii="Arial" w:cs="Arial" w:eastAsia="Arial" w:hAnsi="Arial"/>
          <w:sz w:val="15"/>
          <w:szCs w:val="15"/>
          <w:b w:val="1"/>
          <w:bCs w:val="1"/>
          <w:color w:val="auto"/>
        </w:rPr>
        <w:t>Alteration Reminder Notice</w:t>
      </w:r>
      <w:r>
        <w:rPr>
          <w:rFonts w:ascii="Arial" w:cs="Arial" w:eastAsia="Arial" w:hAnsi="Arial"/>
          <w:sz w:val="15"/>
          <w:szCs w:val="15"/>
          <w:color w:val="auto"/>
        </w:rPr>
        <w:t xml:space="preserve">” shall mean a written notice delivered by Tenant to Landlord stating the following in capitalized and bold type prominently on the top of the first page of such notice: </w:t>
      </w:r>
      <w:r>
        <w:rPr>
          <w:rFonts w:ascii="Arial" w:cs="Arial" w:eastAsia="Arial" w:hAnsi="Arial"/>
          <w:sz w:val="15"/>
          <w:szCs w:val="15"/>
          <w:b w:val="1"/>
          <w:bCs w:val="1"/>
          <w:color w:val="auto"/>
        </w:rPr>
        <w:t>“THIS NOTICE IS AN ALTERATION REMINDER NOTICE DELIVERED UNDER THE</w:t>
      </w:r>
    </w:p>
    <w:p>
      <w:pPr>
        <w:spacing w:after="0" w:line="14" w:lineRule="exact"/>
        <w:rPr>
          <w:rFonts w:ascii="Arial" w:cs="Arial" w:eastAsia="Arial" w:hAnsi="Arial"/>
          <w:sz w:val="15"/>
          <w:szCs w:val="15"/>
          <w:color w:val="auto"/>
        </w:rPr>
      </w:pPr>
    </w:p>
    <w:p>
      <w:pPr>
        <w:ind w:left="1220"/>
        <w:spacing w:after="0" w:line="234" w:lineRule="auto"/>
        <w:rPr>
          <w:rFonts w:ascii="Arial" w:cs="Arial" w:eastAsia="Arial" w:hAnsi="Arial"/>
          <w:sz w:val="15"/>
          <w:szCs w:val="15"/>
          <w:color w:val="auto"/>
        </w:rPr>
      </w:pPr>
      <w:r>
        <w:rPr>
          <w:rFonts w:ascii="Arial" w:cs="Arial" w:eastAsia="Arial" w:hAnsi="Arial"/>
          <w:sz w:val="15"/>
          <w:szCs w:val="15"/>
          <w:b w:val="1"/>
          <w:bCs w:val="1"/>
          <w:color w:val="auto"/>
        </w:rPr>
        <w:t>LEASE. IF LANDLORD DOES NOT RESPOND TO THE PROPOSED PLANS WITHIN FIVE</w:t>
      </w:r>
    </w:p>
    <w:p>
      <w:pPr>
        <w:jc w:val="both"/>
        <w:ind w:left="1220" w:right="1239"/>
        <w:spacing w:after="0" w:line="250" w:lineRule="auto"/>
        <w:rPr>
          <w:rFonts w:ascii="Arial" w:cs="Arial" w:eastAsia="Arial" w:hAnsi="Arial"/>
          <w:sz w:val="15"/>
          <w:szCs w:val="15"/>
          <w:color w:val="auto"/>
        </w:rPr>
      </w:pPr>
      <w:r>
        <w:rPr>
          <w:rFonts w:ascii="Arial" w:cs="Arial" w:eastAsia="Arial" w:hAnsi="Arial"/>
          <w:sz w:val="15"/>
          <w:szCs w:val="15"/>
          <w:b w:val="1"/>
          <w:bCs w:val="1"/>
          <w:color w:val="auto"/>
        </w:rPr>
        <w:t>(5) BUSINESS DAYS AFTER RECEIPT OF THIS NOTICE, THEN LANDLORD WILL BE CONSIDERED TO HAVE CONSENTED TO THE PROPOSED ALTERATIONS SHOWN ON THE PREVIOUSLY DELIVERED PLANS.”</w:t>
      </w:r>
    </w:p>
    <w:p>
      <w:pPr>
        <w:spacing w:after="0" w:line="119" w:lineRule="exact"/>
        <w:rPr>
          <w:rFonts w:ascii="Arial" w:cs="Arial" w:eastAsia="Arial" w:hAnsi="Arial"/>
          <w:sz w:val="15"/>
          <w:szCs w:val="15"/>
          <w:color w:val="auto"/>
        </w:rPr>
      </w:pPr>
    </w:p>
    <w:p>
      <w:pPr>
        <w:jc w:val="both"/>
        <w:ind w:left="1220" w:right="1239" w:firstLine="1013"/>
        <w:spacing w:after="0" w:line="242" w:lineRule="auto"/>
        <w:tabs>
          <w:tab w:leader="none" w:pos="2592" w:val="left"/>
        </w:tabs>
        <w:numPr>
          <w:ilvl w:val="1"/>
          <w:numId w:val="613"/>
        </w:numPr>
        <w:rPr>
          <w:rFonts w:ascii="Arial" w:cs="Arial" w:eastAsia="Arial" w:hAnsi="Arial"/>
          <w:sz w:val="15"/>
          <w:szCs w:val="15"/>
          <w:color w:val="auto"/>
        </w:rPr>
      </w:pPr>
      <w:r>
        <w:rPr>
          <w:rFonts w:ascii="Arial" w:cs="Arial" w:eastAsia="Arial" w:hAnsi="Arial"/>
          <w:sz w:val="15"/>
          <w:szCs w:val="15"/>
          <w:color w:val="auto"/>
        </w:rPr>
        <w:t>Tenant shall obtain all building permits and other approvals of Governmental Authorities required for all Alterations. In addition, Tenant shall, as and when required, promptly obtain certificates of partial and final approval of such Alterations required by any Governmental Authority. Not later than thirty (30) days after issuance of such permits or approvals, Tenant shall deliver copies thereof to Landlord. In addition, after completion of the respective Alteration, upon request by Landlord, Tenant shall deliver “as-built” Plans for such</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83" w:name="page684"/>
    <w:bookmarkEnd w:id="683"/>
    <w:p>
      <w:pPr>
        <w:jc w:val="both"/>
        <w:ind w:left="1220" w:right="1239"/>
        <w:spacing w:after="0" w:line="244" w:lineRule="auto"/>
        <w:rPr>
          <w:sz w:val="20"/>
          <w:szCs w:val="20"/>
          <w:color w:val="auto"/>
        </w:rPr>
      </w:pPr>
      <w:r>
        <w:rPr>
          <w:rFonts w:ascii="Arial" w:cs="Arial" w:eastAsia="Arial" w:hAnsi="Arial"/>
          <w:sz w:val="15"/>
          <w:szCs w:val="15"/>
          <w:color w:val="auto"/>
        </w:rPr>
        <w:t>Alterations prepared on an AutoCAD Computer Assisted Drafting and Design System (or such other system or medium as Landlord may reasonably require), using naming conventions issued by the American Institute of Architects in June, 1990 (or such other naming conventions as Landlord may reasonably require) and magnetic computer media of such record drawings and specifications translated in DFX format or another format acceptable to Landlord.</w:t>
      </w:r>
    </w:p>
    <w:p>
      <w:pPr>
        <w:spacing w:after="0" w:line="130"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5.2. </w:t>
      </w:r>
      <w:r>
        <w:rPr>
          <w:rFonts w:ascii="Arial" w:cs="Arial" w:eastAsia="Arial" w:hAnsi="Arial"/>
          <w:sz w:val="15"/>
          <w:szCs w:val="15"/>
          <w:b w:val="1"/>
          <w:bCs w:val="1"/>
          <w:u w:val="single" w:color="auto"/>
          <w:color w:val="auto"/>
        </w:rPr>
        <w:t>Manner and Quality of Alterations</w:t>
      </w:r>
      <w:r>
        <w:rPr>
          <w:rFonts w:ascii="Arial" w:cs="Arial" w:eastAsia="Arial" w:hAnsi="Arial"/>
          <w:sz w:val="15"/>
          <w:szCs w:val="15"/>
          <w:b w:val="1"/>
          <w:bCs w:val="1"/>
          <w:color w:val="auto"/>
        </w:rPr>
        <w:t xml:space="preserve">. </w:t>
      </w:r>
      <w:r>
        <w:rPr>
          <w:rFonts w:ascii="Arial" w:cs="Arial" w:eastAsia="Arial" w:hAnsi="Arial"/>
          <w:sz w:val="15"/>
          <w:szCs w:val="15"/>
          <w:color w:val="auto"/>
        </w:rPr>
        <w:t>All Alterations shall be performed (a)</w:t>
      </w:r>
      <w:r>
        <w:rPr>
          <w:rFonts w:ascii="Arial" w:cs="Arial" w:eastAsia="Arial" w:hAnsi="Arial"/>
          <w:sz w:val="15"/>
          <w:szCs w:val="15"/>
          <w:b w:val="1"/>
          <w:bCs w:val="1"/>
          <w:color w:val="auto"/>
        </w:rPr>
        <w:t xml:space="preserve"> </w:t>
      </w:r>
      <w:r>
        <w:rPr>
          <w:rFonts w:ascii="Arial" w:cs="Arial" w:eastAsia="Arial" w:hAnsi="Arial"/>
          <w:sz w:val="15"/>
          <w:szCs w:val="15"/>
          <w:color w:val="auto"/>
        </w:rPr>
        <w:t>in a good and workmanlike manner and free from defects, (b) excepting only with regard to Decorative Alterations, substantially in accordance with the Plans approved by Landlord, which approval shall not be unreasonably withheld, conditioned, or delayed, (c) by contractors selected by Tenant and approved by Landlord, and (d) in compliance with all Requirements, the terms of this Lease and all customary construction procedures and regulations adopted from time-to-time by Landlord. Upon request, Landlord will provide Tenant with a list of pre-approved contractors. All equipment shall be installed in locations designed to carry the weight of such equipment, consistent with the structural design of the Building. Tenant shall cause all equipment to be installed in locations and in a fashion to prevent sounds and vibrations therefrom to impact any areas outside of the Premises. All materials and equipment shall be of first quality, and no such materials or equipment (other than Tenant’s Property) shall be subject to any lien or other encumbrance.</w:t>
      </w:r>
    </w:p>
    <w:p>
      <w:pPr>
        <w:spacing w:after="0" w:line="141"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5.3. </w:t>
      </w:r>
      <w:r>
        <w:rPr>
          <w:rFonts w:ascii="Arial" w:cs="Arial" w:eastAsia="Arial" w:hAnsi="Arial"/>
          <w:sz w:val="15"/>
          <w:szCs w:val="15"/>
          <w:b w:val="1"/>
          <w:bCs w:val="1"/>
          <w:u w:val="single" w:color="auto"/>
          <w:color w:val="auto"/>
        </w:rPr>
        <w:t>Removal of Tenant’s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Tenant’s Property shall remain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property of Tenant and Tenant may remove the same at any time on or before the Expiration Date. By not later than the Expiration Date, Tenant shall, at Tenant’s expense, remove all of Tenant’s Property from the Premises. In addition, by not later than the Expiration Date, unless otherwise directed by Landlord, Tenant shall, at Tenant’s expense, remove any Alterations designated by Landlord as Specialty Alterations and close up any slab penetrations in the Premises (excepting only slab penetrations for Permitted Internal Staircases). Tenant shall repair and restore, in a good and workmanlike manner, any damage to the Premises or the Building arising out of or resulting from the removal by Tenant of any Alterations or Tenant’s Property or by the closing of any slab penetrations. If Tenant fails to perform any of its obligations under this </w:t>
      </w:r>
      <w:r>
        <w:rPr>
          <w:rFonts w:ascii="Arial" w:cs="Arial" w:eastAsia="Arial" w:hAnsi="Arial"/>
          <w:sz w:val="15"/>
          <w:szCs w:val="15"/>
          <w:b w:val="1"/>
          <w:bCs w:val="1"/>
          <w:color w:val="auto"/>
        </w:rPr>
        <w:t>Section 5.3</w:t>
      </w:r>
      <w:r>
        <w:rPr>
          <w:rFonts w:ascii="Arial" w:cs="Arial" w:eastAsia="Arial" w:hAnsi="Arial"/>
          <w:sz w:val="15"/>
          <w:szCs w:val="15"/>
          <w:color w:val="auto"/>
        </w:rPr>
        <w:t>, then Landlord may elect to perform any such obligations, in which event Tenant shall reimburse Landlord for all actual out-of-pocket costs and expenses incurred by Landlord in connection therewith. Any Alterations or Tenant’s Property not removed by the Expiration Date (or earlier termination of this Lease) shall be deemed abandoned and Landlord may retain or remove and dispose of same, and repair and restore any damage caused thereby, at Tenant’s cost and without liability or accountability to Tenant. All Tenant’s Property and all Alterations remaining in the Premises after the Expiration Date (or earlier termination of this Lease) shall become Landlord’s property upon termination of this Lease. Without limiting the foregoing, concurrent with the review of the applicable Plans, Landlord will notify Tenant as to which of the proposed Alterations constitute Specialty Alterations which Tenant will be required to remove at the expiration of the Term.</w:t>
      </w:r>
    </w:p>
    <w:p>
      <w:pPr>
        <w:spacing w:after="0" w:line="251"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5.4. </w:t>
      </w:r>
      <w:r>
        <w:rPr>
          <w:rFonts w:ascii="Arial" w:cs="Arial" w:eastAsia="Arial" w:hAnsi="Arial"/>
          <w:sz w:val="15"/>
          <w:szCs w:val="15"/>
          <w:b w:val="1"/>
          <w:bCs w:val="1"/>
          <w:u w:val="single" w:color="auto"/>
          <w:color w:val="auto"/>
        </w:rPr>
        <w:t>Mechanic’s Liens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at its expense, shall discharge and release any</w:t>
      </w:r>
      <w:r>
        <w:rPr>
          <w:rFonts w:ascii="Arial" w:cs="Arial" w:eastAsia="Arial" w:hAnsi="Arial"/>
          <w:sz w:val="15"/>
          <w:szCs w:val="15"/>
          <w:b w:val="1"/>
          <w:bCs w:val="1"/>
          <w:color w:val="auto"/>
        </w:rPr>
        <w:t xml:space="preserve"> </w:t>
      </w:r>
      <w:r>
        <w:rPr>
          <w:rFonts w:ascii="Arial" w:cs="Arial" w:eastAsia="Arial" w:hAnsi="Arial"/>
          <w:sz w:val="15"/>
          <w:szCs w:val="15"/>
          <w:color w:val="auto"/>
        </w:rPr>
        <w:t>lien, encumbrance, or charge recorded or filed against the Real Property in connection with any work performed or claimed to have been performed by or on behalf of Tenant, or materials or services furnished or claimed to have been furnished to, Tenant, within ten (10) Business Days after Tenant’s receipt of notice thereof. Such discharge shall be affected by payment or filing of a bond in accordance with applicable Requirements.</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84" w:name="page685"/>
    <w:bookmarkEnd w:id="684"/>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5.5. </w:t>
      </w:r>
      <w:r>
        <w:rPr>
          <w:rFonts w:ascii="Arial" w:cs="Arial" w:eastAsia="Arial" w:hAnsi="Arial"/>
          <w:sz w:val="15"/>
          <w:szCs w:val="15"/>
          <w:b w:val="1"/>
          <w:bCs w:val="1"/>
          <w:u w:val="single" w:color="auto"/>
          <w:color w:val="auto"/>
        </w:rPr>
        <w:t>Labor Relations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not employ, or permit the employment of,</w:t>
      </w:r>
      <w:r>
        <w:rPr>
          <w:rFonts w:ascii="Arial" w:cs="Arial" w:eastAsia="Arial" w:hAnsi="Arial"/>
          <w:sz w:val="15"/>
          <w:szCs w:val="15"/>
          <w:b w:val="1"/>
          <w:bCs w:val="1"/>
          <w:color w:val="auto"/>
        </w:rPr>
        <w:t xml:space="preserve"> </w:t>
      </w:r>
      <w:r>
        <w:rPr>
          <w:rFonts w:ascii="Arial" w:cs="Arial" w:eastAsia="Arial" w:hAnsi="Arial"/>
          <w:sz w:val="15"/>
          <w:szCs w:val="15"/>
          <w:color w:val="auto"/>
        </w:rPr>
        <w:t>any contractor, mechanic or laborer, or permit any materials to be delivered to or used in the Building, if, in Landlord’s sole good faith judgment, such employment, delivery or use will interfere or cause any conflict with other contractors, mechanics or laborers engaged in the construction, maintenance or operation of the Building by Landlord, Tenant or others. If such interference or conflict occurs, upon Landlord’s request, Tenant shall cause all contractors, mechanics or laborers causing such interference or conflict to leave the Building immediately.</w:t>
      </w:r>
    </w:p>
    <w:p>
      <w:pPr>
        <w:spacing w:after="0" w:line="133"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5.6. </w:t>
      </w:r>
      <w:r>
        <w:rPr>
          <w:rFonts w:ascii="Arial" w:cs="Arial" w:eastAsia="Arial" w:hAnsi="Arial"/>
          <w:sz w:val="15"/>
          <w:szCs w:val="15"/>
          <w:b w:val="1"/>
          <w:bCs w:val="1"/>
          <w:u w:val="single" w:color="auto"/>
          <w:color w:val="auto"/>
        </w:rPr>
        <w:t>Tenant’s Costs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reimburse Landlord, within thirty (30) days</w:t>
      </w:r>
      <w:r>
        <w:rPr>
          <w:rFonts w:ascii="Arial" w:cs="Arial" w:eastAsia="Arial" w:hAnsi="Arial"/>
          <w:sz w:val="15"/>
          <w:szCs w:val="15"/>
          <w:b w:val="1"/>
          <w:bCs w:val="1"/>
          <w:color w:val="auto"/>
        </w:rPr>
        <w:t xml:space="preserve"> </w:t>
      </w:r>
      <w:r>
        <w:rPr>
          <w:rFonts w:ascii="Arial" w:cs="Arial" w:eastAsia="Arial" w:hAnsi="Arial"/>
          <w:sz w:val="15"/>
          <w:szCs w:val="15"/>
          <w:color w:val="auto"/>
        </w:rPr>
        <w:t>after delivery of an invoice therefor, for all commercially reasonable out-of-pocket costs, expenses and fees actually incurred by Landlord in connection with Alterations proposed or performed by or on behalf of Tenant from time-to-time during the Term of this Lease (excepting the Landlord’s Work), including costs incurred in connection with (a) Landlord’s review of the Plans (including review of requests for approval thereof) and/or supervision of performance of the Alteration, and (b) the provision of Building personnel during the performance of any Alteration, to operate elevators or otherwise to facilitate Tenant’s Alterations. In addition, if the project costs of any Alteration performed by or on behalf of Tenant (excepting the Landlord’s Work) are more than $250,000.00 in the aggregate, then Tenant shall pay to Landlord, within thirty (30) days after delivery of an invoice therefor, the Construction Administration Fee (as hereinafter defined). The “</w:t>
      </w:r>
      <w:r>
        <w:rPr>
          <w:rFonts w:ascii="Arial" w:cs="Arial" w:eastAsia="Arial" w:hAnsi="Arial"/>
          <w:sz w:val="15"/>
          <w:szCs w:val="15"/>
          <w:b w:val="1"/>
          <w:bCs w:val="1"/>
          <w:color w:val="auto"/>
        </w:rPr>
        <w:t>Construction Administration Fee</w:t>
      </w:r>
      <w:r>
        <w:rPr>
          <w:rFonts w:ascii="Arial" w:cs="Arial" w:eastAsia="Arial" w:hAnsi="Arial"/>
          <w:sz w:val="15"/>
          <w:szCs w:val="15"/>
          <w:color w:val="auto"/>
        </w:rPr>
        <w:t>” shall be as follows: (A) with respect to an Alteration performed prior to the fifth (5</w:t>
      </w:r>
      <w:r>
        <w:rPr>
          <w:rFonts w:ascii="Arial" w:cs="Arial" w:eastAsia="Arial" w:hAnsi="Arial"/>
          <w:sz w:val="20"/>
          <w:szCs w:val="20"/>
          <w:color w:val="auto"/>
          <w:vertAlign w:val="superscript"/>
        </w:rPr>
        <w:t>th</w:t>
      </w:r>
      <w:r>
        <w:rPr>
          <w:rFonts w:ascii="Arial" w:cs="Arial" w:eastAsia="Arial" w:hAnsi="Arial"/>
          <w:sz w:val="15"/>
          <w:szCs w:val="15"/>
          <w:color w:val="auto"/>
        </w:rPr>
        <w:t>) anniversary of the Commencement Date, the Construction Administration Fee shall be an amount equal to the actual costs and expenses incurred by or on behalf of Landlord in connection with the review and supervision of said Alteration, including an allocation of the internal costs and expenses incurred for employees, representatives, and agents of Landlord and/or Landlord’s Agent, and out-of-pocket third-party fees, costs and expenses incurred by Landlord in connection therewith, excepting only to the extent such fees, costs and expenses are otherwise included in Operating Expenses; and (B) from and after the fifth (5</w:t>
      </w:r>
      <w:r>
        <w:rPr>
          <w:rFonts w:ascii="Arial" w:cs="Arial" w:eastAsia="Arial" w:hAnsi="Arial"/>
          <w:sz w:val="20"/>
          <w:szCs w:val="20"/>
          <w:color w:val="auto"/>
          <w:vertAlign w:val="superscript"/>
        </w:rPr>
        <w:t>th</w:t>
      </w:r>
      <w:r>
        <w:rPr>
          <w:rFonts w:ascii="Arial" w:cs="Arial" w:eastAsia="Arial" w:hAnsi="Arial"/>
          <w:sz w:val="15"/>
          <w:szCs w:val="15"/>
          <w:color w:val="auto"/>
        </w:rPr>
        <w:t>) anniversary of the Commencement Date, the Construction Administration Fee for each Alteration shall be calculated as follows: (i) an amount equal to four percent (4%) of the hard construction costs, to the extent the hard construction costs are greater than $250,000.00 but are equal to or less than $ 2,500,000.00; (ii) an amount equal to three and one-half percent (3.5%) of the hard construction costs, to the extent the hard construction costs equal or exceed $2,500,001.00 but are equal to or less than $3,500,000.00; (iii) an amount equal to three percent (3%) of the hard construction costs, to the extent the hard construction costs equal or exceed $ 3,500,001.00 but are equal to or less than $4,500,000.00; (iv) an amount equal to two and one-half percent (2.5%) of the hard construction costs, to the extent the hard construction costs equal or exceed $4,500,001.00 but are equal to or less than $5,500,000.00; and (v) an amount equal to two percent (2%) of the hard construction costs, to the extent the hard construction costs equal or exceed $5,500,001.00. At Landlord’s request, Tenant shall deliver to Landlord reasonable supporting documentation evidencing the hard construction and soft costs incurred by Tenant in designing and constructing any Alterations.</w:t>
      </w:r>
    </w:p>
    <w:p>
      <w:pPr>
        <w:spacing w:after="0" w:line="152"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5.7. </w:t>
      </w:r>
      <w:r>
        <w:rPr>
          <w:rFonts w:ascii="Arial" w:cs="Arial" w:eastAsia="Arial" w:hAnsi="Arial"/>
          <w:sz w:val="15"/>
          <w:szCs w:val="15"/>
          <w:b w:val="1"/>
          <w:bCs w:val="1"/>
          <w:u w:val="single" w:color="auto"/>
          <w:color w:val="auto"/>
        </w:rPr>
        <w:t>Tenant’s Equipment</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provide notice to Landlord prior to</w:t>
      </w:r>
      <w:r>
        <w:rPr>
          <w:rFonts w:ascii="Arial" w:cs="Arial" w:eastAsia="Arial" w:hAnsi="Arial"/>
          <w:sz w:val="15"/>
          <w:szCs w:val="15"/>
          <w:b w:val="1"/>
          <w:bCs w:val="1"/>
          <w:color w:val="auto"/>
        </w:rPr>
        <w:t xml:space="preserve"> </w:t>
      </w:r>
      <w:r>
        <w:rPr>
          <w:rFonts w:ascii="Arial" w:cs="Arial" w:eastAsia="Arial" w:hAnsi="Arial"/>
          <w:sz w:val="15"/>
          <w:szCs w:val="15"/>
          <w:color w:val="auto"/>
        </w:rPr>
        <w:t>moving any heavy machinery, heavy equipment, freight, bulky matter or fixtures (collectively, “</w:t>
      </w:r>
      <w:r>
        <w:rPr>
          <w:rFonts w:ascii="Arial" w:cs="Arial" w:eastAsia="Arial" w:hAnsi="Arial"/>
          <w:sz w:val="15"/>
          <w:szCs w:val="15"/>
          <w:b w:val="1"/>
          <w:bCs w:val="1"/>
          <w:color w:val="auto"/>
        </w:rPr>
        <w:t>Equipment</w:t>
      </w:r>
      <w:r>
        <w:rPr>
          <w:rFonts w:ascii="Arial" w:cs="Arial" w:eastAsia="Arial" w:hAnsi="Arial"/>
          <w:sz w:val="15"/>
          <w:szCs w:val="15"/>
          <w:color w:val="auto"/>
        </w:rPr>
        <w:t>”) into or out of the Building. If such Equipment requires special handling, Tenant agrees (a) to employ only persons holding all necessary licenses to perform such work, (b) all work performed in connection therewith shall comply with all applicable Requirements, (c) such work shall be done only during mutually acceptable hours agreed-to by both Landlord and Tenant, and (d) to reimburse Landlord for all commercially reasonable out-of-pocket costs incurred by Landlord in connection therewith.</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685" w:name="page686"/>
    <w:bookmarkEnd w:id="685"/>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5.8. </w:t>
      </w:r>
      <w:r>
        <w:rPr>
          <w:rFonts w:ascii="Arial" w:cs="Arial" w:eastAsia="Arial" w:hAnsi="Arial"/>
          <w:sz w:val="15"/>
          <w:szCs w:val="15"/>
          <w:b w:val="1"/>
          <w:bCs w:val="1"/>
          <w:u w:val="single" w:color="auto"/>
          <w:color w:val="auto"/>
        </w:rPr>
        <w:t>Legal Compliance</w:t>
      </w:r>
      <w:r>
        <w:rPr>
          <w:rFonts w:ascii="Arial" w:cs="Arial" w:eastAsia="Arial" w:hAnsi="Arial"/>
          <w:sz w:val="15"/>
          <w:szCs w:val="15"/>
          <w:b w:val="1"/>
          <w:bCs w:val="1"/>
          <w:color w:val="auto"/>
        </w:rPr>
        <w:t xml:space="preserve">. </w:t>
      </w:r>
      <w:r>
        <w:rPr>
          <w:rFonts w:ascii="Arial" w:cs="Arial" w:eastAsia="Arial" w:hAnsi="Arial"/>
          <w:sz w:val="15"/>
          <w:szCs w:val="15"/>
          <w:color w:val="auto"/>
        </w:rPr>
        <w:t>The approval of Plans, or consent by Landlord to the</w:t>
      </w:r>
      <w:r>
        <w:rPr>
          <w:rFonts w:ascii="Arial" w:cs="Arial" w:eastAsia="Arial" w:hAnsi="Arial"/>
          <w:sz w:val="15"/>
          <w:szCs w:val="15"/>
          <w:b w:val="1"/>
          <w:bCs w:val="1"/>
          <w:color w:val="auto"/>
        </w:rPr>
        <w:t xml:space="preserve"> </w:t>
      </w:r>
      <w:r>
        <w:rPr>
          <w:rFonts w:ascii="Arial" w:cs="Arial" w:eastAsia="Arial" w:hAnsi="Arial"/>
          <w:sz w:val="15"/>
          <w:szCs w:val="15"/>
          <w:color w:val="auto"/>
        </w:rPr>
        <w:t>making of any Alterations, shall not constitute Landlord’s representation that such Plans or Alterations comply with any Requirements. Landlord shall not be liable to Tenant or any other party in connection with Landlord’s approval of any Plans, or Landlord’s consent to Tenant’s performing any Alterations. If and to the extent arising out of or resulting from any Alterations made by or on behalf of Tenant, Landlord is required by an order or directive of a Governmental Authority to make any alterations or improvements to any part of the Building in order to comply with an applicable Requirement, Tenant shall pay, as Additional Rent, all costs and expenses incurred by Landlord in connection with such alterations or improvements.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6 REPAIRS</w:t>
      </w:r>
    </w:p>
    <w:p>
      <w:pPr>
        <w:spacing w:after="0" w:line="164"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6.1. </w:t>
      </w:r>
      <w:r>
        <w:rPr>
          <w:rFonts w:ascii="Arial" w:cs="Arial" w:eastAsia="Arial" w:hAnsi="Arial"/>
          <w:sz w:val="15"/>
          <w:szCs w:val="15"/>
          <w:b w:val="1"/>
          <w:bCs w:val="1"/>
          <w:u w:val="single" w:color="auto"/>
          <w:color w:val="auto"/>
        </w:rPr>
        <w:t>Landlord’s Repair and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operate and, except</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as provided in </w:t>
      </w:r>
      <w:r>
        <w:rPr>
          <w:rFonts w:ascii="Arial" w:cs="Arial" w:eastAsia="Arial" w:hAnsi="Arial"/>
          <w:sz w:val="15"/>
          <w:szCs w:val="15"/>
          <w:b w:val="1"/>
          <w:bCs w:val="1"/>
          <w:color w:val="auto"/>
        </w:rPr>
        <w:t>Section 6.2</w:t>
      </w:r>
      <w:r>
        <w:rPr>
          <w:rFonts w:ascii="Arial" w:cs="Arial" w:eastAsia="Arial" w:hAnsi="Arial"/>
          <w:sz w:val="15"/>
          <w:szCs w:val="15"/>
          <w:color w:val="auto"/>
        </w:rPr>
        <w:t xml:space="preserve"> hereof, perform all necessary repairs and maintenance (both structural and nonstructural) to (i) the roof and all structural elements of the Building, (ii) the Building Systems, (iii) the Common Areas, and (iv) the Common Facilities, in good order, repair and condition, and in conformance with standards applicable to Comparable Buildings. The Common Areas will include an internal pedestrian connection, a ground floor lobby area, the Convenor Space, and the Lobby Café, each of which will be open to and accessible by the public. The basement area of the Building will include a fitness center with lockers and showers and an indoor bicycle room.</w:t>
      </w:r>
    </w:p>
    <w:p>
      <w:pPr>
        <w:spacing w:after="0" w:line="136"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6.2. </w:t>
      </w:r>
      <w:r>
        <w:rPr>
          <w:rFonts w:ascii="Arial" w:cs="Arial" w:eastAsia="Arial" w:hAnsi="Arial"/>
          <w:sz w:val="15"/>
          <w:szCs w:val="15"/>
          <w:b w:val="1"/>
          <w:bCs w:val="1"/>
          <w:u w:val="single" w:color="auto"/>
          <w:color w:val="auto"/>
        </w:rPr>
        <w:t>Tenant’s Repair and Maintenance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promptly, at its expense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and in compliance with </w:t>
      </w:r>
      <w:r>
        <w:rPr>
          <w:rFonts w:ascii="Arial" w:cs="Arial" w:eastAsia="Arial" w:hAnsi="Arial"/>
          <w:sz w:val="15"/>
          <w:szCs w:val="15"/>
          <w:b w:val="1"/>
          <w:bCs w:val="1"/>
          <w:color w:val="auto"/>
        </w:rPr>
        <w:t>Article 5</w:t>
      </w:r>
      <w:r>
        <w:rPr>
          <w:rFonts w:ascii="Arial" w:cs="Arial" w:eastAsia="Arial" w:hAnsi="Arial"/>
          <w:sz w:val="15"/>
          <w:szCs w:val="15"/>
          <w:color w:val="auto"/>
        </w:rPr>
        <w:t xml:space="preserve">, (a) keep and maintain, in good order, condition and repair, consistent with the standards of Comparable Buildings, the Premises and every part thereof, including the exterior and interior portions of all doors, interior windows, fixtures, interior walls, floors, ceilings, signs, all laboratory and research equipment, and all wiring, electrical systems and equipment, and all other equipment and machinery located within and exclusively serving the Premises, and (b) make all nonstructural repairs to the Premises and the fixtures, equipment, machinery, and appurtenances located therein (excluding the Building System, but including all electrical, plumbing, heating, ventilation and air conditioning, sprinklers and life safety systems in and serving the Premises from the point of connection to the Building Systems), as and when needed to preserve the Premises in good working order and condition, except for reasonable wear and tear and damage for which Tenant is not responsible. All damage to the Building or to any portion thereof requiring structural or nonstructural repair caused by or resulting from any act, omission, neglect or improper conduct of a Tenant Party or the moving of Tenant’s Property or equipment into, within or out of the Premises by a Tenant Party, shall be repaired at Tenant’s expense by (i) Tenant, if the required repairs are nonstructural in nature and do not affect the exterior doors, exterior windows or any Building System, or (ii) Landlord, if the required repairs are structural in nature, affect the exterior doors, exterior windows or any Building System. All Tenant repairs shall be of good quality utilizing new construction materials. The foregoing provisions shall be subject to the waiver of subrogation provisions set forth in </w:t>
      </w:r>
      <w:r>
        <w:rPr>
          <w:rFonts w:ascii="Arial" w:cs="Arial" w:eastAsia="Arial" w:hAnsi="Arial"/>
          <w:sz w:val="15"/>
          <w:szCs w:val="15"/>
          <w:b w:val="1"/>
          <w:bCs w:val="1"/>
          <w:color w:val="auto"/>
        </w:rPr>
        <w:t>Section 11.2</w:t>
      </w:r>
      <w:r>
        <w:rPr>
          <w:rFonts w:ascii="Arial" w:cs="Arial" w:eastAsia="Arial" w:hAnsi="Arial"/>
          <w:sz w:val="15"/>
          <w:szCs w:val="15"/>
          <w:color w:val="auto"/>
        </w:rPr>
        <w:t>.</w:t>
      </w:r>
    </w:p>
    <w:p>
      <w:pPr>
        <w:spacing w:after="0" w:line="251"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6.3. </w:t>
      </w:r>
      <w:r>
        <w:rPr>
          <w:rFonts w:ascii="Arial" w:cs="Arial" w:eastAsia="Arial" w:hAnsi="Arial"/>
          <w:sz w:val="15"/>
          <w:szCs w:val="15"/>
          <w:b w:val="1"/>
          <w:bCs w:val="1"/>
          <w:u w:val="single" w:color="auto"/>
          <w:color w:val="auto"/>
        </w:rPr>
        <w:t>Restorative Work</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reserves the right to make all changes,</w:t>
      </w:r>
      <w:r>
        <w:rPr>
          <w:rFonts w:ascii="Arial" w:cs="Arial" w:eastAsia="Arial" w:hAnsi="Arial"/>
          <w:sz w:val="15"/>
          <w:szCs w:val="15"/>
          <w:b w:val="1"/>
          <w:bCs w:val="1"/>
          <w:color w:val="auto"/>
        </w:rPr>
        <w:t xml:space="preserve"> </w:t>
      </w:r>
      <w:r>
        <w:rPr>
          <w:rFonts w:ascii="Arial" w:cs="Arial" w:eastAsia="Arial" w:hAnsi="Arial"/>
          <w:sz w:val="15"/>
          <w:szCs w:val="15"/>
          <w:color w:val="auto"/>
        </w:rPr>
        <w:t>alterations, additions, improvements, repairs or replacements to the Building, the Common Facilities, and/or the Building Systems, including changing the arrangement or location of entrances or passageways, doors and doorways, corridors, elevators, stairs, toilets or other Common Areas (collectively, “</w:t>
      </w:r>
      <w:r>
        <w:rPr>
          <w:rFonts w:ascii="Arial" w:cs="Arial" w:eastAsia="Arial" w:hAnsi="Arial"/>
          <w:sz w:val="15"/>
          <w:szCs w:val="15"/>
          <w:b w:val="1"/>
          <w:bCs w:val="1"/>
          <w:color w:val="auto"/>
        </w:rPr>
        <w:t>Restorative Work</w:t>
      </w:r>
      <w:r>
        <w:rPr>
          <w:rFonts w:ascii="Arial" w:cs="Arial" w:eastAsia="Arial" w:hAnsi="Arial"/>
          <w:sz w:val="15"/>
          <w:szCs w:val="15"/>
          <w:color w:val="auto"/>
        </w:rPr>
        <w:t>”), as Landlord deems necessary or desirable, and to take all materials into the Premises required for the performance of such Restorative Work provided that (a) the level of any Building service shall not decrease in any material respect from the level required of Landlord in this Lease as a result thereof (other than temporary changes in</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686" w:name="page687"/>
    <w:bookmarkEnd w:id="686"/>
    <w:p>
      <w:pPr>
        <w:jc w:val="both"/>
        <w:ind w:left="1220" w:right="1239"/>
        <w:spacing w:after="0" w:line="238" w:lineRule="auto"/>
        <w:rPr>
          <w:sz w:val="20"/>
          <w:szCs w:val="20"/>
          <w:color w:val="auto"/>
        </w:rPr>
      </w:pPr>
      <w:r>
        <w:rPr>
          <w:rFonts w:ascii="Arial" w:cs="Arial" w:eastAsia="Arial" w:hAnsi="Arial"/>
          <w:sz w:val="15"/>
          <w:szCs w:val="15"/>
          <w:color w:val="auto"/>
        </w:rPr>
        <w:t xml:space="preserve">the level of such services during the performance of any such Restorative Work), (b) Tenant’s access to the Premises and Tenant’s usual operations in the Premises are not materially impaired, and (c) Landlord provides not less than thirty (30) days prior notice of the commencement of the Restorative Work, which notice shall describe the Restorative Work and the remediation actions to be taken by Landlord in connection therewith. Any access to the Premises by Landlord in connection with the performance of Restorative Work shall be subject to and in accordance with the provisions of </w:t>
      </w:r>
      <w:r>
        <w:rPr>
          <w:rFonts w:ascii="Arial" w:cs="Arial" w:eastAsia="Arial" w:hAnsi="Arial"/>
          <w:sz w:val="15"/>
          <w:szCs w:val="15"/>
          <w:b w:val="1"/>
          <w:bCs w:val="1"/>
          <w:color w:val="auto"/>
        </w:rPr>
        <w:t>Section 14.1</w:t>
      </w:r>
      <w:r>
        <w:rPr>
          <w:rFonts w:ascii="Arial" w:cs="Arial" w:eastAsia="Arial" w:hAnsi="Arial"/>
          <w:sz w:val="15"/>
          <w:szCs w:val="15"/>
          <w:color w:val="auto"/>
        </w:rPr>
        <w:t>. There shall be no Rent abatement or allowance to Tenant for a diminution of rental value, no actual or constructive eviction of Tenant, in whole or in part, no relief from any of Tenant’s other obligations under this Lease, and no liability on the part of Landlord by reason of business interruptions arising from Landlord, Tenant or others performing, or failing to perform, any Restorative Work.</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7</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TAXES, OPERATING EXPENSES AND INSURANCE EXPENSES</w:t>
      </w:r>
    </w:p>
    <w:p>
      <w:pPr>
        <w:spacing w:after="0" w:line="164" w:lineRule="exact"/>
        <w:rPr>
          <w:sz w:val="20"/>
          <w:szCs w:val="20"/>
          <w:color w:val="auto"/>
        </w:rPr>
      </w:pPr>
    </w:p>
    <w:p>
      <w:pPr>
        <w:ind w:left="1220" w:right="1519" w:firstLine="505"/>
        <w:spacing w:after="0" w:line="277" w:lineRule="auto"/>
        <w:rPr>
          <w:sz w:val="20"/>
          <w:szCs w:val="20"/>
          <w:color w:val="auto"/>
        </w:rPr>
      </w:pPr>
      <w:r>
        <w:rPr>
          <w:rFonts w:ascii="Arial" w:cs="Arial" w:eastAsia="Arial" w:hAnsi="Arial"/>
          <w:sz w:val="15"/>
          <w:szCs w:val="15"/>
          <w:b w:val="1"/>
          <w:bCs w:val="1"/>
          <w:color w:val="auto"/>
        </w:rPr>
        <w:t xml:space="preserve">Section 7.1. </w:t>
      </w:r>
      <w:r>
        <w:rPr>
          <w:rFonts w:ascii="Arial" w:cs="Arial" w:eastAsia="Arial" w:hAnsi="Arial"/>
          <w:sz w:val="15"/>
          <w:szCs w:val="15"/>
          <w:b w:val="1"/>
          <w:bCs w:val="1"/>
          <w:u w:val="single" w:color="auto"/>
          <w:color w:val="auto"/>
        </w:rPr>
        <w:t>Definitions</w:t>
      </w:r>
      <w:r>
        <w:rPr>
          <w:rFonts w:ascii="Arial" w:cs="Arial" w:eastAsia="Arial" w:hAnsi="Arial"/>
          <w:sz w:val="15"/>
          <w:szCs w:val="15"/>
          <w:b w:val="1"/>
          <w:bCs w:val="1"/>
          <w:color w:val="auto"/>
        </w:rPr>
        <w:t xml:space="preserve">. </w:t>
      </w:r>
      <w:r>
        <w:rPr>
          <w:rFonts w:ascii="Arial" w:cs="Arial" w:eastAsia="Arial" w:hAnsi="Arial"/>
          <w:sz w:val="15"/>
          <w:szCs w:val="15"/>
          <w:color w:val="auto"/>
        </w:rPr>
        <w:t>For the purposes of this</w:t>
      </w:r>
      <w:r>
        <w:rPr>
          <w:rFonts w:ascii="Arial" w:cs="Arial" w:eastAsia="Arial" w:hAnsi="Arial"/>
          <w:sz w:val="15"/>
          <w:szCs w:val="15"/>
          <w:b w:val="1"/>
          <w:bCs w:val="1"/>
          <w:color w:val="auto"/>
        </w:rPr>
        <w:t xml:space="preserve"> Article 7</w:t>
      </w:r>
      <w:r>
        <w:rPr>
          <w:rFonts w:ascii="Arial" w:cs="Arial" w:eastAsia="Arial" w:hAnsi="Arial"/>
          <w:sz w:val="15"/>
          <w:szCs w:val="15"/>
          <w:color w:val="auto"/>
        </w:rPr>
        <w:t>, the following terms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the meanings set forth below:</w:t>
      </w:r>
    </w:p>
    <w:p>
      <w:pPr>
        <w:spacing w:after="0" w:line="106" w:lineRule="exact"/>
        <w:rPr>
          <w:sz w:val="20"/>
          <w:szCs w:val="20"/>
          <w:color w:val="auto"/>
        </w:rPr>
      </w:pPr>
    </w:p>
    <w:p>
      <w:pPr>
        <w:ind w:left="1220" w:right="1239" w:firstLine="1013"/>
        <w:spacing w:after="0" w:line="277" w:lineRule="auto"/>
        <w:tabs>
          <w:tab w:leader="none" w:pos="2592" w:val="left"/>
        </w:tabs>
        <w:numPr>
          <w:ilvl w:val="0"/>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Assessed Valuation</w:t>
      </w:r>
      <w:r>
        <w:rPr>
          <w:rFonts w:ascii="Arial" w:cs="Arial" w:eastAsia="Arial" w:hAnsi="Arial"/>
          <w:sz w:val="15"/>
          <w:szCs w:val="15"/>
          <w:color w:val="auto"/>
        </w:rPr>
        <w:t>” shall mean the amount for which the Real Property is assessed by the City of Boston for the purpose of imposition of Taxes.</w:t>
      </w:r>
    </w:p>
    <w:p>
      <w:pPr>
        <w:spacing w:after="0" w:line="106"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Controllable Operating Expenses</w:t>
      </w:r>
      <w:r>
        <w:rPr>
          <w:rFonts w:ascii="Arial" w:cs="Arial" w:eastAsia="Arial" w:hAnsi="Arial"/>
          <w:sz w:val="15"/>
          <w:szCs w:val="15"/>
          <w:color w:val="auto"/>
        </w:rPr>
        <w:t xml:space="preserve">” shall mean </w:t>
      </w:r>
      <w:r>
        <w:rPr>
          <w:rFonts w:ascii="Arial" w:cs="Arial" w:eastAsia="Arial" w:hAnsi="Arial"/>
          <w:sz w:val="15"/>
          <w:szCs w:val="15"/>
          <w:color w:val="1D1B11"/>
        </w:rPr>
        <w:t>all Operating Expenses,</w:t>
      </w:r>
      <w:r>
        <w:rPr>
          <w:rFonts w:ascii="Arial" w:cs="Arial" w:eastAsia="Arial" w:hAnsi="Arial"/>
          <w:sz w:val="15"/>
          <w:szCs w:val="15"/>
          <w:color w:val="auto"/>
        </w:rPr>
        <w:t xml:space="preserve"> </w:t>
      </w:r>
      <w:r>
        <w:rPr>
          <w:rFonts w:ascii="Arial" w:cs="Arial" w:eastAsia="Arial" w:hAnsi="Arial"/>
          <w:sz w:val="15"/>
          <w:szCs w:val="15"/>
          <w:color w:val="1D1B11"/>
        </w:rPr>
        <w:t xml:space="preserve">excluding (i) utility and fuel costs and expenses, (ii) increases in security costs and expenses, cleaning costs and expenses, trash and debris removal costs and expenses, each to the extent resulting from general market collective bargaining agreements or other union related labor cost increases, (iii) management fees, (iv) costs and expenses of snow and ice removal, and (v) costs and expenses of additional services performed by Landlord at the request of Tenant (i.e., additional services which are in excess of those which Landlord is obligated to provide as expressly set forth in this Lease, such as </w:t>
      </w:r>
      <w:r>
        <w:rPr>
          <w:rFonts w:ascii="Arial" w:cs="Arial" w:eastAsia="Arial" w:hAnsi="Arial"/>
          <w:sz w:val="15"/>
          <w:szCs w:val="15"/>
          <w:color w:val="000000"/>
        </w:rPr>
        <w:t>re-painting walls and replacing carpet)</w:t>
      </w:r>
      <w:r>
        <w:rPr>
          <w:rFonts w:ascii="Arial" w:cs="Arial" w:eastAsia="Arial" w:hAnsi="Arial"/>
          <w:sz w:val="15"/>
          <w:szCs w:val="15"/>
          <w:color w:val="1D1B11"/>
        </w:rPr>
        <w:t>.</w:t>
      </w:r>
    </w:p>
    <w:p>
      <w:pPr>
        <w:spacing w:after="0" w:line="133" w:lineRule="exact"/>
        <w:rPr>
          <w:rFonts w:ascii="Arial" w:cs="Arial" w:eastAsia="Arial" w:hAnsi="Arial"/>
          <w:sz w:val="15"/>
          <w:szCs w:val="15"/>
          <w:color w:val="auto"/>
        </w:rPr>
      </w:pPr>
    </w:p>
    <w:p>
      <w:pPr>
        <w:jc w:val="both"/>
        <w:ind w:left="1220" w:right="1239" w:firstLine="1013"/>
        <w:spacing w:after="0" w:line="244" w:lineRule="auto"/>
        <w:tabs>
          <w:tab w:leader="none" w:pos="2592" w:val="left"/>
        </w:tabs>
        <w:numPr>
          <w:ilvl w:val="0"/>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Insurance Expenses</w:t>
      </w:r>
      <w:r>
        <w:rPr>
          <w:rFonts w:ascii="Arial" w:cs="Arial" w:eastAsia="Arial" w:hAnsi="Arial"/>
          <w:sz w:val="15"/>
          <w:szCs w:val="15"/>
          <w:color w:val="auto"/>
        </w:rPr>
        <w:t>” shall mean the aggregate of all costs and expenses incurred by Landlord in connection with insuring the Real Property, including all premiums for fire, casualty, liability, worker’s compensation, and such other insurance as Landlord may maintain from time to time, consistent with the coverages maintained by prudent owners of Comparable Buildings.</w:t>
      </w:r>
    </w:p>
    <w:p>
      <w:pPr>
        <w:spacing w:after="0" w:line="132"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1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Operating Expenses</w:t>
      </w:r>
      <w:r>
        <w:rPr>
          <w:rFonts w:ascii="Arial" w:cs="Arial" w:eastAsia="Arial" w:hAnsi="Arial"/>
          <w:sz w:val="15"/>
          <w:szCs w:val="15"/>
          <w:color w:val="auto"/>
        </w:rPr>
        <w:t xml:space="preserve">” shall mean the aggregate of all costs and expenses paid or incurred by or on behalf of Landlord in connection with the operation, management, repair and maintenance of the Real Property, which costs and expenses may include, without limitation, the following: (x) the costs of operation, management, repair and maintenance of the Building Systems and the services provided by Landlord to tenants and occupants of the Building (including the Tenant), and (y) the costs of capital repairs, improvements or replacements made by Landlord during the Term (i) that are intended in the good faith reasonable judgment of Landlord to effect savings in the operation or maintenance of the Building, or to reduce future Operating Expenses, based on estimates prepared by a qualified independent engineer engaged by or on behalf of Landlord, which estimates and anticipated savings shall be included in the Expense Estimates and Statements of Operating Expenses provided to Tenant pursuant to </w:t>
      </w:r>
      <w:r>
        <w:rPr>
          <w:rFonts w:ascii="Arial" w:cs="Arial" w:eastAsia="Arial" w:hAnsi="Arial"/>
          <w:sz w:val="15"/>
          <w:szCs w:val="15"/>
          <w:b w:val="1"/>
          <w:bCs w:val="1"/>
          <w:color w:val="auto"/>
        </w:rPr>
        <w:t>Section 7.3(a)</w:t>
      </w:r>
      <w:r>
        <w:rPr>
          <w:rFonts w:ascii="Arial" w:cs="Arial" w:eastAsia="Arial" w:hAnsi="Arial"/>
          <w:sz w:val="15"/>
          <w:szCs w:val="15"/>
          <w:color w:val="auto"/>
        </w:rPr>
        <w:t>, or (ii) made to comply with a Requirement which first becomes effective after the Commencement Date (whether through adoption, promulgation, application, interpretation, or otherwise) (the capital expenditures described in subsections (i) and (ii) being hereinafter referred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87" w:name="page688"/>
    <w:bookmarkEnd w:id="687"/>
    <w:p>
      <w:pPr>
        <w:jc w:val="both"/>
        <w:ind w:left="1220" w:right="1239"/>
        <w:spacing w:after="0"/>
        <w:rPr>
          <w:sz w:val="20"/>
          <w:szCs w:val="20"/>
          <w:color w:val="auto"/>
        </w:rPr>
      </w:pPr>
      <w:r>
        <w:rPr>
          <w:rFonts w:ascii="Arial" w:cs="Arial" w:eastAsia="Arial" w:hAnsi="Arial"/>
          <w:sz w:val="15"/>
          <w:szCs w:val="15"/>
          <w:color w:val="auto"/>
        </w:rPr>
        <w:t>to as “</w:t>
      </w:r>
      <w:r>
        <w:rPr>
          <w:rFonts w:ascii="Arial" w:cs="Arial" w:eastAsia="Arial" w:hAnsi="Arial"/>
          <w:sz w:val="15"/>
          <w:szCs w:val="15"/>
          <w:b w:val="1"/>
          <w:bCs w:val="1"/>
          <w:color w:val="auto"/>
        </w:rPr>
        <w:t>Permitted Capital Expenditures</w:t>
      </w:r>
      <w:r>
        <w:rPr>
          <w:rFonts w:ascii="Arial" w:cs="Arial" w:eastAsia="Arial" w:hAnsi="Arial"/>
          <w:sz w:val="15"/>
          <w:szCs w:val="15"/>
          <w:color w:val="auto"/>
        </w:rPr>
        <w:t>”). The “annual charge-off” of each such Permitted Capital Expenditure shall be determined by dividing the original cost of the Permitted Capital Expenditure by the number of years of useful life thereof (which useful life shall be determined reasonably by Landlord in accordance with generally accepted accounting principles and practices in effect at the time of the Permitted Capital Expenditure); provided, however, subject to the foregoing clause (i), if Landlord reasonably concludes on the basis of an independent engineering study or analysis that a particular Permitted Capital Expenditure will effect savings in Operating Expenses, including energy related costs, and that such projected savings are anticipated to, on an annual basis (“</w:t>
      </w:r>
      <w:r>
        <w:rPr>
          <w:rFonts w:ascii="Arial" w:cs="Arial" w:eastAsia="Arial" w:hAnsi="Arial"/>
          <w:sz w:val="15"/>
          <w:szCs w:val="15"/>
          <w:b w:val="1"/>
          <w:bCs w:val="1"/>
          <w:color w:val="auto"/>
        </w:rPr>
        <w:t>Projected Annual Savings</w:t>
      </w:r>
      <w:r>
        <w:rPr>
          <w:rFonts w:ascii="Arial" w:cs="Arial" w:eastAsia="Arial" w:hAnsi="Arial"/>
          <w:sz w:val="15"/>
          <w:szCs w:val="15"/>
          <w:color w:val="auto"/>
        </w:rPr>
        <w:t>”), exceed the annual depreciation therefor (as determined in accordance with generally accepted accounting principles and practices), then and in such event the amount of depreciation for such Permitted Capital Expenditure shall be increased to be an amount equal to the Projected Annual Savings, and in such circumstance, the increased depreciation (in the amount of the Projected Annual Savings) shall be applicable for such period of time as it would take to fully amortize the cost of the Permitted Capital Expenditure in question. The “annual charge-off” of each such Permitted Capital Expenditure shall be included in Operating Expenses for each calendar year in which such Permitted Capital Expenditure is made, and for each subsequent calendar year. Operating Expenses shall not include any Excluded Expenses.</w:t>
      </w:r>
    </w:p>
    <w:p>
      <w:pPr>
        <w:spacing w:after="0" w:line="264" w:lineRule="exact"/>
        <w:rPr>
          <w:sz w:val="20"/>
          <w:szCs w:val="20"/>
          <w:color w:val="auto"/>
        </w:rPr>
      </w:pPr>
    </w:p>
    <w:p>
      <w:pPr>
        <w:jc w:val="both"/>
        <w:ind w:left="1220" w:right="1239" w:firstLine="1013"/>
        <w:spacing w:after="0" w:line="255" w:lineRule="auto"/>
        <w:tabs>
          <w:tab w:leader="none" w:pos="2592" w:val="left"/>
        </w:tabs>
        <w:numPr>
          <w:ilvl w:val="1"/>
          <w:numId w:val="6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Statement</w:t>
      </w:r>
      <w:r>
        <w:rPr>
          <w:rFonts w:ascii="Arial" w:cs="Arial" w:eastAsia="Arial" w:hAnsi="Arial"/>
          <w:sz w:val="15"/>
          <w:szCs w:val="15"/>
          <w:color w:val="auto"/>
        </w:rPr>
        <w:t>” shall mean an itemized statement setting forth (i) the Taxes for the Tax Year (or portion thereof), (ii) the Operating Expenses for such calendar year (or portion thereof), and/or (iii) the Insurance Expenses for such calendar year (or portion thereof).</w:t>
      </w:r>
    </w:p>
    <w:p>
      <w:pPr>
        <w:spacing w:after="0" w:line="123" w:lineRule="exact"/>
        <w:rPr>
          <w:rFonts w:ascii="Arial" w:cs="Arial" w:eastAsia="Arial" w:hAnsi="Arial"/>
          <w:sz w:val="15"/>
          <w:szCs w:val="15"/>
          <w:color w:val="auto"/>
        </w:rPr>
      </w:pPr>
    </w:p>
    <w:p>
      <w:pPr>
        <w:jc w:val="both"/>
        <w:ind w:left="1220" w:right="1239" w:firstLine="1013"/>
        <w:spacing w:after="0" w:line="255" w:lineRule="auto"/>
        <w:tabs>
          <w:tab w:leader="none" w:pos="2592" w:val="left"/>
        </w:tabs>
        <w:numPr>
          <w:ilvl w:val="1"/>
          <w:numId w:val="6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Tax Year</w:t>
      </w:r>
      <w:r>
        <w:rPr>
          <w:rFonts w:ascii="Arial" w:cs="Arial" w:eastAsia="Arial" w:hAnsi="Arial"/>
          <w:sz w:val="15"/>
          <w:szCs w:val="15"/>
          <w:color w:val="auto"/>
        </w:rPr>
        <w:t>” shall mean the twelve (12) month period from July 1 through June 30 (or such other period as hereinafter may be duly adopted by the City of Boston as the fiscal year for real estate tax purposes).</w:t>
      </w:r>
    </w:p>
    <w:p>
      <w:pPr>
        <w:spacing w:after="0" w:line="123" w:lineRule="exact"/>
        <w:rPr>
          <w:rFonts w:ascii="Arial" w:cs="Arial" w:eastAsia="Arial" w:hAnsi="Arial"/>
          <w:sz w:val="15"/>
          <w:szCs w:val="15"/>
          <w:color w:val="auto"/>
        </w:rPr>
      </w:pPr>
    </w:p>
    <w:p>
      <w:pPr>
        <w:jc w:val="both"/>
        <w:ind w:left="1220" w:right="1239" w:firstLine="1013"/>
        <w:spacing w:after="0" w:line="235" w:lineRule="auto"/>
        <w:tabs>
          <w:tab w:leader="none" w:pos="2592" w:val="left"/>
        </w:tabs>
        <w:numPr>
          <w:ilvl w:val="1"/>
          <w:numId w:val="61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Taxes</w:t>
      </w:r>
      <w:r>
        <w:rPr>
          <w:rFonts w:ascii="Arial" w:cs="Arial" w:eastAsia="Arial" w:hAnsi="Arial"/>
          <w:sz w:val="15"/>
          <w:szCs w:val="15"/>
          <w:color w:val="auto"/>
        </w:rPr>
        <w:t>” shall mean (i) all real estate taxes, assessments, sewer and water rents, rates and charges and other governmental levies, impositions or charges, whether general, special, ordinary, extraordinary, foreseen or unforeseen, which may from time to time be assessed, levied or imposed upon all or any part of the Real Property, (ii) all business improvement district impositions, charges and fees assessed, imposed or payable with respect to all or any part of the Real Property, and (iii) all commercially reasonable expenses (including reasonable attorneys’ fees and disbursements and experts’ and other witnesses’ fees) incurred in seeking abatement of or contesting any of the foregoing or the Assessed Valuation of the Real Property. Taxes shall not include (x) interest or penalties incurred by Landlord as a result of Landlord’s late payment of Taxes, (y) franchise, transfer, gift, inheritance, estate, excise, or net income taxes imposed upon Landlord, or (z) costs or expenses included in Operating Expenses. Any special assessment that may be paid in installments, shall be deemed to have been so divided and to be payable in the maximum number of installments permitted by law, and (ii) there shall be deemed included in Taxes for each Tax Year the installments of such assessment becoming payable during such Tax Year, together with interest payable during such Tax Year on such installments and on all installments thereafter becoming due as provided by law. If at any time the methods of taxation prevailing on the Effective Date shall be altered so that in lieu of or as an addition to the whole or any part of Taxes, there shall be assessed, levied or imposed (1) a tax, assessment, levy, imposition or charge based on the income or rents received from the Real Property whether or not wholly or partially as a capital levy or otherwise,</w:t>
      </w:r>
    </w:p>
    <w:p>
      <w:pPr>
        <w:spacing w:after="0" w:line="2" w:lineRule="exact"/>
        <w:rPr>
          <w:rFonts w:ascii="Arial" w:cs="Arial" w:eastAsia="Arial" w:hAnsi="Arial"/>
          <w:sz w:val="15"/>
          <w:szCs w:val="15"/>
          <w:color w:val="auto"/>
        </w:rPr>
      </w:pPr>
    </w:p>
    <w:p>
      <w:pPr>
        <w:jc w:val="both"/>
        <w:ind w:left="1220" w:right="1239" w:firstLine="4"/>
        <w:spacing w:after="0" w:line="239" w:lineRule="auto"/>
        <w:tabs>
          <w:tab w:leader="none" w:pos="1453" w:val="left"/>
        </w:tabs>
        <w:numPr>
          <w:ilvl w:val="0"/>
          <w:numId w:val="616"/>
        </w:numPr>
        <w:rPr>
          <w:rFonts w:ascii="Arial" w:cs="Arial" w:eastAsia="Arial" w:hAnsi="Arial"/>
          <w:sz w:val="15"/>
          <w:szCs w:val="15"/>
          <w:color w:val="auto"/>
        </w:rPr>
      </w:pPr>
      <w:r>
        <w:rPr>
          <w:rFonts w:ascii="Arial" w:cs="Arial" w:eastAsia="Arial" w:hAnsi="Arial"/>
          <w:sz w:val="15"/>
          <w:szCs w:val="15"/>
          <w:color w:val="auto"/>
        </w:rPr>
        <w:t>a tax, assessment, levy, imposition or charge measured by or based in whole or in part upon all or any part of the Real Property and imposed upon Landlord, (3) a license fee measured by the rents, or (4) any other tax, assessment, levy, imposition, charge or fee however described or imposed on all or any part of the Real Property, including business improvement district impositions, fees, and</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688" w:name="page689"/>
    <w:bookmarkEnd w:id="688"/>
    <w:p>
      <w:pPr>
        <w:jc w:val="both"/>
        <w:ind w:left="1220" w:right="1239"/>
        <w:spacing w:after="0" w:line="274" w:lineRule="auto"/>
        <w:rPr>
          <w:sz w:val="20"/>
          <w:szCs w:val="20"/>
          <w:color w:val="auto"/>
        </w:rPr>
      </w:pPr>
      <w:r>
        <w:rPr>
          <w:rFonts w:ascii="Arial" w:cs="Arial" w:eastAsia="Arial" w:hAnsi="Arial"/>
          <w:sz w:val="15"/>
          <w:szCs w:val="15"/>
          <w:color w:val="auto"/>
        </w:rPr>
        <w:t>charges, then all such taxes, assessments, levies, impositions, charges or fees or the part thereof so measured or based shall be deemed to be included within Taxes.</w:t>
      </w:r>
    </w:p>
    <w:p>
      <w:pPr>
        <w:spacing w:after="0" w:line="109"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7.2. </w:t>
      </w:r>
      <w:r>
        <w:rPr>
          <w:rFonts w:ascii="Arial" w:cs="Arial" w:eastAsia="Arial" w:hAnsi="Arial"/>
          <w:sz w:val="15"/>
          <w:szCs w:val="15"/>
          <w:b w:val="1"/>
          <w:bCs w:val="1"/>
          <w:u w:val="single" w:color="auto"/>
          <w:color w:val="auto"/>
        </w:rPr>
        <w:t>Tenant’s Tax Payment</w:t>
      </w:r>
      <w:r>
        <w:rPr>
          <w:rFonts w:ascii="Arial" w:cs="Arial" w:eastAsia="Arial" w:hAnsi="Arial"/>
          <w:sz w:val="15"/>
          <w:szCs w:val="15"/>
          <w:b w:val="1"/>
          <w:bCs w:val="1"/>
          <w:color w:val="auto"/>
        </w:rPr>
        <w:t xml:space="preserve">. </w:t>
      </w:r>
      <w:r>
        <w:rPr>
          <w:rFonts w:ascii="Arial" w:cs="Arial" w:eastAsia="Arial" w:hAnsi="Arial"/>
          <w:sz w:val="15"/>
          <w:szCs w:val="15"/>
          <w:color w:val="auto"/>
        </w:rPr>
        <w:t>(a) Tenant shall pay to Landlord Tenant's</w:t>
      </w:r>
      <w:r>
        <w:rPr>
          <w:rFonts w:ascii="Arial" w:cs="Arial" w:eastAsia="Arial" w:hAnsi="Arial"/>
          <w:sz w:val="15"/>
          <w:szCs w:val="15"/>
          <w:b w:val="1"/>
          <w:bCs w:val="1"/>
          <w:color w:val="auto"/>
        </w:rPr>
        <w:t xml:space="preserve"> </w:t>
      </w:r>
      <w:r>
        <w:rPr>
          <w:rFonts w:ascii="Arial" w:cs="Arial" w:eastAsia="Arial" w:hAnsi="Arial"/>
          <w:sz w:val="15"/>
          <w:szCs w:val="15"/>
          <w:color w:val="auto"/>
        </w:rPr>
        <w:t>Proportionate Share of the Taxes for each Tax Year or portion thereof during the Term (“</w:t>
      </w:r>
      <w:r>
        <w:rPr>
          <w:rFonts w:ascii="Arial" w:cs="Arial" w:eastAsia="Arial" w:hAnsi="Arial"/>
          <w:sz w:val="15"/>
          <w:szCs w:val="15"/>
          <w:b w:val="1"/>
          <w:bCs w:val="1"/>
          <w:color w:val="auto"/>
        </w:rPr>
        <w:t>Tenant's Tax Payment</w:t>
      </w:r>
      <w:r>
        <w:rPr>
          <w:rFonts w:ascii="Arial" w:cs="Arial" w:eastAsia="Arial" w:hAnsi="Arial"/>
          <w:sz w:val="15"/>
          <w:szCs w:val="15"/>
          <w:color w:val="auto"/>
        </w:rPr>
        <w:t>”) from and after the Rent Commencement Date. For each Tax Year, Landlord shall furnish to Tenant Landlord's reasonable estimate of Tenant's Tax Payment for such Tax Year (the “</w:t>
      </w:r>
      <w:r>
        <w:rPr>
          <w:rFonts w:ascii="Arial" w:cs="Arial" w:eastAsia="Arial" w:hAnsi="Arial"/>
          <w:sz w:val="15"/>
          <w:szCs w:val="15"/>
          <w:b w:val="1"/>
          <w:bCs w:val="1"/>
          <w:color w:val="auto"/>
        </w:rPr>
        <w:t>Tax Estimate</w:t>
      </w:r>
      <w:r>
        <w:rPr>
          <w:rFonts w:ascii="Arial" w:cs="Arial" w:eastAsia="Arial" w:hAnsi="Arial"/>
          <w:sz w:val="15"/>
          <w:szCs w:val="15"/>
          <w:color w:val="auto"/>
        </w:rPr>
        <w:t xml:space="preserve">”). Tenant shall pay to Landlord on the first (1st) day of each month during such Tax Year an amount equal to 1/12 of the Tax Estimate for such Tax Year. If Landlord furnishes a Tax Estimate for a Tax Year subsequent to the commencement thereof, then (i) until the first (1st) day of the month following the month in which the Tax Estimate is furnished to Tenant, Tenant shall pay to Landlord on the first (1st) day of each month an amount equal to the monthly sum payable by Tenant to Landlord under this </w:t>
      </w:r>
      <w:r>
        <w:rPr>
          <w:rFonts w:ascii="Arial" w:cs="Arial" w:eastAsia="Arial" w:hAnsi="Arial"/>
          <w:sz w:val="15"/>
          <w:szCs w:val="15"/>
          <w:b w:val="1"/>
          <w:bCs w:val="1"/>
          <w:color w:val="auto"/>
        </w:rPr>
        <w:t>Section 7.2</w:t>
      </w:r>
      <w:r>
        <w:rPr>
          <w:rFonts w:ascii="Arial" w:cs="Arial" w:eastAsia="Arial" w:hAnsi="Arial"/>
          <w:sz w:val="15"/>
          <w:szCs w:val="15"/>
          <w:color w:val="auto"/>
        </w:rPr>
        <w:t xml:space="preserve"> during the last month of the preceding Tax Year; (ii) promptly after the Tax Estimate is furnished to Tenant or together therewith, Landlord shall give notice to Tenant stating whether the installments of Tenant’s Tax Estimate previously made for such Tax Year were greater or less than the installments of Tenant’s Tax Estimate to be made for such Tax Year in accordance with the Tax Estimate and the amount of any difference, and (x) if there shall be a deficiency, then Tenant shall pay the amount thereof within thirty (30) days after demand therefor, or (y) if there shall have been an overpayment, Landlord shall credit the amount thereof against subsequent payments of Rent due hereunder; and (iii) on the first (1st) day of the month following the month in which the Tax Estimate is furnished to Tenant, and on the first (1st) day of each month thereafter throughout the remainder of such Tax Year, Tenant shall pay to Landlord an amount equal to 1/12 of the Tax Estimate.</w:t>
      </w:r>
    </w:p>
    <w:p>
      <w:pPr>
        <w:spacing w:after="0" w:line="253" w:lineRule="exact"/>
        <w:rPr>
          <w:sz w:val="20"/>
          <w:szCs w:val="20"/>
          <w:color w:val="auto"/>
        </w:rPr>
      </w:pPr>
    </w:p>
    <w:p>
      <w:pPr>
        <w:jc w:val="both"/>
        <w:ind w:left="1220" w:right="1239" w:firstLine="1013"/>
        <w:spacing w:after="0"/>
        <w:tabs>
          <w:tab w:leader="none" w:pos="2592" w:val="left"/>
        </w:tabs>
        <w:numPr>
          <w:ilvl w:val="0"/>
          <w:numId w:val="617"/>
        </w:numPr>
        <w:rPr>
          <w:rFonts w:ascii="Arial" w:cs="Arial" w:eastAsia="Arial" w:hAnsi="Arial"/>
          <w:sz w:val="15"/>
          <w:szCs w:val="15"/>
          <w:color w:val="auto"/>
        </w:rPr>
      </w:pPr>
      <w:r>
        <w:rPr>
          <w:rFonts w:ascii="Arial" w:cs="Arial" w:eastAsia="Arial" w:hAnsi="Arial"/>
          <w:sz w:val="15"/>
          <w:szCs w:val="15"/>
          <w:color w:val="auto"/>
        </w:rPr>
        <w:t xml:space="preserve">As soon as reasonably practicable after Landlord has determined the Taxes for a Tax Year, Landlord shall furnish to Tenant a Statement of Tenant’s Tax Payment for such Tax Year. If the Statement shall show that the sums paid by Tenant under </w:t>
      </w:r>
      <w:r>
        <w:rPr>
          <w:rFonts w:ascii="Arial" w:cs="Arial" w:eastAsia="Arial" w:hAnsi="Arial"/>
          <w:sz w:val="15"/>
          <w:szCs w:val="15"/>
          <w:b w:val="1"/>
          <w:bCs w:val="1"/>
          <w:color w:val="auto"/>
        </w:rPr>
        <w:t>Section 7.2(a)</w:t>
      </w:r>
      <w:r>
        <w:rPr>
          <w:rFonts w:ascii="Arial" w:cs="Arial" w:eastAsia="Arial" w:hAnsi="Arial"/>
          <w:sz w:val="15"/>
          <w:szCs w:val="15"/>
          <w:color w:val="auto"/>
        </w:rPr>
        <w:t xml:space="preserve"> exceeded the actual amount of Tenant’s Tax Payment for such Tax Year, then Landlord shall credit the amount of such excess against subsequent payments of Rent due hereunder. If the Statement for such Tax Year shall show that the sums so paid by Tenant were less than Tenant’s Tax Payment for such Tax Year, then Tenant shall pay the amount of such deficiency within thirty (30) days after delivery of the Statement to Tenant. If (i) at the time of delivery of a Statement the Term of this Lease shall have expired, (ii) Tenant shall have vacated and surrendered the Premises, and (iii) the Statement shows that the sums paid by Tenant under </w:t>
      </w:r>
      <w:r>
        <w:rPr>
          <w:rFonts w:ascii="Arial" w:cs="Arial" w:eastAsia="Arial" w:hAnsi="Arial"/>
          <w:sz w:val="15"/>
          <w:szCs w:val="15"/>
          <w:b w:val="1"/>
          <w:bCs w:val="1"/>
          <w:color w:val="auto"/>
        </w:rPr>
        <w:t xml:space="preserve">Section 7.2(a) </w:t>
      </w:r>
      <w:r>
        <w:rPr>
          <w:rFonts w:ascii="Arial" w:cs="Arial" w:eastAsia="Arial" w:hAnsi="Arial"/>
          <w:sz w:val="15"/>
          <w:szCs w:val="15"/>
          <w:color w:val="auto"/>
        </w:rPr>
        <w:t>exceeded the actual amount of Tenant’s Tax Payment for such Comparison</w:t>
      </w:r>
      <w:r>
        <w:rPr>
          <w:rFonts w:ascii="Arial" w:cs="Arial" w:eastAsia="Arial" w:hAnsi="Arial"/>
          <w:sz w:val="15"/>
          <w:szCs w:val="15"/>
          <w:b w:val="1"/>
          <w:bCs w:val="1"/>
          <w:color w:val="auto"/>
        </w:rPr>
        <w:t xml:space="preserve"> </w:t>
      </w:r>
      <w:r>
        <w:rPr>
          <w:rFonts w:ascii="Arial" w:cs="Arial" w:eastAsia="Arial" w:hAnsi="Arial"/>
          <w:sz w:val="15"/>
          <w:szCs w:val="15"/>
          <w:color w:val="auto"/>
        </w:rPr>
        <w:t>Year, then the excess amount (if any) shall be applied against the then unpaid Rent or other charges (if any), and the remaining excess after such application, if any, will be paid by the Landlord to Tenant.</w:t>
      </w:r>
    </w:p>
    <w:p>
      <w:pPr>
        <w:spacing w:after="0" w:line="280"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17"/>
        </w:numPr>
        <w:rPr>
          <w:rFonts w:ascii="Arial" w:cs="Arial" w:eastAsia="Arial" w:hAnsi="Arial"/>
          <w:sz w:val="15"/>
          <w:szCs w:val="15"/>
          <w:color w:val="auto"/>
        </w:rPr>
      </w:pPr>
      <w:r>
        <w:rPr>
          <w:rFonts w:ascii="Arial" w:cs="Arial" w:eastAsia="Arial" w:hAnsi="Arial"/>
          <w:sz w:val="15"/>
          <w:szCs w:val="15"/>
          <w:color w:val="auto"/>
        </w:rPr>
        <w:t xml:space="preserve">Only Landlord may institute proceedings to reduce or abate the Assessed Valuation of the Real Property and Tenant shall not commence any such proceeding without Landlord’s prior written consent, excepting only as expressly set forth in this </w:t>
      </w:r>
      <w:r>
        <w:rPr>
          <w:rFonts w:ascii="Arial" w:cs="Arial" w:eastAsia="Arial" w:hAnsi="Arial"/>
          <w:sz w:val="15"/>
          <w:szCs w:val="15"/>
          <w:b w:val="1"/>
          <w:bCs w:val="1"/>
          <w:color w:val="auto"/>
        </w:rPr>
        <w:t>Section 7.2(c)</w:t>
      </w:r>
      <w:r>
        <w:rPr>
          <w:rFonts w:ascii="Arial" w:cs="Arial" w:eastAsia="Arial" w:hAnsi="Arial"/>
          <w:sz w:val="15"/>
          <w:szCs w:val="15"/>
          <w:color w:val="auto"/>
        </w:rPr>
        <w:t>. If Landlord receives an abatement or refund of Taxes for any Tax Year, then Landlord shall credit against subsequent payments of Rent due hereunder, an amount equal to Tenant’s Proportionate Share of the abatement or refund net of Tenant’s Proportionate Share of any expenses incurred by Landlord in achieving such abatement or refund (if and to the extent not previously included in Taxes paid by Tenant), which amount shall not exceed Tenant’s Tax Payment paid for such Tax Year. Landlord may elect, but shall not be obligated, to file any application or institute any proceeding seeking an abatement or reduction in Taxes or the Assessed Valuation, and/or to engage in informal discussions with the City of Boston Assessors Office seeking an abatement or reduction in Taxes or the Assessed Valuation. On request of Tenant, Landlord will notify Tenant as to whether Landlord intends to file any such application, institute said procedure, and/or</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89" w:name="page690"/>
    <w:bookmarkEnd w:id="689"/>
    <w:p>
      <w:pPr>
        <w:jc w:val="both"/>
        <w:ind w:left="1220" w:right="1239"/>
        <w:spacing w:after="0"/>
        <w:rPr>
          <w:sz w:val="20"/>
          <w:szCs w:val="20"/>
          <w:color w:val="auto"/>
        </w:rPr>
      </w:pPr>
      <w:r>
        <w:rPr>
          <w:rFonts w:ascii="Arial" w:cs="Arial" w:eastAsia="Arial" w:hAnsi="Arial"/>
          <w:sz w:val="15"/>
          <w:szCs w:val="15"/>
          <w:color w:val="auto"/>
        </w:rPr>
        <w:t>engage in said discussions with the City of Boston Assessors Office. To the extent permitted by applicable Requirements, Tenant shall have the right, at its sole cost and expense, to commence and prosecute a proceeding seeking an abatement or reduction in Taxes or the Assessed Valuation by appropriate proceedings (a “</w:t>
      </w:r>
      <w:r>
        <w:rPr>
          <w:rFonts w:ascii="Arial" w:cs="Arial" w:eastAsia="Arial" w:hAnsi="Arial"/>
          <w:sz w:val="15"/>
          <w:szCs w:val="15"/>
          <w:b w:val="1"/>
          <w:bCs w:val="1"/>
          <w:color w:val="auto"/>
        </w:rPr>
        <w:t>Tenant Tax Contest</w:t>
      </w:r>
      <w:r>
        <w:rPr>
          <w:rFonts w:ascii="Arial" w:cs="Arial" w:eastAsia="Arial" w:hAnsi="Arial"/>
          <w:sz w:val="15"/>
          <w:szCs w:val="15"/>
          <w:color w:val="auto"/>
        </w:rPr>
        <w:t>”) diligently conducted in good faith, subject to the satisfaction of the following conditions: (i) for the respective Tax Year, Landlord shall have elected not to file an application or institute a proceeding seeking an abatement or reduction in Taxes or the Assessed Valuation, and/or to engage in informal discussions with the City of Boston Assessors Office seeking an abatement or reduction in Taxes or the Assessed Valuation; (ii) no Event of Default shall have occurred and be continuing under this Lease; (iii) the original tenant named herein or a Permitted Transferee is then the tenant under this Lease; (iv) Tenant shall submit not less than thirty (30) days prior notice to Landlord of the commencement of the Tenant Tax Contest; (v) after the commencement thereof, Tenant shall diligently and continuously prosecute the Tenant Tax Contest to completion; (vi) Tenant shall continue to pay Tenant’s Tax Payments to Landlord, as and when due, notwithstanding any such Tenant Tax Contest; (vii) Tenant’s attorneys, representatives and consultants in any such Tenant Tax Contest shall be subject to Landlord’s prior approval, which approval shall not be unreasonably withheld, conditioned, or delayed; and (viii) the date of the initiation of Tenant’s Tax Contest shall be not less than twenty-four (24) months prior to the Expiration Date (as the same may have been extended). Landlord will cooperate with Tenant in any such Tenant Tax Contest, including executing any necessary documents, affidavits or other instruments as may be required to contest such taxes, and appearing at hearings or proceedings, provided that any such Tenant Tax Contest shall be at the sole cost and expense of Tenant, Tenant shall reimburse Landlord for all reasonable costs or expenses incurred by Landlord as a result of any such Tenant Tax Contest not later than thirty (30) days after request by Landlord, and Landlord shall not be obligated to incur any liabilities or obligations (excepting only such reimbursed costs and expenses), in connection therewith. Tenant shall not discontinue any such Tenant Tax Contest unless and until Tenant has given to Landlord notice of Tenant's intention to so discontinue the Tenant Tax Contest (a “</w:t>
      </w:r>
      <w:r>
        <w:rPr>
          <w:rFonts w:ascii="Arial" w:cs="Arial" w:eastAsia="Arial" w:hAnsi="Arial"/>
          <w:sz w:val="15"/>
          <w:szCs w:val="15"/>
          <w:b w:val="1"/>
          <w:bCs w:val="1"/>
          <w:color w:val="auto"/>
        </w:rPr>
        <w:t>Tenant’s Tax Contest</w:t>
      </w:r>
      <w:r>
        <w:rPr>
          <w:rFonts w:ascii="Arial" w:cs="Arial" w:eastAsia="Arial" w:hAnsi="Arial"/>
          <w:sz w:val="15"/>
          <w:szCs w:val="15"/>
          <w:color w:val="auto"/>
        </w:rPr>
        <w:t xml:space="preserve"> </w:t>
      </w:r>
      <w:r>
        <w:rPr>
          <w:rFonts w:ascii="Arial" w:cs="Arial" w:eastAsia="Arial" w:hAnsi="Arial"/>
          <w:sz w:val="15"/>
          <w:szCs w:val="15"/>
          <w:b w:val="1"/>
          <w:bCs w:val="1"/>
          <w:color w:val="auto"/>
        </w:rPr>
        <w:t>Discontinuance Notice</w:t>
      </w:r>
      <w:r>
        <w:rPr>
          <w:rFonts w:ascii="Arial" w:cs="Arial" w:eastAsia="Arial" w:hAnsi="Arial"/>
          <w:sz w:val="15"/>
          <w:szCs w:val="15"/>
          <w:color w:val="auto"/>
        </w:rPr>
        <w:t>”), in which event, Landlord may elect, but shall not be obligated to</w:t>
      </w:r>
      <w:r>
        <w:rPr>
          <w:rFonts w:ascii="Arial" w:cs="Arial" w:eastAsia="Arial" w:hAnsi="Arial"/>
          <w:sz w:val="15"/>
          <w:szCs w:val="15"/>
          <w:b w:val="1"/>
          <w:bCs w:val="1"/>
          <w:color w:val="auto"/>
        </w:rPr>
        <w:t xml:space="preserve"> </w:t>
      </w:r>
      <w:r>
        <w:rPr>
          <w:rFonts w:ascii="Arial" w:cs="Arial" w:eastAsia="Arial" w:hAnsi="Arial"/>
          <w:sz w:val="15"/>
          <w:szCs w:val="15"/>
          <w:color w:val="auto"/>
        </w:rPr>
        <w:t>assume, at Landlord's sole cost and expense, the continued prosecution and conduct of such tax contest by providing notice to Tenant (a “</w:t>
      </w:r>
      <w:r>
        <w:rPr>
          <w:rFonts w:ascii="Arial" w:cs="Arial" w:eastAsia="Arial" w:hAnsi="Arial"/>
          <w:sz w:val="15"/>
          <w:szCs w:val="15"/>
          <w:b w:val="1"/>
          <w:bCs w:val="1"/>
          <w:color w:val="auto"/>
        </w:rPr>
        <w:t>Landlord’s Tax Contest Assumption Notice</w:t>
      </w:r>
      <w:r>
        <w:rPr>
          <w:rFonts w:ascii="Arial" w:cs="Arial" w:eastAsia="Arial" w:hAnsi="Arial"/>
          <w:sz w:val="15"/>
          <w:szCs w:val="15"/>
          <w:color w:val="auto"/>
        </w:rPr>
        <w:t>”) within fifteen (15) days after receipt of Tenant’s Tax Contest Discontinuance Notice. If Landlord shall deliver a Landlord’s Tax Contest Assumption Notice, then Tenant shall assign and transfer the prosecution of said tax contest to Landlord, and shall cooperate with Landlord in all respects as may be necessary for Landlord's continuation of such tax contest.</w:t>
      </w:r>
    </w:p>
    <w:p>
      <w:pPr>
        <w:spacing w:after="0" w:line="191" w:lineRule="exact"/>
        <w:rPr>
          <w:sz w:val="20"/>
          <w:szCs w:val="20"/>
          <w:color w:val="auto"/>
        </w:rPr>
      </w:pPr>
    </w:p>
    <w:p>
      <w:pPr>
        <w:jc w:val="both"/>
        <w:ind w:left="1220" w:right="1239" w:firstLine="1013"/>
        <w:spacing w:after="0" w:line="247" w:lineRule="auto"/>
        <w:tabs>
          <w:tab w:leader="none" w:pos="2592" w:val="left"/>
        </w:tabs>
        <w:numPr>
          <w:ilvl w:val="0"/>
          <w:numId w:val="618"/>
        </w:numPr>
        <w:rPr>
          <w:rFonts w:ascii="Arial" w:cs="Arial" w:eastAsia="Arial" w:hAnsi="Arial"/>
          <w:sz w:val="15"/>
          <w:szCs w:val="15"/>
          <w:color w:val="auto"/>
        </w:rPr>
      </w:pPr>
      <w:r>
        <w:rPr>
          <w:rFonts w:ascii="Arial" w:cs="Arial" w:eastAsia="Arial" w:hAnsi="Arial"/>
          <w:sz w:val="15"/>
          <w:szCs w:val="15"/>
          <w:color w:val="auto"/>
        </w:rPr>
        <w:t>Tenant shall be responsible for all personal property taxes assessed against the Premises or the contents thereof, or any occupancy or rent tax now in effect or hereafter enacted and, if such tax is payable by Landlord, Tenant shall pay such amounts to Landlord, within thirty (30) days after Landlord’s demand therefor.</w:t>
      </w:r>
    </w:p>
    <w:p>
      <w:pPr>
        <w:spacing w:after="0" w:line="130" w:lineRule="exact"/>
        <w:rPr>
          <w:rFonts w:ascii="Arial" w:cs="Arial" w:eastAsia="Arial" w:hAnsi="Arial"/>
          <w:sz w:val="15"/>
          <w:szCs w:val="15"/>
          <w:color w:val="auto"/>
        </w:rPr>
      </w:pPr>
    </w:p>
    <w:p>
      <w:pPr>
        <w:jc w:val="both"/>
        <w:ind w:left="1220" w:right="1239" w:firstLine="1013"/>
        <w:spacing w:after="0" w:line="247" w:lineRule="auto"/>
        <w:tabs>
          <w:tab w:leader="none" w:pos="2592" w:val="left"/>
        </w:tabs>
        <w:numPr>
          <w:ilvl w:val="0"/>
          <w:numId w:val="618"/>
        </w:numPr>
        <w:rPr>
          <w:rFonts w:ascii="Arial" w:cs="Arial" w:eastAsia="Arial" w:hAnsi="Arial"/>
          <w:sz w:val="15"/>
          <w:szCs w:val="15"/>
          <w:color w:val="auto"/>
        </w:rPr>
      </w:pPr>
      <w:r>
        <w:rPr>
          <w:rFonts w:ascii="Arial" w:cs="Arial" w:eastAsia="Arial" w:hAnsi="Arial"/>
          <w:sz w:val="15"/>
          <w:szCs w:val="15"/>
          <w:color w:val="auto"/>
        </w:rPr>
        <w:t>Tenant shall be obligated to make Tenant’s Tax Payment regardless of whether Tenant may be exempt from the payment of any Taxes as the result of any reduction, abatement or exemption from Taxes granted to Tenant or agreed to by any Governmental Authority, or by reason of Tenant’s diplomatic or other tax exempt status.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90" w:name="page691"/>
    <w:bookmarkEnd w:id="690"/>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7.3. </w:t>
      </w:r>
      <w:r>
        <w:rPr>
          <w:rFonts w:ascii="Arial" w:cs="Arial" w:eastAsia="Arial" w:hAnsi="Arial"/>
          <w:sz w:val="15"/>
          <w:szCs w:val="15"/>
          <w:b w:val="1"/>
          <w:bCs w:val="1"/>
          <w:u w:val="single" w:color="auto"/>
          <w:color w:val="auto"/>
        </w:rPr>
        <w:t>Tenant’s Operating Payment</w:t>
      </w:r>
      <w:r>
        <w:rPr>
          <w:rFonts w:ascii="Arial" w:cs="Arial" w:eastAsia="Arial" w:hAnsi="Arial"/>
          <w:sz w:val="15"/>
          <w:szCs w:val="15"/>
          <w:b w:val="1"/>
          <w:bCs w:val="1"/>
          <w:color w:val="auto"/>
        </w:rPr>
        <w:t xml:space="preserve">. </w:t>
      </w:r>
      <w:r>
        <w:rPr>
          <w:rFonts w:ascii="Arial" w:cs="Arial" w:eastAsia="Arial" w:hAnsi="Arial"/>
          <w:sz w:val="15"/>
          <w:szCs w:val="15"/>
          <w:color w:val="auto"/>
        </w:rPr>
        <w:t>(a) Tenant shall pay to Landlord Tenant’s</w:t>
      </w:r>
      <w:r>
        <w:rPr>
          <w:rFonts w:ascii="Arial" w:cs="Arial" w:eastAsia="Arial" w:hAnsi="Arial"/>
          <w:sz w:val="15"/>
          <w:szCs w:val="15"/>
          <w:b w:val="1"/>
          <w:bCs w:val="1"/>
          <w:color w:val="auto"/>
        </w:rPr>
        <w:t xml:space="preserve"> </w:t>
      </w:r>
      <w:r>
        <w:rPr>
          <w:rFonts w:ascii="Arial" w:cs="Arial" w:eastAsia="Arial" w:hAnsi="Arial"/>
          <w:sz w:val="15"/>
          <w:szCs w:val="15"/>
          <w:color w:val="auto"/>
        </w:rPr>
        <w:t>Proportionate Share of the Operating Expenses for each calendar year or portion thereof during the Term (“</w:t>
      </w:r>
      <w:r>
        <w:rPr>
          <w:rFonts w:ascii="Arial" w:cs="Arial" w:eastAsia="Arial" w:hAnsi="Arial"/>
          <w:sz w:val="15"/>
          <w:szCs w:val="15"/>
          <w:b w:val="1"/>
          <w:bCs w:val="1"/>
          <w:color w:val="auto"/>
        </w:rPr>
        <w:t>Tenant’s Operating Payment</w:t>
      </w:r>
      <w:r>
        <w:rPr>
          <w:rFonts w:ascii="Arial" w:cs="Arial" w:eastAsia="Arial" w:hAnsi="Arial"/>
          <w:sz w:val="15"/>
          <w:szCs w:val="15"/>
          <w:color w:val="auto"/>
        </w:rPr>
        <w:t>”) from and after the Rent Commencement Date. For each calendar year, Landlord shall furnish to Tenant Landlord’s reasonable estimate of Tenant’s Operating Payment for such calendar year (the “</w:t>
      </w:r>
      <w:r>
        <w:rPr>
          <w:rFonts w:ascii="Arial" w:cs="Arial" w:eastAsia="Arial" w:hAnsi="Arial"/>
          <w:sz w:val="15"/>
          <w:szCs w:val="15"/>
          <w:b w:val="1"/>
          <w:bCs w:val="1"/>
          <w:color w:val="auto"/>
        </w:rPr>
        <w:t>Expense Estimate</w:t>
      </w:r>
      <w:r>
        <w:rPr>
          <w:rFonts w:ascii="Arial" w:cs="Arial" w:eastAsia="Arial" w:hAnsi="Arial"/>
          <w:sz w:val="15"/>
          <w:szCs w:val="15"/>
          <w:color w:val="auto"/>
        </w:rPr>
        <w:t xml:space="preserve">”). Tenant shall pay to Landlord on the first (1st) day of each month during such calendar year an amount equal to 1/12 of the Expense Estimate. If Landlord furnishes an Expense Estimate for a calendar year subsequent to the commencement thereof, then (i) until the first (1st) day of the month following the month in which the Expense Estimate is furnished to Tenant, Tenant shall pay to Landlord on the first (1st) day of each month an amount equal to the monthly sum payable by Tenant to Landlord under this </w:t>
      </w:r>
      <w:r>
        <w:rPr>
          <w:rFonts w:ascii="Arial" w:cs="Arial" w:eastAsia="Arial" w:hAnsi="Arial"/>
          <w:sz w:val="15"/>
          <w:szCs w:val="15"/>
          <w:b w:val="1"/>
          <w:bCs w:val="1"/>
          <w:color w:val="auto"/>
        </w:rPr>
        <w:t>Section 7.3</w:t>
      </w:r>
      <w:r>
        <w:rPr>
          <w:rFonts w:ascii="Arial" w:cs="Arial" w:eastAsia="Arial" w:hAnsi="Arial"/>
          <w:sz w:val="15"/>
          <w:szCs w:val="15"/>
          <w:color w:val="auto"/>
        </w:rPr>
        <w:t xml:space="preserve"> during the last month of the preceding calendar year, (ii) promptly after the Expense Estimate is furnished to Tenant or together therewith, Landlord shall give notice to Tenant stating whether the installments of Tenant’s Operating Payment previously made for such calendar year were greater or less than the installments of Tenant’s Operating Payment to be made for such calendar year in accordance with the Expense Estimate and the amount of any difference, and (x) if there shall be a deficiency, Tenant shall pay the amount thereof within thirty (30) days after demand therefor, or (y) if there shall have been an overpayment, Landlord shall credit the amount thereof against subsequent payments of Rent due hereunder, and (iii) on the first (1st) day of the month following the month in which the Expense Estimate is furnished to Tenant, and on the first (1st) day of each month thereafter throughout the remainder of such calendar year, Tenant shall pay to Landlord an amount equal to 1/12 of the Expense Estimate. . Landlord will not be entitled to collect more than one hundred percent (100%) of the Operating Expenses actually incurred by Landlord in any calendar year; provided, however, to the extent permitted to be included in Operating Expenses pursuant to the provisions of this Lease, Landlord shall be permitted to include the Carryover Expenses (as hereinafter defined) and the amortized amount of the Permitted Capital Expenditures in the applicable calendar year(s).</w:t>
      </w:r>
    </w:p>
    <w:p>
      <w:pPr>
        <w:spacing w:after="0" w:line="227" w:lineRule="exact"/>
        <w:rPr>
          <w:sz w:val="20"/>
          <w:szCs w:val="20"/>
          <w:color w:val="auto"/>
        </w:rPr>
      </w:pPr>
    </w:p>
    <w:p>
      <w:pPr>
        <w:jc w:val="both"/>
        <w:ind w:left="1220" w:right="1239" w:firstLine="1013"/>
        <w:spacing w:after="0"/>
        <w:tabs>
          <w:tab w:leader="none" w:pos="2592" w:val="left"/>
        </w:tabs>
        <w:numPr>
          <w:ilvl w:val="0"/>
          <w:numId w:val="619"/>
        </w:numPr>
        <w:rPr>
          <w:rFonts w:ascii="Arial" w:cs="Arial" w:eastAsia="Arial" w:hAnsi="Arial"/>
          <w:sz w:val="15"/>
          <w:szCs w:val="15"/>
          <w:color w:val="auto"/>
        </w:rPr>
      </w:pPr>
      <w:r>
        <w:rPr>
          <w:rFonts w:ascii="Arial" w:cs="Arial" w:eastAsia="Arial" w:hAnsi="Arial"/>
          <w:sz w:val="15"/>
          <w:szCs w:val="15"/>
          <w:color w:val="auto"/>
        </w:rPr>
        <w:t xml:space="preserve">Promptly after the expiration of each calendar year, Landlord shall furnish to Tenant a Statement of Tenant’s Operating Payment for the immediately preceding calendar year. Each such Statement shall include a line-item detail of the Operating Expenses for such calendar year. If the Statement shows that the sums paid by Tenant under </w:t>
      </w:r>
      <w:r>
        <w:rPr>
          <w:rFonts w:ascii="Arial" w:cs="Arial" w:eastAsia="Arial" w:hAnsi="Arial"/>
          <w:sz w:val="15"/>
          <w:szCs w:val="15"/>
          <w:b w:val="1"/>
          <w:bCs w:val="1"/>
          <w:color w:val="auto"/>
        </w:rPr>
        <w:t>Section 7.3(a)</w:t>
      </w:r>
      <w:r>
        <w:rPr>
          <w:rFonts w:ascii="Arial" w:cs="Arial" w:eastAsia="Arial" w:hAnsi="Arial"/>
          <w:sz w:val="15"/>
          <w:szCs w:val="15"/>
          <w:color w:val="auto"/>
        </w:rPr>
        <w:t xml:space="preserve"> exceeded the actual amount of Tenant’s Operating Payment for such calendar year, then Landlord shall credit the amount of such excess against subsequent payments of Rent due hereunder. If the Statement shows that the sums so paid by Tenant were less than Tenant’s Operating Payment for such calendar year, then Tenant shall pay the amount of such deficiency within ten (10) Business Days after delivery of the Statement to Tenant. If (i) at the time of delivery of a Statement the Term of this Lease shall have expired, (ii) Tenant shall have vacated and surrendered the Premises, and (iii) the Statement shows that the sums paid by Tenant under </w:t>
      </w:r>
      <w:r>
        <w:rPr>
          <w:rFonts w:ascii="Arial" w:cs="Arial" w:eastAsia="Arial" w:hAnsi="Arial"/>
          <w:sz w:val="15"/>
          <w:szCs w:val="15"/>
          <w:b w:val="1"/>
          <w:bCs w:val="1"/>
          <w:color w:val="auto"/>
        </w:rPr>
        <w:t>Section 7.3(a)</w:t>
      </w:r>
      <w:r>
        <w:rPr>
          <w:rFonts w:ascii="Arial" w:cs="Arial" w:eastAsia="Arial" w:hAnsi="Arial"/>
          <w:sz w:val="15"/>
          <w:szCs w:val="15"/>
          <w:color w:val="auto"/>
        </w:rPr>
        <w:t xml:space="preserve"> exceeded the actual amount of Tenant’s Operating Payment for such Comparison Year, then the excess amount (if any) shall be applied against the then unpaid Rent or other charges (if any), and the remaining excess after such application, if any, will be paid by the Landlord to Tenant.</w:t>
      </w:r>
    </w:p>
    <w:p>
      <w:pPr>
        <w:spacing w:after="0" w:line="276"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19"/>
        </w:numPr>
        <w:rPr>
          <w:rFonts w:ascii="Arial" w:cs="Arial" w:eastAsia="Arial" w:hAnsi="Arial"/>
          <w:sz w:val="15"/>
          <w:szCs w:val="15"/>
          <w:color w:val="auto"/>
        </w:rPr>
      </w:pPr>
      <w:r>
        <w:rPr>
          <w:rFonts w:ascii="Arial" w:cs="Arial" w:eastAsia="Arial" w:hAnsi="Arial"/>
          <w:sz w:val="15"/>
          <w:szCs w:val="15"/>
          <w:color w:val="auto"/>
        </w:rPr>
        <w:t>Notwithstanding the foregoing, for purposes of calculating Tenant’s Operating Payment, the components of Operating Expenses which constitute Controllable Operating Expenses shall not increase by more than five percent (5%) per calendar year on a compounding and cumulative basis over the Term of this Lease, i.e., the amount of Controllable Operating Expenses for each calendar year during the Term that occurs after the first calendar year during the Term of this Lease shall not exceed the Controllable Operating Expenses Cap (as hereinafter defined) for said calendar year. The “</w:t>
      </w:r>
      <w:r>
        <w:rPr>
          <w:rFonts w:ascii="Arial" w:cs="Arial" w:eastAsia="Arial" w:hAnsi="Arial"/>
          <w:sz w:val="15"/>
          <w:szCs w:val="15"/>
          <w:b w:val="1"/>
          <w:bCs w:val="1"/>
          <w:color w:val="auto"/>
        </w:rPr>
        <w:t>Controllable Operating Expenses Cap</w:t>
      </w:r>
      <w:r>
        <w:rPr>
          <w:rFonts w:ascii="Arial" w:cs="Arial" w:eastAsia="Arial" w:hAnsi="Arial"/>
          <w:sz w:val="15"/>
          <w:szCs w:val="15"/>
          <w:color w:val="auto"/>
        </w:rPr>
        <w:t>” for the second calendar year shall be an amount equal to one hundred five (105%) percent of the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691" w:name="page692"/>
    <w:bookmarkEnd w:id="691"/>
    <w:p>
      <w:pPr>
        <w:jc w:val="both"/>
        <w:ind w:left="1220" w:right="1239"/>
        <w:spacing w:after="0" w:line="237" w:lineRule="auto"/>
        <w:rPr>
          <w:sz w:val="20"/>
          <w:szCs w:val="20"/>
          <w:color w:val="auto"/>
        </w:rPr>
      </w:pPr>
      <w:r>
        <w:rPr>
          <w:rFonts w:ascii="Arial" w:cs="Arial" w:eastAsia="Arial" w:hAnsi="Arial"/>
          <w:sz w:val="15"/>
          <w:szCs w:val="15"/>
          <w:color w:val="auto"/>
        </w:rPr>
        <w:t>amount of Controllable Operating Expenses for the first calendar year. The “</w:t>
      </w:r>
      <w:r>
        <w:rPr>
          <w:rFonts w:ascii="Arial" w:cs="Arial" w:eastAsia="Arial" w:hAnsi="Arial"/>
          <w:sz w:val="15"/>
          <w:szCs w:val="15"/>
          <w:b w:val="1"/>
          <w:bCs w:val="1"/>
          <w:color w:val="auto"/>
        </w:rPr>
        <w:t>Controllable</w:t>
      </w:r>
      <w:r>
        <w:rPr>
          <w:rFonts w:ascii="Arial" w:cs="Arial" w:eastAsia="Arial" w:hAnsi="Arial"/>
          <w:sz w:val="15"/>
          <w:szCs w:val="15"/>
          <w:color w:val="auto"/>
        </w:rPr>
        <w:t xml:space="preserve"> </w:t>
      </w:r>
      <w:r>
        <w:rPr>
          <w:rFonts w:ascii="Arial" w:cs="Arial" w:eastAsia="Arial" w:hAnsi="Arial"/>
          <w:sz w:val="15"/>
          <w:szCs w:val="15"/>
          <w:b w:val="1"/>
          <w:bCs w:val="1"/>
          <w:color w:val="auto"/>
        </w:rPr>
        <w:t>Operating Expenses Cap</w:t>
      </w:r>
      <w:r>
        <w:rPr>
          <w:rFonts w:ascii="Arial" w:cs="Arial" w:eastAsia="Arial" w:hAnsi="Arial"/>
          <w:sz w:val="15"/>
          <w:szCs w:val="15"/>
          <w:color w:val="auto"/>
        </w:rPr>
        <w:t>” for each subsequent calendar year shall be an amount equal to one</w:t>
      </w:r>
      <w:r>
        <w:rPr>
          <w:rFonts w:ascii="Arial" w:cs="Arial" w:eastAsia="Arial" w:hAnsi="Arial"/>
          <w:sz w:val="15"/>
          <w:szCs w:val="15"/>
          <w:b w:val="1"/>
          <w:bCs w:val="1"/>
          <w:color w:val="auto"/>
        </w:rPr>
        <w:t xml:space="preserve"> </w:t>
      </w:r>
      <w:r>
        <w:rPr>
          <w:rFonts w:ascii="Arial" w:cs="Arial" w:eastAsia="Arial" w:hAnsi="Arial"/>
          <w:sz w:val="15"/>
          <w:szCs w:val="15"/>
          <w:color w:val="auto"/>
        </w:rPr>
        <w:t>hundred five (105%) percent of the Controllable Operating Expenses Cap for the immediately preceding calendar year. Notwithstanding anything contained herein to the contrary, if, by operation of the Controllable Operating Expenses Cap, Landlord is unable to collect the entire amount which would otherwise have been payable by Tenant as Tenant’s proportionate share of increases in Operating Expenses with respect to any particular calendar year (such amount in excess of the Controllable Expenses Cap, the “</w:t>
      </w:r>
      <w:r>
        <w:rPr>
          <w:rFonts w:ascii="Arial" w:cs="Arial" w:eastAsia="Arial" w:hAnsi="Arial"/>
          <w:sz w:val="15"/>
          <w:szCs w:val="15"/>
          <w:b w:val="1"/>
          <w:bCs w:val="1"/>
          <w:color w:val="auto"/>
        </w:rPr>
        <w:t>Carryover Expenses</w:t>
      </w:r>
      <w:r>
        <w:rPr>
          <w:rFonts w:ascii="Arial" w:cs="Arial" w:eastAsia="Arial" w:hAnsi="Arial"/>
          <w:sz w:val="15"/>
          <w:szCs w:val="15"/>
          <w:color w:val="auto"/>
        </w:rPr>
        <w:t>”), then, for purposes of calculating Tenant’s proportionate share of increases in Operating Expenses for any subsequent years of the Term, Landlord shall have the right to add the Carryover Expenses to the Operating Expenses for such subsequent years until the entire amount of the Carryover Expenses have been so applied, provided that in no event shall the Operating Expenses for any such subsequent calendar year, including any Carryover Expenses, if applicable, be increased by more than the amount of the Controllable Operating Expenses Cap for such calendar year.</w:t>
      </w:r>
    </w:p>
    <w:p>
      <w:pPr>
        <w:spacing w:after="0" w:line="140" w:lineRule="exact"/>
        <w:rPr>
          <w:sz w:val="20"/>
          <w:szCs w:val="20"/>
          <w:color w:val="auto"/>
        </w:rPr>
      </w:pPr>
    </w:p>
    <w:p>
      <w:pPr>
        <w:jc w:val="both"/>
        <w:ind w:left="1220" w:right="1239" w:firstLine="1009"/>
        <w:spacing w:after="0" w:line="237" w:lineRule="auto"/>
        <w:rPr>
          <w:sz w:val="20"/>
          <w:szCs w:val="20"/>
          <w:color w:val="auto"/>
        </w:rPr>
      </w:pPr>
      <w:r>
        <w:rPr>
          <w:rFonts w:ascii="Arial" w:cs="Arial" w:eastAsia="Arial" w:hAnsi="Arial"/>
          <w:sz w:val="15"/>
          <w:szCs w:val="15"/>
          <w:color w:val="auto"/>
        </w:rPr>
        <w:t>By way of example and not in limitation, the following is a calculation of the Controllable Expenses Cap: If the Controllable Operating Expenses for the first calendar year are $100,000.00, then the Controllable Operating Expenses Cap for the immediately succeeding five (5) calendar years would be calculated as follows: (i) for the second calendar year, the Controllable Operating Expenses Cap would be $105,000.00 (i.e., 105% x $100,000.00= $105,000.00; (ii) for the third calendar year, the Controllable Operating Expenses Cap would be $110,250.00 (i.e., 105% x $105,000.00= $110,250.00); (iii) for the fourth calendar year the Controllable Operating Expenses Cap would be $115,762.50 (i.e., 105% x $110,250.00= $115,762.50); for the fifth calendar year, the Controllable Operating Expenses Cap would be $121,550.62 (i.e., 105% x $115,762.50= $121,550.62); and for the sixth calendar year, the Controllable Operating Expenses Cap would be $127,628.16 (i.e., 105% x $121,550.62= $127,628.16).</w:t>
      </w:r>
    </w:p>
    <w:p>
      <w:pPr>
        <w:spacing w:after="0" w:line="143" w:lineRule="exact"/>
        <w:rPr>
          <w:sz w:val="20"/>
          <w:szCs w:val="20"/>
          <w:color w:val="auto"/>
        </w:rPr>
      </w:pPr>
    </w:p>
    <w:p>
      <w:pPr>
        <w:jc w:val="both"/>
        <w:ind w:left="1220" w:right="1239" w:firstLine="1013"/>
        <w:spacing w:after="0" w:line="236" w:lineRule="auto"/>
        <w:tabs>
          <w:tab w:leader="none" w:pos="2592" w:val="left"/>
        </w:tabs>
        <w:numPr>
          <w:ilvl w:val="0"/>
          <w:numId w:val="620"/>
        </w:numPr>
        <w:rPr>
          <w:rFonts w:ascii="Arial" w:cs="Arial" w:eastAsia="Arial" w:hAnsi="Arial"/>
          <w:sz w:val="15"/>
          <w:szCs w:val="15"/>
          <w:color w:val="auto"/>
        </w:rPr>
      </w:pPr>
      <w:r>
        <w:rPr>
          <w:rFonts w:ascii="Arial" w:cs="Arial" w:eastAsia="Arial" w:hAnsi="Arial"/>
          <w:sz w:val="15"/>
          <w:szCs w:val="15"/>
          <w:color w:val="auto"/>
        </w:rPr>
        <w:t>Landlord shall, not less than thirty (30) days prior to the Commencement Date, and thereafter, not less than thirty (30) days’ prior to the commencement of each calendar year during the Term, provide Tenant with its estimated budget for Operating Expenses and Insurance Expenses for such calendar year, which budget shall separately identify detailed line-items of expenses, including those which constitute Controllable Expenses. Landlord and Tenant shall engage in a good faith discussion and consultation with respect to such budget for Operating Expenses and Tenant’s comments with respect thereto. Both parties will meet as often as reasonably practicable to review and discuss said budget. As part of the budget discussions, Tenant may suggest alternative services and service providers and/or request the removal of certain line items. In addition to the foregoing annual process, upon Tenant’s written request from time to time, Landlord shall meet with representatives of Tenant to discuss the current and upcoming budgets and Landlord’s plans for operation, and upcoming maintenance and repair, of the Building. With respect to service contracts exceeding $50,000.00 per calendar year, Landlord shall either (i) solicit competitive bids from not less than three (3) qualified service providers (providing services of a quality and standard consistent with the quality and standards of the Building) and shall deliver a copy of each bid to Tenant, or (ii) notify Tenant that Landlord has not elected to bid such contracts along with Landlord’s reasonable good faith opinion, with reasonable detail, that the price and service provider for such contract in the estimated budget satisfies Landlord’s obligations for such service. After consulting with Tenant on any bids provided, Landlord will select the lowest qualified bid received, unless Landlord has a reasonable good faith basis not to do so and provides such basis to Tenant.</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692" w:name="page693"/>
    <w:bookmarkEnd w:id="692"/>
    <w:p>
      <w:pPr>
        <w:jc w:val="both"/>
        <w:ind w:left="1220" w:right="1239" w:firstLine="505"/>
        <w:spacing w:after="0" w:line="235" w:lineRule="auto"/>
        <w:rPr>
          <w:sz w:val="20"/>
          <w:szCs w:val="20"/>
          <w:color w:val="auto"/>
        </w:rPr>
      </w:pPr>
      <w:r>
        <w:rPr>
          <w:rFonts w:ascii="Arial" w:cs="Arial" w:eastAsia="Arial" w:hAnsi="Arial"/>
          <w:sz w:val="15"/>
          <w:szCs w:val="15"/>
          <w:b w:val="1"/>
          <w:bCs w:val="1"/>
          <w:color w:val="auto"/>
        </w:rPr>
        <w:t xml:space="preserve">Section 7.4. </w:t>
      </w:r>
      <w:r>
        <w:rPr>
          <w:rFonts w:ascii="Arial" w:cs="Arial" w:eastAsia="Arial" w:hAnsi="Arial"/>
          <w:sz w:val="15"/>
          <w:szCs w:val="15"/>
          <w:b w:val="1"/>
          <w:bCs w:val="1"/>
          <w:u w:val="single" w:color="auto"/>
          <w:color w:val="auto"/>
        </w:rPr>
        <w:t>Tenant’s Insurance Payment</w:t>
      </w:r>
      <w:r>
        <w:rPr>
          <w:rFonts w:ascii="Arial" w:cs="Arial" w:eastAsia="Arial" w:hAnsi="Arial"/>
          <w:sz w:val="15"/>
          <w:szCs w:val="15"/>
          <w:b w:val="1"/>
          <w:bCs w:val="1"/>
          <w:color w:val="auto"/>
        </w:rPr>
        <w:t xml:space="preserve">. </w:t>
      </w:r>
      <w:r>
        <w:rPr>
          <w:rFonts w:ascii="Arial" w:cs="Arial" w:eastAsia="Arial" w:hAnsi="Arial"/>
          <w:sz w:val="15"/>
          <w:szCs w:val="15"/>
          <w:color w:val="auto"/>
        </w:rPr>
        <w:t>(a) Tenant shall pay to Landlord Tenant’s</w:t>
      </w:r>
      <w:r>
        <w:rPr>
          <w:rFonts w:ascii="Arial" w:cs="Arial" w:eastAsia="Arial" w:hAnsi="Arial"/>
          <w:sz w:val="15"/>
          <w:szCs w:val="15"/>
          <w:b w:val="1"/>
          <w:bCs w:val="1"/>
          <w:color w:val="auto"/>
        </w:rPr>
        <w:t xml:space="preserve"> </w:t>
      </w:r>
      <w:r>
        <w:rPr>
          <w:rFonts w:ascii="Arial" w:cs="Arial" w:eastAsia="Arial" w:hAnsi="Arial"/>
          <w:sz w:val="15"/>
          <w:szCs w:val="15"/>
          <w:color w:val="auto"/>
        </w:rPr>
        <w:t>Proportionate Share of the Insurance Expenses for each calendar year or portion thereof during the Term (“</w:t>
      </w:r>
      <w:r>
        <w:rPr>
          <w:rFonts w:ascii="Arial" w:cs="Arial" w:eastAsia="Arial" w:hAnsi="Arial"/>
          <w:sz w:val="15"/>
          <w:szCs w:val="15"/>
          <w:b w:val="1"/>
          <w:bCs w:val="1"/>
          <w:color w:val="auto"/>
        </w:rPr>
        <w:t>Tenant’s Insurance Payment</w:t>
      </w:r>
      <w:r>
        <w:rPr>
          <w:rFonts w:ascii="Arial" w:cs="Arial" w:eastAsia="Arial" w:hAnsi="Arial"/>
          <w:sz w:val="15"/>
          <w:szCs w:val="15"/>
          <w:color w:val="auto"/>
        </w:rPr>
        <w:t>”) from and after the Rent Commencement Date. For each calendar year, Landlord shall furnish to Tenant Landlord’s reasonable estimate of Tenant’s Insurance Payment for such calendar year (the “</w:t>
      </w:r>
      <w:r>
        <w:rPr>
          <w:rFonts w:ascii="Arial" w:cs="Arial" w:eastAsia="Arial" w:hAnsi="Arial"/>
          <w:sz w:val="15"/>
          <w:szCs w:val="15"/>
          <w:b w:val="1"/>
          <w:bCs w:val="1"/>
          <w:color w:val="auto"/>
        </w:rPr>
        <w:t>Insurance Expense Estimate</w:t>
      </w:r>
      <w:r>
        <w:rPr>
          <w:rFonts w:ascii="Arial" w:cs="Arial" w:eastAsia="Arial" w:hAnsi="Arial"/>
          <w:sz w:val="15"/>
          <w:szCs w:val="15"/>
          <w:color w:val="auto"/>
        </w:rPr>
        <w:t xml:space="preserve">”). Tenant shall pay to Landlord on the first (1st) day of each month during such calendar year an amount equal to 1/12 of the Insurance Expense Estimate. If Landlord furnishes an Insurance Expense Estimate for a calendar year subsequent to the commencement thereof, then (i) until the first (1st) day of the month following the month in which the Insurance Expense Estimate is furnished to Tenant, Tenant shall pay to Landlord on the first (1st) day of each month an amount equal to the monthly sum payable by Tenant to Landlord under this </w:t>
      </w:r>
      <w:r>
        <w:rPr>
          <w:rFonts w:ascii="Arial" w:cs="Arial" w:eastAsia="Arial" w:hAnsi="Arial"/>
          <w:sz w:val="15"/>
          <w:szCs w:val="15"/>
          <w:b w:val="1"/>
          <w:bCs w:val="1"/>
          <w:color w:val="auto"/>
        </w:rPr>
        <w:t>Section 7.4</w:t>
      </w:r>
      <w:r>
        <w:rPr>
          <w:rFonts w:ascii="Arial" w:cs="Arial" w:eastAsia="Arial" w:hAnsi="Arial"/>
          <w:sz w:val="15"/>
          <w:szCs w:val="15"/>
          <w:color w:val="auto"/>
        </w:rPr>
        <w:t xml:space="preserve"> during the last month of the preceding calendar year, (ii) promptly after the Insurance Expense Estimate is furnished to Tenant or together therewith, Landlord shall give notice to Tenant stating whether the installments of Tenant’s Insurance Payment previously made for such calendar year were greater or less than the installments of Tenant’s Insurance Payment to be made for such calendar year in accordance with the Insurance Expense Estimate, and (x) if there shall be a deficiency, Tenant shall pay the amount thereof within thirty (30) days after demand therefor, or</w:t>
      </w:r>
    </w:p>
    <w:p>
      <w:pPr>
        <w:spacing w:after="0" w:line="4" w:lineRule="exact"/>
        <w:rPr>
          <w:sz w:val="20"/>
          <w:szCs w:val="20"/>
          <w:color w:val="auto"/>
        </w:rPr>
      </w:pPr>
    </w:p>
    <w:p>
      <w:pPr>
        <w:jc w:val="both"/>
        <w:ind w:left="1220" w:right="1239" w:firstLine="4"/>
        <w:spacing w:after="0" w:line="239" w:lineRule="auto"/>
        <w:tabs>
          <w:tab w:leader="none" w:pos="1460" w:val="left"/>
        </w:tabs>
        <w:numPr>
          <w:ilvl w:val="0"/>
          <w:numId w:val="621"/>
        </w:numPr>
        <w:rPr>
          <w:rFonts w:ascii="Arial" w:cs="Arial" w:eastAsia="Arial" w:hAnsi="Arial"/>
          <w:sz w:val="15"/>
          <w:szCs w:val="15"/>
          <w:color w:val="auto"/>
        </w:rPr>
      </w:pPr>
      <w:r>
        <w:rPr>
          <w:rFonts w:ascii="Arial" w:cs="Arial" w:eastAsia="Arial" w:hAnsi="Arial"/>
          <w:sz w:val="15"/>
          <w:szCs w:val="15"/>
          <w:color w:val="auto"/>
        </w:rPr>
        <w:t>if there shall have been an overpayment, Landlord shall credit the amount thereof against subsequent payments of Rent due hereunder, and (iii) on the first (1st) day of the month following the month in which the Insurance Expense Estimate is furnished to Tenant, and on the first (1st) day of each month thereafter throughout the remainder of such calendar year, Tenant shall pay to Landlord an amount equal to 1/12 of the Insurance Expense Estimate.</w:t>
      </w:r>
    </w:p>
    <w:p>
      <w:pPr>
        <w:spacing w:after="0" w:line="136" w:lineRule="exact"/>
        <w:rPr>
          <w:rFonts w:ascii="Arial" w:cs="Arial" w:eastAsia="Arial" w:hAnsi="Arial"/>
          <w:sz w:val="15"/>
          <w:szCs w:val="15"/>
          <w:color w:val="auto"/>
        </w:rPr>
      </w:pPr>
    </w:p>
    <w:p>
      <w:pPr>
        <w:jc w:val="both"/>
        <w:ind w:left="1220" w:right="1239" w:firstLine="1013"/>
        <w:spacing w:after="0"/>
        <w:tabs>
          <w:tab w:leader="none" w:pos="2518" w:val="left"/>
        </w:tabs>
        <w:numPr>
          <w:ilvl w:val="1"/>
          <w:numId w:val="621"/>
        </w:numPr>
        <w:rPr>
          <w:rFonts w:ascii="Arial" w:cs="Arial" w:eastAsia="Arial" w:hAnsi="Arial"/>
          <w:sz w:val="15"/>
          <w:szCs w:val="15"/>
          <w:color w:val="auto"/>
        </w:rPr>
      </w:pPr>
      <w:r>
        <w:rPr>
          <w:rFonts w:ascii="Arial" w:cs="Arial" w:eastAsia="Arial" w:hAnsi="Arial"/>
          <w:sz w:val="15"/>
          <w:szCs w:val="15"/>
          <w:color w:val="auto"/>
        </w:rPr>
        <w:t xml:space="preserve">Promptly after the expiration of each calendar year, Landlord shall furnish to Tenant a Statement of Tenant’s Insurance Payment for the immediately preceding calendar year. If the Statement shows that the sums paid by Tenant under </w:t>
      </w:r>
      <w:r>
        <w:rPr>
          <w:rFonts w:ascii="Arial" w:cs="Arial" w:eastAsia="Arial" w:hAnsi="Arial"/>
          <w:sz w:val="15"/>
          <w:szCs w:val="15"/>
          <w:b w:val="1"/>
          <w:bCs w:val="1"/>
          <w:color w:val="auto"/>
        </w:rPr>
        <w:t>Section 7.4(a)</w:t>
      </w:r>
      <w:r>
        <w:rPr>
          <w:rFonts w:ascii="Arial" w:cs="Arial" w:eastAsia="Arial" w:hAnsi="Arial"/>
          <w:sz w:val="15"/>
          <w:szCs w:val="15"/>
          <w:color w:val="auto"/>
        </w:rPr>
        <w:t xml:space="preserve"> exceeded the actual amount of Tenant’s Insurance Payment for such calendar year, then Landlord shall credit the amount of such excess against subsequent payments of Rent due hereunder. If the Statement shows that the sums so paid by Tenant were less than Tenant’s Insurance Payment for such calendar year, then Tenant shall pay the amount of such deficiency within ten (10) Business Days after delivery of the Statement to Tenant. If (i) at the time of delivery of a Statement the Term of this Lease shall have expired, (ii) Tenant shall have vacated and surrendered the Premises, and (iii) the Statement shows that the sums paid by Tenant under </w:t>
      </w:r>
      <w:r>
        <w:rPr>
          <w:rFonts w:ascii="Arial" w:cs="Arial" w:eastAsia="Arial" w:hAnsi="Arial"/>
          <w:sz w:val="15"/>
          <w:szCs w:val="15"/>
          <w:b w:val="1"/>
          <w:bCs w:val="1"/>
          <w:color w:val="auto"/>
        </w:rPr>
        <w:t xml:space="preserve">Section 7.4(a) </w:t>
      </w:r>
      <w:r>
        <w:rPr>
          <w:rFonts w:ascii="Arial" w:cs="Arial" w:eastAsia="Arial" w:hAnsi="Arial"/>
          <w:sz w:val="15"/>
          <w:szCs w:val="15"/>
          <w:color w:val="auto"/>
        </w:rPr>
        <w:t>exceeded the actual amount of Tenant’s Insurance Payment for such</w:t>
      </w:r>
      <w:r>
        <w:rPr>
          <w:rFonts w:ascii="Arial" w:cs="Arial" w:eastAsia="Arial" w:hAnsi="Arial"/>
          <w:sz w:val="15"/>
          <w:szCs w:val="15"/>
          <w:b w:val="1"/>
          <w:bCs w:val="1"/>
          <w:color w:val="auto"/>
        </w:rPr>
        <w:t xml:space="preserve"> </w:t>
      </w:r>
      <w:r>
        <w:rPr>
          <w:rFonts w:ascii="Arial" w:cs="Arial" w:eastAsia="Arial" w:hAnsi="Arial"/>
          <w:sz w:val="15"/>
          <w:szCs w:val="15"/>
          <w:color w:val="auto"/>
        </w:rPr>
        <w:t>Comparison Year, then the excess amount (if any) shall be applied against the then unpaid Rent or other charges (if any), and the remaining excess after such application, if any, will be paid by the Landlord to Tenant.</w:t>
      </w:r>
    </w:p>
    <w:p>
      <w:pPr>
        <w:spacing w:after="0" w:line="279"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7.5. </w:t>
      </w:r>
      <w:r>
        <w:rPr>
          <w:rFonts w:ascii="Arial" w:cs="Arial" w:eastAsia="Arial" w:hAnsi="Arial"/>
          <w:sz w:val="15"/>
          <w:szCs w:val="15"/>
          <w:b w:val="1"/>
          <w:bCs w:val="1"/>
          <w:u w:val="single" w:color="auto"/>
          <w:color w:val="auto"/>
        </w:rPr>
        <w:t>Non-Waiver; Disputes</w:t>
      </w:r>
      <w:r>
        <w:rPr>
          <w:rFonts w:ascii="Arial" w:cs="Arial" w:eastAsia="Arial" w:hAnsi="Arial"/>
          <w:sz w:val="15"/>
          <w:szCs w:val="15"/>
          <w:b w:val="1"/>
          <w:bCs w:val="1"/>
          <w:color w:val="auto"/>
        </w:rPr>
        <w:t xml:space="preserve">. </w:t>
      </w:r>
      <w:r>
        <w:rPr>
          <w:rFonts w:ascii="Arial" w:cs="Arial" w:eastAsia="Arial" w:hAnsi="Arial"/>
          <w:sz w:val="15"/>
          <w:szCs w:val="15"/>
          <w:color w:val="auto"/>
        </w:rPr>
        <w:t>(a) Landlord’s failure to render any Statement on a</w:t>
      </w:r>
      <w:r>
        <w:rPr>
          <w:rFonts w:ascii="Arial" w:cs="Arial" w:eastAsia="Arial" w:hAnsi="Arial"/>
          <w:sz w:val="15"/>
          <w:szCs w:val="15"/>
          <w:b w:val="1"/>
          <w:bCs w:val="1"/>
          <w:color w:val="auto"/>
        </w:rPr>
        <w:t xml:space="preserve"> </w:t>
      </w:r>
      <w:r>
        <w:rPr>
          <w:rFonts w:ascii="Arial" w:cs="Arial" w:eastAsia="Arial" w:hAnsi="Arial"/>
          <w:sz w:val="15"/>
          <w:szCs w:val="15"/>
          <w:color w:val="auto"/>
        </w:rPr>
        <w:t>timely basis with respect to any calendar year or Tax Year (as applicable) shall not prejudice Landlord’s right to thereafter render a Statement with respect to such calendar year or Tax Year (as applicable) or any subsequent calendar year or Tax Year (as applicable), nor shall the rendering of a Statement prejudice Landlord’s right to thereafter render a corrected Statement for that calendar year or Tax Year (as applicable); provided, however, Landlord may not issue a corrected Statement with respect to any calendar year or Tax Year (as applicable) later than eighteen (18) months after the expiration of such calendar year or Tax Year (as applicable).</w:t>
      </w:r>
    </w:p>
    <w:p>
      <w:pPr>
        <w:spacing w:after="0" w:line="136" w:lineRule="exact"/>
        <w:rPr>
          <w:sz w:val="20"/>
          <w:szCs w:val="20"/>
          <w:color w:val="auto"/>
        </w:rPr>
      </w:pPr>
    </w:p>
    <w:p>
      <w:pPr>
        <w:jc w:val="both"/>
        <w:ind w:left="1220" w:right="1239" w:firstLine="1013"/>
        <w:spacing w:after="0" w:line="242" w:lineRule="auto"/>
        <w:tabs>
          <w:tab w:leader="none" w:pos="2536" w:val="left"/>
        </w:tabs>
        <w:numPr>
          <w:ilvl w:val="0"/>
          <w:numId w:val="622"/>
        </w:numPr>
        <w:rPr>
          <w:rFonts w:ascii="Arial" w:cs="Arial" w:eastAsia="Arial" w:hAnsi="Arial"/>
          <w:sz w:val="15"/>
          <w:szCs w:val="15"/>
          <w:color w:val="auto"/>
        </w:rPr>
      </w:pPr>
      <w:r>
        <w:rPr>
          <w:rFonts w:ascii="Arial" w:cs="Arial" w:eastAsia="Arial" w:hAnsi="Arial"/>
          <w:sz w:val="15"/>
          <w:szCs w:val="15"/>
          <w:color w:val="auto"/>
        </w:rPr>
        <w:t>Each Statement sent to Tenant shall constitute an account stated between Landlord and Tenant and shall be conclusively binding upon Tenant unless Tenant (i) pays to Landlord when due the amount set forth in such Statement, without prejudice to Tenant’s right to audit such Statement, and (ii) within one hundred eighty (180) days after such Statement is delivered, sends a written notice to Landlord objecting to such Statement and stating that Tenant</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693" w:name="page694"/>
    <w:bookmarkEnd w:id="693"/>
    <w:p>
      <w:pPr>
        <w:jc w:val="both"/>
        <w:ind w:left="1220" w:right="1239"/>
        <w:spacing w:after="0"/>
        <w:rPr>
          <w:sz w:val="20"/>
          <w:szCs w:val="20"/>
          <w:color w:val="auto"/>
        </w:rPr>
      </w:pPr>
      <w:r>
        <w:rPr>
          <w:rFonts w:ascii="Arial" w:cs="Arial" w:eastAsia="Arial" w:hAnsi="Arial"/>
          <w:sz w:val="15"/>
          <w:szCs w:val="15"/>
          <w:color w:val="auto"/>
        </w:rPr>
        <w:t xml:space="preserve">will audit the records concerning said Statement. Tenant and all auditors, representatives, contractors, agents, and other third parties involved on behalf of Tenant in any review, audit or dispute concerning Operating Expenses, Insurance Expenses or Taxes shall execute and deliver to Landlord a confidentiality agreement, in form and substance reasonably satisfactory to Landlord and Tenant, whereby such parties agree not to disclose to any third party any of the information obtained in connection with such review. Tenant agrees that Tenant will not employ, in connection with any review, audit or dispute under this Lease, any person or entity who is to be compensated in whole or in part, on a contingency fee basis. If Tenant satisfies the foregoing conditions precedent, then Tenant may review or audit the Operating Expenses, Insurance Expenses, or Taxes (as applicable) for the subject calendar year or Tax Year (as applicable). If the parties are unable to resolve any dispute as to the correctness of such Statement within thirty (30) days following the review or audit performed by Tenant, then either party may refer the issues raised by such review or audit to a nationally recognized public accounting firm selected by Landlord and reasonably acceptable to Tenant, and the decision of such accountants shall be conclusively binding upon Landlord and Tenant. If said accountants shall determine that Tenant shall have made any payment in excess of the amount properly due hereunder, such excess amount shall be refunded to Tenant by Landlord promptly after said accountants shall have rendered their decision and if such accountants shall determine that Tenant shall have underpaid the amount properly due hereunder such under-payment shall be paid by Tenant to Landlord promptly after said accountants shall have rendered their decision. Tenant shall pay the fees and expenses relating to the audit and dispute procedure, unless such accountants determine that Landlord overstated Operating Expenses, Insurance Expenses or Taxes (as applicable) by more than three percent (3%) for such calendar year or Tax Year (as applicable), in which case Landlord shall pay the reasonable out-of-pocket fees and expenses incurred by Tenant for the audit conducted by Tenant and said third-party accountant. Except as provided in this </w:t>
      </w:r>
      <w:r>
        <w:rPr>
          <w:rFonts w:ascii="Arial" w:cs="Arial" w:eastAsia="Arial" w:hAnsi="Arial"/>
          <w:sz w:val="15"/>
          <w:szCs w:val="15"/>
          <w:b w:val="1"/>
          <w:bCs w:val="1"/>
          <w:color w:val="auto"/>
        </w:rPr>
        <w:t>Section 7.5</w:t>
      </w:r>
      <w:r>
        <w:rPr>
          <w:rFonts w:ascii="Arial" w:cs="Arial" w:eastAsia="Arial" w:hAnsi="Arial"/>
          <w:sz w:val="15"/>
          <w:szCs w:val="15"/>
          <w:color w:val="auto"/>
        </w:rPr>
        <w:t>, Tenant shall have no right whatsoever to dispute by judicial proceeding or otherwise the accuracy of any Statement.</w:t>
      </w:r>
    </w:p>
    <w:p>
      <w:pPr>
        <w:spacing w:after="0" w:line="223"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7.6. </w:t>
      </w:r>
      <w:r>
        <w:rPr>
          <w:rFonts w:ascii="Arial" w:cs="Arial" w:eastAsia="Arial" w:hAnsi="Arial"/>
          <w:sz w:val="15"/>
          <w:szCs w:val="15"/>
          <w:b w:val="1"/>
          <w:bCs w:val="1"/>
          <w:u w:val="single" w:color="auto"/>
          <w:color w:val="auto"/>
        </w:rPr>
        <w:t>Proration</w:t>
      </w:r>
      <w:r>
        <w:rPr>
          <w:rFonts w:ascii="Arial" w:cs="Arial" w:eastAsia="Arial" w:hAnsi="Arial"/>
          <w:sz w:val="15"/>
          <w:szCs w:val="15"/>
          <w:color w:val="auto"/>
        </w:rPr>
        <w:t>. If the Rent Commencement Date is not January 1 or July 1 (as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applicable), then any Additional Rent under this Article 7 for the calendar year or Tax Year (as applicable) in which the Rent Commencement Date occurs shall be apportioned based on the number of days in the applicable calendar year or Tax Year (as applicable). If the Expiration Date occurs on a date other than December 31 or June 30 (as applicable), any Additional Rent under this </w:t>
      </w:r>
      <w:r>
        <w:rPr>
          <w:rFonts w:ascii="Arial" w:cs="Arial" w:eastAsia="Arial" w:hAnsi="Arial"/>
          <w:sz w:val="15"/>
          <w:szCs w:val="15"/>
          <w:b w:val="1"/>
          <w:bCs w:val="1"/>
          <w:color w:val="auto"/>
        </w:rPr>
        <w:t>Article 7</w:t>
      </w:r>
      <w:r>
        <w:rPr>
          <w:rFonts w:ascii="Arial" w:cs="Arial" w:eastAsia="Arial" w:hAnsi="Arial"/>
          <w:sz w:val="15"/>
          <w:szCs w:val="15"/>
          <w:color w:val="auto"/>
        </w:rPr>
        <w:t xml:space="preserve"> for the calendar year or Tax Year (as applicable) in which such Expiration Date occurs shall be apportioned on the basis of the number of days in the respective calendar year or Tax Year (as applicable). Upon the expiration or earlier termination of this Lease, any Additional Rent under this </w:t>
      </w:r>
      <w:r>
        <w:rPr>
          <w:rFonts w:ascii="Arial" w:cs="Arial" w:eastAsia="Arial" w:hAnsi="Arial"/>
          <w:sz w:val="15"/>
          <w:szCs w:val="15"/>
          <w:b w:val="1"/>
          <w:bCs w:val="1"/>
          <w:color w:val="auto"/>
        </w:rPr>
        <w:t>Article 7</w:t>
      </w:r>
      <w:r>
        <w:rPr>
          <w:rFonts w:ascii="Arial" w:cs="Arial" w:eastAsia="Arial" w:hAnsi="Arial"/>
          <w:sz w:val="15"/>
          <w:szCs w:val="15"/>
          <w:color w:val="auto"/>
        </w:rPr>
        <w:t xml:space="preserve"> shall be adjusted or paid within thirty (30) days after submission of the Statement for the last calendar year or Tax Year (as applicable).</w:t>
      </w:r>
    </w:p>
    <w:p>
      <w:pPr>
        <w:spacing w:after="0" w:line="140"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Section 7.7. </w:t>
      </w:r>
      <w:r>
        <w:rPr>
          <w:rFonts w:ascii="Arial" w:cs="Arial" w:eastAsia="Arial" w:hAnsi="Arial"/>
          <w:sz w:val="15"/>
          <w:szCs w:val="15"/>
          <w:b w:val="1"/>
          <w:bCs w:val="1"/>
          <w:u w:val="single" w:color="auto"/>
          <w:color w:val="auto"/>
        </w:rPr>
        <w:t>Survival</w:t>
      </w:r>
      <w:r>
        <w:rPr>
          <w:rFonts w:ascii="Arial" w:cs="Arial" w:eastAsia="Arial" w:hAnsi="Arial"/>
          <w:sz w:val="15"/>
          <w:szCs w:val="15"/>
          <w:b w:val="1"/>
          <w:bCs w:val="1"/>
          <w:color w:val="auto"/>
        </w:rPr>
        <w:t xml:space="preserve">. </w:t>
      </w:r>
      <w:r>
        <w:rPr>
          <w:rFonts w:ascii="Arial" w:cs="Arial" w:eastAsia="Arial" w:hAnsi="Arial"/>
          <w:sz w:val="15"/>
          <w:szCs w:val="15"/>
          <w:color w:val="auto"/>
        </w:rPr>
        <w:t>The provisions of this</w:t>
      </w:r>
      <w:r>
        <w:rPr>
          <w:rFonts w:ascii="Arial" w:cs="Arial" w:eastAsia="Arial" w:hAnsi="Arial"/>
          <w:sz w:val="15"/>
          <w:szCs w:val="15"/>
          <w:b w:val="1"/>
          <w:bCs w:val="1"/>
          <w:color w:val="auto"/>
        </w:rPr>
        <w:t xml:space="preserve"> Article 7 </w:t>
      </w:r>
      <w:r>
        <w:rPr>
          <w:rFonts w:ascii="Arial" w:cs="Arial" w:eastAsia="Arial" w:hAnsi="Arial"/>
          <w:sz w:val="15"/>
          <w:szCs w:val="15"/>
          <w:color w:val="auto"/>
        </w:rPr>
        <w:t>shall survive the expiration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earlier termination of this Lease.</w:t>
      </w:r>
    </w:p>
    <w:p>
      <w:pPr>
        <w:spacing w:after="0" w:line="106"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ARTICLE 8</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REQUIREMENTS OF LAW</w:t>
      </w:r>
    </w:p>
    <w:p>
      <w:pPr>
        <w:spacing w:after="0" w:line="164"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Section 8.1. </w:t>
      </w:r>
      <w:r>
        <w:rPr>
          <w:rFonts w:ascii="Arial" w:cs="Arial" w:eastAsia="Arial" w:hAnsi="Arial"/>
          <w:sz w:val="15"/>
          <w:szCs w:val="15"/>
          <w:b w:val="1"/>
          <w:bCs w:val="1"/>
          <w:u w:val="single" w:color="auto"/>
          <w:color w:val="auto"/>
        </w:rPr>
        <w:t>Tenant’s Compliance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at its expense, shall comply and shall</w:t>
      </w:r>
      <w:r>
        <w:rPr>
          <w:rFonts w:ascii="Arial" w:cs="Arial" w:eastAsia="Arial" w:hAnsi="Arial"/>
          <w:sz w:val="15"/>
          <w:szCs w:val="15"/>
          <w:b w:val="1"/>
          <w:bCs w:val="1"/>
          <w:color w:val="auto"/>
        </w:rPr>
        <w:t xml:space="preserve"> </w:t>
      </w:r>
      <w:r>
        <w:rPr>
          <w:rFonts w:ascii="Arial" w:cs="Arial" w:eastAsia="Arial" w:hAnsi="Arial"/>
          <w:sz w:val="15"/>
          <w:szCs w:val="15"/>
          <w:color w:val="auto"/>
        </w:rPr>
        <w:t>cause the Premises to comply with all Requirements applicable to the Premises and/or the use or occupancy of the Premises by Tenant; provided, however, Tenant shall not be obligated to perform structural alterations to the Building or alterations to the Building Systems, unless the application of such Requirements arises out of or results from (i) the specific manner and nature</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94" w:name="page695"/>
    <w:bookmarkEnd w:id="694"/>
    <w:p>
      <w:pPr>
        <w:jc w:val="both"/>
        <w:ind w:left="1220" w:right="1239"/>
        <w:spacing w:after="0"/>
        <w:rPr>
          <w:sz w:val="20"/>
          <w:szCs w:val="20"/>
          <w:color w:val="auto"/>
        </w:rPr>
      </w:pPr>
      <w:r>
        <w:rPr>
          <w:rFonts w:ascii="Arial" w:cs="Arial" w:eastAsia="Arial" w:hAnsi="Arial"/>
          <w:sz w:val="15"/>
          <w:szCs w:val="15"/>
          <w:color w:val="auto"/>
        </w:rPr>
        <w:t xml:space="preserve">of Tenant’s use or occupancy of the Premises (as distinguished from general office, laboratory, or research and development uses), (ii) Alterations made by Tenant, or (iii) a breach by Tenant of any provisions of this Lease. Any such repairs or alterations shall be made at Tenant’s expense (1) by Tenant in compliance with </w:t>
      </w:r>
      <w:r>
        <w:rPr>
          <w:rFonts w:ascii="Arial" w:cs="Arial" w:eastAsia="Arial" w:hAnsi="Arial"/>
          <w:sz w:val="15"/>
          <w:szCs w:val="15"/>
          <w:b w:val="1"/>
          <w:bCs w:val="1"/>
          <w:color w:val="auto"/>
        </w:rPr>
        <w:t>Article 5</w:t>
      </w:r>
      <w:r>
        <w:rPr>
          <w:rFonts w:ascii="Arial" w:cs="Arial" w:eastAsia="Arial" w:hAnsi="Arial"/>
          <w:sz w:val="15"/>
          <w:szCs w:val="15"/>
          <w:color w:val="auto"/>
        </w:rPr>
        <w:t xml:space="preserve"> if such repairs or alterations are nonstructural and do not affect any Building System or any areas outside of the Premises, or (2) by Landlord if such repairs or alterations are structural or affect any Building System or any areas outside of the Premises. If Tenant obtains knowledge of any failure to comply with any Requirements applicable to the Premises, Tenant shall give Landlord prompt notice thereof. Without limitation, within the Premises, Tenant shall be responsible for compliance with the applicable provisions of the ADA. Tenant shall not permit any condition within the Premises that would (i) invalidate or conflict with Landlord’s insurance policies, (ii) violate applicable rules, regulations and guidelines of the City of Boston fire department, fire insurance rating organization or any other Governmental Authority, (iii) cause an increase in the premiums of fire insurance for the Building over that payable with respect to Comparable Buildings, or (iv) result in Landlord’s insurance companies’ refusing to insure the Building or any property therein in amounts and against risks comparable to those insured against by prudent owners of Comparable Buildings, as reasonably determined by Landlord. If fire insurance premiums increase as a result of Tenant’s failure to comply with the provisions of this </w:t>
      </w:r>
      <w:r>
        <w:rPr>
          <w:rFonts w:ascii="Arial" w:cs="Arial" w:eastAsia="Arial" w:hAnsi="Arial"/>
          <w:sz w:val="15"/>
          <w:szCs w:val="15"/>
          <w:b w:val="1"/>
          <w:bCs w:val="1"/>
          <w:color w:val="auto"/>
        </w:rPr>
        <w:t>Section 8.1</w:t>
      </w:r>
      <w:r>
        <w:rPr>
          <w:rFonts w:ascii="Arial" w:cs="Arial" w:eastAsia="Arial" w:hAnsi="Arial"/>
          <w:sz w:val="15"/>
          <w:szCs w:val="15"/>
          <w:color w:val="auto"/>
        </w:rPr>
        <w:t>, then Tenant shall promptly cure such failure and shall reimburse Landlord for the increased fire insurance premiums paid by Landlord as a result of such failure by Tenant. Tenant’s use of the PH neutralization system for the Building shall be subject to and in accordance with all applicable Requirements, including the conditions of the MWRA Permit, as well as all Rules and Regulations concerning the PH neutralization system adopted by Landlord from time-to-time. Tenant shall not introduce any substances or materials into the PH neutralization system (i) in violation of the MWRA Permit, (ii) in violation of Requirements, or (iii) that would interfere with the proper functioning of the PH neutralization system.</w:t>
      </w:r>
    </w:p>
    <w:p>
      <w:pPr>
        <w:spacing w:after="0" w:line="227"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8.2. </w:t>
      </w:r>
      <w:r>
        <w:rPr>
          <w:rFonts w:ascii="Arial" w:cs="Arial" w:eastAsia="Arial" w:hAnsi="Arial"/>
          <w:sz w:val="15"/>
          <w:szCs w:val="15"/>
          <w:b w:val="1"/>
          <w:bCs w:val="1"/>
          <w:u w:val="single" w:color="auto"/>
          <w:color w:val="auto"/>
        </w:rPr>
        <w:t>Landlord’s Compliance</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cause the Common Facilities to</w:t>
      </w:r>
      <w:r>
        <w:rPr>
          <w:rFonts w:ascii="Arial" w:cs="Arial" w:eastAsia="Arial" w:hAnsi="Arial"/>
          <w:sz w:val="15"/>
          <w:szCs w:val="15"/>
          <w:b w:val="1"/>
          <w:bCs w:val="1"/>
          <w:color w:val="auto"/>
        </w:rPr>
        <w:t xml:space="preserve"> </w:t>
      </w:r>
      <w:r>
        <w:rPr>
          <w:rFonts w:ascii="Arial" w:cs="Arial" w:eastAsia="Arial" w:hAnsi="Arial"/>
          <w:sz w:val="15"/>
          <w:szCs w:val="15"/>
          <w:color w:val="auto"/>
        </w:rPr>
        <w:t>comply with all Requirements applicable to the Building which are not the obligation of Tenant, to the extent that non-compliance (i) would impair Tenant’s use and occupancy of the Premises for the Permitted Uses, (ii) would adversely restrict Tenant’s access to the Premises, (iii) would adversely affect the provision of Building services to be provided by Landlord to Tenant pursuant to this Lease, or (iv) would create an unsafe or hazardous situation in the Premises and/or the Common Areas. Subject to the limitations set forth in clauses (i) through (iv) above, Landlord shall have the right to contest in good faith any alleged violation of applicable Requirements, including the right to apply for and obtain a waiver or deferment of compliance, the right to assert any and all defenses allowed at law or in equity, and the right to appeal any decisions, judgments or rulings to the fullest extent permitted by applicable Requirements. Without limitation, Landlord shall obtain and maintain the MWRA Permit.</w:t>
      </w:r>
    </w:p>
    <w:p>
      <w:pPr>
        <w:spacing w:after="0" w:line="13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8.3. </w:t>
      </w:r>
      <w:r>
        <w:rPr>
          <w:rFonts w:ascii="Arial" w:cs="Arial" w:eastAsia="Arial" w:hAnsi="Arial"/>
          <w:sz w:val="15"/>
          <w:szCs w:val="15"/>
          <w:b w:val="1"/>
          <w:bCs w:val="1"/>
          <w:u w:val="single" w:color="auto"/>
          <w:color w:val="auto"/>
        </w:rPr>
        <w:t>Fire and Life Safety; Sprinkler</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maintain in good order,</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 and repair all sprinkler, fire-alarm and life-safety systems located in and serving the Premises, from the point of connection to the Building Systems, in accordance with this Lease, the Rules and Regulations and all Requirements. If any modifications and/or alterations are required to be made to such systems, or any additional equipment is required to be supplied in connection with such systems arising out of or resulting from Tenant’s particular manner of business operations, or Alterations performed by Tenant, or the location of Tenant’s Property (including partitions) within the Premises, then Landlord (to the extent outside of the Premises) or Tenant (to the extent within the Premises) shall make such modifications and/or Alterations, and supply such additional equipment, in either case at Tenant’s expense. Tenant shall, at its cost and expense, maintain all fire extinguishers and other moveable life safety equipment in the Premises.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95" w:name="page696"/>
    <w:bookmarkEnd w:id="695"/>
    <w:p>
      <w:pPr>
        <w:ind w:left="4080"/>
        <w:spacing w:after="0"/>
        <w:rPr>
          <w:sz w:val="20"/>
          <w:szCs w:val="20"/>
          <w:color w:val="auto"/>
        </w:rPr>
      </w:pPr>
      <w:r>
        <w:rPr>
          <w:rFonts w:ascii="Arial" w:cs="Arial" w:eastAsia="Arial" w:hAnsi="Arial"/>
          <w:sz w:val="15"/>
          <w:szCs w:val="15"/>
          <w:b w:val="1"/>
          <w:bCs w:val="1"/>
          <w:color w:val="auto"/>
        </w:rPr>
        <w:t>ARTICLE 9</w:t>
      </w:r>
    </w:p>
    <w:p>
      <w:pPr>
        <w:spacing w:after="0" w:line="164"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SUBORDINATION</w:t>
      </w:r>
    </w:p>
    <w:p>
      <w:pPr>
        <w:spacing w:after="0" w:line="164"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9.1. </w:t>
      </w:r>
      <w:r>
        <w:rPr>
          <w:rFonts w:ascii="Arial" w:cs="Arial" w:eastAsia="Arial" w:hAnsi="Arial"/>
          <w:sz w:val="15"/>
          <w:szCs w:val="15"/>
          <w:b w:val="1"/>
          <w:bCs w:val="1"/>
          <w:u w:val="single" w:color="auto"/>
          <w:color w:val="auto"/>
        </w:rPr>
        <w:t>Subordination and Attornment</w:t>
      </w:r>
      <w:r>
        <w:rPr>
          <w:rFonts w:ascii="Arial" w:cs="Arial" w:eastAsia="Arial" w:hAnsi="Arial"/>
          <w:sz w:val="15"/>
          <w:szCs w:val="15"/>
          <w:b w:val="1"/>
          <w:bCs w:val="1"/>
          <w:color w:val="auto"/>
        </w:rPr>
        <w:t xml:space="preserve">. </w:t>
      </w:r>
      <w:r>
        <w:rPr>
          <w:rFonts w:ascii="Arial" w:cs="Arial" w:eastAsia="Arial" w:hAnsi="Arial"/>
          <w:sz w:val="15"/>
          <w:szCs w:val="15"/>
          <w:color w:val="auto"/>
        </w:rPr>
        <w:t>(a) This Lease is and shall be subject</w:t>
      </w:r>
      <w:r>
        <w:rPr>
          <w:rFonts w:ascii="Arial" w:cs="Arial" w:eastAsia="Arial" w:hAnsi="Arial"/>
          <w:sz w:val="15"/>
          <w:szCs w:val="15"/>
          <w:b w:val="1"/>
          <w:bCs w:val="1"/>
          <w:color w:val="auto"/>
        </w:rPr>
        <w:t xml:space="preserve"> </w:t>
      </w:r>
      <w:r>
        <w:rPr>
          <w:rFonts w:ascii="Arial" w:cs="Arial" w:eastAsia="Arial" w:hAnsi="Arial"/>
          <w:sz w:val="15"/>
          <w:szCs w:val="15"/>
          <w:color w:val="auto"/>
        </w:rPr>
        <w:t>and subordinate to all Mortgages and Superior Leases, and Tenant shall attorn to such Mortgagee or Lessor, its successors in interest or any purchaser in a foreclosure sale; provided, however, as a condition to Tenant’s agreement to subordinate Tenant’s interest in this Lease to the lien of any Mortgage and/or any Superior Lease Tenant shall receive from each Mortgagee or Lessor, an agreement (any such agreement, a “</w:t>
      </w:r>
      <w:r>
        <w:rPr>
          <w:rFonts w:ascii="Arial" w:cs="Arial" w:eastAsia="Arial" w:hAnsi="Arial"/>
          <w:sz w:val="15"/>
          <w:szCs w:val="15"/>
          <w:b w:val="1"/>
          <w:bCs w:val="1"/>
          <w:color w:val="auto"/>
        </w:rPr>
        <w:t>Non-Disturbance Agreement</w:t>
      </w:r>
      <w:r>
        <w:rPr>
          <w:rFonts w:ascii="Arial" w:cs="Arial" w:eastAsia="Arial" w:hAnsi="Arial"/>
          <w:sz w:val="15"/>
          <w:szCs w:val="15"/>
          <w:color w:val="auto"/>
        </w:rPr>
        <w:t xml:space="preserve">”), in the standard form customarily employed by such Mortgagee or Lessor (which conforms to the provisions of this </w:t>
      </w:r>
      <w:r>
        <w:rPr>
          <w:rFonts w:ascii="Arial" w:cs="Arial" w:eastAsia="Arial" w:hAnsi="Arial"/>
          <w:sz w:val="15"/>
          <w:szCs w:val="15"/>
          <w:b w:val="1"/>
          <w:bCs w:val="1"/>
          <w:color w:val="auto"/>
        </w:rPr>
        <w:t>Article 9</w:t>
      </w:r>
      <w:r>
        <w:rPr>
          <w:rFonts w:ascii="Arial" w:cs="Arial" w:eastAsia="Arial" w:hAnsi="Arial"/>
          <w:sz w:val="15"/>
          <w:szCs w:val="15"/>
          <w:color w:val="auto"/>
        </w:rPr>
        <w:t xml:space="preserve"> and is otherwise reasonably satisfactory to Tenant), pursuant to which such Mortgagee or Lessor shall agree that, if and so long as no Event of Default hereunder shall have occurred and be continuing, the leasehold estate granted to Tenant and the rights of Tenant pursuant to this Lease shall not be terminated, modified, affected or disturbed by any action which such Mortgagee may take to foreclose any such Mortgage or which such Lessor shall take to terminate such Superior Lease, as applicable, and that the successor landlord (whether Mortgagee, its nominee or designee, any purchaser at a foreclosure sale, or such other person, or such person’s successors or assigns, or designee, together with the successors and assigns of such successor landlord, “</w:t>
      </w:r>
      <w:r>
        <w:rPr>
          <w:rFonts w:ascii="Arial" w:cs="Arial" w:eastAsia="Arial" w:hAnsi="Arial"/>
          <w:sz w:val="15"/>
          <w:szCs w:val="15"/>
          <w:b w:val="1"/>
          <w:bCs w:val="1"/>
          <w:color w:val="auto"/>
        </w:rPr>
        <w:t>Successor Landlord</w:t>
      </w:r>
      <w:r>
        <w:rPr>
          <w:rFonts w:ascii="Arial" w:cs="Arial" w:eastAsia="Arial" w:hAnsi="Arial"/>
          <w:sz w:val="15"/>
          <w:szCs w:val="15"/>
          <w:color w:val="auto"/>
        </w:rPr>
        <w:t xml:space="preserve">”) shall recognize this Lease as being in full force and effect as if it were a direct lease between such Successor Landlord and Tenant upon all of the terms, covenants, conditions and options granted to Tenant under this Lease, except as otherwise provided in </w:t>
      </w:r>
      <w:r>
        <w:rPr>
          <w:rFonts w:ascii="Arial" w:cs="Arial" w:eastAsia="Arial" w:hAnsi="Arial"/>
          <w:sz w:val="15"/>
          <w:szCs w:val="15"/>
          <w:b w:val="1"/>
          <w:bCs w:val="1"/>
          <w:color w:val="auto"/>
        </w:rPr>
        <w:t>Section 9.1(b)</w:t>
      </w:r>
      <w:r>
        <w:rPr>
          <w:rFonts w:ascii="Arial" w:cs="Arial" w:eastAsia="Arial" w:hAnsi="Arial"/>
          <w:sz w:val="15"/>
          <w:szCs w:val="15"/>
          <w:color w:val="auto"/>
        </w:rPr>
        <w:t xml:space="preserve"> hereof.</w:t>
      </w:r>
    </w:p>
    <w:p>
      <w:pPr>
        <w:spacing w:after="0" w:line="130" w:lineRule="exact"/>
        <w:rPr>
          <w:sz w:val="20"/>
          <w:szCs w:val="20"/>
          <w:color w:val="auto"/>
        </w:rPr>
      </w:pPr>
    </w:p>
    <w:p>
      <w:pPr>
        <w:jc w:val="both"/>
        <w:ind w:left="1220" w:right="1239" w:firstLine="761"/>
        <w:spacing w:after="0"/>
        <w:tabs>
          <w:tab w:leader="none" w:pos="2256" w:val="left"/>
        </w:tabs>
        <w:numPr>
          <w:ilvl w:val="1"/>
          <w:numId w:val="623"/>
        </w:numPr>
        <w:rPr>
          <w:rFonts w:ascii="Arial" w:cs="Arial" w:eastAsia="Arial" w:hAnsi="Arial"/>
          <w:sz w:val="15"/>
          <w:szCs w:val="15"/>
          <w:color w:val="auto"/>
        </w:rPr>
      </w:pPr>
      <w:r>
        <w:rPr>
          <w:rFonts w:ascii="Arial" w:cs="Arial" w:eastAsia="Arial" w:hAnsi="Arial"/>
          <w:sz w:val="15"/>
          <w:szCs w:val="15"/>
          <w:color w:val="auto"/>
        </w:rPr>
        <w:t xml:space="preserve">If a Successor Landlord shall succeed to the rights of Landlord under this Lease, whether through possession or foreclosure action or the delivery of a new lease or deed, then Tenant shall attorn to and recognize such Successor Landlord as Landlord under this Lease. The provisions of this </w:t>
      </w:r>
      <w:r>
        <w:rPr>
          <w:rFonts w:ascii="Arial" w:cs="Arial" w:eastAsia="Arial" w:hAnsi="Arial"/>
          <w:sz w:val="15"/>
          <w:szCs w:val="15"/>
          <w:b w:val="1"/>
          <w:bCs w:val="1"/>
          <w:color w:val="auto"/>
        </w:rPr>
        <w:t>Section 9.1</w:t>
      </w:r>
      <w:r>
        <w:rPr>
          <w:rFonts w:ascii="Arial" w:cs="Arial" w:eastAsia="Arial" w:hAnsi="Arial"/>
          <w:sz w:val="15"/>
          <w:szCs w:val="15"/>
          <w:color w:val="auto"/>
        </w:rPr>
        <w:t xml:space="preserve"> are self-operative and require no further instruments to give effect hereto; provided, however, Tenant shall promptly execute and deliver any instrument that such Successor Landlord may reasonably request (i) evidencing such attornment, (ii) setting forth the terms and conditions of Tenant’s tenancy, and (iii) containing such other terms and conditions as may be required by such Successor Landlord, provided such instrument does not increase the Rent, materially increase Tenant’s other obligations or materially and adversely affect Tenant’s rights under this Lease. Upon such attornment this Lease shall continue in full force and effect as a direct lease between such Successor Landlord and Tenant upon all of the terms, conditions and covenants set forth in this Lease, except that such Successor Landlord shall not be:</w:t>
      </w:r>
    </w:p>
    <w:p>
      <w:pPr>
        <w:spacing w:after="0" w:line="284" w:lineRule="exact"/>
        <w:rPr>
          <w:rFonts w:ascii="Arial" w:cs="Arial" w:eastAsia="Arial" w:hAnsi="Arial"/>
          <w:sz w:val="15"/>
          <w:szCs w:val="15"/>
          <w:color w:val="auto"/>
        </w:rPr>
      </w:pPr>
    </w:p>
    <w:p>
      <w:pPr>
        <w:jc w:val="both"/>
        <w:ind w:left="1560" w:right="1239" w:firstLine="7"/>
        <w:spacing w:after="0" w:line="238" w:lineRule="auto"/>
        <w:tabs>
          <w:tab w:leader="none" w:pos="1829" w:val="left"/>
        </w:tabs>
        <w:numPr>
          <w:ilvl w:val="0"/>
          <w:numId w:val="624"/>
        </w:numPr>
        <w:rPr>
          <w:rFonts w:ascii="Arial" w:cs="Arial" w:eastAsia="Arial" w:hAnsi="Arial"/>
          <w:sz w:val="15"/>
          <w:szCs w:val="15"/>
          <w:color w:val="auto"/>
        </w:rPr>
      </w:pPr>
      <w:r>
        <w:rPr>
          <w:rFonts w:ascii="Arial" w:cs="Arial" w:eastAsia="Arial" w:hAnsi="Arial"/>
          <w:sz w:val="15"/>
          <w:szCs w:val="15"/>
          <w:color w:val="auto"/>
        </w:rPr>
        <w:t>liable for any act or omission of any prior landlord (including, without limitation, the then defaulting Landlord), except that, nothing in the Non-Disturbance Agreement shall relieve Successor Landlord from the obligation to cure any ongoing default of Landlord’s management, operation, maintenance, repair and replacement default under this Lease which is continuing on the date on which such succession occurs, provided that (and on the condition that) (i) Successor Landlord received written notice thereof and (ii) Successor Landlord’s obligation to cure such default shall be limited solely to performing the ongoing management, operation, maintenance, repair and replacement obligations as required pursuant to the terms of this Lease (and in no event shall Successor Landlord have any other liability or obligation with respect to such default or be liable for any damages in connection therewith);</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696" w:name="page697"/>
    <w:bookmarkEnd w:id="696"/>
    <w:p>
      <w:pPr>
        <w:jc w:val="both"/>
        <w:ind w:left="1560" w:right="1239" w:firstLine="7"/>
        <w:spacing w:after="0" w:line="242" w:lineRule="auto"/>
        <w:tabs>
          <w:tab w:leader="none" w:pos="1865" w:val="left"/>
        </w:tabs>
        <w:numPr>
          <w:ilvl w:val="0"/>
          <w:numId w:val="625"/>
        </w:numPr>
        <w:rPr>
          <w:rFonts w:ascii="Arial" w:cs="Arial" w:eastAsia="Arial" w:hAnsi="Arial"/>
          <w:sz w:val="15"/>
          <w:szCs w:val="15"/>
          <w:color w:val="auto"/>
        </w:rPr>
      </w:pPr>
      <w:r>
        <w:rPr>
          <w:rFonts w:ascii="Arial" w:cs="Arial" w:eastAsia="Arial" w:hAnsi="Arial"/>
          <w:sz w:val="15"/>
          <w:szCs w:val="15"/>
          <w:color w:val="auto"/>
        </w:rPr>
        <w:t>subject to any abatement, defense or offsets which Tenant may have against any prior Landlord (including, without limitation, the then defaulting Landlord), except if such abatement or offset (but not defense) is expressly set forth in this Lease, and if such abatement or offset is due to a default by the then landlord, and Lender (and Successor Landlord, as applicable) has received prior written notice and opportunity to cure such default as set forth in the Non-Disturbance Agreement;</w:t>
      </w:r>
    </w:p>
    <w:p>
      <w:pPr>
        <w:spacing w:after="0" w:line="133" w:lineRule="exact"/>
        <w:rPr>
          <w:rFonts w:ascii="Arial" w:cs="Arial" w:eastAsia="Arial" w:hAnsi="Arial"/>
          <w:sz w:val="15"/>
          <w:szCs w:val="15"/>
          <w:color w:val="auto"/>
        </w:rPr>
      </w:pPr>
    </w:p>
    <w:p>
      <w:pPr>
        <w:jc w:val="both"/>
        <w:ind w:left="1560" w:right="1239" w:firstLine="7"/>
        <w:spacing w:after="0"/>
        <w:tabs>
          <w:tab w:leader="none" w:pos="1933" w:val="left"/>
        </w:tabs>
        <w:numPr>
          <w:ilvl w:val="0"/>
          <w:numId w:val="625"/>
        </w:numPr>
        <w:rPr>
          <w:rFonts w:ascii="Arial" w:cs="Arial" w:eastAsia="Arial" w:hAnsi="Arial"/>
          <w:sz w:val="15"/>
          <w:szCs w:val="15"/>
          <w:color w:val="auto"/>
        </w:rPr>
      </w:pPr>
      <w:r>
        <w:rPr>
          <w:rFonts w:ascii="Arial" w:cs="Arial" w:eastAsia="Arial" w:hAnsi="Arial"/>
          <w:sz w:val="15"/>
          <w:szCs w:val="15"/>
          <w:color w:val="auto"/>
        </w:rPr>
        <w:t xml:space="preserve">obligated to cure any defaults of any prior landlord (including, without limitation, Landlord) which occurred, or to make any payment to Tenant which was required to be paid by any prior landlord (including, without limitation, Landlord), prior to the date of attornment, except defaults (y) in the ongoing maintenance and repair obligations of Landlord under this Lease and (z) of Landlord’s obligations to construct and complete the Base Building Work and Landlord’s Work as set forth in </w:t>
      </w:r>
      <w:r>
        <w:rPr>
          <w:rFonts w:ascii="Arial" w:cs="Arial" w:eastAsia="Arial" w:hAnsi="Arial"/>
          <w:sz w:val="15"/>
          <w:szCs w:val="15"/>
          <w:b w:val="1"/>
          <w:bCs w:val="1"/>
          <w:color w:val="auto"/>
        </w:rPr>
        <w:t>Article 4</w:t>
      </w:r>
      <w:r>
        <w:rPr>
          <w:rFonts w:ascii="Arial" w:cs="Arial" w:eastAsia="Arial" w:hAnsi="Arial"/>
          <w:sz w:val="15"/>
          <w:szCs w:val="15"/>
          <w:color w:val="auto"/>
        </w:rPr>
        <w:t xml:space="preserve"> of this Lease, provided that, in each case, Mortgagee (and Successor Landlord, as applicable) has received prior written notice and opportunity to cure such default as set forth in the Non-Disturbance Agreement.</w:t>
      </w:r>
    </w:p>
    <w:p>
      <w:pPr>
        <w:spacing w:after="0" w:line="302" w:lineRule="exact"/>
        <w:rPr>
          <w:rFonts w:ascii="Arial" w:cs="Arial" w:eastAsia="Arial" w:hAnsi="Arial"/>
          <w:sz w:val="15"/>
          <w:szCs w:val="15"/>
          <w:color w:val="auto"/>
        </w:rPr>
      </w:pPr>
    </w:p>
    <w:p>
      <w:pPr>
        <w:jc w:val="both"/>
        <w:ind w:left="1560" w:right="1239" w:firstLine="7"/>
        <w:spacing w:after="0" w:line="254" w:lineRule="auto"/>
        <w:tabs>
          <w:tab w:leader="none" w:pos="1906" w:val="left"/>
        </w:tabs>
        <w:numPr>
          <w:ilvl w:val="0"/>
          <w:numId w:val="625"/>
        </w:numPr>
        <w:rPr>
          <w:rFonts w:ascii="Arial" w:cs="Arial" w:eastAsia="Arial" w:hAnsi="Arial"/>
          <w:sz w:val="15"/>
          <w:szCs w:val="15"/>
          <w:color w:val="auto"/>
        </w:rPr>
      </w:pPr>
      <w:r>
        <w:rPr>
          <w:rFonts w:ascii="Arial" w:cs="Arial" w:eastAsia="Arial" w:hAnsi="Arial"/>
          <w:sz w:val="15"/>
          <w:szCs w:val="15"/>
          <w:color w:val="auto"/>
        </w:rPr>
        <w:t>bound by any payment of rent or additional rent which Tenant might have paid for more than one month in advance of the due date under this Lease to any prior Landlord (including, without limitation, the then defaulting Landlord);</w:t>
      </w:r>
    </w:p>
    <w:p>
      <w:pPr>
        <w:spacing w:after="0" w:line="125" w:lineRule="exact"/>
        <w:rPr>
          <w:rFonts w:ascii="Arial" w:cs="Arial" w:eastAsia="Arial" w:hAnsi="Arial"/>
          <w:sz w:val="15"/>
          <w:szCs w:val="15"/>
          <w:color w:val="auto"/>
        </w:rPr>
      </w:pPr>
    </w:p>
    <w:p>
      <w:pPr>
        <w:ind w:left="1560" w:right="1239" w:firstLine="7"/>
        <w:spacing w:after="0" w:line="274" w:lineRule="auto"/>
        <w:tabs>
          <w:tab w:leader="none" w:pos="1924" w:val="left"/>
        </w:tabs>
        <w:numPr>
          <w:ilvl w:val="0"/>
          <w:numId w:val="625"/>
        </w:numPr>
        <w:rPr>
          <w:rFonts w:ascii="Arial" w:cs="Arial" w:eastAsia="Arial" w:hAnsi="Arial"/>
          <w:sz w:val="15"/>
          <w:szCs w:val="15"/>
          <w:color w:val="auto"/>
        </w:rPr>
      </w:pPr>
      <w:r>
        <w:rPr>
          <w:rFonts w:ascii="Arial" w:cs="Arial" w:eastAsia="Arial" w:hAnsi="Arial"/>
          <w:sz w:val="15"/>
          <w:szCs w:val="15"/>
          <w:color w:val="auto"/>
        </w:rPr>
        <w:t>bound by any obligation to make any payment to Tenant which was required to be made prior to on the date on which such succession occurs;</w:t>
      </w:r>
    </w:p>
    <w:p>
      <w:pPr>
        <w:spacing w:after="0" w:line="110" w:lineRule="exact"/>
        <w:rPr>
          <w:rFonts w:ascii="Arial" w:cs="Arial" w:eastAsia="Arial" w:hAnsi="Arial"/>
          <w:sz w:val="15"/>
          <w:szCs w:val="15"/>
          <w:color w:val="auto"/>
        </w:rPr>
      </w:pPr>
    </w:p>
    <w:p>
      <w:pPr>
        <w:jc w:val="both"/>
        <w:ind w:left="1560" w:right="1239" w:firstLine="7"/>
        <w:spacing w:after="0" w:line="242" w:lineRule="auto"/>
        <w:tabs>
          <w:tab w:leader="none" w:pos="1900" w:val="left"/>
        </w:tabs>
        <w:numPr>
          <w:ilvl w:val="0"/>
          <w:numId w:val="625"/>
        </w:numPr>
        <w:rPr>
          <w:rFonts w:ascii="Arial" w:cs="Arial" w:eastAsia="Arial" w:hAnsi="Arial"/>
          <w:sz w:val="15"/>
          <w:szCs w:val="15"/>
          <w:color w:val="auto"/>
        </w:rPr>
      </w:pPr>
      <w:r>
        <w:rPr>
          <w:rFonts w:ascii="Arial" w:cs="Arial" w:eastAsia="Arial" w:hAnsi="Arial"/>
          <w:sz w:val="15"/>
          <w:szCs w:val="15"/>
          <w:color w:val="auto"/>
        </w:rPr>
        <w:t>liable, responsible or accountable for any monies deposited with any prior Landlord (including security deposits), whether or not still held by such prior landlord, except to the extent such monies are actually received by Mortgagee or such Successor Landlord (as applicable) for its own account as the landlord under this Lease as security for the performance of Tenant’s obligation under this Lease (which deposit shall, nonetheless, be held subject to the provisions of this Lease); or</w:t>
      </w:r>
    </w:p>
    <w:p>
      <w:pPr>
        <w:spacing w:after="0" w:line="134" w:lineRule="exact"/>
        <w:rPr>
          <w:sz w:val="20"/>
          <w:szCs w:val="20"/>
          <w:color w:val="auto"/>
        </w:rPr>
      </w:pPr>
    </w:p>
    <w:p>
      <w:pPr>
        <w:jc w:val="both"/>
        <w:ind w:left="1560" w:right="1239" w:firstLine="7"/>
        <w:spacing w:after="0" w:line="244" w:lineRule="auto"/>
        <w:tabs>
          <w:tab w:leader="none" w:pos="1882" w:val="left"/>
        </w:tabs>
        <w:numPr>
          <w:ilvl w:val="0"/>
          <w:numId w:val="626"/>
        </w:numPr>
        <w:rPr>
          <w:rFonts w:ascii="Arial" w:cs="Arial" w:eastAsia="Arial" w:hAnsi="Arial"/>
          <w:sz w:val="15"/>
          <w:szCs w:val="15"/>
          <w:color w:val="auto"/>
        </w:rPr>
      </w:pPr>
      <w:r>
        <w:rPr>
          <w:rFonts w:ascii="Arial" w:cs="Arial" w:eastAsia="Arial" w:hAnsi="Arial"/>
          <w:sz w:val="15"/>
          <w:szCs w:val="15"/>
          <w:color w:val="auto"/>
        </w:rPr>
        <w:t>bound by any surrender, termination, amendment or modification of this Lease made without the consent of Mortgagee or such Successor Landlord, other than any amendment or modification that memorializes a right or exercise of a unilateral option by Tenant that is expressly set forth in this Lease and that does not require Landlord’s consent, determination and/or approval and is otherwise expressly permitted under this Lease.</w:t>
      </w:r>
    </w:p>
    <w:p>
      <w:pPr>
        <w:spacing w:after="0" w:line="132" w:lineRule="exact"/>
        <w:rPr>
          <w:rFonts w:ascii="Arial" w:cs="Arial" w:eastAsia="Arial" w:hAnsi="Arial"/>
          <w:sz w:val="15"/>
          <w:szCs w:val="15"/>
          <w:color w:val="auto"/>
        </w:rPr>
      </w:pPr>
    </w:p>
    <w:p>
      <w:pPr>
        <w:jc w:val="both"/>
        <w:ind w:left="1220" w:right="1239" w:firstLine="761"/>
        <w:spacing w:after="0" w:line="254" w:lineRule="auto"/>
        <w:tabs>
          <w:tab w:leader="none" w:pos="2250" w:val="left"/>
        </w:tabs>
        <w:numPr>
          <w:ilvl w:val="1"/>
          <w:numId w:val="626"/>
        </w:numPr>
        <w:rPr>
          <w:rFonts w:ascii="Arial" w:cs="Arial" w:eastAsia="Arial" w:hAnsi="Arial"/>
          <w:sz w:val="15"/>
          <w:szCs w:val="15"/>
          <w:color w:val="auto"/>
        </w:rPr>
      </w:pPr>
      <w:r>
        <w:rPr>
          <w:rFonts w:ascii="Arial" w:cs="Arial" w:eastAsia="Arial" w:hAnsi="Arial"/>
          <w:sz w:val="15"/>
          <w:szCs w:val="15"/>
          <w:color w:val="auto"/>
        </w:rPr>
        <w:t>Tenant shall from time to time and within ten (10) days of request from Landlord, execute and deliver any documents or instruments that may be reasonably required by any Mortgagee or Lessor to confirm any subordination.</w:t>
      </w:r>
    </w:p>
    <w:p>
      <w:pPr>
        <w:spacing w:after="0" w:line="123"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9.2. </w:t>
      </w:r>
      <w:r>
        <w:rPr>
          <w:rFonts w:ascii="Arial" w:cs="Arial" w:eastAsia="Arial" w:hAnsi="Arial"/>
          <w:sz w:val="15"/>
          <w:szCs w:val="15"/>
          <w:b w:val="1"/>
          <w:bCs w:val="1"/>
          <w:u w:val="single" w:color="auto"/>
          <w:color w:val="auto"/>
        </w:rPr>
        <w:t>Mortgage or Superior Lease Defaults</w:t>
      </w:r>
      <w:r>
        <w:rPr>
          <w:rFonts w:ascii="Arial" w:cs="Arial" w:eastAsia="Arial" w:hAnsi="Arial"/>
          <w:sz w:val="15"/>
          <w:szCs w:val="15"/>
          <w:b w:val="1"/>
          <w:bCs w:val="1"/>
          <w:color w:val="auto"/>
        </w:rPr>
        <w:t xml:space="preserve">. </w:t>
      </w:r>
      <w:r>
        <w:rPr>
          <w:rFonts w:ascii="Arial" w:cs="Arial" w:eastAsia="Arial" w:hAnsi="Arial"/>
          <w:sz w:val="15"/>
          <w:szCs w:val="15"/>
          <w:color w:val="auto"/>
        </w:rPr>
        <w:t>Any Mortgagee may elect that this</w:t>
      </w:r>
      <w:r>
        <w:rPr>
          <w:rFonts w:ascii="Arial" w:cs="Arial" w:eastAsia="Arial" w:hAnsi="Arial"/>
          <w:sz w:val="15"/>
          <w:szCs w:val="15"/>
          <w:b w:val="1"/>
          <w:bCs w:val="1"/>
          <w:color w:val="auto"/>
        </w:rPr>
        <w:t xml:space="preserve"> </w:t>
      </w:r>
      <w:r>
        <w:rPr>
          <w:rFonts w:ascii="Arial" w:cs="Arial" w:eastAsia="Arial" w:hAnsi="Arial"/>
          <w:sz w:val="15"/>
          <w:szCs w:val="15"/>
          <w:color w:val="auto"/>
        </w:rPr>
        <w:t>Lease shall have priority over the Mortgage and to subordinate its Mortgage to this Lease. Upon notification to Tenant by such Mortgagee, this Lease shall be deemed to have priority over such Mortgage, regardless of the date of this Lease. In connection with any financing of the Real Property, Tenant shall consent to any reasonable modifications of this Lease requested by any lending institution, provided such modifications do not increase the Rent, materially increase the other obligations, or materially and adversely affect the rights, of Tenant under this Lease.</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697" w:name="page698"/>
    <w:bookmarkEnd w:id="697"/>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9.3. </w:t>
      </w:r>
      <w:r>
        <w:rPr>
          <w:rFonts w:ascii="Arial" w:cs="Arial" w:eastAsia="Arial" w:hAnsi="Arial"/>
          <w:sz w:val="15"/>
          <w:szCs w:val="15"/>
          <w:b w:val="1"/>
          <w:bCs w:val="1"/>
          <w:u w:val="single" w:color="auto"/>
          <w:color w:val="auto"/>
        </w:rPr>
        <w:t>Tenant’s Termination Right</w:t>
      </w:r>
      <w:r>
        <w:rPr>
          <w:rFonts w:ascii="Arial" w:cs="Arial" w:eastAsia="Arial" w:hAnsi="Arial"/>
          <w:sz w:val="15"/>
          <w:szCs w:val="15"/>
          <w:b w:val="1"/>
          <w:bCs w:val="1"/>
          <w:color w:val="auto"/>
        </w:rPr>
        <w:t xml:space="preserve">. </w:t>
      </w:r>
      <w:r>
        <w:rPr>
          <w:rFonts w:ascii="Arial" w:cs="Arial" w:eastAsia="Arial" w:hAnsi="Arial"/>
          <w:sz w:val="15"/>
          <w:szCs w:val="15"/>
          <w:color w:val="auto"/>
        </w:rPr>
        <w:t>As long as any Superior Lease or Mortgage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exists, Tenant shall not seek to terminate this Lease by reason of any act or omission of Landlord until (a) Tenant shall have given notice of such act or omission to all Lessors and/or Mortgagees, and (b) a reasonable period of time shall have elapsed following the giving of notice of such default and the expiration of any applicable notice or grace periods (unless such act or omission is not capable of being remedied within a reasonable period of time), during which period such Lessors and/or Mortgagees shall have the right, but not the obligation, to remedy such act or omission and thereafter diligently proceed to so remedy such act or omission. If any Lessor or Mortgagee elects to remedy such act or omission of Landlord, Tenant shall not seek to terminate this Lease so long as such Lessor or Mortgagee is proceeding with reasonable diligence to effect such remedy. Notwithstanding anything to the contrary contained in this </w:t>
      </w:r>
      <w:r>
        <w:rPr>
          <w:rFonts w:ascii="Arial" w:cs="Arial" w:eastAsia="Arial" w:hAnsi="Arial"/>
          <w:sz w:val="15"/>
          <w:szCs w:val="15"/>
          <w:b w:val="1"/>
          <w:bCs w:val="1"/>
          <w:color w:val="auto"/>
        </w:rPr>
        <w:t>Article 9</w:t>
      </w:r>
      <w:r>
        <w:rPr>
          <w:rFonts w:ascii="Arial" w:cs="Arial" w:eastAsia="Arial" w:hAnsi="Arial"/>
          <w:sz w:val="15"/>
          <w:szCs w:val="15"/>
          <w:color w:val="auto"/>
        </w:rPr>
        <w:t xml:space="preserve">, in no event shall Mortgagee (or Successor Landlord, as applicable) have more than twelve (12) months after the delivery of any Termination Notice to Mortgagee under </w:t>
      </w:r>
      <w:r>
        <w:rPr>
          <w:rFonts w:ascii="Arial" w:cs="Arial" w:eastAsia="Arial" w:hAnsi="Arial"/>
          <w:sz w:val="15"/>
          <w:szCs w:val="15"/>
          <w:b w:val="1"/>
          <w:bCs w:val="1"/>
          <w:color w:val="auto"/>
        </w:rPr>
        <w:t xml:space="preserve">Section 4.5(b) </w:t>
      </w:r>
      <w:r>
        <w:rPr>
          <w:rFonts w:ascii="Arial" w:cs="Arial" w:eastAsia="Arial" w:hAnsi="Arial"/>
          <w:sz w:val="15"/>
          <w:szCs w:val="15"/>
          <w:color w:val="auto"/>
        </w:rPr>
        <w:t>in order to cure any failure of Landlord to cause the Commencement Date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occur within the time periods provided in </w:t>
      </w:r>
      <w:r>
        <w:rPr>
          <w:rFonts w:ascii="Arial" w:cs="Arial" w:eastAsia="Arial" w:hAnsi="Arial"/>
          <w:sz w:val="15"/>
          <w:szCs w:val="15"/>
          <w:b w:val="1"/>
          <w:bCs w:val="1"/>
          <w:color w:val="auto"/>
        </w:rPr>
        <w:t>Section 4.5</w:t>
      </w:r>
      <w:r>
        <w:rPr>
          <w:rFonts w:ascii="Arial" w:cs="Arial" w:eastAsia="Arial" w:hAnsi="Arial"/>
          <w:sz w:val="15"/>
          <w:szCs w:val="15"/>
          <w:color w:val="auto"/>
        </w:rPr>
        <w:t>.</w:t>
      </w:r>
    </w:p>
    <w:p>
      <w:pPr>
        <w:spacing w:after="0" w:line="276"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9.4. </w:t>
      </w:r>
      <w:r>
        <w:rPr>
          <w:rFonts w:ascii="Arial" w:cs="Arial" w:eastAsia="Arial" w:hAnsi="Arial"/>
          <w:sz w:val="15"/>
          <w:szCs w:val="15"/>
          <w:b w:val="1"/>
          <w:bCs w:val="1"/>
          <w:u w:val="single" w:color="auto"/>
          <w:color w:val="auto"/>
        </w:rPr>
        <w:t>Provisions</w:t>
      </w:r>
      <w:r>
        <w:rPr>
          <w:rFonts w:ascii="Arial" w:cs="Arial" w:eastAsia="Arial" w:hAnsi="Arial"/>
          <w:sz w:val="15"/>
          <w:szCs w:val="15"/>
          <w:b w:val="1"/>
          <w:bCs w:val="1"/>
          <w:color w:val="auto"/>
        </w:rPr>
        <w:t xml:space="preserve">. </w:t>
      </w:r>
      <w:r>
        <w:rPr>
          <w:rFonts w:ascii="Arial" w:cs="Arial" w:eastAsia="Arial" w:hAnsi="Arial"/>
          <w:sz w:val="15"/>
          <w:szCs w:val="15"/>
          <w:color w:val="auto"/>
        </w:rPr>
        <w:t>The provisions of this</w:t>
      </w:r>
      <w:r>
        <w:rPr>
          <w:rFonts w:ascii="Arial" w:cs="Arial" w:eastAsia="Arial" w:hAnsi="Arial"/>
          <w:sz w:val="15"/>
          <w:szCs w:val="15"/>
          <w:b w:val="1"/>
          <w:bCs w:val="1"/>
          <w:color w:val="auto"/>
        </w:rPr>
        <w:t xml:space="preserve"> Article 9 </w:t>
      </w:r>
      <w:r>
        <w:rPr>
          <w:rFonts w:ascii="Arial" w:cs="Arial" w:eastAsia="Arial" w:hAnsi="Arial"/>
          <w:sz w:val="15"/>
          <w:szCs w:val="15"/>
          <w:color w:val="auto"/>
        </w:rPr>
        <w:t>shall (a) inure to the benefit of</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any future owner of the Building or the Real Property, Lessor or Mortgagee and any sublessor thereof, and (b) apply notwithstanding that, as a matter of law, this Lease may terminate upon the foreclosure of any such Superior Lease or Mortgage.</w:t>
      </w:r>
    </w:p>
    <w:p>
      <w:pPr>
        <w:spacing w:after="0" w:line="128" w:lineRule="exact"/>
        <w:rPr>
          <w:sz w:val="20"/>
          <w:szCs w:val="20"/>
          <w:color w:val="auto"/>
        </w:rPr>
      </w:pPr>
    </w:p>
    <w:p>
      <w:pPr>
        <w:jc w:val="right"/>
        <w:ind w:right="4099"/>
        <w:spacing w:after="0"/>
        <w:rPr>
          <w:sz w:val="20"/>
          <w:szCs w:val="20"/>
          <w:color w:val="auto"/>
        </w:rPr>
      </w:pPr>
      <w:r>
        <w:rPr>
          <w:rFonts w:ascii="Arial" w:cs="Arial" w:eastAsia="Arial" w:hAnsi="Arial"/>
          <w:sz w:val="15"/>
          <w:szCs w:val="15"/>
          <w:b w:val="1"/>
          <w:bCs w:val="1"/>
          <w:color w:val="auto"/>
        </w:rPr>
        <w:t>ARTICLE 10</w:t>
      </w:r>
    </w:p>
    <w:p>
      <w:pPr>
        <w:spacing w:after="0" w:line="164" w:lineRule="exact"/>
        <w:rPr>
          <w:sz w:val="20"/>
          <w:szCs w:val="20"/>
          <w:color w:val="auto"/>
        </w:rPr>
      </w:pPr>
    </w:p>
    <w:p>
      <w:pPr>
        <w:jc w:val="right"/>
        <w:ind w:right="4119"/>
        <w:spacing w:after="0"/>
        <w:rPr>
          <w:sz w:val="20"/>
          <w:szCs w:val="20"/>
          <w:color w:val="auto"/>
        </w:rPr>
      </w:pPr>
      <w:r>
        <w:rPr>
          <w:rFonts w:ascii="Arial" w:cs="Arial" w:eastAsia="Arial" w:hAnsi="Arial"/>
          <w:sz w:val="15"/>
          <w:szCs w:val="15"/>
          <w:b w:val="1"/>
          <w:bCs w:val="1"/>
          <w:color w:val="auto"/>
        </w:rPr>
        <w:t>SERVICES</w:t>
      </w:r>
    </w:p>
    <w:p>
      <w:pPr>
        <w:spacing w:after="0" w:line="16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10.1. </w:t>
      </w:r>
      <w:r>
        <w:rPr>
          <w:rFonts w:ascii="Arial" w:cs="Arial" w:eastAsia="Arial" w:hAnsi="Arial"/>
          <w:sz w:val="15"/>
          <w:szCs w:val="15"/>
          <w:b w:val="1"/>
          <w:bCs w:val="1"/>
          <w:u w:val="single" w:color="auto"/>
          <w:color w:val="auto"/>
        </w:rPr>
        <w:t>Electricity</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have access to electricity service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Premises in the capacities (in the aggregate) set forth in the Base Building Work Matrix attached hereto as </w:t>
      </w:r>
      <w:r>
        <w:rPr>
          <w:rFonts w:ascii="Arial" w:cs="Arial" w:eastAsia="Arial" w:hAnsi="Arial"/>
          <w:sz w:val="15"/>
          <w:szCs w:val="15"/>
          <w:b w:val="1"/>
          <w:bCs w:val="1"/>
          <w:color w:val="auto"/>
        </w:rPr>
        <w:t>Exhibit D-2</w:t>
      </w:r>
      <w:r>
        <w:rPr>
          <w:rFonts w:ascii="Arial" w:cs="Arial" w:eastAsia="Arial" w:hAnsi="Arial"/>
          <w:sz w:val="15"/>
          <w:szCs w:val="15"/>
          <w:color w:val="auto"/>
        </w:rPr>
        <w:t>. Said electrical service shall be delivered to the common electrical closets servicing each floor of the Building and the Landlord’s Work shall include the construction and installation of all wiring and equipment required for the distribution of electrical service from the common electrical closets to the Premises. Tenant shall contract for electricity service directly with the electricity provider which furnishes service to the Building. Tenant shall pay all charges and fees payable to the electricity provider, on a timely basis, and in all events prior to the due date thereof. Tenant shall maintain the meters for such electricity in good working order, condition and repair. If Tenant fails to maintain such meters or to pay such fees and charges on a timely basis, then Landlord may repair or replace such meters and/or pay such fees and charges directly to the electricity provider, in which event Tenant shall reimburse Landlord, as Additional Rent (the “</w:t>
      </w:r>
      <w:r>
        <w:rPr>
          <w:rFonts w:ascii="Arial" w:cs="Arial" w:eastAsia="Arial" w:hAnsi="Arial"/>
          <w:sz w:val="15"/>
          <w:szCs w:val="15"/>
          <w:b w:val="1"/>
          <w:bCs w:val="1"/>
          <w:color w:val="auto"/>
        </w:rPr>
        <w:t>Electricity Additional Rent</w:t>
      </w:r>
      <w:r>
        <w:rPr>
          <w:rFonts w:ascii="Arial" w:cs="Arial" w:eastAsia="Arial" w:hAnsi="Arial"/>
          <w:sz w:val="15"/>
          <w:szCs w:val="15"/>
          <w:color w:val="auto"/>
        </w:rPr>
        <w:t>”), for all amounts expended by Landlord in connection therewith within ten (10) days after delivery of an invoice therefor. In addition, with respect to any equipment exclusively serving the Premises that is not connected to a meter billed to Tenant, including equipment located outside of the Premises such as the Rooftop Equipment, Tenant shall pay Landlord all fees and charges for electricity furnished to said equipment, without mark-up by Landlord, as Additional Rent, within thirty (30) days after delivery of an invoice therefor, which shall include copies of the bills received by Landlord from the utility company. Tenant shall at all times comply with the rules and regulations of the utility company supplying electricity to the Building. Tenant shall not install any electrical equipment which, in Landlord’s reasonable judgment, would exceed the capacity of the electrical equipment serving the Premises.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698" w:name="page699"/>
    <w:bookmarkEnd w:id="698"/>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10.2. </w:t>
      </w:r>
      <w:r>
        <w:rPr>
          <w:rFonts w:ascii="Arial" w:cs="Arial" w:eastAsia="Arial" w:hAnsi="Arial"/>
          <w:sz w:val="15"/>
          <w:szCs w:val="15"/>
          <w:b w:val="1"/>
          <w:bCs w:val="1"/>
          <w:u w:val="single" w:color="auto"/>
          <w:color w:val="auto"/>
        </w:rPr>
        <w:t>Elevators; Loading Dock</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provide passenger elevator</w:t>
      </w:r>
      <w:r>
        <w:rPr>
          <w:rFonts w:ascii="Arial" w:cs="Arial" w:eastAsia="Arial" w:hAnsi="Arial"/>
          <w:sz w:val="15"/>
          <w:szCs w:val="15"/>
          <w:b w:val="1"/>
          <w:bCs w:val="1"/>
          <w:color w:val="auto"/>
        </w:rPr>
        <w:t xml:space="preserve"> </w:t>
      </w:r>
      <w:r>
        <w:rPr>
          <w:rFonts w:ascii="Arial" w:cs="Arial" w:eastAsia="Arial" w:hAnsi="Arial"/>
          <w:sz w:val="15"/>
          <w:szCs w:val="15"/>
          <w:color w:val="auto"/>
        </w:rPr>
        <w:t>service to the Premises, on a 24 hours per day, 7 days per week basis; provided, however, Landlord may reduce the number of elevators in service during times other than ordinary business hours. Landlord shall provide freight elevator service and use of the loading dock for the Building, upon Tenant’s prior request, subject to and in accordance with the Rules and Regulations adopted by Landlord from time-to-time. The use by Tenant of the loading dock shall be on a non-exclusive “first come, first serve” basis with other occupants of the Building. If Tenant requests overtime loading dock or freight elevator service, then Tenant shall pay Landlord all fees and charges for such services, as Additional Rent, within thirty (30) days after delivery of an invoice therefor.</w:t>
      </w:r>
    </w:p>
    <w:p>
      <w:pPr>
        <w:spacing w:after="0" w:line="29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10.3. </w:t>
      </w:r>
      <w:r>
        <w:rPr>
          <w:rFonts w:ascii="Arial" w:cs="Arial" w:eastAsia="Arial" w:hAnsi="Arial"/>
          <w:sz w:val="15"/>
          <w:szCs w:val="15"/>
          <w:b w:val="1"/>
          <w:bCs w:val="1"/>
          <w:u w:val="single" w:color="auto"/>
          <w:color w:val="auto"/>
        </w:rPr>
        <w:t>Heating, Ventilation and Air Conditioning</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heating, ventilation and air-conditioning service (“</w:t>
      </w:r>
      <w:r>
        <w:rPr>
          <w:rFonts w:ascii="Arial" w:cs="Arial" w:eastAsia="Arial" w:hAnsi="Arial"/>
          <w:sz w:val="15"/>
          <w:szCs w:val="15"/>
          <w:b w:val="1"/>
          <w:bCs w:val="1"/>
          <w:color w:val="auto"/>
        </w:rPr>
        <w:t>HVAC</w:t>
      </w:r>
      <w:r>
        <w:rPr>
          <w:rFonts w:ascii="Arial" w:cs="Arial" w:eastAsia="Arial" w:hAnsi="Arial"/>
          <w:sz w:val="15"/>
          <w:szCs w:val="15"/>
          <w:color w:val="auto"/>
        </w:rPr>
        <w:t xml:space="preserve">”) to the Premises in accordance with the HVAC Design Standards set forth in </w:t>
      </w:r>
      <w:r>
        <w:rPr>
          <w:rFonts w:ascii="Arial" w:cs="Arial" w:eastAsia="Arial" w:hAnsi="Arial"/>
          <w:sz w:val="15"/>
          <w:szCs w:val="15"/>
          <w:b w:val="1"/>
          <w:bCs w:val="1"/>
          <w:color w:val="auto"/>
        </w:rPr>
        <w:t>Exhibit O</w:t>
      </w:r>
      <w:r>
        <w:rPr>
          <w:rFonts w:ascii="Arial" w:cs="Arial" w:eastAsia="Arial" w:hAnsi="Arial"/>
          <w:sz w:val="15"/>
          <w:szCs w:val="15"/>
          <w:color w:val="auto"/>
        </w:rPr>
        <w:t xml:space="preserve">. All costs incurred by Landlord to provide HVAC service to the Premises shall be reimbursed by Tenant to Landlord as Additional Rent. Such costs shall include the cost of all utility services used in the operation of the HVAC system(s) providing HVAC service to the Premises. Landlord shall allocate to the Premises a portion of the total amount of such costs incurred with respect to the Building based upon the cubic footage of heated, chilled, and fresh air distributed to the Premises as indicated by the energy management system serving the Building as a percentage of the aggregate cubic footage of heated, chilled, and fresh air distributed in the entire Building for the applicable period of time. Tenant shall pay such costs monthly, together with monthly installments of Fixed Rent, on an estimated basis in amounts from time to time reasonably determined by Landlord. From time to time, and at least annually, Landlord shall deliver to Tenant a reasonably detailed statement setting forth the cubic footage of heated, chilled, and fresh air distributed to the Premises and the actual amount of such costs for the respective period of time, together with a statement of the amounts previously paid by Tenant on an estimated basis toward such costs as aforesaid. If such statement indicates that the estimated amounts paid by Tenant are less than Tenant’s allocable share of the actual amount of such costs for such period of time, then Tenant shall pay the amount of such shortfall to Landlord within thirty (30) days after delivery of such statement. If such statement indicates that Tenant’s estimated payments for such period of time exceed the actual amount of such costs for such year, then Landlord shall credit the excess against the next due installment(s) of Additional Rent payable under this </w:t>
      </w:r>
      <w:r>
        <w:rPr>
          <w:rFonts w:ascii="Arial" w:cs="Arial" w:eastAsia="Arial" w:hAnsi="Arial"/>
          <w:sz w:val="15"/>
          <w:szCs w:val="15"/>
          <w:b w:val="1"/>
          <w:bCs w:val="1"/>
          <w:color w:val="auto"/>
        </w:rPr>
        <w:t>Section 10.3</w:t>
      </w:r>
      <w:r>
        <w:rPr>
          <w:rFonts w:ascii="Arial" w:cs="Arial" w:eastAsia="Arial" w:hAnsi="Arial"/>
          <w:sz w:val="15"/>
          <w:szCs w:val="15"/>
          <w:color w:val="auto"/>
        </w:rPr>
        <w:t>. Tenant shall be responsible, at its sole cost and expense, for the installation, operation, repair, replacement and removal of any and all supplemental heating and air conditioning equipment serving the Premises, including all air intake and exhaust equipment, units, exhausts, chillers, condensers, compressors, ducts, piping and other equipment required in connection therewith, including all supplemental equipment required for (A) cooling any data center, server rooms and any other similar areas located in the Premises which require cooling in addition to the standard level of cooling provided by Landlord, and (B) specialty exhaust services, including the exhaust for H2 rooms, radiation hoods and isotope hoods, vivarium, and any other special rooms or specialized equipment, and (C) any other specialized purposes.</w:t>
      </w:r>
    </w:p>
    <w:p>
      <w:pPr>
        <w:spacing w:after="0" w:line="20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10.4. </w:t>
      </w:r>
      <w:r>
        <w:rPr>
          <w:rFonts w:ascii="Arial" w:cs="Arial" w:eastAsia="Arial" w:hAnsi="Arial"/>
          <w:sz w:val="15"/>
          <w:szCs w:val="15"/>
          <w:b w:val="1"/>
          <w:bCs w:val="1"/>
          <w:u w:val="single" w:color="auto"/>
          <w:color w:val="auto"/>
        </w:rPr>
        <w:t>Cleaning</w:t>
      </w:r>
      <w:r>
        <w:rPr>
          <w:rFonts w:ascii="Arial" w:cs="Arial" w:eastAsia="Arial" w:hAnsi="Arial"/>
          <w:sz w:val="15"/>
          <w:szCs w:val="15"/>
          <w:color w:val="auto"/>
        </w:rPr>
        <w:t>.</w:t>
      </w:r>
    </w:p>
    <w:p>
      <w:pPr>
        <w:spacing w:after="0" w:line="166" w:lineRule="exact"/>
        <w:rPr>
          <w:sz w:val="20"/>
          <w:szCs w:val="20"/>
          <w:color w:val="auto"/>
        </w:rPr>
      </w:pPr>
    </w:p>
    <w:p>
      <w:pPr>
        <w:jc w:val="both"/>
        <w:ind w:left="1220" w:right="1239" w:firstLine="1013"/>
        <w:spacing w:after="0"/>
        <w:tabs>
          <w:tab w:leader="none" w:pos="2592" w:val="left"/>
        </w:tabs>
        <w:numPr>
          <w:ilvl w:val="0"/>
          <w:numId w:val="627"/>
        </w:numPr>
        <w:rPr>
          <w:rFonts w:ascii="Arial" w:cs="Arial" w:eastAsia="Arial" w:hAnsi="Arial"/>
          <w:sz w:val="15"/>
          <w:szCs w:val="15"/>
          <w:color w:val="auto"/>
        </w:rPr>
      </w:pPr>
      <w:r>
        <w:rPr>
          <w:rFonts w:ascii="Arial" w:cs="Arial" w:eastAsia="Arial" w:hAnsi="Arial"/>
          <w:sz w:val="15"/>
          <w:szCs w:val="15"/>
          <w:color w:val="auto"/>
        </w:rPr>
        <w:t xml:space="preserve">Landlord shall cause the Office Areas to be cleaned, substantially in accordance with the cleaning specifications set forth in </w:t>
      </w:r>
      <w:r>
        <w:rPr>
          <w:rFonts w:ascii="Arial" w:cs="Arial" w:eastAsia="Arial" w:hAnsi="Arial"/>
          <w:sz w:val="15"/>
          <w:szCs w:val="15"/>
          <w:b w:val="1"/>
          <w:bCs w:val="1"/>
          <w:color w:val="auto"/>
        </w:rPr>
        <w:t>Exhibit I</w:t>
      </w:r>
      <w:r>
        <w:rPr>
          <w:rFonts w:ascii="Arial" w:cs="Arial" w:eastAsia="Arial" w:hAnsi="Arial"/>
          <w:sz w:val="15"/>
          <w:szCs w:val="15"/>
          <w:color w:val="auto"/>
        </w:rPr>
        <w:t xml:space="preserve"> attached hereto; provided, however, any portions of the Office Areas used for the storage, preparation, service or consumption of food or beverages, as an exhibition area or classroom, for storage, as a shipping room or mail room, for private bathrooms, showers or exercise facilities, as a trading floor, or primarily for operation of computer, data processing, telecommunications, or similar equipment shall be cleaned at Tenant’s expense, by Landlord’s cleaning contractor, at rates which shall be competitive with rates of other cleaning contractors providing comparable services to Comparable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699" w:name="page700"/>
    <w:bookmarkEnd w:id="699"/>
    <w:p>
      <w:pPr>
        <w:jc w:val="both"/>
        <w:ind w:left="1220" w:right="1239"/>
        <w:spacing w:after="0" w:line="258" w:lineRule="auto"/>
        <w:rPr>
          <w:sz w:val="20"/>
          <w:szCs w:val="20"/>
          <w:color w:val="auto"/>
        </w:rPr>
      </w:pPr>
      <w:r>
        <w:rPr>
          <w:rFonts w:ascii="Arial" w:cs="Arial" w:eastAsia="Arial" w:hAnsi="Arial"/>
          <w:sz w:val="15"/>
          <w:szCs w:val="15"/>
          <w:color w:val="auto"/>
        </w:rPr>
        <w:t>Buildings. Landlord’s cleaning contractor and its employees shall have access to the Premises at all times except between 8:00 a.m. and 5:30 p.m. on weekdays which are not Observed Holidays.</w:t>
      </w:r>
    </w:p>
    <w:p>
      <w:pPr>
        <w:spacing w:after="0" w:line="302" w:lineRule="exact"/>
        <w:rPr>
          <w:sz w:val="20"/>
          <w:szCs w:val="20"/>
          <w:color w:val="auto"/>
        </w:rPr>
      </w:pPr>
    </w:p>
    <w:p>
      <w:pPr>
        <w:jc w:val="both"/>
        <w:ind w:left="1220" w:right="1239" w:firstLine="1013"/>
        <w:spacing w:after="0" w:line="236" w:lineRule="auto"/>
        <w:tabs>
          <w:tab w:leader="none" w:pos="2592" w:val="left"/>
        </w:tabs>
        <w:numPr>
          <w:ilvl w:val="0"/>
          <w:numId w:val="628"/>
        </w:numPr>
        <w:rPr>
          <w:rFonts w:ascii="Arial" w:cs="Arial" w:eastAsia="Arial" w:hAnsi="Arial"/>
          <w:sz w:val="15"/>
          <w:szCs w:val="15"/>
          <w:color w:val="auto"/>
        </w:rPr>
      </w:pPr>
      <w:r>
        <w:rPr>
          <w:rFonts w:ascii="Arial" w:cs="Arial" w:eastAsia="Arial" w:hAnsi="Arial"/>
          <w:sz w:val="15"/>
          <w:szCs w:val="15"/>
          <w:color w:val="auto"/>
        </w:rPr>
        <w:t>Tenant shall, at its sole cost and expense, (i) cause the Lab Areas to be cleaned on a regularly scheduled basis, in a manner reasonably satisfactory to Landlord, (ii) cause the Lab Areas to be exterminated with such frequency and in such manner as to prevent the existence of vermin or other infestation, (iii) cause all portions of the Lab Areas used for the storage, preparation or consumption of food or beverages, if any, to be cleaned daily in a manner reasonably satisfactory to Landlord, and (iv) cause Tenant's garbage and other refuse to be removed from the Premises, at such times and to a location designated by Landlord. Tenant shall be responsible, at its sole cost and expense, for all trash removal services with respect to the Lab Areas and for all biohazard disposal services required in connection with its operations in the Premises. Such services shall be performed by licensed (where required by Requirements), insured and qualified contractors approved by Landlord (which approval shall not be unreasonably withheld, delayed or conditioned) and with sufficient frequency so that the Premises are at all times kept neat and clean. Until removed, Tenant’s garbage and trash shall be kept in a neat and orderly condition, properly bagged or in the case of packing boxes and cartons, securely tied. Tenant shall observe such additional customary Rules and Regulations regarding rubbish removal, biohazard disposal, and/or recycling as Landlord may adopt from time to time. Without limitation, if Tenant fails to perform any of the foregoing obligations (and such failure continues after the delivery of required notice and the expiration of applicable grace period), then Landlord may elect, to cause a contractor or contractors engaged by Landlord to perform such obligations in which event Tenant shall reimburse Landlord as Additional Rent for all commercially reasonable costs and expenses incurred by Landlord in connection therewith.</w:t>
      </w:r>
    </w:p>
    <w:p>
      <w:pPr>
        <w:spacing w:after="0" w:line="137" w:lineRule="exact"/>
        <w:rPr>
          <w:sz w:val="20"/>
          <w:szCs w:val="20"/>
          <w:color w:val="auto"/>
        </w:rPr>
      </w:pPr>
    </w:p>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Section 10.5. </w:t>
      </w:r>
      <w:r>
        <w:rPr>
          <w:rFonts w:ascii="Arial" w:cs="Arial" w:eastAsia="Arial" w:hAnsi="Arial"/>
          <w:sz w:val="15"/>
          <w:szCs w:val="15"/>
          <w:b w:val="1"/>
          <w:bCs w:val="1"/>
          <w:u w:val="single" w:color="auto"/>
          <w:color w:val="auto"/>
        </w:rPr>
        <w:t>Water and Sewer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provide (i) domestic cold</w:t>
      </w:r>
      <w:r>
        <w:rPr>
          <w:rFonts w:ascii="Arial" w:cs="Arial" w:eastAsia="Arial" w:hAnsi="Arial"/>
          <w:sz w:val="15"/>
          <w:szCs w:val="15"/>
          <w:b w:val="1"/>
          <w:bCs w:val="1"/>
          <w:color w:val="auto"/>
        </w:rPr>
        <w:t xml:space="preserve"> </w:t>
      </w:r>
      <w:r>
        <w:rPr>
          <w:rFonts w:ascii="Arial" w:cs="Arial" w:eastAsia="Arial" w:hAnsi="Arial"/>
          <w:sz w:val="15"/>
          <w:szCs w:val="15"/>
          <w:color w:val="auto"/>
        </w:rPr>
        <w:t>water to the floor of the Building on which the Premises are located, and (ii) hot and cold water in the core lavatories on the floor of the Building on which the Premises are located.</w:t>
      </w:r>
    </w:p>
    <w:p>
      <w:pPr>
        <w:spacing w:after="0" w:line="123"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10.6. </w:t>
      </w:r>
      <w:r>
        <w:rPr>
          <w:rFonts w:ascii="Arial" w:cs="Arial" w:eastAsia="Arial" w:hAnsi="Arial"/>
          <w:sz w:val="15"/>
          <w:szCs w:val="15"/>
          <w:b w:val="1"/>
          <w:bCs w:val="1"/>
          <w:u w:val="single" w:color="auto"/>
          <w:color w:val="auto"/>
        </w:rPr>
        <w:t>Trash and Refuse Removal</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provide trash and refuse</w:t>
      </w:r>
      <w:r>
        <w:rPr>
          <w:rFonts w:ascii="Arial" w:cs="Arial" w:eastAsia="Arial" w:hAnsi="Arial"/>
          <w:sz w:val="15"/>
          <w:szCs w:val="15"/>
          <w:b w:val="1"/>
          <w:bCs w:val="1"/>
          <w:color w:val="auto"/>
        </w:rPr>
        <w:t xml:space="preserve"> </w:t>
      </w:r>
      <w:r>
        <w:rPr>
          <w:rFonts w:ascii="Arial" w:cs="Arial" w:eastAsia="Arial" w:hAnsi="Arial"/>
          <w:sz w:val="15"/>
          <w:szCs w:val="15"/>
          <w:color w:val="auto"/>
        </w:rPr>
        <w:t>removal services at the Building for ordinary and customary office refuse and rubbish. If and to the extent the volume of the trash and refuse generated by Tenant exceeds the volume of the office trash and refuse customarily generated by tenants of Comparable Buildings, then Tenant shall pay to Landlord, as Additional Rent, Landlord’s charges for removal of such excess trash and refuse.</w:t>
      </w:r>
    </w:p>
    <w:p>
      <w:pPr>
        <w:spacing w:after="0" w:line="308"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10.7. </w:t>
      </w:r>
      <w:r>
        <w:rPr>
          <w:rFonts w:ascii="Arial" w:cs="Arial" w:eastAsia="Arial" w:hAnsi="Arial"/>
          <w:sz w:val="15"/>
          <w:szCs w:val="15"/>
          <w:b w:val="1"/>
          <w:bCs w:val="1"/>
          <w:u w:val="single" w:color="auto"/>
          <w:color w:val="auto"/>
        </w:rPr>
        <w:t>Telecommunications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may request that Landlord grant access to</w:t>
      </w:r>
      <w:r>
        <w:rPr>
          <w:rFonts w:ascii="Arial" w:cs="Arial" w:eastAsia="Arial" w:hAnsi="Arial"/>
          <w:sz w:val="15"/>
          <w:szCs w:val="15"/>
          <w:b w:val="1"/>
          <w:bCs w:val="1"/>
          <w:color w:val="auto"/>
        </w:rPr>
        <w:t xml:space="preserve"> </w:t>
      </w:r>
      <w:r>
        <w:rPr>
          <w:rFonts w:ascii="Arial" w:cs="Arial" w:eastAsia="Arial" w:hAnsi="Arial"/>
          <w:sz w:val="15"/>
          <w:szCs w:val="15"/>
          <w:color w:val="auto"/>
        </w:rPr>
        <w:t>the Building to additional telecommunications providers to provide telecommunications services to Tenant and Landlord will exercise good faith efforts to accommodate said requests, at no cost or expense to Landlord or the Building.</w:t>
      </w:r>
    </w:p>
    <w:p>
      <w:pPr>
        <w:spacing w:after="0" w:line="12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10.8. </w:t>
      </w:r>
      <w:r>
        <w:rPr>
          <w:rFonts w:ascii="Arial" w:cs="Arial" w:eastAsia="Arial" w:hAnsi="Arial"/>
          <w:sz w:val="15"/>
          <w:szCs w:val="15"/>
          <w:b w:val="1"/>
          <w:bCs w:val="1"/>
          <w:u w:val="single" w:color="auto"/>
          <w:color w:val="auto"/>
        </w:rPr>
        <w:t>Security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will provide security services for the Building,</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electronic monitoring equipment and manned security services provided by trained security personnel, on a twenty-four (24) hour per day, seven (7) day per week basis, consistent with the security services customarily provided by landlords of first-class buildings in Boston, Massachusetts. Tenant may elect to install an access-controlled security system within the Premises; provided, however, any such security system shall be compatible with the Building access control system and shall be subject to the prior approval of Landlord in all respects, which approval will not be unreasonably withheld, conditioned, or delayed. Tenant may also elect to install theft protection security systems in the Premises. The work to install any such security systems shall be considered to be an Alteration for all purposes under this Lease, and shall be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00" w:name="page701"/>
    <w:bookmarkEnd w:id="700"/>
    <w:p>
      <w:pPr>
        <w:jc w:val="both"/>
        <w:ind w:left="1220" w:right="1239"/>
        <w:spacing w:after="0" w:line="237" w:lineRule="auto"/>
        <w:rPr>
          <w:sz w:val="20"/>
          <w:szCs w:val="20"/>
          <w:color w:val="auto"/>
        </w:rPr>
      </w:pPr>
      <w:r>
        <w:rPr>
          <w:rFonts w:ascii="Arial" w:cs="Arial" w:eastAsia="Arial" w:hAnsi="Arial"/>
          <w:sz w:val="15"/>
          <w:szCs w:val="15"/>
          <w:color w:val="auto"/>
        </w:rPr>
        <w:t xml:space="preserve">performed in accordance with all of the terms and conditions of this Lease, including </w:t>
      </w:r>
      <w:r>
        <w:rPr>
          <w:rFonts w:ascii="Arial" w:cs="Arial" w:eastAsia="Arial" w:hAnsi="Arial"/>
          <w:sz w:val="15"/>
          <w:szCs w:val="15"/>
          <w:b w:val="1"/>
          <w:bCs w:val="1"/>
          <w:color w:val="auto"/>
        </w:rPr>
        <w:t>Article 5</w:t>
      </w:r>
      <w:r>
        <w:rPr>
          <w:rFonts w:ascii="Arial" w:cs="Arial" w:eastAsia="Arial" w:hAnsi="Arial"/>
          <w:sz w:val="15"/>
          <w:szCs w:val="15"/>
          <w:color w:val="auto"/>
        </w:rPr>
        <w:t xml:space="preserve">. Notwithstanding the foregoing, in no event shall Landlord have any liability or obligation to Tenant with respect to security or access to the Premises, or for any claims for loss, injury or damage to persons or property in connection therewith, excepting only to the extent caused by the negligence or willful misconduct of Landlord, or its agents, employees, or contractors. The provisions of this </w:t>
      </w:r>
      <w:r>
        <w:rPr>
          <w:rFonts w:ascii="Arial" w:cs="Arial" w:eastAsia="Arial" w:hAnsi="Arial"/>
          <w:sz w:val="15"/>
          <w:szCs w:val="15"/>
          <w:b w:val="1"/>
          <w:bCs w:val="1"/>
          <w:color w:val="auto"/>
        </w:rPr>
        <w:t>Section 10.8</w:t>
      </w:r>
      <w:r>
        <w:rPr>
          <w:rFonts w:ascii="Arial" w:cs="Arial" w:eastAsia="Arial" w:hAnsi="Arial"/>
          <w:sz w:val="15"/>
          <w:szCs w:val="15"/>
          <w:color w:val="auto"/>
        </w:rPr>
        <w:t xml:space="preserve"> shall be subject to the waiver of subrogation provisions of</w:t>
      </w:r>
    </w:p>
    <w:p>
      <w:pPr>
        <w:spacing w:after="0" w:line="3"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Section 11.2.</w:t>
      </w:r>
    </w:p>
    <w:p>
      <w:pPr>
        <w:spacing w:after="0" w:line="148"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10.9. </w:t>
      </w:r>
      <w:r>
        <w:rPr>
          <w:rFonts w:ascii="Arial" w:cs="Arial" w:eastAsia="Arial" w:hAnsi="Arial"/>
          <w:sz w:val="15"/>
          <w:szCs w:val="15"/>
          <w:b w:val="1"/>
          <w:bCs w:val="1"/>
          <w:u w:val="single" w:color="auto"/>
          <w:color w:val="auto"/>
        </w:rPr>
        <w:t>Property Management</w:t>
      </w:r>
      <w:r>
        <w:rPr>
          <w:rFonts w:ascii="Arial" w:cs="Arial" w:eastAsia="Arial" w:hAnsi="Arial"/>
          <w:sz w:val="15"/>
          <w:szCs w:val="15"/>
          <w:color w:val="auto"/>
        </w:rPr>
        <w:t>. At all times during the Lease Term, the Building</w:t>
      </w:r>
      <w:r>
        <w:rPr>
          <w:rFonts w:ascii="Arial" w:cs="Arial" w:eastAsia="Arial" w:hAnsi="Arial"/>
          <w:sz w:val="15"/>
          <w:szCs w:val="15"/>
          <w:b w:val="1"/>
          <w:bCs w:val="1"/>
          <w:color w:val="auto"/>
        </w:rPr>
        <w:t xml:space="preserve"> </w:t>
      </w:r>
      <w:r>
        <w:rPr>
          <w:rFonts w:ascii="Arial" w:cs="Arial" w:eastAsia="Arial" w:hAnsi="Arial"/>
          <w:sz w:val="15"/>
          <w:szCs w:val="15"/>
          <w:color w:val="auto"/>
        </w:rPr>
        <w:t>shall be managed in a first-class manner by either Landlord’s Agent or an affiliate thereof, or another first-class property manager with experience managing Comparable Buildings. If at any time Tenant reasonably determines that the quality of property management services being provided by the property manager are materially deficient and/or have a material and adverse impact on the use of the Premises by Tenant, Tenant shall provide written notice to Landlord, which notice shall contain details and reasonable back-up information relating to the asserted deficiency in the quality of services sufficient for Landlord to reasonably address Tenant’s concerns. Promptly thereafter, Landlord and Tenant shall meet to discuss possible solutions for such asserted deficiency in service, taking into account the nature and extent of such asserted deficiency, and the parties shall reasonably cooperate to implement such solutions.</w:t>
      </w:r>
    </w:p>
    <w:p>
      <w:pPr>
        <w:spacing w:after="0" w:line="137"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10.10. </w:t>
      </w:r>
      <w:r>
        <w:rPr>
          <w:rFonts w:ascii="Arial" w:cs="Arial" w:eastAsia="Arial" w:hAnsi="Arial"/>
          <w:sz w:val="15"/>
          <w:szCs w:val="15"/>
          <w:b w:val="1"/>
          <w:bCs w:val="1"/>
          <w:u w:val="single" w:color="auto"/>
          <w:color w:val="auto"/>
        </w:rPr>
        <w:t>Generator</w:t>
      </w:r>
      <w:r>
        <w:rPr>
          <w:rFonts w:ascii="Arial" w:cs="Arial" w:eastAsia="Arial" w:hAnsi="Arial"/>
          <w:sz w:val="15"/>
          <w:szCs w:val="15"/>
          <w:b w:val="1"/>
          <w:bCs w:val="1"/>
          <w:color w:val="auto"/>
        </w:rPr>
        <w:t xml:space="preserve">. </w:t>
      </w:r>
      <w:r>
        <w:rPr>
          <w:rFonts w:ascii="Arial" w:cs="Arial" w:eastAsia="Arial" w:hAnsi="Arial"/>
          <w:sz w:val="15"/>
          <w:szCs w:val="15"/>
          <w:color w:val="auto"/>
        </w:rPr>
        <w:t>In connection with the performance of the Base Building</w:t>
      </w:r>
      <w:r>
        <w:rPr>
          <w:rFonts w:ascii="Arial" w:cs="Arial" w:eastAsia="Arial" w:hAnsi="Arial"/>
          <w:sz w:val="15"/>
          <w:szCs w:val="15"/>
          <w:b w:val="1"/>
          <w:bCs w:val="1"/>
          <w:color w:val="auto"/>
        </w:rPr>
        <w:t xml:space="preserve"> </w:t>
      </w:r>
      <w:r>
        <w:rPr>
          <w:rFonts w:ascii="Arial" w:cs="Arial" w:eastAsia="Arial" w:hAnsi="Arial"/>
          <w:sz w:val="15"/>
          <w:szCs w:val="15"/>
          <w:color w:val="auto"/>
        </w:rPr>
        <w:t>Work, Landlord shall install the generator (the “</w:t>
      </w:r>
      <w:r>
        <w:rPr>
          <w:rFonts w:ascii="Arial" w:cs="Arial" w:eastAsia="Arial" w:hAnsi="Arial"/>
          <w:sz w:val="15"/>
          <w:szCs w:val="15"/>
          <w:b w:val="1"/>
          <w:bCs w:val="1"/>
          <w:color w:val="auto"/>
        </w:rPr>
        <w:t>Generator</w:t>
      </w:r>
      <w:r>
        <w:rPr>
          <w:rFonts w:ascii="Arial" w:cs="Arial" w:eastAsia="Arial" w:hAnsi="Arial"/>
          <w:sz w:val="15"/>
          <w:szCs w:val="15"/>
          <w:color w:val="auto"/>
        </w:rPr>
        <w:t>”) which is described in the Base Building Matrix on the roof of the penthouse area on the roof of the Building. As an appurtenance to the Premises, subject to and in accordance with and the provisions of this Lease, so long as this Lease is in full force and effect, Tenant shall have the right to utilize Tenant’s Proportionate Share of the power produced by the Generator. Tenant shall be responsible for the connection of its conduits, wires, pipes and connections to the Generator. The use by Tenant of the Generator shall be subject to the customary Rules and Regulations adopted from time to time by Landlord with respect thereto, and to all applicable Requirements. Any and all work and improvements to be performed by Tenant to installing and replacing conduits and connections between the Generator and the Premises shall be considered to be an Alteration and shall be subject to Landlord’s review and prior approval in all respects, which approval will not be unreasonably withheld, conditioned, or delayed. Upon the expiration or termination of the Term of this Lease, upon the request of Landlord, Tenant shall remove all conduits and connections to the Generator, and shall repair any damage resulting from said removal.</w:t>
      </w:r>
    </w:p>
    <w:p>
      <w:pPr>
        <w:spacing w:after="0" w:line="272"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10.11. </w:t>
      </w:r>
      <w:r>
        <w:rPr>
          <w:rFonts w:ascii="Arial" w:cs="Arial" w:eastAsia="Arial" w:hAnsi="Arial"/>
          <w:sz w:val="15"/>
          <w:szCs w:val="15"/>
          <w:b w:val="1"/>
          <w:bCs w:val="1"/>
          <w:u w:val="single" w:color="auto"/>
          <w:color w:val="auto"/>
        </w:rPr>
        <w:t>Failure of Tenant to Perform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If an Event of Default 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Tenant shall occur with respect to any of its obligations (including the obligation to pay charges and amounts to a service provider when due and the obligations of maintenance and repair) pursuant to this </w:t>
      </w:r>
      <w:r>
        <w:rPr>
          <w:rFonts w:ascii="Arial" w:cs="Arial" w:eastAsia="Arial" w:hAnsi="Arial"/>
          <w:sz w:val="15"/>
          <w:szCs w:val="15"/>
          <w:b w:val="1"/>
          <w:bCs w:val="1"/>
          <w:color w:val="auto"/>
        </w:rPr>
        <w:t>Article 10</w:t>
      </w:r>
      <w:r>
        <w:rPr>
          <w:rFonts w:ascii="Arial" w:cs="Arial" w:eastAsia="Arial" w:hAnsi="Arial"/>
          <w:sz w:val="15"/>
          <w:szCs w:val="15"/>
          <w:color w:val="auto"/>
        </w:rPr>
        <w:t>, then Landlord may elect to perform such obligations (including the payment of any amounts due to a provider of services, or to perform maintenance or repairs), and in such event, Tenant shall reimburse Landlord, as Additional Rent, for all costs and expenses incurred by Landlord in connection therewith, together with an administrative fee equal to ten percent (10%) of such costs and expenses in connection therewith.</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01" w:name="page702"/>
    <w:bookmarkEnd w:id="701"/>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10.12. </w:t>
      </w:r>
      <w:r>
        <w:rPr>
          <w:rFonts w:ascii="Arial" w:cs="Arial" w:eastAsia="Arial" w:hAnsi="Arial"/>
          <w:sz w:val="15"/>
          <w:szCs w:val="15"/>
          <w:b w:val="1"/>
          <w:bCs w:val="1"/>
          <w:u w:val="single" w:color="auto"/>
          <w:color w:val="auto"/>
        </w:rPr>
        <w:t>Service Interruptions</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reserves the right to suspend or</w:t>
      </w:r>
      <w:r>
        <w:rPr>
          <w:rFonts w:ascii="Arial" w:cs="Arial" w:eastAsia="Arial" w:hAnsi="Arial"/>
          <w:sz w:val="15"/>
          <w:szCs w:val="15"/>
          <w:b w:val="1"/>
          <w:bCs w:val="1"/>
          <w:color w:val="auto"/>
        </w:rPr>
        <w:t xml:space="preserve"> </w:t>
      </w:r>
      <w:r>
        <w:rPr>
          <w:rFonts w:ascii="Arial" w:cs="Arial" w:eastAsia="Arial" w:hAnsi="Arial"/>
          <w:sz w:val="15"/>
          <w:szCs w:val="15"/>
          <w:color w:val="auto"/>
        </w:rPr>
        <w:t>interrupt any service when necessary, by reason of Unavoidable Delays, accidents or emergencies, or for Restorative Work which, in Landlord’s reasonable judgment, is necessary or appropriate until such Unavoidable Delay, accident or emergency shall cease or such Restorative Work is completed, and Landlord shall not be liable for any such suspension or interruption of services. Landlord shall provide Tenant with not less than thirty (30) days’ prior notice of any scheduled service interruptions (excepting in the event of emergencies) and to schedule and perform such scheduled interruptions in a manner that will not materially interfere with Tenant’s normal operations in the Premises as a result of any such suspension or interruption of service. The exercise of any such right or the occurrence of any such failure by Landlord shall not constitute an actual or constructive eviction, in whole or in part, entitle Tenant to any compensation, abatement or diminution of Rent, relieve Tenant from any of its obligations under this Lease, or impose any liability upon Landlord or Landlord’s Agent by reason of inconvenience to Tenant, or interruption of Tenant’s business, or otherwise. Landlord shall not be liable in any way to Tenant for any failure, defect or interruption of, or change in the supply, character and/or quantity of electric service furnished to the Premises for any reason except only to the extent caused by the negligence or willful misconduct of Landlord or its agents, employees, or contractors.</w:t>
      </w:r>
    </w:p>
    <w:p>
      <w:pPr>
        <w:spacing w:after="0" w:line="26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10.13. </w:t>
      </w:r>
      <w:r>
        <w:rPr>
          <w:rFonts w:ascii="Arial" w:cs="Arial" w:eastAsia="Arial" w:hAnsi="Arial"/>
          <w:sz w:val="15"/>
          <w:szCs w:val="15"/>
          <w:b w:val="1"/>
          <w:bCs w:val="1"/>
          <w:u w:val="single" w:color="auto"/>
          <w:color w:val="auto"/>
        </w:rPr>
        <w:t>Rent Abatement</w:t>
      </w:r>
      <w:r>
        <w:rPr>
          <w:rFonts w:ascii="Arial" w:cs="Arial" w:eastAsia="Arial" w:hAnsi="Arial"/>
          <w:sz w:val="15"/>
          <w:szCs w:val="15"/>
          <w:color w:val="auto"/>
        </w:rPr>
        <w:t>. Notwithstanding anything to the contrary contained in</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if Tenant is unable despite its good faith commercially diligent efforts to use all or any portion of the Premises for the ordinary conduct of Tenant’s business due solely to an interruption of an Essential Service (as hereinafter defined) which Landlord is required to provide hereunder, other than as a result of casualty or condemnation and/or Unavoidable Delay, and such condition continues for a period of longer than three (3) consecutive Business Days after Tenant furnishes a notice to Landlord (the “</w:t>
      </w:r>
      <w:r>
        <w:rPr>
          <w:rFonts w:ascii="Arial" w:cs="Arial" w:eastAsia="Arial" w:hAnsi="Arial"/>
          <w:sz w:val="15"/>
          <w:szCs w:val="15"/>
          <w:b w:val="1"/>
          <w:bCs w:val="1"/>
          <w:color w:val="auto"/>
        </w:rPr>
        <w:t>Abatement Notice</w:t>
      </w:r>
      <w:r>
        <w:rPr>
          <w:rFonts w:ascii="Arial" w:cs="Arial" w:eastAsia="Arial" w:hAnsi="Arial"/>
          <w:sz w:val="15"/>
          <w:szCs w:val="15"/>
          <w:color w:val="auto"/>
        </w:rPr>
        <w:t>”) identifying the condition and Essential Service which has been interrupted and stating that Tenant’s inability to use such portion of the Premises is solely due to such condition, provided that (i) Tenant does not actually use or occupy such portion of the Premises during such three (3) consecutive Business Day period, and (ii) such condition has not resulted from the negligence or misconduct of Tenant or any Tenant Party, then Fixed Rent, Tenant’s Tax Payment, Tenant’s Operating Payment, and Tenant’s Insurance Payment for the subject portion of the Premises shall be abated on a pro rata per square foot and per diem basis for the period (the “</w:t>
      </w:r>
      <w:r>
        <w:rPr>
          <w:rFonts w:ascii="Arial" w:cs="Arial" w:eastAsia="Arial" w:hAnsi="Arial"/>
          <w:sz w:val="15"/>
          <w:szCs w:val="15"/>
          <w:b w:val="1"/>
          <w:bCs w:val="1"/>
          <w:color w:val="auto"/>
        </w:rPr>
        <w:t>Abatement</w:t>
      </w:r>
      <w:r>
        <w:rPr>
          <w:rFonts w:ascii="Arial" w:cs="Arial" w:eastAsia="Arial" w:hAnsi="Arial"/>
          <w:sz w:val="15"/>
          <w:szCs w:val="15"/>
          <w:color w:val="auto"/>
        </w:rPr>
        <w:t xml:space="preserve"> </w:t>
      </w:r>
      <w:r>
        <w:rPr>
          <w:rFonts w:ascii="Arial" w:cs="Arial" w:eastAsia="Arial" w:hAnsi="Arial"/>
          <w:sz w:val="15"/>
          <w:szCs w:val="15"/>
          <w:b w:val="1"/>
          <w:bCs w:val="1"/>
          <w:color w:val="auto"/>
        </w:rPr>
        <w:t>Period</w:t>
      </w:r>
      <w:r>
        <w:rPr>
          <w:rFonts w:ascii="Arial" w:cs="Arial" w:eastAsia="Arial" w:hAnsi="Arial"/>
          <w:sz w:val="15"/>
          <w:szCs w:val="15"/>
          <w:color w:val="auto"/>
        </w:rPr>
        <w:t>”) commencing on the fourth (4th) Business Day after Tenant delivers the Abatement</w:t>
      </w:r>
      <w:r>
        <w:rPr>
          <w:rFonts w:ascii="Arial" w:cs="Arial" w:eastAsia="Arial" w:hAnsi="Arial"/>
          <w:sz w:val="15"/>
          <w:szCs w:val="15"/>
          <w:b w:val="1"/>
          <w:bCs w:val="1"/>
          <w:color w:val="auto"/>
        </w:rPr>
        <w:t xml:space="preserve"> </w:t>
      </w:r>
      <w:r>
        <w:rPr>
          <w:rFonts w:ascii="Arial" w:cs="Arial" w:eastAsia="Arial" w:hAnsi="Arial"/>
          <w:sz w:val="15"/>
          <w:szCs w:val="15"/>
          <w:color w:val="auto"/>
        </w:rPr>
        <w:t>Notice to Landlord and ending on the earlier of (x) the date Tenant reoccupies such portion of the Premises, or (y) the date on which such condition is substantially remedied. “</w:t>
      </w:r>
      <w:r>
        <w:rPr>
          <w:rFonts w:ascii="Arial" w:cs="Arial" w:eastAsia="Arial" w:hAnsi="Arial"/>
          <w:sz w:val="15"/>
          <w:szCs w:val="15"/>
          <w:b w:val="1"/>
          <w:bCs w:val="1"/>
          <w:color w:val="auto"/>
        </w:rPr>
        <w:t>Essential</w:t>
      </w:r>
      <w:r>
        <w:rPr>
          <w:rFonts w:ascii="Arial" w:cs="Arial" w:eastAsia="Arial" w:hAnsi="Arial"/>
          <w:sz w:val="15"/>
          <w:szCs w:val="15"/>
          <w:color w:val="auto"/>
        </w:rPr>
        <w:t xml:space="preserve"> </w:t>
      </w:r>
      <w:r>
        <w:rPr>
          <w:rFonts w:ascii="Arial" w:cs="Arial" w:eastAsia="Arial" w:hAnsi="Arial"/>
          <w:sz w:val="15"/>
          <w:szCs w:val="15"/>
          <w:b w:val="1"/>
          <w:bCs w:val="1"/>
          <w:color w:val="auto"/>
        </w:rPr>
        <w:t>Service</w:t>
      </w:r>
      <w:r>
        <w:rPr>
          <w:rFonts w:ascii="Arial" w:cs="Arial" w:eastAsia="Arial" w:hAnsi="Arial"/>
          <w:sz w:val="15"/>
          <w:szCs w:val="15"/>
          <w:color w:val="auto"/>
        </w:rPr>
        <w:t>” shall mean the following services, but only to the extent that Landlord is required to</w:t>
      </w:r>
      <w:r>
        <w:rPr>
          <w:rFonts w:ascii="Arial" w:cs="Arial" w:eastAsia="Arial" w:hAnsi="Arial"/>
          <w:sz w:val="15"/>
          <w:szCs w:val="15"/>
          <w:b w:val="1"/>
          <w:bCs w:val="1"/>
          <w:color w:val="auto"/>
        </w:rPr>
        <w:t xml:space="preserve"> </w:t>
      </w:r>
      <w:r>
        <w:rPr>
          <w:rFonts w:ascii="Arial" w:cs="Arial" w:eastAsia="Arial" w:hAnsi="Arial"/>
          <w:sz w:val="15"/>
          <w:szCs w:val="15"/>
          <w:color w:val="auto"/>
        </w:rPr>
        <w:t>provide such services to Tenant pursuant to the terms of this Lease: HVAC service; natural gas service; wastewater treatment service; electrical service; passenger elevator service; and water and sewer service. The foregoing rent abatement shall be the sole and exclusive remedy of Tenant on account of such interruption or lack of service and Landlord shall have no further liabilities or obligations to Tenant on account thereof.</w:t>
      </w:r>
    </w:p>
    <w:p>
      <w:pPr>
        <w:spacing w:after="0" w:line="242" w:lineRule="exact"/>
        <w:rPr>
          <w:sz w:val="20"/>
          <w:szCs w:val="20"/>
          <w:color w:val="auto"/>
        </w:rPr>
      </w:pPr>
    </w:p>
    <w:p>
      <w:pPr>
        <w:jc w:val="both"/>
        <w:ind w:left="1220" w:right="1239" w:firstLine="505"/>
        <w:spacing w:after="0" w:line="252" w:lineRule="auto"/>
        <w:rPr>
          <w:sz w:val="20"/>
          <w:szCs w:val="20"/>
          <w:color w:val="auto"/>
        </w:rPr>
      </w:pPr>
      <w:r>
        <w:rPr>
          <w:rFonts w:ascii="Arial" w:cs="Arial" w:eastAsia="Arial" w:hAnsi="Arial"/>
          <w:sz w:val="15"/>
          <w:szCs w:val="15"/>
          <w:b w:val="1"/>
          <w:bCs w:val="1"/>
          <w:color w:val="auto"/>
        </w:rPr>
        <w:t xml:space="preserve">Section 10.14. </w:t>
      </w:r>
      <w:r>
        <w:rPr>
          <w:rFonts w:ascii="Arial" w:cs="Arial" w:eastAsia="Arial" w:hAnsi="Arial"/>
          <w:sz w:val="15"/>
          <w:szCs w:val="15"/>
          <w:b w:val="1"/>
          <w:bCs w:val="1"/>
          <w:u w:val="single" w:color="auto"/>
          <w:color w:val="auto"/>
        </w:rPr>
        <w:t>No Other Services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otherwise expressly provided in this</w:t>
      </w:r>
      <w:r>
        <w:rPr>
          <w:rFonts w:ascii="Arial" w:cs="Arial" w:eastAsia="Arial" w:hAnsi="Arial"/>
          <w:sz w:val="15"/>
          <w:szCs w:val="15"/>
          <w:b w:val="1"/>
          <w:bCs w:val="1"/>
          <w:color w:val="auto"/>
        </w:rPr>
        <w:t xml:space="preserve"> Article 10</w:t>
      </w:r>
      <w:r>
        <w:rPr>
          <w:rFonts w:ascii="Arial" w:cs="Arial" w:eastAsia="Arial" w:hAnsi="Arial"/>
          <w:sz w:val="15"/>
          <w:szCs w:val="15"/>
          <w:color w:val="auto"/>
        </w:rPr>
        <w:t>, Landlord shall not be required to furnish any other services to the Premises.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obligations of Landlord which are set forth in this </w:t>
      </w:r>
      <w:r>
        <w:rPr>
          <w:rFonts w:ascii="Arial" w:cs="Arial" w:eastAsia="Arial" w:hAnsi="Arial"/>
          <w:sz w:val="15"/>
          <w:szCs w:val="15"/>
          <w:b w:val="1"/>
          <w:bCs w:val="1"/>
          <w:color w:val="auto"/>
        </w:rPr>
        <w:t>Article 10</w:t>
      </w:r>
      <w:r>
        <w:rPr>
          <w:rFonts w:ascii="Arial" w:cs="Arial" w:eastAsia="Arial" w:hAnsi="Arial"/>
          <w:sz w:val="15"/>
          <w:szCs w:val="15"/>
          <w:color w:val="auto"/>
        </w:rPr>
        <w:t xml:space="preserve"> shall be subject to Unavoidable Delays and to the terms and conditions of this Lease, including </w:t>
      </w:r>
      <w:r>
        <w:rPr>
          <w:rFonts w:ascii="Arial" w:cs="Arial" w:eastAsia="Arial" w:hAnsi="Arial"/>
          <w:sz w:val="15"/>
          <w:szCs w:val="15"/>
          <w:b w:val="1"/>
          <w:bCs w:val="1"/>
          <w:color w:val="auto"/>
        </w:rPr>
        <w:t>Articles 11</w:t>
      </w:r>
      <w:r>
        <w:rPr>
          <w:rFonts w:ascii="Arial" w:cs="Arial" w:eastAsia="Arial" w:hAnsi="Arial"/>
          <w:sz w:val="15"/>
          <w:szCs w:val="15"/>
          <w:color w:val="auto"/>
        </w:rPr>
        <w:t xml:space="preserve"> and </w:t>
      </w:r>
      <w:r>
        <w:rPr>
          <w:rFonts w:ascii="Arial" w:cs="Arial" w:eastAsia="Arial" w:hAnsi="Arial"/>
          <w:sz w:val="15"/>
          <w:szCs w:val="15"/>
          <w:b w:val="1"/>
          <w:bCs w:val="1"/>
          <w:color w:val="auto"/>
        </w:rPr>
        <w:t>12</w:t>
      </w:r>
      <w:r>
        <w:rPr>
          <w:rFonts w:ascii="Arial" w:cs="Arial" w:eastAsia="Arial" w:hAnsi="Arial"/>
          <w:sz w:val="15"/>
          <w:szCs w:val="15"/>
          <w:color w:val="auto"/>
        </w:rPr>
        <w: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02" w:name="page703"/>
    <w:bookmarkEnd w:id="702"/>
    <w:p>
      <w:pPr>
        <w:jc w:val="center"/>
        <w:ind w:right="19"/>
        <w:spacing w:after="0"/>
        <w:rPr>
          <w:sz w:val="20"/>
          <w:szCs w:val="20"/>
          <w:color w:val="auto"/>
        </w:rPr>
      </w:pPr>
      <w:r>
        <w:rPr>
          <w:rFonts w:ascii="Arial" w:cs="Arial" w:eastAsia="Arial" w:hAnsi="Arial"/>
          <w:sz w:val="15"/>
          <w:szCs w:val="15"/>
          <w:b w:val="1"/>
          <w:bCs w:val="1"/>
          <w:color w:val="auto"/>
        </w:rPr>
        <w:t>ARTICLE 11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INSURANCE; PROPERTY LOSS OR DAMAGE</w:t>
      </w:r>
    </w:p>
    <w:p>
      <w:pPr>
        <w:spacing w:after="0" w:line="164" w:lineRule="exact"/>
        <w:rPr>
          <w:sz w:val="20"/>
          <w:szCs w:val="20"/>
          <w:color w:val="auto"/>
        </w:rPr>
      </w:pPr>
    </w:p>
    <w:p>
      <w:pPr>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Section 11.1. </w:t>
      </w:r>
      <w:r>
        <w:rPr>
          <w:rFonts w:ascii="Arial" w:cs="Arial" w:eastAsia="Arial" w:hAnsi="Arial"/>
          <w:sz w:val="15"/>
          <w:szCs w:val="15"/>
          <w:b w:val="1"/>
          <w:bCs w:val="1"/>
          <w:u w:val="single" w:color="auto"/>
          <w:color w:val="auto"/>
        </w:rPr>
        <w:t>Tenant’s Insurance</w:t>
      </w:r>
      <w:r>
        <w:rPr>
          <w:rFonts w:ascii="Arial" w:cs="Arial" w:eastAsia="Arial" w:hAnsi="Arial"/>
          <w:sz w:val="15"/>
          <w:szCs w:val="15"/>
          <w:b w:val="1"/>
          <w:bCs w:val="1"/>
          <w:color w:val="auto"/>
        </w:rPr>
        <w:t xml:space="preserve">. </w:t>
      </w:r>
      <w:r>
        <w:rPr>
          <w:rFonts w:ascii="Arial" w:cs="Arial" w:eastAsia="Arial" w:hAnsi="Arial"/>
          <w:sz w:val="15"/>
          <w:szCs w:val="15"/>
          <w:color w:val="auto"/>
        </w:rPr>
        <w:t>(a) Tenant, at its sole cost and expense, shall obtain</w:t>
      </w:r>
      <w:r>
        <w:rPr>
          <w:rFonts w:ascii="Arial" w:cs="Arial" w:eastAsia="Arial" w:hAnsi="Arial"/>
          <w:sz w:val="15"/>
          <w:szCs w:val="15"/>
          <w:b w:val="1"/>
          <w:bCs w:val="1"/>
          <w:color w:val="auto"/>
        </w:rPr>
        <w:t xml:space="preserve"> </w:t>
      </w:r>
      <w:r>
        <w:rPr>
          <w:rFonts w:ascii="Arial" w:cs="Arial" w:eastAsia="Arial" w:hAnsi="Arial"/>
          <w:sz w:val="15"/>
          <w:szCs w:val="15"/>
          <w:color w:val="auto"/>
        </w:rPr>
        <w:t>and keep in full force and effect during the Term:</w:t>
      </w:r>
    </w:p>
    <w:p>
      <w:pPr>
        <w:spacing w:after="0" w:line="108" w:lineRule="exact"/>
        <w:rPr>
          <w:sz w:val="20"/>
          <w:szCs w:val="20"/>
          <w:color w:val="auto"/>
        </w:rPr>
      </w:pPr>
    </w:p>
    <w:p>
      <w:pPr>
        <w:jc w:val="both"/>
        <w:ind w:left="1220" w:right="1239" w:firstLine="1013"/>
        <w:spacing w:after="0"/>
        <w:tabs>
          <w:tab w:leader="none" w:pos="2574" w:val="left"/>
        </w:tabs>
        <w:numPr>
          <w:ilvl w:val="1"/>
          <w:numId w:val="629"/>
        </w:numPr>
        <w:rPr>
          <w:rFonts w:ascii="Arial" w:cs="Arial" w:eastAsia="Arial" w:hAnsi="Arial"/>
          <w:sz w:val="15"/>
          <w:szCs w:val="15"/>
          <w:color w:val="auto"/>
        </w:rPr>
      </w:pPr>
      <w:r>
        <w:rPr>
          <w:rFonts w:ascii="Arial" w:cs="Arial" w:eastAsia="Arial" w:hAnsi="Arial"/>
          <w:sz w:val="15"/>
          <w:szCs w:val="15"/>
          <w:color w:val="auto"/>
        </w:rPr>
        <w:t>a policy of commercial general liability insurance on an occurrence basis against claims for personal injury, bodily injury, death and/or property damage including products and completed operations occurring in or about the Real Property, including blanket broad-form contractual liability coverage, under which Tenant is named as the insured and Landlord and the Insured Parties are named as additional insureds. Such insurance shall provide primary coverage without contribution from any other insurance carried by or for the benefit of the Insured Parties. The minimum limits of liability applying exclusively to the Premises shall be a combined single limit with respect to each occurrence in an amount of not less than $1,000,000.00, not less than $2,000,000.00 in the aggregate. In addition, Tenant shall obtain and keep in full force and effect throughout the Term, umbrella or excess liability coverage with minimum limits of not less than $10,000,000.00; provided, however, Landlord may elect to require Tenant to increase such coverage from time to time to that amount of insurance which in Landlord’s reasonable judgment is then being customarily required by landlords of Comparable Buildings. The self-insured retention for such policy shall not exceed $10,000.00;</w:t>
      </w:r>
    </w:p>
    <w:p>
      <w:pPr>
        <w:spacing w:after="0" w:line="276" w:lineRule="exact"/>
        <w:rPr>
          <w:rFonts w:ascii="Arial" w:cs="Arial" w:eastAsia="Arial" w:hAnsi="Arial"/>
          <w:sz w:val="15"/>
          <w:szCs w:val="15"/>
          <w:color w:val="auto"/>
        </w:rPr>
      </w:pPr>
    </w:p>
    <w:p>
      <w:pPr>
        <w:jc w:val="both"/>
        <w:ind w:left="1220" w:right="1239" w:firstLine="1013"/>
        <w:spacing w:after="0" w:line="242" w:lineRule="auto"/>
        <w:tabs>
          <w:tab w:leader="none" w:pos="2610" w:val="left"/>
        </w:tabs>
        <w:numPr>
          <w:ilvl w:val="1"/>
          <w:numId w:val="629"/>
        </w:numPr>
        <w:rPr>
          <w:rFonts w:ascii="Arial" w:cs="Arial" w:eastAsia="Arial" w:hAnsi="Arial"/>
          <w:sz w:val="15"/>
          <w:szCs w:val="15"/>
          <w:color w:val="auto"/>
        </w:rPr>
      </w:pPr>
      <w:r>
        <w:rPr>
          <w:rFonts w:ascii="Arial" w:cs="Arial" w:eastAsia="Arial" w:hAnsi="Arial"/>
          <w:sz w:val="15"/>
          <w:szCs w:val="15"/>
          <w:color w:val="auto"/>
        </w:rPr>
        <w:t>insurance against loss or damage by fire, vandalism, malicious mischief, extended harm and “special form” or “special cause”, all risk property insurance policies with extended coverage, insuring (x) Tenant’s Property, and (y) all Alterations and improvements installed or constructed in or to the Premises by or on behalf of Tenant from time-to-time (including the Landlord’s Work and Tenant’s Work), for the full insurable value thereof or replacement cost thereof;</w:t>
      </w:r>
    </w:p>
    <w:p>
      <w:pPr>
        <w:spacing w:after="0" w:line="133" w:lineRule="exact"/>
        <w:rPr>
          <w:rFonts w:ascii="Arial" w:cs="Arial" w:eastAsia="Arial" w:hAnsi="Arial"/>
          <w:sz w:val="15"/>
          <w:szCs w:val="15"/>
          <w:color w:val="auto"/>
        </w:rPr>
      </w:pPr>
    </w:p>
    <w:p>
      <w:pPr>
        <w:jc w:val="both"/>
        <w:ind w:left="1220" w:right="1239" w:firstLine="1013"/>
        <w:spacing w:after="0" w:line="244" w:lineRule="auto"/>
        <w:tabs>
          <w:tab w:leader="none" w:pos="2594" w:val="left"/>
        </w:tabs>
        <w:numPr>
          <w:ilvl w:val="1"/>
          <w:numId w:val="629"/>
        </w:numPr>
        <w:rPr>
          <w:rFonts w:ascii="Arial" w:cs="Arial" w:eastAsia="Arial" w:hAnsi="Arial"/>
          <w:sz w:val="15"/>
          <w:szCs w:val="15"/>
          <w:color w:val="auto"/>
        </w:rPr>
      </w:pPr>
      <w:r>
        <w:rPr>
          <w:rFonts w:ascii="Arial" w:cs="Arial" w:eastAsia="Arial" w:hAnsi="Arial"/>
          <w:sz w:val="15"/>
          <w:szCs w:val="15"/>
          <w:color w:val="auto"/>
        </w:rPr>
        <w:t>during the performance of any Alteration, until completion thereof, builder’s risk insurance on an “all risk” basis and on a completed value form including a permission to complete and occupy endorsement, for full replacement value covering the interests of Landlord and Tenant (and their respective contractors and subcontractors) in all work incorporated in the Building and all materials and equipment in or about the Premises;</w:t>
      </w:r>
    </w:p>
    <w:p>
      <w:pPr>
        <w:spacing w:after="0" w:line="132" w:lineRule="exact"/>
        <w:rPr>
          <w:rFonts w:ascii="Arial" w:cs="Arial" w:eastAsia="Arial" w:hAnsi="Arial"/>
          <w:sz w:val="15"/>
          <w:szCs w:val="15"/>
          <w:color w:val="auto"/>
        </w:rPr>
      </w:pPr>
    </w:p>
    <w:p>
      <w:pPr>
        <w:ind w:left="2580" w:hanging="347"/>
        <w:spacing w:after="0"/>
        <w:tabs>
          <w:tab w:leader="none" w:pos="2580" w:val="left"/>
        </w:tabs>
        <w:numPr>
          <w:ilvl w:val="1"/>
          <w:numId w:val="629"/>
        </w:numPr>
        <w:rPr>
          <w:rFonts w:ascii="Arial" w:cs="Arial" w:eastAsia="Arial" w:hAnsi="Arial"/>
          <w:sz w:val="15"/>
          <w:szCs w:val="15"/>
          <w:color w:val="auto"/>
        </w:rPr>
      </w:pPr>
      <w:r>
        <w:rPr>
          <w:rFonts w:ascii="Arial" w:cs="Arial" w:eastAsia="Arial" w:hAnsi="Arial"/>
          <w:sz w:val="15"/>
          <w:szCs w:val="15"/>
          <w:color w:val="auto"/>
        </w:rPr>
        <w:t>workers’ compensation insurance, as required by law;</w:t>
      </w:r>
    </w:p>
    <w:p>
      <w:pPr>
        <w:spacing w:after="0" w:line="163" w:lineRule="exact"/>
        <w:rPr>
          <w:rFonts w:ascii="Arial" w:cs="Arial" w:eastAsia="Arial" w:hAnsi="Arial"/>
          <w:sz w:val="15"/>
          <w:szCs w:val="15"/>
          <w:color w:val="auto"/>
        </w:rPr>
      </w:pPr>
    </w:p>
    <w:p>
      <w:pPr>
        <w:ind w:left="2540" w:hanging="307"/>
        <w:spacing w:after="0"/>
        <w:tabs>
          <w:tab w:leader="none" w:pos="2540" w:val="left"/>
        </w:tabs>
        <w:numPr>
          <w:ilvl w:val="1"/>
          <w:numId w:val="629"/>
        </w:numPr>
        <w:rPr>
          <w:rFonts w:ascii="Arial" w:cs="Arial" w:eastAsia="Arial" w:hAnsi="Arial"/>
          <w:sz w:val="15"/>
          <w:szCs w:val="15"/>
          <w:color w:val="auto"/>
        </w:rPr>
      </w:pPr>
      <w:r>
        <w:rPr>
          <w:rFonts w:ascii="Arial" w:cs="Arial" w:eastAsia="Arial" w:hAnsi="Arial"/>
          <w:sz w:val="15"/>
          <w:szCs w:val="15"/>
          <w:color w:val="auto"/>
        </w:rPr>
        <w:t>business interruption insurance;</w:t>
      </w:r>
    </w:p>
    <w:p>
      <w:pPr>
        <w:spacing w:after="0" w:line="163" w:lineRule="exact"/>
        <w:rPr>
          <w:rFonts w:ascii="Arial" w:cs="Arial" w:eastAsia="Arial" w:hAnsi="Arial"/>
          <w:sz w:val="15"/>
          <w:szCs w:val="15"/>
          <w:color w:val="auto"/>
        </w:rPr>
      </w:pPr>
    </w:p>
    <w:p>
      <w:pPr>
        <w:jc w:val="both"/>
        <w:ind w:left="1220" w:right="1239" w:firstLine="1013"/>
        <w:spacing w:after="0" w:line="247" w:lineRule="auto"/>
        <w:tabs>
          <w:tab w:leader="none" w:pos="2589" w:val="left"/>
        </w:tabs>
        <w:numPr>
          <w:ilvl w:val="1"/>
          <w:numId w:val="629"/>
        </w:numPr>
        <w:rPr>
          <w:rFonts w:ascii="Arial" w:cs="Arial" w:eastAsia="Arial" w:hAnsi="Arial"/>
          <w:sz w:val="15"/>
          <w:szCs w:val="15"/>
          <w:color w:val="auto"/>
        </w:rPr>
      </w:pPr>
      <w:r>
        <w:rPr>
          <w:rFonts w:ascii="Arial" w:cs="Arial" w:eastAsia="Arial" w:hAnsi="Arial"/>
          <w:sz w:val="15"/>
          <w:szCs w:val="15"/>
          <w:color w:val="auto"/>
        </w:rPr>
        <w:t>automobile liability insurance for owned, hired and non-owned automobiles, with limits of liability of not less than One Million and 00/100 Dollars ($1,000,000.00) combined single limit each accident for bodily injury and property damage, naming the Insured Parties as additional insureds; and</w:t>
      </w:r>
    </w:p>
    <w:p>
      <w:pPr>
        <w:spacing w:after="0" w:line="130" w:lineRule="exact"/>
        <w:rPr>
          <w:rFonts w:ascii="Arial" w:cs="Arial" w:eastAsia="Arial" w:hAnsi="Arial"/>
          <w:sz w:val="15"/>
          <w:szCs w:val="15"/>
          <w:color w:val="auto"/>
        </w:rPr>
      </w:pPr>
    </w:p>
    <w:p>
      <w:pPr>
        <w:jc w:val="both"/>
        <w:ind w:left="1220" w:right="1239" w:firstLine="1013"/>
        <w:spacing w:after="0" w:line="254" w:lineRule="auto"/>
        <w:tabs>
          <w:tab w:leader="none" w:pos="2744" w:val="left"/>
        </w:tabs>
        <w:numPr>
          <w:ilvl w:val="1"/>
          <w:numId w:val="629"/>
        </w:numPr>
        <w:rPr>
          <w:rFonts w:ascii="Arial" w:cs="Arial" w:eastAsia="Arial" w:hAnsi="Arial"/>
          <w:sz w:val="15"/>
          <w:szCs w:val="15"/>
          <w:color w:val="auto"/>
        </w:rPr>
      </w:pPr>
      <w:r>
        <w:rPr>
          <w:rFonts w:ascii="Arial" w:cs="Arial" w:eastAsia="Arial" w:hAnsi="Arial"/>
          <w:sz w:val="15"/>
          <w:szCs w:val="15"/>
          <w:color w:val="auto"/>
        </w:rPr>
        <w:t>Such other insurance in such amounts and with such coverages as Landlord may reasonably require from time to time, provided that such coverages are consistent with coverages then customarily being required by other landlords of Comparable Buildings.</w:t>
      </w:r>
    </w:p>
    <w:p>
      <w:pPr>
        <w:spacing w:after="0" w:line="125" w:lineRule="exact"/>
        <w:rPr>
          <w:rFonts w:ascii="Arial" w:cs="Arial" w:eastAsia="Arial" w:hAnsi="Arial"/>
          <w:sz w:val="15"/>
          <w:szCs w:val="15"/>
          <w:color w:val="auto"/>
        </w:rPr>
      </w:pPr>
    </w:p>
    <w:p>
      <w:pPr>
        <w:jc w:val="both"/>
        <w:ind w:left="1220" w:right="1239" w:firstLine="509"/>
        <w:spacing w:after="0" w:line="248" w:lineRule="auto"/>
        <w:tabs>
          <w:tab w:leader="none" w:pos="2043" w:val="left"/>
        </w:tabs>
        <w:numPr>
          <w:ilvl w:val="0"/>
          <w:numId w:val="630"/>
        </w:numPr>
        <w:rPr>
          <w:rFonts w:ascii="Arial" w:cs="Arial" w:eastAsia="Arial" w:hAnsi="Arial"/>
          <w:sz w:val="15"/>
          <w:szCs w:val="15"/>
          <w:color w:val="auto"/>
        </w:rPr>
      </w:pPr>
      <w:r>
        <w:rPr>
          <w:rFonts w:ascii="Arial" w:cs="Arial" w:eastAsia="Arial" w:hAnsi="Arial"/>
          <w:sz w:val="15"/>
          <w:szCs w:val="15"/>
          <w:color w:val="auto"/>
        </w:rPr>
        <w:t>All insurance required to be carried by Tenant (i) shall contain a provision that (x) no act or omission of Tenant shall affect or limit the obligation of the insurance company to pay the amount of any loss sustained, and (y) shall provide that the insurer shall use endeavor to provide</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03" w:name="page704"/>
    <w:bookmarkEnd w:id="703"/>
    <w:p>
      <w:pPr>
        <w:jc w:val="both"/>
        <w:ind w:left="1220" w:right="1239"/>
        <w:spacing w:after="0" w:line="239" w:lineRule="auto"/>
        <w:rPr>
          <w:sz w:val="20"/>
          <w:szCs w:val="20"/>
          <w:color w:val="auto"/>
        </w:rPr>
      </w:pPr>
      <w:r>
        <w:rPr>
          <w:rFonts w:ascii="Arial" w:cs="Arial" w:eastAsia="Arial" w:hAnsi="Arial"/>
          <w:sz w:val="15"/>
          <w:szCs w:val="15"/>
          <w:color w:val="auto"/>
        </w:rPr>
        <w:t>thirty (30) days’ prior notice (with an exception for notice of cancellation due to non-payment of premium which shall be ten (10) days), by certified mail, return receipt requested or overnight courier, of any cancellation or material change contrary to the terms of this Lease, and (ii) shall be effected under valid and enforceable policies issued by reputable insurers permitted to do business in the Commonwealth of Massachusetts and rated in Best’s Insurance Guide, or any successor thereto as having a Best’s Rating of “A-” or better and a Financial Size Category of at least “VIII” or better or, if such ratings are not then in effect, the equivalent thereof or such other financial rating as Landlord may at any time consider appropriate.</w:t>
      </w:r>
    </w:p>
    <w:p>
      <w:pPr>
        <w:spacing w:after="0" w:line="140" w:lineRule="exact"/>
        <w:rPr>
          <w:sz w:val="20"/>
          <w:szCs w:val="20"/>
          <w:color w:val="auto"/>
        </w:rPr>
      </w:pPr>
    </w:p>
    <w:p>
      <w:pPr>
        <w:jc w:val="both"/>
        <w:ind w:left="1220" w:right="1239" w:firstLine="509"/>
        <w:spacing w:after="0" w:line="239" w:lineRule="auto"/>
        <w:tabs>
          <w:tab w:leader="none" w:pos="2054" w:val="left"/>
        </w:tabs>
        <w:numPr>
          <w:ilvl w:val="0"/>
          <w:numId w:val="631"/>
        </w:numPr>
        <w:rPr>
          <w:rFonts w:ascii="Arial" w:cs="Arial" w:eastAsia="Arial" w:hAnsi="Arial"/>
          <w:sz w:val="15"/>
          <w:szCs w:val="15"/>
          <w:color w:val="auto"/>
        </w:rPr>
      </w:pPr>
      <w:r>
        <w:rPr>
          <w:rFonts w:ascii="Arial" w:cs="Arial" w:eastAsia="Arial" w:hAnsi="Arial"/>
          <w:sz w:val="15"/>
          <w:szCs w:val="15"/>
          <w:color w:val="auto"/>
        </w:rPr>
        <w:t>By not later than the Commencement Date, and thereafter prior to the expiration of each respective insurance policy, Tenant shall deliver to Landlord a certificate from Tenant’s insurance company (on the form currently designated Acord 27 (Evidence of Property Insurance) and Acord 25-S (Certificate of Liability Insurance), or the equivalent, provided that attached thereto is an endorsement to Tenant’s commercial general liability policy naming the Insured Parties as additional insureds), which endorsement is at least as broad as ISO policy form “CG2011 Additional Insured – Managers or Lessors of Premises (pre-1999 edition)” and expressly provides coverage for the negligence of the additional insureds.</w:t>
      </w:r>
    </w:p>
    <w:p>
      <w:pPr>
        <w:spacing w:after="0" w:line="139" w:lineRule="exact"/>
        <w:rPr>
          <w:rFonts w:ascii="Arial" w:cs="Arial" w:eastAsia="Arial" w:hAnsi="Arial"/>
          <w:sz w:val="15"/>
          <w:szCs w:val="15"/>
          <w:color w:val="auto"/>
        </w:rPr>
      </w:pPr>
    </w:p>
    <w:p>
      <w:pPr>
        <w:jc w:val="both"/>
        <w:ind w:left="1220" w:right="1239" w:firstLine="509"/>
        <w:spacing w:after="0" w:line="237" w:lineRule="auto"/>
        <w:tabs>
          <w:tab w:leader="none" w:pos="2065" w:val="left"/>
        </w:tabs>
        <w:numPr>
          <w:ilvl w:val="0"/>
          <w:numId w:val="631"/>
        </w:numPr>
        <w:rPr>
          <w:rFonts w:ascii="Arial" w:cs="Arial" w:eastAsia="Arial" w:hAnsi="Arial"/>
          <w:sz w:val="15"/>
          <w:szCs w:val="15"/>
          <w:color w:val="auto"/>
        </w:rPr>
      </w:pPr>
      <w:r>
        <w:rPr>
          <w:rFonts w:ascii="Arial" w:cs="Arial" w:eastAsia="Arial" w:hAnsi="Arial"/>
          <w:sz w:val="15"/>
          <w:szCs w:val="15"/>
          <w:color w:val="auto"/>
        </w:rPr>
        <w:t xml:space="preserve">Landlord will obtain and keep in force during the Term, a policy or policies insuring against loss or damage to the Building caused by peril covered by “all risk” property insurance coverage on a replacement costs basis (which coverage may be pursuant to a blanket policy or policies), provided that in no event shall Landlord insure (i) any of Tenant’s Property, or (ii) any Alterations or improvements installed or constructed in or to the Premises by or on behalf of Tenant from time-to-time (including the Landlord’s Work and the Tenant’s Work). In addition, Landlord shall also maintain a policy of commercial general liability insurance on an occurrence basis insuring against claims for personal injury, bodily injury, death, and/or property damage, including broad-form contractual liability coverage. Subject to the foregoing requirements, all insurance coverages required to be maintained by Landlord under this </w:t>
      </w:r>
      <w:r>
        <w:rPr>
          <w:rFonts w:ascii="Arial" w:cs="Arial" w:eastAsia="Arial" w:hAnsi="Arial"/>
          <w:sz w:val="15"/>
          <w:szCs w:val="15"/>
          <w:b w:val="1"/>
          <w:bCs w:val="1"/>
          <w:color w:val="auto"/>
        </w:rPr>
        <w:t>Section 11.1(d)</w:t>
      </w:r>
      <w:r>
        <w:rPr>
          <w:rFonts w:ascii="Arial" w:cs="Arial" w:eastAsia="Arial" w:hAnsi="Arial"/>
          <w:sz w:val="15"/>
          <w:szCs w:val="15"/>
          <w:color w:val="auto"/>
        </w:rPr>
        <w:t xml:space="preserve"> shall be in such amounts, from such companies, and on such other terms and conditions, as Landlord may from time to time reasonably determine, provided that such coverages carried by Landlord shall comply with the requirements of all Mortgagees.</w:t>
      </w:r>
    </w:p>
    <w:p>
      <w:pPr>
        <w:spacing w:after="0" w:line="139"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11.2. </w:t>
      </w:r>
      <w:r>
        <w:rPr>
          <w:rFonts w:ascii="Arial" w:cs="Arial" w:eastAsia="Arial" w:hAnsi="Arial"/>
          <w:sz w:val="15"/>
          <w:szCs w:val="15"/>
          <w:b w:val="1"/>
          <w:bCs w:val="1"/>
          <w:u w:val="single" w:color="auto"/>
          <w:color w:val="auto"/>
        </w:rPr>
        <w:t>Waiver of Subrogation</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and Tenant shall each procure an</w:t>
      </w:r>
      <w:r>
        <w:rPr>
          <w:rFonts w:ascii="Arial" w:cs="Arial" w:eastAsia="Arial" w:hAnsi="Arial"/>
          <w:sz w:val="15"/>
          <w:szCs w:val="15"/>
          <w:b w:val="1"/>
          <w:bCs w:val="1"/>
          <w:color w:val="auto"/>
        </w:rPr>
        <w:t xml:space="preserve"> </w:t>
      </w:r>
      <w:r>
        <w:rPr>
          <w:rFonts w:ascii="Arial" w:cs="Arial" w:eastAsia="Arial" w:hAnsi="Arial"/>
          <w:sz w:val="15"/>
          <w:szCs w:val="15"/>
          <w:color w:val="auto"/>
        </w:rPr>
        <w:t>appropriate clause in or endorsement to any property insurance covering the Real Property and personal property, fixtures and equipment located therein, wherein the insurer waives subrogation and consents to a waiver of right of recovery. Landlord and Tenant agree not to make any claim against, or seek to recover from, the other for any loss or damage to its property or the property of others resulting from fire or other hazards, to the extent covered by the property insurance that was required to be carried by that party under the terms of this Lease or, if greater, the insurance coverage actually being carried from time to time by such party. Tenant acknowledges that Landlord shall not carry insurance on, and shall not be responsible for, (i) damage to any Alterations or improvements installed or constructed in or to the Premises from time-to-time (including the Landlord’s Work), (ii) Tenant’s Property, and (iii) any loss suffered by Tenant due to interruption of Tenant’s business.</w:t>
      </w:r>
    </w:p>
    <w:p>
      <w:pPr>
        <w:spacing w:after="0" w:line="134"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Section 11.3. </w:t>
      </w:r>
      <w:r>
        <w:rPr>
          <w:rFonts w:ascii="Arial" w:cs="Arial" w:eastAsia="Arial" w:hAnsi="Arial"/>
          <w:sz w:val="15"/>
          <w:szCs w:val="15"/>
          <w:b w:val="1"/>
          <w:bCs w:val="1"/>
          <w:u w:val="single" w:color="auto"/>
          <w:color w:val="auto"/>
        </w:rPr>
        <w:t>Restoration</w:t>
      </w:r>
      <w:r>
        <w:rPr>
          <w:rFonts w:ascii="Arial" w:cs="Arial" w:eastAsia="Arial" w:hAnsi="Arial"/>
          <w:sz w:val="15"/>
          <w:szCs w:val="15"/>
          <w:b w:val="1"/>
          <w:bCs w:val="1"/>
          <w:color w:val="auto"/>
        </w:rPr>
        <w:t xml:space="preserve">. </w:t>
      </w:r>
      <w:r>
        <w:rPr>
          <w:rFonts w:ascii="Arial" w:cs="Arial" w:eastAsia="Arial" w:hAnsi="Arial"/>
          <w:sz w:val="15"/>
          <w:szCs w:val="15"/>
          <w:color w:val="auto"/>
        </w:rPr>
        <w:t>If the Premises are damaged by fire or other casualty, or if</w:t>
      </w:r>
      <w:r>
        <w:rPr>
          <w:rFonts w:ascii="Arial" w:cs="Arial" w:eastAsia="Arial" w:hAnsi="Arial"/>
          <w:sz w:val="15"/>
          <w:szCs w:val="15"/>
          <w:b w:val="1"/>
          <w:bCs w:val="1"/>
          <w:color w:val="auto"/>
        </w:rPr>
        <w:t xml:space="preserve"> </w:t>
      </w:r>
      <w:r>
        <w:rPr>
          <w:rFonts w:ascii="Arial" w:cs="Arial" w:eastAsia="Arial" w:hAnsi="Arial"/>
          <w:sz w:val="15"/>
          <w:szCs w:val="15"/>
          <w:color w:val="auto"/>
        </w:rPr>
        <w:t>the Building is damaged such that Tenant is deprived of reasonable access to or use and occupancy of the Premises, the damage shall be repaired by Landlord to substantially the condition thereof immediately prior to the damage; provided, however, (i) Landlord shall have no obligation to expend more than the amount of the insurance proceeds actually received by it;</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04" w:name="page705"/>
    <w:bookmarkEnd w:id="704"/>
    <w:p>
      <w:pPr>
        <w:jc w:val="both"/>
        <w:ind w:left="1220" w:right="1239" w:firstLine="509"/>
        <w:spacing w:after="0" w:line="236" w:lineRule="auto"/>
        <w:tabs>
          <w:tab w:leader="none" w:pos="1942" w:val="left"/>
        </w:tabs>
        <w:numPr>
          <w:ilvl w:val="0"/>
          <w:numId w:val="632"/>
        </w:numPr>
        <w:rPr>
          <w:rFonts w:ascii="Arial" w:cs="Arial" w:eastAsia="Arial" w:hAnsi="Arial"/>
          <w:sz w:val="15"/>
          <w:szCs w:val="15"/>
          <w:color w:val="auto"/>
        </w:rPr>
      </w:pPr>
      <w:r>
        <w:rPr>
          <w:rFonts w:ascii="Arial" w:cs="Arial" w:eastAsia="Arial" w:hAnsi="Arial"/>
          <w:sz w:val="15"/>
          <w:szCs w:val="15"/>
          <w:color w:val="auto"/>
        </w:rPr>
        <w:t xml:space="preserve">Landlord shall have no obligation to repair or restore (x) Tenant’s Property, or (y) any Alterations or improvements installed or constructed in or to the Premises from time-to-time (including the Landlord’s Work). Until the restoration of the Premises is Substantially Completed or would have been Substantially Completed but for Tenant Delay, Fixed Rent, Tenant’s Tax Payment, Tenant’s Operating Payment, and Tenant’s Insurance Payment shall be abated in the proportion by which the area of the part of the Premises which is not usable (or accessible) and is not used by Tenant as a result of such fire or other casualty bears to the total area of the Premises. Effective as of the date which is sixty (60) days after the date on which Landlord notifies Tenant of the Substantial Completion of the restoration of the Premises such abatement shall cease and promptly thereafter, Tenant shall, at its expense, repair and restore Tenant’s Property and all Alterations to the Premises. Prior to Landlord commencing any restoration work, Tenant shall obtain from all applicable Governmental Authorities all licenses, permits, and approvals that may be required to permit Landlord to enter the Premises and/or to commence any restoration work therein (collectively referred to herein as </w:t>
      </w:r>
      <w:r>
        <w:rPr>
          <w:rFonts w:ascii="Arial" w:cs="Arial" w:eastAsia="Arial" w:hAnsi="Arial"/>
          <w:sz w:val="15"/>
          <w:szCs w:val="15"/>
          <w:b w:val="1"/>
          <w:bCs w:val="1"/>
          <w:color w:val="auto"/>
        </w:rPr>
        <w:t>"Hazardous Materials</w:t>
      </w:r>
      <w:r>
        <w:rPr>
          <w:rFonts w:ascii="Arial" w:cs="Arial" w:eastAsia="Arial" w:hAnsi="Arial"/>
          <w:sz w:val="15"/>
          <w:szCs w:val="15"/>
          <w:color w:val="auto"/>
        </w:rPr>
        <w:t xml:space="preserve"> </w:t>
      </w:r>
      <w:r>
        <w:rPr>
          <w:rFonts w:ascii="Arial" w:cs="Arial" w:eastAsia="Arial" w:hAnsi="Arial"/>
          <w:sz w:val="15"/>
          <w:szCs w:val="15"/>
          <w:b w:val="1"/>
          <w:bCs w:val="1"/>
          <w:color w:val="auto"/>
        </w:rPr>
        <w:t>Clearances”</w:t>
      </w:r>
      <w:r>
        <w:rPr>
          <w:rFonts w:ascii="Arial" w:cs="Arial" w:eastAsia="Arial" w:hAnsi="Arial"/>
          <w:sz w:val="15"/>
          <w:szCs w:val="15"/>
          <w:color w:val="auto"/>
        </w:rPr>
        <w:t>). Notwithstanding any provision contained herein to the contrary, if the restoration</w:t>
      </w:r>
      <w:r>
        <w:rPr>
          <w:rFonts w:ascii="Arial" w:cs="Arial" w:eastAsia="Arial" w:hAnsi="Arial"/>
          <w:sz w:val="15"/>
          <w:szCs w:val="15"/>
          <w:b w:val="1"/>
          <w:bCs w:val="1"/>
          <w:color w:val="auto"/>
        </w:rPr>
        <w:t xml:space="preserve"> </w:t>
      </w:r>
      <w:r>
        <w:rPr>
          <w:rFonts w:ascii="Arial" w:cs="Arial" w:eastAsia="Arial" w:hAnsi="Arial"/>
          <w:sz w:val="15"/>
          <w:szCs w:val="15"/>
          <w:color w:val="auto"/>
        </w:rPr>
        <w:t>work to be performed by Landlord is delayed as a result of any failure by Tenant to obtain any required Hazardous Materials Clearances, then any abatement of Rent provided under this Lease in connection with a fire or other casualty shall be tolled and suspended for the period of any such delay, and shall accrue only from and after the date on which Tenant obtains such Hazardous Materials Clearances.</w:t>
      </w:r>
    </w:p>
    <w:p>
      <w:pPr>
        <w:spacing w:after="0" w:line="138"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11.4. </w:t>
      </w:r>
      <w:r>
        <w:rPr>
          <w:rFonts w:ascii="Arial" w:cs="Arial" w:eastAsia="Arial" w:hAnsi="Arial"/>
          <w:sz w:val="15"/>
          <w:szCs w:val="15"/>
          <w:b w:val="1"/>
          <w:bCs w:val="1"/>
          <w:u w:val="single" w:color="auto"/>
          <w:color w:val="auto"/>
        </w:rPr>
        <w:t>Landlord’s Termination Right</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to the contrary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contained in </w:t>
      </w:r>
      <w:r>
        <w:rPr>
          <w:rFonts w:ascii="Arial" w:cs="Arial" w:eastAsia="Arial" w:hAnsi="Arial"/>
          <w:sz w:val="15"/>
          <w:szCs w:val="15"/>
          <w:b w:val="1"/>
          <w:bCs w:val="1"/>
          <w:color w:val="auto"/>
        </w:rPr>
        <w:t>Section 11.3</w:t>
      </w:r>
      <w:r>
        <w:rPr>
          <w:rFonts w:ascii="Arial" w:cs="Arial" w:eastAsia="Arial" w:hAnsi="Arial"/>
          <w:sz w:val="15"/>
          <w:szCs w:val="15"/>
          <w:color w:val="auto"/>
        </w:rPr>
        <w:t>, if the Building shall be materially damaged (whether or not the Premises are materially damaged), and either (x) the Restoration Notice indicates that more than fifteen (15) months from the date of such damage is required to complete the restoration, or (y) the amount required to pay for the restoration of such damage exceeds the greater of (A) $5,000,000.00 or (B) the total insurance proceeds received by Landlord, then in any such event Landlord may, not later than sixty (60) days following the date of the damage, terminate this Lease by notice to Tenant. If this Lease is so terminated, then (i) the Term shall expire upon the date such notice is given, as if such date was the expiration date of the Term of this Lease, (ii) Tenant shall vacate the Premises and surrender the same to Landlord, (iii) Tenant’s liability for Rent shall cease as of the date of the damage, and (iv) any prepaid Rent for any period after the date of the damage shall be refunded by Landlord to Tenant.</w:t>
      </w:r>
    </w:p>
    <w:p>
      <w:pPr>
        <w:spacing w:after="0" w:line="134"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11.5. </w:t>
      </w:r>
      <w:r>
        <w:rPr>
          <w:rFonts w:ascii="Arial" w:cs="Arial" w:eastAsia="Arial" w:hAnsi="Arial"/>
          <w:sz w:val="15"/>
          <w:szCs w:val="15"/>
          <w:b w:val="1"/>
          <w:bCs w:val="1"/>
          <w:u w:val="single" w:color="auto"/>
          <w:color w:val="auto"/>
        </w:rPr>
        <w:t>Tenant’s Termination Right</w:t>
      </w:r>
      <w:r>
        <w:rPr>
          <w:rFonts w:ascii="Arial" w:cs="Arial" w:eastAsia="Arial" w:hAnsi="Arial"/>
          <w:sz w:val="15"/>
          <w:szCs w:val="15"/>
          <w:b w:val="1"/>
          <w:bCs w:val="1"/>
          <w:color w:val="auto"/>
        </w:rPr>
        <w:t xml:space="preserve">. </w:t>
      </w:r>
      <w:r>
        <w:rPr>
          <w:rFonts w:ascii="Arial" w:cs="Arial" w:eastAsia="Arial" w:hAnsi="Arial"/>
          <w:sz w:val="15"/>
          <w:szCs w:val="15"/>
          <w:color w:val="auto"/>
        </w:rPr>
        <w:t>If the Premises and/or the Building (as</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are materially damaged, and if Landlord elects to repair and restore the Premises, Landlord shall, within sixty (60) days following the date of the damage, cause a contractor or architect selected by Landlord to deliver a notice (the “</w:t>
      </w:r>
      <w:r>
        <w:rPr>
          <w:rFonts w:ascii="Arial" w:cs="Arial" w:eastAsia="Arial" w:hAnsi="Arial"/>
          <w:sz w:val="15"/>
          <w:szCs w:val="15"/>
          <w:b w:val="1"/>
          <w:bCs w:val="1"/>
          <w:color w:val="auto"/>
        </w:rPr>
        <w:t>Restoration Notice</w:t>
      </w:r>
      <w:r>
        <w:rPr>
          <w:rFonts w:ascii="Arial" w:cs="Arial" w:eastAsia="Arial" w:hAnsi="Arial"/>
          <w:sz w:val="15"/>
          <w:szCs w:val="15"/>
          <w:color w:val="auto"/>
        </w:rPr>
        <w:t>”) to Tenant of the date by which such contractor or architect estimates the restoration by Landlord will be substantially completed (the “</w:t>
      </w:r>
      <w:r>
        <w:rPr>
          <w:rFonts w:ascii="Arial" w:cs="Arial" w:eastAsia="Arial" w:hAnsi="Arial"/>
          <w:sz w:val="15"/>
          <w:szCs w:val="15"/>
          <w:b w:val="1"/>
          <w:bCs w:val="1"/>
          <w:color w:val="auto"/>
        </w:rPr>
        <w:t>Estimated Restoration Date</w:t>
      </w:r>
      <w:r>
        <w:rPr>
          <w:rFonts w:ascii="Arial" w:cs="Arial" w:eastAsia="Arial" w:hAnsi="Arial"/>
          <w:sz w:val="15"/>
          <w:szCs w:val="15"/>
          <w:color w:val="auto"/>
        </w:rPr>
        <w:t>”). If such Estimated Restoration Date, as set forth in the Restoration Notice, is more than fifteen (15) months from the date of such damage, then Tenant shall have the right to terminate this Lease by giving notice (the “</w:t>
      </w:r>
      <w:r>
        <w:rPr>
          <w:rFonts w:ascii="Arial" w:cs="Arial" w:eastAsia="Arial" w:hAnsi="Arial"/>
          <w:sz w:val="15"/>
          <w:szCs w:val="15"/>
          <w:b w:val="1"/>
          <w:bCs w:val="1"/>
          <w:color w:val="auto"/>
        </w:rPr>
        <w:t>Casualty Termination Notice</w:t>
      </w:r>
      <w:r>
        <w:rPr>
          <w:rFonts w:ascii="Arial" w:cs="Arial" w:eastAsia="Arial" w:hAnsi="Arial"/>
          <w:sz w:val="15"/>
          <w:szCs w:val="15"/>
          <w:color w:val="auto"/>
        </w:rPr>
        <w:t>”) to Landlord not later than thirty (30) days following delivery of the Restoration Notice to Tenant (time being of the essence of the delivery of said Casualty Termination Notice). If Tenant delivers a Casualty Termination Notice within said thirty (30) day period, (a) then this Lease shall be terminated as of the date of the giving of the Casualty Termination Notice, as if such date was the expiration date of the Term of this Lease, (b) Tenant shall vacate the Premises and surrender the same to Landlord, (c) Tenant’s liability for Rent shall cease as of the date of delivery of the Casualty Termination Notice, and (d) any prepaid Rent for any period after such termination shall be returned to Tenant.</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05" w:name="page706"/>
    <w:bookmarkEnd w:id="705"/>
    <w:p>
      <w:pPr>
        <w:jc w:val="both"/>
        <w:ind w:left="1220" w:right="1239" w:firstLine="505"/>
        <w:spacing w:after="0" w:line="237" w:lineRule="auto"/>
        <w:rPr>
          <w:sz w:val="20"/>
          <w:szCs w:val="20"/>
          <w:color w:val="auto"/>
        </w:rPr>
      </w:pPr>
      <w:r>
        <w:rPr>
          <w:rFonts w:ascii="Arial" w:cs="Arial" w:eastAsia="Arial" w:hAnsi="Arial"/>
          <w:sz w:val="15"/>
          <w:szCs w:val="15"/>
          <w:color w:val="auto"/>
        </w:rPr>
        <w:t xml:space="preserve">In addition, if (i) neither Landlord nor Tenant have terminated this Lease pursuant to the provisions of this </w:t>
      </w:r>
      <w:r>
        <w:rPr>
          <w:rFonts w:ascii="Arial" w:cs="Arial" w:eastAsia="Arial" w:hAnsi="Arial"/>
          <w:sz w:val="15"/>
          <w:szCs w:val="15"/>
          <w:b w:val="1"/>
          <w:bCs w:val="1"/>
          <w:color w:val="auto"/>
        </w:rPr>
        <w:t>Article 11</w:t>
      </w:r>
      <w:r>
        <w:rPr>
          <w:rFonts w:ascii="Arial" w:cs="Arial" w:eastAsia="Arial" w:hAnsi="Arial"/>
          <w:sz w:val="15"/>
          <w:szCs w:val="15"/>
          <w:color w:val="auto"/>
        </w:rPr>
        <w:t>, and (ii) the restoration of the Building or the Premises (as applicable) has not been substantially completed by the Estimated Restoration Date, then Tenant shall have the right to terminate this Lease within thirty (30) days after the Estimated Restoration Date by delivering a Casualty Termination Notice to Landlord. Unless, within thirty</w:t>
      </w:r>
    </w:p>
    <w:p>
      <w:pPr>
        <w:spacing w:after="0" w:line="3" w:lineRule="exact"/>
        <w:rPr>
          <w:sz w:val="20"/>
          <w:szCs w:val="20"/>
          <w:color w:val="auto"/>
        </w:rPr>
      </w:pPr>
    </w:p>
    <w:p>
      <w:pPr>
        <w:jc w:val="both"/>
        <w:ind w:left="1220" w:right="1239" w:firstLine="4"/>
        <w:spacing w:after="0"/>
        <w:tabs>
          <w:tab w:leader="none" w:pos="1548" w:val="left"/>
        </w:tabs>
        <w:numPr>
          <w:ilvl w:val="0"/>
          <w:numId w:val="633"/>
        </w:numPr>
        <w:rPr>
          <w:rFonts w:ascii="Arial" w:cs="Arial" w:eastAsia="Arial" w:hAnsi="Arial"/>
          <w:sz w:val="15"/>
          <w:szCs w:val="15"/>
          <w:color w:val="auto"/>
        </w:rPr>
      </w:pPr>
      <w:r>
        <w:rPr>
          <w:rFonts w:ascii="Arial" w:cs="Arial" w:eastAsia="Arial" w:hAnsi="Arial"/>
          <w:sz w:val="15"/>
          <w:szCs w:val="15"/>
          <w:color w:val="auto"/>
        </w:rPr>
        <w:t xml:space="preserve">days after receipt of the Casualty Termination Notice the restoration of the Building or the Premises (as applicable) is substantially completed (in which event the termination by Tenant pursuant to this paragraph shall be null and void and this Lease shall remain in full force and effect), then this Lease shall be deemed to have terminated as of the date of the giving of the Casualty Termination Notice in the manner set forth in the second sentence of </w:t>
      </w:r>
      <w:r>
        <w:rPr>
          <w:rFonts w:ascii="Arial" w:cs="Arial" w:eastAsia="Arial" w:hAnsi="Arial"/>
          <w:sz w:val="15"/>
          <w:szCs w:val="15"/>
          <w:b w:val="1"/>
          <w:bCs w:val="1"/>
          <w:color w:val="auto"/>
        </w:rPr>
        <w:t>Section 11.5</w:t>
      </w:r>
      <w:r>
        <w:rPr>
          <w:rFonts w:ascii="Arial" w:cs="Arial" w:eastAsia="Arial" w:hAnsi="Arial"/>
          <w:sz w:val="15"/>
          <w:szCs w:val="15"/>
          <w:color w:val="auto"/>
        </w:rPr>
        <w:t xml:space="preserve">. Time is of the essence of this </w:t>
      </w:r>
      <w:r>
        <w:rPr>
          <w:rFonts w:ascii="Arial" w:cs="Arial" w:eastAsia="Arial" w:hAnsi="Arial"/>
          <w:sz w:val="15"/>
          <w:szCs w:val="15"/>
          <w:b w:val="1"/>
          <w:bCs w:val="1"/>
          <w:color w:val="auto"/>
        </w:rPr>
        <w:t>Section 11.5</w:t>
      </w:r>
      <w:r>
        <w:rPr>
          <w:rFonts w:ascii="Arial" w:cs="Arial" w:eastAsia="Arial" w:hAnsi="Arial"/>
          <w:sz w:val="15"/>
          <w:szCs w:val="15"/>
          <w:color w:val="auto"/>
        </w:rPr>
        <w:t>.</w:t>
      </w:r>
    </w:p>
    <w:p>
      <w:pPr>
        <w:spacing w:after="0" w:line="126"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11.6. </w:t>
      </w:r>
      <w:r>
        <w:rPr>
          <w:rFonts w:ascii="Arial" w:cs="Arial" w:eastAsia="Arial" w:hAnsi="Arial"/>
          <w:sz w:val="15"/>
          <w:szCs w:val="15"/>
          <w:b w:val="1"/>
          <w:bCs w:val="1"/>
          <w:u w:val="single" w:color="auto"/>
          <w:color w:val="auto"/>
        </w:rPr>
        <w:t>Final 18 Months</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anything to the contrary in this</w:t>
      </w:r>
      <w:r>
        <w:rPr>
          <w:rFonts w:ascii="Arial" w:cs="Arial" w:eastAsia="Arial" w:hAnsi="Arial"/>
          <w:sz w:val="15"/>
          <w:szCs w:val="15"/>
          <w:b w:val="1"/>
          <w:bCs w:val="1"/>
          <w:color w:val="auto"/>
        </w:rPr>
        <w:t xml:space="preserve"> Article 11</w:t>
      </w:r>
      <w:r>
        <w:rPr>
          <w:rFonts w:ascii="Arial" w:cs="Arial" w:eastAsia="Arial" w:hAnsi="Arial"/>
          <w:sz w:val="15"/>
          <w:szCs w:val="15"/>
          <w:color w:val="auto"/>
        </w:rPr>
        <w:t>, if any fire or other casualty occurring during the final eighteen (18) months of the Term</w:t>
      </w:r>
      <w:r>
        <w:rPr>
          <w:rFonts w:ascii="Arial" w:cs="Arial" w:eastAsia="Arial" w:hAnsi="Arial"/>
          <w:sz w:val="15"/>
          <w:szCs w:val="15"/>
          <w:b w:val="1"/>
          <w:bCs w:val="1"/>
          <w:color w:val="auto"/>
        </w:rPr>
        <w:t xml:space="preserve"> </w:t>
      </w:r>
      <w:r>
        <w:rPr>
          <w:rFonts w:ascii="Arial" w:cs="Arial" w:eastAsia="Arial" w:hAnsi="Arial"/>
          <w:sz w:val="15"/>
          <w:szCs w:val="15"/>
          <w:color w:val="auto"/>
        </w:rPr>
        <w:t>materially damages the Premises such that more than twenty five percent (25%) of the rentable area of the Premises is not usable for the Permitted Uses, then either Landlord or Tenant may terminate this Lease by notice to the other party within thirty (30) days after the occurrence of such damage (time being of the essence) and this Lease shall expire on the 30th day after the date of such notice.</w:t>
      </w:r>
    </w:p>
    <w:p>
      <w:pPr>
        <w:spacing w:after="0" w:line="306"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11.7. </w:t>
      </w:r>
      <w:r>
        <w:rPr>
          <w:rFonts w:ascii="Arial" w:cs="Arial" w:eastAsia="Arial" w:hAnsi="Arial"/>
          <w:sz w:val="15"/>
          <w:szCs w:val="15"/>
          <w:b w:val="1"/>
          <w:bCs w:val="1"/>
          <w:u w:val="single" w:color="auto"/>
          <w:color w:val="auto"/>
        </w:rPr>
        <w:t>Landlord’s Liability</w:t>
      </w:r>
      <w:r>
        <w:rPr>
          <w:rFonts w:ascii="Arial" w:cs="Arial" w:eastAsia="Arial" w:hAnsi="Arial"/>
          <w:sz w:val="15"/>
          <w:szCs w:val="15"/>
          <w:b w:val="1"/>
          <w:bCs w:val="1"/>
          <w:color w:val="auto"/>
        </w:rPr>
        <w:t xml:space="preserve">. </w:t>
      </w:r>
      <w:r>
        <w:rPr>
          <w:rFonts w:ascii="Arial" w:cs="Arial" w:eastAsia="Arial" w:hAnsi="Arial"/>
          <w:sz w:val="15"/>
          <w:szCs w:val="15"/>
          <w:color w:val="auto"/>
        </w:rPr>
        <w:t>None of the Insured Parties shall be liable for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injury or damage to persons or property or interruption of Tenant’s business resulting from fire or other casualty, any damage caused by other persons in the Building or by construction of any private, public or quasi-public work, or any latent defect in the Premises or in the Building (except that Landlord shall be required to repair the same to the extent provided in </w:t>
      </w:r>
      <w:r>
        <w:rPr>
          <w:rFonts w:ascii="Arial" w:cs="Arial" w:eastAsia="Arial" w:hAnsi="Arial"/>
          <w:sz w:val="15"/>
          <w:szCs w:val="15"/>
          <w:b w:val="1"/>
          <w:bCs w:val="1"/>
          <w:color w:val="auto"/>
        </w:rPr>
        <w:t>Article 6</w:t>
      </w:r>
      <w:r>
        <w:rPr>
          <w:rFonts w:ascii="Arial" w:cs="Arial" w:eastAsia="Arial" w:hAnsi="Arial"/>
          <w:sz w:val="15"/>
          <w:szCs w:val="15"/>
          <w:color w:val="auto"/>
        </w:rPr>
        <w:t>). No penalty shall accrue for delays which may arise by reason of adjustment of insurance on the part of Landlord or Tenant, or for any Unavoidable Delays arising from any repair or restoration of any portion of the Building, provided that Landlord shall use reasonable efforts to minimize interference with Tenant’s use and occupancy of the Premises during the performance of any such repair or restoration.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EMINENT DOMAIN</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12.1. </w:t>
      </w:r>
      <w:r>
        <w:rPr>
          <w:rFonts w:ascii="Arial" w:cs="Arial" w:eastAsia="Arial" w:hAnsi="Arial"/>
          <w:sz w:val="15"/>
          <w:szCs w:val="15"/>
          <w:b w:val="1"/>
          <w:bCs w:val="1"/>
          <w:u w:val="single" w:color="auto"/>
          <w:color w:val="auto"/>
        </w:rPr>
        <w:t>Taking</w:t>
      </w:r>
      <w:r>
        <w:rPr>
          <w:rFonts w:ascii="Arial" w:cs="Arial" w:eastAsia="Arial" w:hAnsi="Arial"/>
          <w:sz w:val="15"/>
          <w:szCs w:val="15"/>
          <w:color w:val="auto"/>
        </w:rPr>
        <w:t>.</w:t>
      </w:r>
    </w:p>
    <w:p>
      <w:pPr>
        <w:spacing w:after="0" w:line="164" w:lineRule="exact"/>
        <w:rPr>
          <w:sz w:val="20"/>
          <w:szCs w:val="20"/>
          <w:color w:val="auto"/>
        </w:rPr>
      </w:pPr>
    </w:p>
    <w:p>
      <w:pPr>
        <w:jc w:val="both"/>
        <w:ind w:left="1220" w:right="1239" w:firstLine="1013"/>
        <w:spacing w:after="0" w:line="248" w:lineRule="auto"/>
        <w:tabs>
          <w:tab w:leader="none" w:pos="2592" w:val="left"/>
        </w:tabs>
        <w:numPr>
          <w:ilvl w:val="0"/>
          <w:numId w:val="634"/>
        </w:numPr>
        <w:rPr>
          <w:rFonts w:ascii="Arial" w:cs="Arial" w:eastAsia="Arial" w:hAnsi="Arial"/>
          <w:sz w:val="15"/>
          <w:szCs w:val="15"/>
          <w:color w:val="auto"/>
        </w:rPr>
      </w:pPr>
      <w:r>
        <w:rPr>
          <w:rFonts w:ascii="Arial" w:cs="Arial" w:eastAsia="Arial" w:hAnsi="Arial"/>
          <w:sz w:val="15"/>
          <w:szCs w:val="15"/>
          <w:b w:val="1"/>
          <w:bCs w:val="1"/>
          <w:color w:val="auto"/>
        </w:rPr>
        <w:t xml:space="preserve">Total Taking. </w:t>
      </w:r>
      <w:r>
        <w:rPr>
          <w:rFonts w:ascii="Arial" w:cs="Arial" w:eastAsia="Arial" w:hAnsi="Arial"/>
          <w:sz w:val="15"/>
          <w:szCs w:val="15"/>
          <w:color w:val="auto"/>
        </w:rPr>
        <w:t>If all or substantially all of the Real Property, the Building, or</w:t>
      </w:r>
      <w:r>
        <w:rPr>
          <w:rFonts w:ascii="Arial" w:cs="Arial" w:eastAsia="Arial" w:hAnsi="Arial"/>
          <w:sz w:val="15"/>
          <w:szCs w:val="15"/>
          <w:b w:val="1"/>
          <w:bCs w:val="1"/>
          <w:color w:val="auto"/>
        </w:rPr>
        <w:t xml:space="preserve"> </w:t>
      </w:r>
      <w:r>
        <w:rPr>
          <w:rFonts w:ascii="Arial" w:cs="Arial" w:eastAsia="Arial" w:hAnsi="Arial"/>
          <w:sz w:val="15"/>
          <w:szCs w:val="15"/>
          <w:color w:val="auto"/>
        </w:rPr>
        <w:t>the Premises shall be taken by condemnation or eminent domain (a “</w:t>
      </w:r>
      <w:r>
        <w:rPr>
          <w:rFonts w:ascii="Arial" w:cs="Arial" w:eastAsia="Arial" w:hAnsi="Arial"/>
          <w:sz w:val="15"/>
          <w:szCs w:val="15"/>
          <w:b w:val="1"/>
          <w:bCs w:val="1"/>
          <w:color w:val="auto"/>
        </w:rPr>
        <w:t>Taking</w:t>
      </w:r>
      <w:r>
        <w:rPr>
          <w:rFonts w:ascii="Arial" w:cs="Arial" w:eastAsia="Arial" w:hAnsi="Arial"/>
          <w:sz w:val="15"/>
          <w:szCs w:val="15"/>
          <w:color w:val="auto"/>
        </w:rPr>
        <w:t>”), this Lease shall terminate and the Term shall end as of the date of the vesting of title and Rent shall be prorated and adjusted as of such date.</w:t>
      </w:r>
    </w:p>
    <w:p>
      <w:pPr>
        <w:spacing w:after="0" w:line="128" w:lineRule="exact"/>
        <w:rPr>
          <w:rFonts w:ascii="Arial" w:cs="Arial" w:eastAsia="Arial" w:hAnsi="Arial"/>
          <w:sz w:val="15"/>
          <w:szCs w:val="15"/>
          <w:color w:val="auto"/>
        </w:rPr>
      </w:pPr>
    </w:p>
    <w:p>
      <w:pPr>
        <w:jc w:val="both"/>
        <w:ind w:left="1220" w:right="1239" w:firstLine="1013"/>
        <w:spacing w:after="0" w:line="244" w:lineRule="auto"/>
        <w:tabs>
          <w:tab w:leader="none" w:pos="2592" w:val="left"/>
        </w:tabs>
        <w:numPr>
          <w:ilvl w:val="0"/>
          <w:numId w:val="634"/>
        </w:numPr>
        <w:rPr>
          <w:rFonts w:ascii="Arial" w:cs="Arial" w:eastAsia="Arial" w:hAnsi="Arial"/>
          <w:sz w:val="15"/>
          <w:szCs w:val="15"/>
          <w:color w:val="auto"/>
        </w:rPr>
      </w:pPr>
      <w:r>
        <w:rPr>
          <w:rFonts w:ascii="Arial" w:cs="Arial" w:eastAsia="Arial" w:hAnsi="Arial"/>
          <w:sz w:val="15"/>
          <w:szCs w:val="15"/>
          <w:b w:val="1"/>
          <w:bCs w:val="1"/>
          <w:color w:val="auto"/>
        </w:rPr>
        <w:t xml:space="preserve">Partial Taking. </w:t>
      </w:r>
      <w:r>
        <w:rPr>
          <w:rFonts w:ascii="Arial" w:cs="Arial" w:eastAsia="Arial" w:hAnsi="Arial"/>
          <w:sz w:val="15"/>
          <w:szCs w:val="15"/>
          <w:color w:val="auto"/>
        </w:rPr>
        <w:t>If only a part of the Real Property, the Building, or the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Premises is the subject of a Taking then, except as hereinafter provided in this </w:t>
      </w:r>
      <w:r>
        <w:rPr>
          <w:rFonts w:ascii="Arial" w:cs="Arial" w:eastAsia="Arial" w:hAnsi="Arial"/>
          <w:sz w:val="15"/>
          <w:szCs w:val="15"/>
          <w:b w:val="1"/>
          <w:bCs w:val="1"/>
          <w:color w:val="auto"/>
        </w:rPr>
        <w:t>Article 12</w:t>
      </w:r>
      <w:r>
        <w:rPr>
          <w:rFonts w:ascii="Arial" w:cs="Arial" w:eastAsia="Arial" w:hAnsi="Arial"/>
          <w:sz w:val="15"/>
          <w:szCs w:val="15"/>
          <w:color w:val="auto"/>
        </w:rPr>
        <w:t>, this Lease shall remain in full force and effect, provided that from and after the date of the vesting of title, Fixed Rent and Tenant’s Proportionate Share shall be modified to reflect the reduction of the Premises and/or the Building as a result of such Taking.</w:t>
      </w:r>
    </w:p>
    <w:p>
      <w:pPr>
        <w:spacing w:after="0" w:line="132" w:lineRule="exact"/>
        <w:rPr>
          <w:rFonts w:ascii="Arial" w:cs="Arial" w:eastAsia="Arial" w:hAnsi="Arial"/>
          <w:sz w:val="15"/>
          <w:szCs w:val="15"/>
          <w:color w:val="auto"/>
        </w:rPr>
      </w:pPr>
    </w:p>
    <w:p>
      <w:pPr>
        <w:jc w:val="both"/>
        <w:ind w:left="1220" w:right="1239" w:firstLine="1013"/>
        <w:spacing w:after="0" w:line="255" w:lineRule="auto"/>
        <w:tabs>
          <w:tab w:leader="none" w:pos="2592" w:val="left"/>
        </w:tabs>
        <w:numPr>
          <w:ilvl w:val="0"/>
          <w:numId w:val="634"/>
        </w:numPr>
        <w:rPr>
          <w:rFonts w:ascii="Arial" w:cs="Arial" w:eastAsia="Arial" w:hAnsi="Arial"/>
          <w:sz w:val="15"/>
          <w:szCs w:val="15"/>
          <w:color w:val="auto"/>
        </w:rPr>
      </w:pPr>
      <w:r>
        <w:rPr>
          <w:rFonts w:ascii="Arial" w:cs="Arial" w:eastAsia="Arial" w:hAnsi="Arial"/>
          <w:sz w:val="15"/>
          <w:szCs w:val="15"/>
          <w:b w:val="1"/>
          <w:bCs w:val="1"/>
          <w:color w:val="auto"/>
        </w:rPr>
        <w:t xml:space="preserve">Landlord’s Termination Right. </w:t>
      </w:r>
      <w:r>
        <w:rPr>
          <w:rFonts w:ascii="Arial" w:cs="Arial" w:eastAsia="Arial" w:hAnsi="Arial"/>
          <w:sz w:val="15"/>
          <w:szCs w:val="15"/>
          <w:color w:val="auto"/>
        </w:rPr>
        <w:t>Whether or not the Premises are affected,</w:t>
      </w:r>
      <w:r>
        <w:rPr>
          <w:rFonts w:ascii="Arial" w:cs="Arial" w:eastAsia="Arial" w:hAnsi="Arial"/>
          <w:sz w:val="15"/>
          <w:szCs w:val="15"/>
          <w:b w:val="1"/>
          <w:bCs w:val="1"/>
          <w:color w:val="auto"/>
        </w:rPr>
        <w:t xml:space="preserve"> </w:t>
      </w:r>
      <w:r>
        <w:rPr>
          <w:rFonts w:ascii="Arial" w:cs="Arial" w:eastAsia="Arial" w:hAnsi="Arial"/>
          <w:sz w:val="15"/>
          <w:szCs w:val="15"/>
          <w:color w:val="auto"/>
        </w:rPr>
        <w:t>if part of the Real Property containing more than twenty-five percent (25%) of the area of the Building is the subject of a Taking, then Landlord may terminate this Lease, by notice to Tenant,</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2" w:right="1440" w:bottom="1440" w:gutter="0" w:footer="0" w:header="0"/>
        </w:sectPr>
      </w:pPr>
    </w:p>
    <w:bookmarkStart w:id="706" w:name="page707"/>
    <w:bookmarkEnd w:id="706"/>
    <w:p>
      <w:pPr>
        <w:jc w:val="both"/>
        <w:ind w:left="1220" w:right="1239"/>
        <w:spacing w:after="0" w:line="247" w:lineRule="auto"/>
        <w:rPr>
          <w:sz w:val="20"/>
          <w:szCs w:val="20"/>
          <w:color w:val="auto"/>
        </w:rPr>
      </w:pPr>
      <w:r>
        <w:rPr>
          <w:rFonts w:ascii="Arial" w:cs="Arial" w:eastAsia="Arial" w:hAnsi="Arial"/>
          <w:sz w:val="15"/>
          <w:szCs w:val="15"/>
          <w:color w:val="auto"/>
        </w:rPr>
        <w:t>within sixty (60) days following the date upon which Landlord receives notice of any such Taking, provided that Landlord similarly terminates the leases of the tenants (including Tenant) occupying in the aggregate not less than fifty percent (50%) of the rentable area of the Building occupied immediately prior to such Taking.</w:t>
      </w:r>
    </w:p>
    <w:p>
      <w:pPr>
        <w:spacing w:after="0" w:line="129" w:lineRule="exact"/>
        <w:rPr>
          <w:sz w:val="20"/>
          <w:szCs w:val="20"/>
          <w:color w:val="auto"/>
        </w:rPr>
      </w:pPr>
    </w:p>
    <w:p>
      <w:pPr>
        <w:jc w:val="both"/>
        <w:ind w:left="1220" w:right="1239" w:firstLine="1013"/>
        <w:spacing w:after="0"/>
        <w:tabs>
          <w:tab w:leader="none" w:pos="2592" w:val="left"/>
        </w:tabs>
        <w:numPr>
          <w:ilvl w:val="0"/>
          <w:numId w:val="635"/>
        </w:numPr>
        <w:rPr>
          <w:rFonts w:ascii="Arial" w:cs="Arial" w:eastAsia="Arial" w:hAnsi="Arial"/>
          <w:sz w:val="15"/>
          <w:szCs w:val="15"/>
          <w:color w:val="auto"/>
        </w:rPr>
      </w:pPr>
      <w:r>
        <w:rPr>
          <w:rFonts w:ascii="Arial" w:cs="Arial" w:eastAsia="Arial" w:hAnsi="Arial"/>
          <w:sz w:val="15"/>
          <w:szCs w:val="15"/>
          <w:b w:val="1"/>
          <w:bCs w:val="1"/>
          <w:color w:val="auto"/>
        </w:rPr>
        <w:t xml:space="preserve">Tenant’s Termination Right. </w:t>
      </w:r>
      <w:r>
        <w:rPr>
          <w:rFonts w:ascii="Arial" w:cs="Arial" w:eastAsia="Arial" w:hAnsi="Arial"/>
          <w:sz w:val="15"/>
          <w:szCs w:val="15"/>
          <w:color w:val="auto"/>
        </w:rPr>
        <w:t>If the part of the Real Property so Taken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contains more than thirty percent (30%) of the total area of the Premises occupied by Tenant immediately prior to such Taking, or if, by reason of such Taking, Tenant no longer has reasonable means of access to the Premises, Tenant may terminate this Lease by notice to Landlord given within thirty (30) days following the date upon which Tenant is given notice of such Taking. If Tenant so notifies Landlord, this Lease shall end and expire upon the 30th day following the giving of such notice. If a part of the Premises shall be so Taken and this Lease is not terminated in accordance with this </w:t>
      </w:r>
      <w:r>
        <w:rPr>
          <w:rFonts w:ascii="Arial" w:cs="Arial" w:eastAsia="Arial" w:hAnsi="Arial"/>
          <w:sz w:val="15"/>
          <w:szCs w:val="15"/>
          <w:b w:val="1"/>
          <w:bCs w:val="1"/>
          <w:color w:val="auto"/>
        </w:rPr>
        <w:t>Section 12.1</w:t>
      </w:r>
      <w:r>
        <w:rPr>
          <w:rFonts w:ascii="Arial" w:cs="Arial" w:eastAsia="Arial" w:hAnsi="Arial"/>
          <w:sz w:val="15"/>
          <w:szCs w:val="15"/>
          <w:color w:val="auto"/>
        </w:rPr>
        <w:t>, Landlord, without being required to spend more than the net amount it receives as an award, shall restore that part of the Premises not so Taken to a self-contained rental unit substantially equivalent (with respect to character, quality, appearance and services) to that which existed immediately prior to such Taking, excluding Tenant’s Property and any improvements or Alterations constructed in or to the Premises by or on behalf of Tenant from time-to-time (including the Landlord’s Work), and, if applicable, the Fixed Rent shall be adjusted on a pro rata basis to reflect the resulting reduction in the rentable area of the Premises.</w:t>
      </w:r>
    </w:p>
    <w:p>
      <w:pPr>
        <w:spacing w:after="0" w:line="276" w:lineRule="exact"/>
        <w:rPr>
          <w:rFonts w:ascii="Arial" w:cs="Arial" w:eastAsia="Arial" w:hAnsi="Arial"/>
          <w:sz w:val="15"/>
          <w:szCs w:val="15"/>
          <w:color w:val="auto"/>
        </w:rPr>
      </w:pPr>
    </w:p>
    <w:p>
      <w:pPr>
        <w:jc w:val="both"/>
        <w:ind w:left="1220" w:right="1239" w:firstLine="1013"/>
        <w:spacing w:after="0" w:line="255" w:lineRule="auto"/>
        <w:tabs>
          <w:tab w:leader="none" w:pos="2592" w:val="left"/>
        </w:tabs>
        <w:numPr>
          <w:ilvl w:val="0"/>
          <w:numId w:val="635"/>
        </w:numPr>
        <w:rPr>
          <w:rFonts w:ascii="Arial" w:cs="Arial" w:eastAsia="Arial" w:hAnsi="Arial"/>
          <w:sz w:val="15"/>
          <w:szCs w:val="15"/>
          <w:color w:val="auto"/>
        </w:rPr>
      </w:pPr>
      <w:r>
        <w:rPr>
          <w:rFonts w:ascii="Arial" w:cs="Arial" w:eastAsia="Arial" w:hAnsi="Arial"/>
          <w:sz w:val="15"/>
          <w:szCs w:val="15"/>
          <w:b w:val="1"/>
          <w:bCs w:val="1"/>
          <w:color w:val="auto"/>
        </w:rPr>
        <w:t xml:space="preserve">Apportionment of Rent. </w:t>
      </w:r>
      <w:r>
        <w:rPr>
          <w:rFonts w:ascii="Arial" w:cs="Arial" w:eastAsia="Arial" w:hAnsi="Arial"/>
          <w:sz w:val="15"/>
          <w:szCs w:val="15"/>
          <w:color w:val="auto"/>
        </w:rPr>
        <w:t>Upon any termination of this Lease pursuant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provisions of this </w:t>
      </w:r>
      <w:r>
        <w:rPr>
          <w:rFonts w:ascii="Arial" w:cs="Arial" w:eastAsia="Arial" w:hAnsi="Arial"/>
          <w:sz w:val="15"/>
          <w:szCs w:val="15"/>
          <w:b w:val="1"/>
          <w:bCs w:val="1"/>
          <w:color w:val="auto"/>
        </w:rPr>
        <w:t>Article 12</w:t>
      </w:r>
      <w:r>
        <w:rPr>
          <w:rFonts w:ascii="Arial" w:cs="Arial" w:eastAsia="Arial" w:hAnsi="Arial"/>
          <w:sz w:val="15"/>
          <w:szCs w:val="15"/>
          <w:color w:val="auto"/>
        </w:rPr>
        <w:t>, Rent shall be apportioned as of, and shall be paid or refunded up to and including, the date of such termination.</w:t>
      </w:r>
    </w:p>
    <w:p>
      <w:pPr>
        <w:spacing w:after="0" w:line="123"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12.2. </w:t>
      </w:r>
      <w:r>
        <w:rPr>
          <w:rFonts w:ascii="Arial" w:cs="Arial" w:eastAsia="Arial" w:hAnsi="Arial"/>
          <w:sz w:val="15"/>
          <w:szCs w:val="15"/>
          <w:b w:val="1"/>
          <w:bCs w:val="1"/>
          <w:u w:val="single" w:color="auto"/>
          <w:color w:val="auto"/>
        </w:rPr>
        <w:t>Awards</w:t>
      </w:r>
      <w:r>
        <w:rPr>
          <w:rFonts w:ascii="Arial" w:cs="Arial" w:eastAsia="Arial" w:hAnsi="Arial"/>
          <w:sz w:val="15"/>
          <w:szCs w:val="15"/>
          <w:b w:val="1"/>
          <w:bCs w:val="1"/>
          <w:color w:val="auto"/>
        </w:rPr>
        <w:t xml:space="preserve">. </w:t>
      </w:r>
      <w:r>
        <w:rPr>
          <w:rFonts w:ascii="Arial" w:cs="Arial" w:eastAsia="Arial" w:hAnsi="Arial"/>
          <w:sz w:val="15"/>
          <w:szCs w:val="15"/>
          <w:color w:val="auto"/>
        </w:rPr>
        <w:t>Upon any Taking, Landlord shall receive the entire award for any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such Taking, and Tenant shall have no claim against Landlord or the condemning authority for the value of any unexpired portion of the Term or Tenant’s Alterations; and Tenant hereby assigns to Landlord all of its right in and to such award. Nothing contained in this </w:t>
      </w:r>
      <w:r>
        <w:rPr>
          <w:rFonts w:ascii="Arial" w:cs="Arial" w:eastAsia="Arial" w:hAnsi="Arial"/>
          <w:sz w:val="15"/>
          <w:szCs w:val="15"/>
          <w:b w:val="1"/>
          <w:bCs w:val="1"/>
          <w:color w:val="auto"/>
        </w:rPr>
        <w:t>Article 12</w:t>
      </w:r>
      <w:r>
        <w:rPr>
          <w:rFonts w:ascii="Arial" w:cs="Arial" w:eastAsia="Arial" w:hAnsi="Arial"/>
          <w:sz w:val="15"/>
          <w:szCs w:val="15"/>
          <w:color w:val="auto"/>
        </w:rPr>
        <w:t xml:space="preserve"> shall be deemed to prevent Tenant from making a separate claim against the condemning authority in a separate proceeding for the then value of any Tenant’s Property included in such Taking and for any moving expenses, provided any such award is in addition to, and does not result in a reduction of, the award made to Landlord.</w:t>
      </w:r>
    </w:p>
    <w:p>
      <w:pPr>
        <w:spacing w:after="0" w:line="134"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12.3. </w:t>
      </w:r>
      <w:r>
        <w:rPr>
          <w:rFonts w:ascii="Arial" w:cs="Arial" w:eastAsia="Arial" w:hAnsi="Arial"/>
          <w:sz w:val="15"/>
          <w:szCs w:val="15"/>
          <w:b w:val="1"/>
          <w:bCs w:val="1"/>
          <w:u w:val="single" w:color="auto"/>
          <w:color w:val="auto"/>
        </w:rPr>
        <w:t>Temporary Taking</w:t>
      </w:r>
      <w:r>
        <w:rPr>
          <w:rFonts w:ascii="Arial" w:cs="Arial" w:eastAsia="Arial" w:hAnsi="Arial"/>
          <w:sz w:val="15"/>
          <w:szCs w:val="15"/>
          <w:b w:val="1"/>
          <w:bCs w:val="1"/>
          <w:color w:val="auto"/>
        </w:rPr>
        <w:t xml:space="preserve">. </w:t>
      </w:r>
      <w:r>
        <w:rPr>
          <w:rFonts w:ascii="Arial" w:cs="Arial" w:eastAsia="Arial" w:hAnsi="Arial"/>
          <w:sz w:val="15"/>
          <w:szCs w:val="15"/>
          <w:color w:val="auto"/>
        </w:rPr>
        <w:t>If a temporary Taking of all or any part of the</w:t>
      </w:r>
      <w:r>
        <w:rPr>
          <w:rFonts w:ascii="Arial" w:cs="Arial" w:eastAsia="Arial" w:hAnsi="Arial"/>
          <w:sz w:val="15"/>
          <w:szCs w:val="15"/>
          <w:b w:val="1"/>
          <w:bCs w:val="1"/>
          <w:color w:val="auto"/>
        </w:rPr>
        <w:t xml:space="preserve"> </w:t>
      </w:r>
      <w:r>
        <w:rPr>
          <w:rFonts w:ascii="Arial" w:cs="Arial" w:eastAsia="Arial" w:hAnsi="Arial"/>
          <w:sz w:val="15"/>
          <w:szCs w:val="15"/>
          <w:color w:val="auto"/>
        </w:rPr>
        <w:t>Premises occurs during the Term, then Tenant shall give prompt notice to Landlord and the Term shall not be reduced or affected in any way and Tenant shall continue to pay all Rent payable by Tenant without reduction or abatement and to perform all of its other obligations under this Lease, except to the extent prevented from doing so by the condemning authority, and Tenant shall be entitled to receive any award or payment from the condemning authority for such use.</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07" w:name="page708"/>
    <w:bookmarkEnd w:id="707"/>
    <w:p>
      <w:pPr>
        <w:ind w:left="4060"/>
        <w:spacing w:after="0"/>
        <w:rPr>
          <w:sz w:val="20"/>
          <w:szCs w:val="20"/>
          <w:color w:val="auto"/>
        </w:rPr>
      </w:pPr>
      <w:r>
        <w:rPr>
          <w:rFonts w:ascii="Arial" w:cs="Arial" w:eastAsia="Arial" w:hAnsi="Arial"/>
          <w:sz w:val="15"/>
          <w:szCs w:val="15"/>
          <w:b w:val="1"/>
          <w:bCs w:val="1"/>
          <w:color w:val="auto"/>
        </w:rPr>
        <w:t>ARTICLE 13</w:t>
      </w:r>
    </w:p>
    <w:p>
      <w:pPr>
        <w:spacing w:after="0" w:line="164" w:lineRule="exact"/>
        <w:rPr>
          <w:sz w:val="20"/>
          <w:szCs w:val="20"/>
          <w:color w:val="auto"/>
        </w:rPr>
      </w:pPr>
    </w:p>
    <w:p>
      <w:pPr>
        <w:ind w:left="3280"/>
        <w:spacing w:after="0"/>
        <w:rPr>
          <w:sz w:val="20"/>
          <w:szCs w:val="20"/>
          <w:color w:val="auto"/>
        </w:rPr>
      </w:pPr>
      <w:r>
        <w:rPr>
          <w:rFonts w:ascii="Arial" w:cs="Arial" w:eastAsia="Arial" w:hAnsi="Arial"/>
          <w:sz w:val="15"/>
          <w:szCs w:val="15"/>
          <w:b w:val="1"/>
          <w:bCs w:val="1"/>
          <w:color w:val="auto"/>
        </w:rPr>
        <w:t>ASSIGNMENT AND SUBLETTING</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13.1. </w:t>
      </w:r>
      <w:r>
        <w:rPr>
          <w:rFonts w:ascii="Arial" w:cs="Arial" w:eastAsia="Arial" w:hAnsi="Arial"/>
          <w:sz w:val="15"/>
          <w:szCs w:val="15"/>
          <w:b w:val="1"/>
          <w:bCs w:val="1"/>
          <w:u w:val="single" w:color="auto"/>
          <w:color w:val="auto"/>
        </w:rPr>
        <w:t>Consent Requirements</w:t>
      </w:r>
      <w:r>
        <w:rPr>
          <w:rFonts w:ascii="Arial" w:cs="Arial" w:eastAsia="Arial" w:hAnsi="Arial"/>
          <w:sz w:val="15"/>
          <w:szCs w:val="15"/>
          <w:color w:val="auto"/>
        </w:rPr>
        <w:t>.</w:t>
      </w:r>
    </w:p>
    <w:p>
      <w:pPr>
        <w:spacing w:after="0" w:line="164" w:lineRule="exact"/>
        <w:rPr>
          <w:sz w:val="20"/>
          <w:szCs w:val="20"/>
          <w:color w:val="auto"/>
        </w:rPr>
      </w:pPr>
    </w:p>
    <w:p>
      <w:pPr>
        <w:jc w:val="both"/>
        <w:ind w:left="1220" w:right="1239" w:firstLine="1013"/>
        <w:spacing w:after="0" w:line="243" w:lineRule="auto"/>
        <w:tabs>
          <w:tab w:leader="none" w:pos="2592" w:val="left"/>
        </w:tabs>
        <w:numPr>
          <w:ilvl w:val="0"/>
          <w:numId w:val="636"/>
        </w:numPr>
        <w:rPr>
          <w:rFonts w:ascii="Arial" w:cs="Arial" w:eastAsia="Arial" w:hAnsi="Arial"/>
          <w:sz w:val="15"/>
          <w:szCs w:val="15"/>
          <w:color w:val="auto"/>
        </w:rPr>
      </w:pPr>
      <w:r>
        <w:rPr>
          <w:rFonts w:ascii="Arial" w:cs="Arial" w:eastAsia="Arial" w:hAnsi="Arial"/>
          <w:sz w:val="15"/>
          <w:szCs w:val="15"/>
          <w:b w:val="1"/>
          <w:bCs w:val="1"/>
          <w:color w:val="auto"/>
        </w:rPr>
        <w:t xml:space="preserve">No Transfers Without Landlord Consent. </w:t>
      </w:r>
      <w:r>
        <w:rPr>
          <w:rFonts w:ascii="Arial" w:cs="Arial" w:eastAsia="Arial" w:hAnsi="Arial"/>
          <w:sz w:val="15"/>
          <w:szCs w:val="15"/>
          <w:color w:val="auto"/>
        </w:rPr>
        <w:t>Except as expressly set forth in</w:t>
      </w:r>
      <w:r>
        <w:rPr>
          <w:rFonts w:ascii="Arial" w:cs="Arial" w:eastAsia="Arial" w:hAnsi="Arial"/>
          <w:sz w:val="15"/>
          <w:szCs w:val="15"/>
          <w:b w:val="1"/>
          <w:bCs w:val="1"/>
          <w:color w:val="auto"/>
        </w:rPr>
        <w:t xml:space="preserve"> Section 13.6</w:t>
      </w:r>
      <w:r>
        <w:rPr>
          <w:rFonts w:ascii="Arial" w:cs="Arial" w:eastAsia="Arial" w:hAnsi="Arial"/>
          <w:sz w:val="15"/>
          <w:szCs w:val="15"/>
          <w:color w:val="auto"/>
        </w:rPr>
        <w:t>, Tenant shall not assign, mortgage, pledge, encumber, or otherwise transfer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Lease, whether by operation of law or otherwise, and shall not sublet, or permit, or suffer the Premises or any part thereof to be used or occupied by others (whether for desk space, mailing privileges or otherwise), without Landlord’s express prior written consent in each instance. Any assignment, sublease, mortgage, pledge, encumbrance or transfer in contravention of the provisions of this </w:t>
      </w:r>
      <w:r>
        <w:rPr>
          <w:rFonts w:ascii="Arial" w:cs="Arial" w:eastAsia="Arial" w:hAnsi="Arial"/>
          <w:sz w:val="15"/>
          <w:szCs w:val="15"/>
          <w:b w:val="1"/>
          <w:bCs w:val="1"/>
          <w:color w:val="auto"/>
        </w:rPr>
        <w:t>Article 13</w:t>
      </w:r>
      <w:r>
        <w:rPr>
          <w:rFonts w:ascii="Arial" w:cs="Arial" w:eastAsia="Arial" w:hAnsi="Arial"/>
          <w:sz w:val="15"/>
          <w:szCs w:val="15"/>
          <w:color w:val="auto"/>
        </w:rPr>
        <w:t xml:space="preserve"> shall be void and shall constitute an Event of Default.</w:t>
      </w:r>
    </w:p>
    <w:p>
      <w:pPr>
        <w:spacing w:after="0" w:line="123"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36"/>
        </w:numPr>
        <w:rPr>
          <w:rFonts w:ascii="Arial" w:cs="Arial" w:eastAsia="Arial" w:hAnsi="Arial"/>
          <w:sz w:val="15"/>
          <w:szCs w:val="15"/>
          <w:color w:val="auto"/>
        </w:rPr>
      </w:pPr>
      <w:r>
        <w:rPr>
          <w:rFonts w:ascii="Arial" w:cs="Arial" w:eastAsia="Arial" w:hAnsi="Arial"/>
          <w:sz w:val="15"/>
          <w:szCs w:val="15"/>
          <w:b w:val="1"/>
          <w:bCs w:val="1"/>
          <w:color w:val="auto"/>
        </w:rPr>
        <w:t xml:space="preserve">Collection of Rent. </w:t>
      </w:r>
      <w:r>
        <w:rPr>
          <w:rFonts w:ascii="Arial" w:cs="Arial" w:eastAsia="Arial" w:hAnsi="Arial"/>
          <w:sz w:val="15"/>
          <w:szCs w:val="15"/>
          <w:color w:val="auto"/>
        </w:rPr>
        <w:t>If, without Landlord’s consent, this Lease is assigned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transferred, or any part of the Premises is sublet or occupied by anyone other than Tenant, or this Lease is encumbered (by operation of law or otherwise), then Landlord may collect rent from the assignee, subtenant or occupant, and apply the net amount collected to the Rent herein reserved. No such collection shall be deemed a waiver of the provisions of this </w:t>
      </w:r>
      <w:r>
        <w:rPr>
          <w:rFonts w:ascii="Arial" w:cs="Arial" w:eastAsia="Arial" w:hAnsi="Arial"/>
          <w:sz w:val="15"/>
          <w:szCs w:val="15"/>
          <w:b w:val="1"/>
          <w:bCs w:val="1"/>
          <w:color w:val="auto"/>
        </w:rPr>
        <w:t>Article</w:t>
      </w:r>
      <w:r>
        <w:rPr>
          <w:rFonts w:ascii="Arial" w:cs="Arial" w:eastAsia="Arial" w:hAnsi="Arial"/>
          <w:sz w:val="15"/>
          <w:szCs w:val="15"/>
          <w:color w:val="auto"/>
        </w:rPr>
        <w:t xml:space="preserve"> </w:t>
      </w:r>
      <w:r>
        <w:rPr>
          <w:rFonts w:ascii="Arial" w:cs="Arial" w:eastAsia="Arial" w:hAnsi="Arial"/>
          <w:sz w:val="15"/>
          <w:szCs w:val="15"/>
          <w:b w:val="1"/>
          <w:bCs w:val="1"/>
          <w:color w:val="auto"/>
        </w:rPr>
        <w:t>13</w:t>
      </w:r>
      <w:r>
        <w:rPr>
          <w:rFonts w:ascii="Arial" w:cs="Arial" w:eastAsia="Arial" w:hAnsi="Arial"/>
          <w:sz w:val="15"/>
          <w:szCs w:val="15"/>
          <w:color w:val="auto"/>
        </w:rPr>
        <w:t>, an acceptance of the assignee, subtenant or occupant as tenant, or a release of Tenant</w:t>
      </w:r>
      <w:r>
        <w:rPr>
          <w:rFonts w:ascii="Arial" w:cs="Arial" w:eastAsia="Arial" w:hAnsi="Arial"/>
          <w:sz w:val="15"/>
          <w:szCs w:val="15"/>
          <w:b w:val="1"/>
          <w:bCs w:val="1"/>
          <w:color w:val="auto"/>
        </w:rPr>
        <w:t xml:space="preserve"> </w:t>
      </w:r>
      <w:r>
        <w:rPr>
          <w:rFonts w:ascii="Arial" w:cs="Arial" w:eastAsia="Arial" w:hAnsi="Arial"/>
          <w:sz w:val="15"/>
          <w:szCs w:val="15"/>
          <w:color w:val="auto"/>
        </w:rPr>
        <w:t>from the performance of Tenant’s covenants hereunder, and in all cases Tenant shall remain fully liable for its obligations under this Lease.</w:t>
      </w:r>
    </w:p>
    <w:p>
      <w:pPr>
        <w:spacing w:after="0" w:line="133" w:lineRule="exact"/>
        <w:rPr>
          <w:rFonts w:ascii="Arial" w:cs="Arial" w:eastAsia="Arial" w:hAnsi="Arial"/>
          <w:sz w:val="15"/>
          <w:szCs w:val="15"/>
          <w:color w:val="auto"/>
        </w:rPr>
      </w:pPr>
    </w:p>
    <w:p>
      <w:pPr>
        <w:jc w:val="both"/>
        <w:ind w:left="1220" w:right="1239" w:firstLine="1013"/>
        <w:spacing w:after="0" w:line="244" w:lineRule="auto"/>
        <w:tabs>
          <w:tab w:leader="none" w:pos="2592" w:val="left"/>
        </w:tabs>
        <w:numPr>
          <w:ilvl w:val="0"/>
          <w:numId w:val="636"/>
        </w:numPr>
        <w:rPr>
          <w:rFonts w:ascii="Arial" w:cs="Arial" w:eastAsia="Arial" w:hAnsi="Arial"/>
          <w:sz w:val="15"/>
          <w:szCs w:val="15"/>
          <w:color w:val="auto"/>
        </w:rPr>
      </w:pPr>
      <w:r>
        <w:rPr>
          <w:rFonts w:ascii="Arial" w:cs="Arial" w:eastAsia="Arial" w:hAnsi="Arial"/>
          <w:sz w:val="15"/>
          <w:szCs w:val="15"/>
          <w:b w:val="1"/>
          <w:bCs w:val="1"/>
          <w:color w:val="auto"/>
        </w:rPr>
        <w:t xml:space="preserve">Further Assignment/Subletting. </w:t>
      </w:r>
      <w:r>
        <w:rPr>
          <w:rFonts w:ascii="Arial" w:cs="Arial" w:eastAsia="Arial" w:hAnsi="Arial"/>
          <w:sz w:val="15"/>
          <w:szCs w:val="15"/>
          <w:color w:val="auto"/>
        </w:rPr>
        <w:t>Landlord’s consent to any assignment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subletting shall not relieve Tenant from the obligation to obtain Landlord’s consent to any further assignment or subletting. In no event shall any permitted subtenant assign or encumber its sublease or further sublet any portion of its sublet space, or otherwise suffer or permit any portion of the sublet space to be used or occupied by others, without the express prior written consent of Landlord in each instance in accordance with the requirements of this </w:t>
      </w:r>
      <w:r>
        <w:rPr>
          <w:rFonts w:ascii="Arial" w:cs="Arial" w:eastAsia="Arial" w:hAnsi="Arial"/>
          <w:sz w:val="15"/>
          <w:szCs w:val="15"/>
          <w:b w:val="1"/>
          <w:bCs w:val="1"/>
          <w:color w:val="auto"/>
        </w:rPr>
        <w:t>Article 13</w:t>
      </w:r>
      <w:r>
        <w:rPr>
          <w:rFonts w:ascii="Arial" w:cs="Arial" w:eastAsia="Arial" w:hAnsi="Arial"/>
          <w:sz w:val="15"/>
          <w:szCs w:val="15"/>
          <w:color w:val="auto"/>
        </w:rPr>
        <w:t>.</w:t>
      </w:r>
    </w:p>
    <w:p>
      <w:pPr>
        <w:spacing w:after="0" w:line="125"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13.2. </w:t>
      </w:r>
      <w:r>
        <w:rPr>
          <w:rFonts w:ascii="Arial" w:cs="Arial" w:eastAsia="Arial" w:hAnsi="Arial"/>
          <w:sz w:val="15"/>
          <w:szCs w:val="15"/>
          <w:b w:val="1"/>
          <w:bCs w:val="1"/>
          <w:u w:val="single" w:color="auto"/>
          <w:color w:val="auto"/>
        </w:rPr>
        <w:t>Tenant’s Assignment/Sublease 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 If Tenant desires to assign</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or sublet all or any portion of the Premises, then prior to offering the Premises for rent, or listing the Premises (or any part thereof) with a broker, or showing the Premises to a prospective assignee or subtenant, Tenant shall give notice (“</w:t>
      </w:r>
      <w:r>
        <w:rPr>
          <w:rFonts w:ascii="Arial" w:cs="Arial" w:eastAsia="Arial" w:hAnsi="Arial"/>
          <w:sz w:val="15"/>
          <w:szCs w:val="15"/>
          <w:b w:val="1"/>
          <w:bCs w:val="1"/>
          <w:color w:val="auto"/>
        </w:rPr>
        <w:t>Tenant’s Assignment/Sublease</w:t>
      </w:r>
      <w:r>
        <w:rPr>
          <w:rFonts w:ascii="Arial" w:cs="Arial" w:eastAsia="Arial" w:hAnsi="Arial"/>
          <w:sz w:val="15"/>
          <w:szCs w:val="15"/>
          <w:color w:val="auto"/>
        </w:rPr>
        <w:t xml:space="preserve"> </w:t>
      </w:r>
      <w:r>
        <w:rPr>
          <w:rFonts w:ascii="Arial" w:cs="Arial" w:eastAsia="Arial" w:hAnsi="Arial"/>
          <w:sz w:val="15"/>
          <w:szCs w:val="15"/>
          <w:b w:val="1"/>
          <w:bCs w:val="1"/>
          <w:color w:val="auto"/>
        </w:rPr>
        <w:t>Offer Notice</w:t>
      </w:r>
      <w:r>
        <w:rPr>
          <w:rFonts w:ascii="Arial" w:cs="Arial" w:eastAsia="Arial" w:hAnsi="Arial"/>
          <w:sz w:val="15"/>
          <w:szCs w:val="15"/>
          <w:color w:val="auto"/>
        </w:rPr>
        <w:t>”) thereof to Landlord, which shall be include the date that Tenant anticipates that</w:t>
      </w:r>
      <w:r>
        <w:rPr>
          <w:rFonts w:ascii="Arial" w:cs="Arial" w:eastAsia="Arial" w:hAnsi="Arial"/>
          <w:sz w:val="15"/>
          <w:szCs w:val="15"/>
          <w:b w:val="1"/>
          <w:bCs w:val="1"/>
          <w:color w:val="auto"/>
        </w:rPr>
        <w:t xml:space="preserve"> </w:t>
      </w:r>
      <w:r>
        <w:rPr>
          <w:rFonts w:ascii="Arial" w:cs="Arial" w:eastAsia="Arial" w:hAnsi="Arial"/>
          <w:sz w:val="15"/>
          <w:szCs w:val="15"/>
          <w:color w:val="auto"/>
        </w:rPr>
        <w:t>the assignment or sublease will become effective or commence. If the proposed transaction is a sublease which, when aggregated with all other subleases, would result in 50% or more of the rentable square footage of the Premises being sublet, then such Tenant’s Assignment/Sublease Offer Notice shall be deemed an irrevocable offer from Tenant to Landlord of the right, at Landlord’s option, to recapture such space as Tenant proposes to sublease (the “</w:t>
      </w:r>
      <w:r>
        <w:rPr>
          <w:rFonts w:ascii="Arial" w:cs="Arial" w:eastAsia="Arial" w:hAnsi="Arial"/>
          <w:sz w:val="15"/>
          <w:szCs w:val="15"/>
          <w:b w:val="1"/>
          <w:bCs w:val="1"/>
          <w:color w:val="auto"/>
        </w:rPr>
        <w:t>Proposed</w:t>
      </w:r>
      <w:r>
        <w:rPr>
          <w:rFonts w:ascii="Arial" w:cs="Arial" w:eastAsia="Arial" w:hAnsi="Arial"/>
          <w:sz w:val="15"/>
          <w:szCs w:val="15"/>
          <w:color w:val="auto"/>
        </w:rPr>
        <w:t xml:space="preserve"> </w:t>
      </w:r>
      <w:r>
        <w:rPr>
          <w:rFonts w:ascii="Arial" w:cs="Arial" w:eastAsia="Arial" w:hAnsi="Arial"/>
          <w:sz w:val="15"/>
          <w:szCs w:val="15"/>
          <w:b w:val="1"/>
          <w:bCs w:val="1"/>
          <w:color w:val="auto"/>
        </w:rPr>
        <w:t>Sublease Space</w:t>
      </w:r>
      <w:r>
        <w:rPr>
          <w:rFonts w:ascii="Arial" w:cs="Arial" w:eastAsia="Arial" w:hAnsi="Arial"/>
          <w:sz w:val="15"/>
          <w:szCs w:val="15"/>
          <w:color w:val="auto"/>
        </w:rPr>
        <w:t>”) and to terminate this Lease with respect to such Proposed Sublease Space,</w:t>
      </w:r>
      <w:r>
        <w:rPr>
          <w:rFonts w:ascii="Arial" w:cs="Arial" w:eastAsia="Arial" w:hAnsi="Arial"/>
          <w:sz w:val="15"/>
          <w:szCs w:val="15"/>
          <w:b w:val="1"/>
          <w:bCs w:val="1"/>
          <w:color w:val="auto"/>
        </w:rPr>
        <w:t xml:space="preserve"> </w:t>
      </w:r>
      <w:r>
        <w:rPr>
          <w:rFonts w:ascii="Arial" w:cs="Arial" w:eastAsia="Arial" w:hAnsi="Arial"/>
          <w:sz w:val="15"/>
          <w:szCs w:val="15"/>
          <w:color w:val="auto"/>
        </w:rPr>
        <w:t>upon the terms and conditions hereinafter set forth. Such option may be exercised by notice (a “</w:t>
      </w:r>
      <w:r>
        <w:rPr>
          <w:rFonts w:ascii="Arial" w:cs="Arial" w:eastAsia="Arial" w:hAnsi="Arial"/>
          <w:sz w:val="15"/>
          <w:szCs w:val="15"/>
          <w:b w:val="1"/>
          <w:bCs w:val="1"/>
          <w:color w:val="auto"/>
        </w:rPr>
        <w:t>Recapture Notice”</w:t>
      </w:r>
      <w:r>
        <w:rPr>
          <w:rFonts w:ascii="Arial" w:cs="Arial" w:eastAsia="Arial" w:hAnsi="Arial"/>
          <w:sz w:val="15"/>
          <w:szCs w:val="15"/>
          <w:color w:val="auto"/>
        </w:rPr>
        <w:t>) from Landlord to Tenant within forty-five (45) days after delivery of Tenant’s Assignment/Sublease Offer Notice.</w:t>
      </w:r>
    </w:p>
    <w:p>
      <w:pPr>
        <w:spacing w:after="0" w:line="140" w:lineRule="exact"/>
        <w:rPr>
          <w:sz w:val="20"/>
          <w:szCs w:val="20"/>
          <w:color w:val="auto"/>
        </w:rPr>
      </w:pPr>
    </w:p>
    <w:p>
      <w:pPr>
        <w:jc w:val="both"/>
        <w:ind w:left="1220" w:right="1239" w:firstLine="1013"/>
        <w:spacing w:after="0"/>
        <w:tabs>
          <w:tab w:leader="none" w:pos="2592" w:val="left"/>
        </w:tabs>
        <w:numPr>
          <w:ilvl w:val="0"/>
          <w:numId w:val="637"/>
        </w:numPr>
        <w:rPr>
          <w:rFonts w:ascii="Arial" w:cs="Arial" w:eastAsia="Arial" w:hAnsi="Arial"/>
          <w:sz w:val="15"/>
          <w:szCs w:val="15"/>
          <w:color w:val="auto"/>
        </w:rPr>
      </w:pPr>
      <w:r>
        <w:rPr>
          <w:rFonts w:ascii="Arial" w:cs="Arial" w:eastAsia="Arial" w:hAnsi="Arial"/>
          <w:sz w:val="15"/>
          <w:szCs w:val="15"/>
          <w:color w:val="auto"/>
        </w:rPr>
        <w:t xml:space="preserve">If Landlord exercises its option to recapture the Proposed Sublease Space pursuant to the provisions of this </w:t>
      </w:r>
      <w:r>
        <w:rPr>
          <w:rFonts w:ascii="Arial" w:cs="Arial" w:eastAsia="Arial" w:hAnsi="Arial"/>
          <w:sz w:val="15"/>
          <w:szCs w:val="15"/>
          <w:b w:val="1"/>
          <w:bCs w:val="1"/>
          <w:color w:val="auto"/>
        </w:rPr>
        <w:t>Section 13.2</w:t>
      </w:r>
      <w:r>
        <w:rPr>
          <w:rFonts w:ascii="Arial" w:cs="Arial" w:eastAsia="Arial" w:hAnsi="Arial"/>
          <w:sz w:val="15"/>
          <w:szCs w:val="15"/>
          <w:color w:val="auto"/>
        </w:rPr>
        <w:t>, (a) this Lease shall end and expire with respect to such Proposed Sublease Space on the date that such sublease was to commence, provided that such date is in no event earlier than ninety (90) days after the date of the Tenant’s Assignment/Sublease Offer Notice unless Landlord agrees to such earlier date, (b) Rent shall be apportioned, paid or refunded as of such date, (c) upon Landlord’s request, Tenant shall enter</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08" w:name="page709"/>
    <w:bookmarkEnd w:id="708"/>
    <w:p>
      <w:pPr>
        <w:jc w:val="both"/>
        <w:ind w:left="1220" w:right="1239"/>
        <w:spacing w:after="0" w:line="242" w:lineRule="auto"/>
        <w:rPr>
          <w:sz w:val="20"/>
          <w:szCs w:val="20"/>
          <w:color w:val="auto"/>
        </w:rPr>
      </w:pPr>
      <w:r>
        <w:rPr>
          <w:rFonts w:ascii="Arial" w:cs="Arial" w:eastAsia="Arial" w:hAnsi="Arial"/>
          <w:sz w:val="15"/>
          <w:szCs w:val="15"/>
          <w:color w:val="auto"/>
        </w:rPr>
        <w:t>into an amendment of this Lease ratifying and confirming such total or partial termination, and setting forth any appropriate modifications to the terms and conditions of this Lease as a result thereof, and (d) Landlord may elect, in its discretion, to lease the Proposed Sublease Space (or any part thereof) to Tenant’s prospective assignee or subtenant. Tenant shall pay all costs to make the Proposed Sublease Space a self-contained rental unit and to install any required Building corridors.</w:t>
      </w:r>
    </w:p>
    <w:p>
      <w:pPr>
        <w:spacing w:after="0" w:line="132"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13.3. </w:t>
      </w:r>
      <w:r>
        <w:rPr>
          <w:rFonts w:ascii="Arial" w:cs="Arial" w:eastAsia="Arial" w:hAnsi="Arial"/>
          <w:sz w:val="15"/>
          <w:szCs w:val="15"/>
          <w:b w:val="1"/>
          <w:bCs w:val="1"/>
          <w:u w:val="single" w:color="auto"/>
          <w:color w:val="auto"/>
        </w:rPr>
        <w:t>Consent to Assignment/Subletting</w:t>
      </w:r>
      <w:r>
        <w:rPr>
          <w:rFonts w:ascii="Arial" w:cs="Arial" w:eastAsia="Arial" w:hAnsi="Arial"/>
          <w:sz w:val="15"/>
          <w:szCs w:val="15"/>
          <w:b w:val="1"/>
          <w:bCs w:val="1"/>
          <w:color w:val="auto"/>
        </w:rPr>
        <w:t xml:space="preserve">. </w:t>
      </w:r>
      <w:r>
        <w:rPr>
          <w:rFonts w:ascii="Arial" w:cs="Arial" w:eastAsia="Arial" w:hAnsi="Arial"/>
          <w:sz w:val="15"/>
          <w:szCs w:val="15"/>
          <w:color w:val="auto"/>
        </w:rPr>
        <w:t>(a) If Landlord does not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Landlord’s termination option provided under </w:t>
      </w:r>
      <w:r>
        <w:rPr>
          <w:rFonts w:ascii="Arial" w:cs="Arial" w:eastAsia="Arial" w:hAnsi="Arial"/>
          <w:sz w:val="15"/>
          <w:szCs w:val="15"/>
          <w:b w:val="1"/>
          <w:bCs w:val="1"/>
          <w:color w:val="auto"/>
        </w:rPr>
        <w:t>Section 13.2,</w:t>
      </w:r>
      <w:r>
        <w:rPr>
          <w:rFonts w:ascii="Arial" w:cs="Arial" w:eastAsia="Arial" w:hAnsi="Arial"/>
          <w:sz w:val="15"/>
          <w:szCs w:val="15"/>
          <w:color w:val="auto"/>
        </w:rPr>
        <w:t xml:space="preserve"> then Landlord shall respond to a request for consent to a proposed sublease or assignment (a “</w:t>
      </w:r>
      <w:r>
        <w:rPr>
          <w:rFonts w:ascii="Arial" w:cs="Arial" w:eastAsia="Arial" w:hAnsi="Arial"/>
          <w:sz w:val="15"/>
          <w:szCs w:val="15"/>
          <w:b w:val="1"/>
          <w:bCs w:val="1"/>
          <w:color w:val="auto"/>
        </w:rPr>
        <w:t>Tenant’s Assignment/Sublease</w:t>
      </w:r>
      <w:r>
        <w:rPr>
          <w:rFonts w:ascii="Arial" w:cs="Arial" w:eastAsia="Arial" w:hAnsi="Arial"/>
          <w:sz w:val="15"/>
          <w:szCs w:val="15"/>
          <w:color w:val="auto"/>
        </w:rPr>
        <w:t xml:space="preserve"> </w:t>
      </w:r>
      <w:r>
        <w:rPr>
          <w:rFonts w:ascii="Arial" w:cs="Arial" w:eastAsia="Arial" w:hAnsi="Arial"/>
          <w:sz w:val="15"/>
          <w:szCs w:val="15"/>
          <w:b w:val="1"/>
          <w:bCs w:val="1"/>
          <w:color w:val="auto"/>
        </w:rPr>
        <w:t>Consent Notice</w:t>
      </w:r>
      <w:r>
        <w:rPr>
          <w:rFonts w:ascii="Arial" w:cs="Arial" w:eastAsia="Arial" w:hAnsi="Arial"/>
          <w:sz w:val="15"/>
          <w:szCs w:val="15"/>
          <w:color w:val="auto"/>
        </w:rPr>
        <w:t>”) not more than twenty (20) days after delivery to Landlord of the following: (i) a</w:t>
      </w:r>
      <w:r>
        <w:rPr>
          <w:rFonts w:ascii="Arial" w:cs="Arial" w:eastAsia="Arial" w:hAnsi="Arial"/>
          <w:sz w:val="15"/>
          <w:szCs w:val="15"/>
          <w:b w:val="1"/>
          <w:bCs w:val="1"/>
          <w:color w:val="auto"/>
        </w:rPr>
        <w:t xml:space="preserve"> </w:t>
      </w:r>
      <w:r>
        <w:rPr>
          <w:rFonts w:ascii="Arial" w:cs="Arial" w:eastAsia="Arial" w:hAnsi="Arial"/>
          <w:sz w:val="15"/>
          <w:szCs w:val="15"/>
          <w:color w:val="auto"/>
        </w:rPr>
        <w:t>copy of the proposed assignment agreement or sublease agreement (as applicable), (ii) a complete statement reasonably detailing the identity of the proposed assignee or subtenant (a “</w:t>
      </w:r>
      <w:r>
        <w:rPr>
          <w:rFonts w:ascii="Arial" w:cs="Arial" w:eastAsia="Arial" w:hAnsi="Arial"/>
          <w:sz w:val="15"/>
          <w:szCs w:val="15"/>
          <w:b w:val="1"/>
          <w:bCs w:val="1"/>
          <w:color w:val="auto"/>
        </w:rPr>
        <w:t>Transferee</w:t>
      </w:r>
      <w:r>
        <w:rPr>
          <w:rFonts w:ascii="Arial" w:cs="Arial" w:eastAsia="Arial" w:hAnsi="Arial"/>
          <w:sz w:val="15"/>
          <w:szCs w:val="15"/>
          <w:color w:val="auto"/>
        </w:rPr>
        <w:t>”), the nature of its business and its proposed use of the Premises, (iii) current financial information with respect to the Transferee, including its most recent financial statements, and (iv) such other information Landlord as may reasonably request (time being of the essence of the delivery of the response of Landlord to Tenant’s Assignment/Sublease Consent Notice). Provided that no Event of Default then exists, Landlord’s consent to the proposed assignment or subletting shall not be unreasonably withheld if the following conditions are satisfied:</w:t>
      </w:r>
    </w:p>
    <w:p>
      <w:pPr>
        <w:spacing w:after="0" w:line="287" w:lineRule="exact"/>
        <w:rPr>
          <w:sz w:val="20"/>
          <w:szCs w:val="20"/>
          <w:color w:val="auto"/>
        </w:rPr>
      </w:pPr>
    </w:p>
    <w:p>
      <w:pPr>
        <w:jc w:val="both"/>
        <w:ind w:left="1220" w:right="1239" w:firstLine="1013"/>
        <w:spacing w:after="0" w:line="247" w:lineRule="auto"/>
        <w:tabs>
          <w:tab w:leader="none" w:pos="2592" w:val="left"/>
        </w:tabs>
        <w:numPr>
          <w:ilvl w:val="0"/>
          <w:numId w:val="638"/>
        </w:numPr>
        <w:rPr>
          <w:rFonts w:ascii="Arial" w:cs="Arial" w:eastAsia="Arial" w:hAnsi="Arial"/>
          <w:sz w:val="15"/>
          <w:szCs w:val="15"/>
          <w:color w:val="auto"/>
        </w:rPr>
      </w:pPr>
      <w:r>
        <w:rPr>
          <w:rFonts w:ascii="Arial" w:cs="Arial" w:eastAsia="Arial" w:hAnsi="Arial"/>
          <w:sz w:val="15"/>
          <w:szCs w:val="15"/>
          <w:color w:val="auto"/>
        </w:rPr>
        <w:t>in Landlord’s reasonable judgment, the proposed Transferee is engaged in a business or activity, and the Premises will be used in a manner, which (1) is in keeping with the then standards of the Building, (2) is for the Permitted Uses, and (3) does not violate any restrictions set forth in this Lease;</w:t>
      </w:r>
    </w:p>
    <w:p>
      <w:pPr>
        <w:spacing w:after="0" w:line="130" w:lineRule="exact"/>
        <w:rPr>
          <w:rFonts w:ascii="Arial" w:cs="Arial" w:eastAsia="Arial" w:hAnsi="Arial"/>
          <w:sz w:val="15"/>
          <w:szCs w:val="15"/>
          <w:color w:val="auto"/>
        </w:rPr>
      </w:pPr>
    </w:p>
    <w:p>
      <w:pPr>
        <w:jc w:val="both"/>
        <w:ind w:left="1220" w:right="1239" w:firstLine="1013"/>
        <w:spacing w:after="0" w:line="254" w:lineRule="auto"/>
        <w:tabs>
          <w:tab w:leader="none" w:pos="2592"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assignee has sufficient financial means to perform all of its obligations under this Lease (taking into consideration the financial means and continuing liability of Tenant under this Lease);</w:t>
      </w:r>
    </w:p>
    <w:p>
      <w:pPr>
        <w:spacing w:after="0" w:line="125" w:lineRule="exact"/>
        <w:rPr>
          <w:rFonts w:ascii="Arial" w:cs="Arial" w:eastAsia="Arial" w:hAnsi="Arial"/>
          <w:sz w:val="15"/>
          <w:szCs w:val="15"/>
          <w:color w:val="auto"/>
        </w:rPr>
      </w:pPr>
    </w:p>
    <w:p>
      <w:pPr>
        <w:jc w:val="both"/>
        <w:ind w:left="1220" w:right="1239" w:firstLine="1013"/>
        <w:spacing w:after="0" w:line="247" w:lineRule="auto"/>
        <w:tabs>
          <w:tab w:leader="none" w:pos="2592"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Transferee shall not be entitled, directly or indirectly, to diplomatic or sovereign immunity, regardless of whether the Transferee agrees to waive such diplomatic or sovereign immunity, and shall be subject to the service of process in, and the jurisdiction of the courts of, the Commonwealth of Massachusetts; and</w:t>
      </w:r>
    </w:p>
    <w:p>
      <w:pPr>
        <w:spacing w:after="0" w:line="130" w:lineRule="exact"/>
        <w:rPr>
          <w:rFonts w:ascii="Arial" w:cs="Arial" w:eastAsia="Arial" w:hAnsi="Arial"/>
          <w:sz w:val="15"/>
          <w:szCs w:val="15"/>
          <w:color w:val="auto"/>
        </w:rPr>
      </w:pPr>
    </w:p>
    <w:p>
      <w:pPr>
        <w:ind w:left="2600" w:hanging="367"/>
        <w:spacing w:after="0"/>
        <w:tabs>
          <w:tab w:leader="none" w:pos="2600" w:val="left"/>
        </w:tabs>
        <w:numPr>
          <w:ilvl w:val="0"/>
          <w:numId w:val="638"/>
        </w:numPr>
        <w:rPr>
          <w:rFonts w:ascii="Arial" w:cs="Arial" w:eastAsia="Arial" w:hAnsi="Arial"/>
          <w:sz w:val="15"/>
          <w:szCs w:val="15"/>
          <w:color w:val="auto"/>
        </w:rPr>
      </w:pPr>
      <w:r>
        <w:rPr>
          <w:rFonts w:ascii="Arial" w:cs="Arial" w:eastAsia="Arial" w:hAnsi="Arial"/>
          <w:sz w:val="15"/>
          <w:szCs w:val="15"/>
          <w:color w:val="auto"/>
        </w:rPr>
        <w:t>the Transferee is not a Prohibited Person.</w:t>
      </w:r>
    </w:p>
    <w:p>
      <w:pPr>
        <w:spacing w:after="0" w:line="164" w:lineRule="exact"/>
        <w:rPr>
          <w:sz w:val="20"/>
          <w:szCs w:val="20"/>
          <w:color w:val="auto"/>
        </w:rPr>
      </w:pPr>
    </w:p>
    <w:p>
      <w:pPr>
        <w:ind w:left="2600" w:hanging="367"/>
        <w:spacing w:after="0"/>
        <w:tabs>
          <w:tab w:leader="none" w:pos="2600" w:val="left"/>
        </w:tabs>
        <w:numPr>
          <w:ilvl w:val="0"/>
          <w:numId w:val="639"/>
        </w:numPr>
        <w:rPr>
          <w:rFonts w:ascii="Arial" w:cs="Arial" w:eastAsia="Arial" w:hAnsi="Arial"/>
          <w:sz w:val="15"/>
          <w:szCs w:val="15"/>
          <w:color w:val="auto"/>
        </w:rPr>
      </w:pPr>
      <w:r>
        <w:rPr>
          <w:rFonts w:ascii="Arial" w:cs="Arial" w:eastAsia="Arial" w:hAnsi="Arial"/>
          <w:sz w:val="15"/>
          <w:szCs w:val="15"/>
          <w:color w:val="auto"/>
        </w:rPr>
        <w:t>With respect to each sublease or assignment proposed by Tenant:</w:t>
      </w:r>
    </w:p>
    <w:p>
      <w:pPr>
        <w:spacing w:after="0" w:line="163" w:lineRule="exact"/>
        <w:rPr>
          <w:rFonts w:ascii="Arial" w:cs="Arial" w:eastAsia="Arial" w:hAnsi="Arial"/>
          <w:sz w:val="15"/>
          <w:szCs w:val="15"/>
          <w:color w:val="auto"/>
        </w:rPr>
      </w:pPr>
    </w:p>
    <w:p>
      <w:pPr>
        <w:ind w:left="1560" w:right="1759" w:firstLine="1521"/>
        <w:spacing w:after="0" w:line="274" w:lineRule="auto"/>
        <w:tabs>
          <w:tab w:leader="none" w:pos="3339" w:val="left"/>
        </w:tabs>
        <w:numPr>
          <w:ilvl w:val="1"/>
          <w:numId w:val="639"/>
        </w:numPr>
        <w:rPr>
          <w:rFonts w:ascii="Arial" w:cs="Arial" w:eastAsia="Arial" w:hAnsi="Arial"/>
          <w:sz w:val="15"/>
          <w:szCs w:val="15"/>
          <w:color w:val="auto"/>
        </w:rPr>
      </w:pPr>
      <w:r>
        <w:rPr>
          <w:rFonts w:ascii="Arial" w:cs="Arial" w:eastAsia="Arial" w:hAnsi="Arial"/>
          <w:sz w:val="15"/>
          <w:szCs w:val="15"/>
          <w:color w:val="auto"/>
        </w:rPr>
        <w:t>the form of the proposed assignment or sublease shall be reasonably satisfactory to Landlord;</w:t>
      </w:r>
    </w:p>
    <w:p>
      <w:pPr>
        <w:spacing w:after="0" w:line="110" w:lineRule="exact"/>
        <w:rPr>
          <w:rFonts w:ascii="Arial" w:cs="Arial" w:eastAsia="Arial" w:hAnsi="Arial"/>
          <w:sz w:val="15"/>
          <w:szCs w:val="15"/>
          <w:color w:val="auto"/>
        </w:rPr>
      </w:pPr>
    </w:p>
    <w:p>
      <w:pPr>
        <w:ind w:left="3380" w:hanging="299"/>
        <w:spacing w:after="0"/>
        <w:tabs>
          <w:tab w:leader="none" w:pos="3380" w:val="left"/>
        </w:tabs>
        <w:numPr>
          <w:ilvl w:val="1"/>
          <w:numId w:val="639"/>
        </w:numPr>
        <w:rPr>
          <w:rFonts w:ascii="Arial" w:cs="Arial" w:eastAsia="Arial" w:hAnsi="Arial"/>
          <w:sz w:val="15"/>
          <w:szCs w:val="15"/>
          <w:color w:val="auto"/>
        </w:rPr>
      </w:pPr>
      <w:r>
        <w:rPr>
          <w:rFonts w:ascii="Arial" w:cs="Arial" w:eastAsia="Arial" w:hAnsi="Arial"/>
          <w:sz w:val="15"/>
          <w:szCs w:val="15"/>
          <w:color w:val="auto"/>
        </w:rPr>
        <w:t>no sublease shall be for a term ending later than one day prior</w:t>
      </w:r>
    </w:p>
    <w:p>
      <w:pPr>
        <w:spacing w:after="0" w:line="9" w:lineRule="exact"/>
        <w:rPr>
          <w:rFonts w:ascii="Arial" w:cs="Arial" w:eastAsia="Arial" w:hAnsi="Arial"/>
          <w:sz w:val="15"/>
          <w:szCs w:val="15"/>
          <w:color w:val="auto"/>
        </w:rPr>
      </w:pPr>
    </w:p>
    <w:p>
      <w:pPr>
        <w:ind w:left="1560"/>
        <w:spacing w:after="0"/>
        <w:rPr>
          <w:rFonts w:ascii="Arial" w:cs="Arial" w:eastAsia="Arial" w:hAnsi="Arial"/>
          <w:sz w:val="15"/>
          <w:szCs w:val="15"/>
          <w:color w:val="auto"/>
        </w:rPr>
      </w:pPr>
      <w:r>
        <w:rPr>
          <w:rFonts w:ascii="Arial" w:cs="Arial" w:eastAsia="Arial" w:hAnsi="Arial"/>
          <w:sz w:val="15"/>
          <w:szCs w:val="15"/>
          <w:color w:val="auto"/>
        </w:rPr>
        <w:t>to the Expiration Date;</w:t>
      </w:r>
    </w:p>
    <w:p>
      <w:pPr>
        <w:spacing w:after="0" w:line="149" w:lineRule="exact"/>
        <w:rPr>
          <w:rFonts w:ascii="Arial" w:cs="Arial" w:eastAsia="Arial" w:hAnsi="Arial"/>
          <w:sz w:val="15"/>
          <w:szCs w:val="15"/>
          <w:color w:val="auto"/>
        </w:rPr>
      </w:pPr>
    </w:p>
    <w:p>
      <w:pPr>
        <w:jc w:val="both"/>
        <w:ind w:left="1560" w:right="1239" w:firstLine="1521"/>
        <w:spacing w:after="0" w:line="259" w:lineRule="auto"/>
        <w:tabs>
          <w:tab w:leader="none" w:pos="3581" w:val="left"/>
        </w:tabs>
        <w:numPr>
          <w:ilvl w:val="1"/>
          <w:numId w:val="639"/>
        </w:numPr>
        <w:rPr>
          <w:rFonts w:ascii="Arial" w:cs="Arial" w:eastAsia="Arial" w:hAnsi="Arial"/>
          <w:sz w:val="15"/>
          <w:szCs w:val="15"/>
          <w:color w:val="auto"/>
        </w:rPr>
      </w:pPr>
      <w:r>
        <w:rPr>
          <w:rFonts w:ascii="Arial" w:cs="Arial" w:eastAsia="Arial" w:hAnsi="Arial"/>
          <w:sz w:val="15"/>
          <w:szCs w:val="15"/>
          <w:color w:val="auto"/>
        </w:rPr>
        <w:t xml:space="preserve">no Transferee shall take possession of any part of the Premises, until an executed counterpart of such sublease or assignment has been delivered to Landlord and approved by Landlord as provided in </w:t>
      </w:r>
      <w:r>
        <w:rPr>
          <w:rFonts w:ascii="Arial" w:cs="Arial" w:eastAsia="Arial" w:hAnsi="Arial"/>
          <w:sz w:val="15"/>
          <w:szCs w:val="15"/>
          <w:b w:val="1"/>
          <w:bCs w:val="1"/>
          <w:color w:val="auto"/>
        </w:rPr>
        <w:t>Section 13.3(c)</w:t>
      </w:r>
      <w:r>
        <w:rPr>
          <w:rFonts w:ascii="Arial" w:cs="Arial" w:eastAsia="Arial" w:hAnsi="Arial"/>
          <w:sz w:val="15"/>
          <w:szCs w:val="15"/>
          <w:color w:val="auto"/>
        </w:rPr>
        <w:t>;</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09" w:name="page710"/>
    <w:bookmarkEnd w:id="709"/>
    <w:p>
      <w:pPr>
        <w:jc w:val="both"/>
        <w:ind w:left="1560" w:right="1239" w:firstLine="1521"/>
        <w:spacing w:after="0" w:line="247" w:lineRule="auto"/>
        <w:tabs>
          <w:tab w:leader="none" w:pos="3462" w:val="left"/>
        </w:tabs>
        <w:numPr>
          <w:ilvl w:val="0"/>
          <w:numId w:val="640"/>
        </w:numPr>
        <w:rPr>
          <w:rFonts w:ascii="Arial" w:cs="Arial" w:eastAsia="Arial" w:hAnsi="Arial"/>
          <w:sz w:val="15"/>
          <w:szCs w:val="15"/>
          <w:color w:val="auto"/>
        </w:rPr>
      </w:pPr>
      <w:r>
        <w:rPr>
          <w:rFonts w:ascii="Arial" w:cs="Arial" w:eastAsia="Arial" w:hAnsi="Arial"/>
          <w:sz w:val="15"/>
          <w:szCs w:val="15"/>
          <w:color w:val="auto"/>
        </w:rPr>
        <w:t>if an Event of Default occurs prior to the effective date of any such assignment of this Lease and such Event of Default remains uncured, then Landlord’s consent thereto, if previously granted, shall be immediately deemed revoked without further notice to Tenant;</w:t>
      </w:r>
    </w:p>
    <w:p>
      <w:pPr>
        <w:spacing w:after="0" w:line="130" w:lineRule="exact"/>
        <w:rPr>
          <w:rFonts w:ascii="Arial" w:cs="Arial" w:eastAsia="Arial" w:hAnsi="Arial"/>
          <w:sz w:val="15"/>
          <w:szCs w:val="15"/>
          <w:color w:val="auto"/>
        </w:rPr>
      </w:pPr>
    </w:p>
    <w:p>
      <w:pPr>
        <w:jc w:val="both"/>
        <w:ind w:left="1560" w:right="1239" w:firstLine="1521"/>
        <w:spacing w:after="0"/>
        <w:tabs>
          <w:tab w:leader="none" w:pos="3440" w:val="left"/>
        </w:tabs>
        <w:numPr>
          <w:ilvl w:val="0"/>
          <w:numId w:val="640"/>
        </w:numPr>
        <w:rPr>
          <w:rFonts w:ascii="Arial" w:cs="Arial" w:eastAsia="Arial" w:hAnsi="Arial"/>
          <w:sz w:val="15"/>
          <w:szCs w:val="15"/>
          <w:color w:val="auto"/>
        </w:rPr>
      </w:pPr>
      <w:r>
        <w:rPr>
          <w:rFonts w:ascii="Arial" w:cs="Arial" w:eastAsia="Arial" w:hAnsi="Arial"/>
          <w:sz w:val="15"/>
          <w:szCs w:val="15"/>
          <w:color w:val="auto"/>
        </w:rPr>
        <w:t xml:space="preserve">each sublease shall be subject and subordinate to this Lease and to the matters to which this Lease is or shall be subordinate. Tenant and each Transferee shall be deemed to have agreed that upon the occurrence and during the continuation of an Event of Default hereunder, Tenant has hereby assigned to Landlord, and Landlord may, at its option, accept such assignment of, all right, title and interest of Tenant as sublandlord under such sublease. If this Lease terminates prior to the Expiration Date, then such sublease shall terminate and expire concurrent therewith; provided, however, if Landlord elects, in its sole and unfettered discretion, by express written notice to such Transferee, to recognize said sublease, then notwithstanding the termination of this Lease, the sublease shall remain in effect as a direct lease between Landlord and the Transferee, and such Transferee shall attorn to Landlord pursuant to the then executory provisions of such sublease, except that Landlord shall not be (A) liable for any previous act or omission of Tenant under such sublease, (B) subject to any counterclaim, offset, or defense which theretofore accrued to such Transferee against Tenant, (C) bound by any previous modification of such sublease not consented to by Landlord or by any prepayment of more than one month’s rent, (D) bound to return such Transferee’s security deposit, if any, except to the extent Landlord shall receive actual possession of such deposit and such Transferee shall be entitled to the return of all or any portion of such deposit under the terms of its sublease, or (E) obligated to make any payment to or on behalf of such Transferee, or to perform any alterations or improvements in the sublet space or the Building, or in any way to prepare the subleased space for occupancy, beyond Landlord’s obligations under this Lease. The provisions of this </w:t>
      </w:r>
      <w:r>
        <w:rPr>
          <w:rFonts w:ascii="Arial" w:cs="Arial" w:eastAsia="Arial" w:hAnsi="Arial"/>
          <w:sz w:val="15"/>
          <w:szCs w:val="15"/>
          <w:b w:val="1"/>
          <w:bCs w:val="1"/>
          <w:color w:val="auto"/>
        </w:rPr>
        <w:t>Section 13.3(b)(v)</w:t>
      </w:r>
      <w:r>
        <w:rPr>
          <w:rFonts w:ascii="Arial" w:cs="Arial" w:eastAsia="Arial" w:hAnsi="Arial"/>
          <w:sz w:val="15"/>
          <w:szCs w:val="15"/>
          <w:color w:val="auto"/>
        </w:rPr>
        <w:t xml:space="preserve"> shall be self-operative, and no further instrument shall be required to give effect to this provision, provided that the Transferee shall execute and deliver to Landlord any instruments Landlord may reasonably request to evidence and confirm such subordination and attornment; and</w:t>
      </w:r>
    </w:p>
    <w:p>
      <w:pPr>
        <w:spacing w:after="0" w:line="229" w:lineRule="exact"/>
        <w:rPr>
          <w:rFonts w:ascii="Arial" w:cs="Arial" w:eastAsia="Arial" w:hAnsi="Arial"/>
          <w:sz w:val="15"/>
          <w:szCs w:val="15"/>
          <w:color w:val="auto"/>
        </w:rPr>
      </w:pPr>
    </w:p>
    <w:p>
      <w:pPr>
        <w:jc w:val="both"/>
        <w:ind w:left="1560" w:right="1239" w:firstLine="1521"/>
        <w:spacing w:after="0"/>
        <w:tabs>
          <w:tab w:leader="none" w:pos="3612" w:val="left"/>
        </w:tabs>
        <w:numPr>
          <w:ilvl w:val="0"/>
          <w:numId w:val="640"/>
        </w:numPr>
        <w:rPr>
          <w:rFonts w:ascii="Arial" w:cs="Arial" w:eastAsia="Arial" w:hAnsi="Arial"/>
          <w:sz w:val="15"/>
          <w:szCs w:val="15"/>
          <w:color w:val="auto"/>
        </w:rPr>
      </w:pPr>
      <w:r>
        <w:rPr>
          <w:rFonts w:ascii="Arial" w:cs="Arial" w:eastAsia="Arial" w:hAnsi="Arial"/>
          <w:sz w:val="15"/>
          <w:szCs w:val="15"/>
          <w:color w:val="auto"/>
        </w:rPr>
        <w:t>Tenant shall, upon demand, reimburse Landlord for all reasonable out-of-pocket expenses incurred by Landlord in connection with each proposed assignment or sublease, including any investigations as to the acceptability of the proposed assignee or subtenant, reviewing any plans and specifications for Alterations proposed to be made in connection therewith, the negotiation of any consent documents for such sublease or assignment, and all legal fees and costs incurred by Landlord in connection therewith; provided, however, with respect to each proposed sublease Tenant shall not be obligated to reimburse Landlord for more than $5,000.00 on account of such costs and expenses, unless such sublease does not occur in the ordinary course of business (e.g. is in connection with a bankruptcy or reorganization of Tenant) or involves an amendment to this Lease or other additional documentation (other than a customary Landlord’s consent to sublease agreement), or if Landlord provides unusual or extraordinary services in connection therewith.</w:t>
      </w:r>
    </w:p>
    <w:p>
      <w:pPr>
        <w:spacing w:after="0" w:line="284" w:lineRule="exact"/>
        <w:rPr>
          <w:rFonts w:ascii="Arial" w:cs="Arial" w:eastAsia="Arial" w:hAnsi="Arial"/>
          <w:sz w:val="15"/>
          <w:szCs w:val="15"/>
          <w:color w:val="auto"/>
        </w:rPr>
      </w:pPr>
    </w:p>
    <w:p>
      <w:pPr>
        <w:jc w:val="both"/>
        <w:ind w:left="1560" w:right="1239" w:firstLine="1521"/>
        <w:spacing w:after="0" w:line="242" w:lineRule="auto"/>
        <w:tabs>
          <w:tab w:leader="none" w:pos="3453" w:val="left"/>
        </w:tabs>
        <w:numPr>
          <w:ilvl w:val="0"/>
          <w:numId w:val="640"/>
        </w:numPr>
        <w:rPr>
          <w:rFonts w:ascii="Arial" w:cs="Arial" w:eastAsia="Arial" w:hAnsi="Arial"/>
          <w:sz w:val="15"/>
          <w:szCs w:val="15"/>
          <w:color w:val="auto"/>
        </w:rPr>
      </w:pPr>
      <w:r>
        <w:rPr>
          <w:rFonts w:ascii="Arial" w:cs="Arial" w:eastAsia="Arial" w:hAnsi="Arial"/>
          <w:sz w:val="15"/>
          <w:szCs w:val="15"/>
          <w:color w:val="auto"/>
        </w:rPr>
        <w:t>Each subtenant shall obtain and maintain pollution legal liability insurance, which coverage shall include bodily injury, sickness, disease, death or mental anguish or shock sustained by any person; property damage including physical injury to or destruction of tangible property including the resulting loss of use thereof, clean-up costs, and the loss of use of tangible property that has not been physically injured or destroyed; and defense costs, charges and expenses incurred in the investigation, adjustment or</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10" w:name="page711"/>
    <w:bookmarkEnd w:id="710"/>
    <w:p>
      <w:pPr>
        <w:jc w:val="both"/>
        <w:ind w:left="1560" w:right="1239"/>
        <w:spacing w:after="0"/>
        <w:rPr>
          <w:sz w:val="20"/>
          <w:szCs w:val="20"/>
          <w:color w:val="auto"/>
        </w:rPr>
      </w:pPr>
      <w:r>
        <w:rPr>
          <w:rFonts w:ascii="Arial" w:cs="Arial" w:eastAsia="Arial" w:hAnsi="Arial"/>
          <w:sz w:val="15"/>
          <w:szCs w:val="15"/>
          <w:color w:val="auto"/>
        </w:rPr>
        <w:t>defense of claims for such compensatory damages. Coverage shall apply to both sudden and non-sudden pollution conditions including the discharge, dispersal, release or escape of smoke, vapors, soot, fumes, acids, alkalis, toxic chemicals, liquids or gases, waste materials or other irritants, contaminants or pollutants into or upon land, the atmosphere or any watercourse or body of water. Claims-made coverage is permitted, provided the policy retroactive date is continuously maintained prior to the commencement date of the sublease, and coverage is continuously maintained during all periods in which subtenant occupies the Premises. Coverage shall be maintained with limits of not less than $1,000,000 per incident with a $2,000,000 policy aggregate and for a period of two (2) years thereafter.</w:t>
      </w:r>
    </w:p>
    <w:p>
      <w:pPr>
        <w:spacing w:after="0" w:line="296"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13.4. </w:t>
      </w:r>
      <w:r>
        <w:rPr>
          <w:rFonts w:ascii="Arial" w:cs="Arial" w:eastAsia="Arial" w:hAnsi="Arial"/>
          <w:sz w:val="15"/>
          <w:szCs w:val="15"/>
          <w:b w:val="1"/>
          <w:bCs w:val="1"/>
          <w:u w:val="single" w:color="auto"/>
          <w:color w:val="auto"/>
        </w:rPr>
        <w:t>Tenant’s Failure to Complete</w:t>
      </w:r>
      <w:r>
        <w:rPr>
          <w:rFonts w:ascii="Arial" w:cs="Arial" w:eastAsia="Arial" w:hAnsi="Arial"/>
          <w:sz w:val="15"/>
          <w:szCs w:val="15"/>
          <w:b w:val="1"/>
          <w:bCs w:val="1"/>
          <w:color w:val="auto"/>
        </w:rPr>
        <w:t xml:space="preserve">. </w:t>
      </w:r>
      <w:r>
        <w:rPr>
          <w:rFonts w:ascii="Arial" w:cs="Arial" w:eastAsia="Arial" w:hAnsi="Arial"/>
          <w:sz w:val="15"/>
          <w:szCs w:val="15"/>
          <w:color w:val="auto"/>
        </w:rPr>
        <w:t>If Landlord does not exercise Landlord’s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recapture option (if applicable) in connection with a proposed sublease in accordance with the provisions of </w:t>
      </w:r>
      <w:r>
        <w:rPr>
          <w:rFonts w:ascii="Arial" w:cs="Arial" w:eastAsia="Arial" w:hAnsi="Arial"/>
          <w:sz w:val="15"/>
          <w:szCs w:val="15"/>
          <w:b w:val="1"/>
          <w:bCs w:val="1"/>
          <w:color w:val="auto"/>
        </w:rPr>
        <w:t>Section 13.2</w:t>
      </w:r>
      <w:r>
        <w:rPr>
          <w:rFonts w:ascii="Arial" w:cs="Arial" w:eastAsia="Arial" w:hAnsi="Arial"/>
          <w:sz w:val="15"/>
          <w:szCs w:val="15"/>
          <w:color w:val="auto"/>
        </w:rPr>
        <w:t xml:space="preserve"> and Tenant fails, within one hundred eighty (180) days after the delivery of Tenant’s Assignment/Sublease Offer Notice, to deliver the respective proposed sublease (together with all of the documents and information required to be delivered to Landlord pursuant to </w:t>
      </w:r>
      <w:r>
        <w:rPr>
          <w:rFonts w:ascii="Arial" w:cs="Arial" w:eastAsia="Arial" w:hAnsi="Arial"/>
          <w:sz w:val="15"/>
          <w:szCs w:val="15"/>
          <w:b w:val="1"/>
          <w:bCs w:val="1"/>
          <w:color w:val="auto"/>
        </w:rPr>
        <w:t>Section 13.3(a)</w:t>
      </w:r>
      <w:r>
        <w:rPr>
          <w:rFonts w:ascii="Arial" w:cs="Arial" w:eastAsia="Arial" w:hAnsi="Arial"/>
          <w:sz w:val="15"/>
          <w:szCs w:val="15"/>
          <w:color w:val="auto"/>
        </w:rPr>
        <w:t xml:space="preserve">) then Tenant shall again comply with all of the provisions of </w:t>
      </w:r>
      <w:r>
        <w:rPr>
          <w:rFonts w:ascii="Arial" w:cs="Arial" w:eastAsia="Arial" w:hAnsi="Arial"/>
          <w:sz w:val="15"/>
          <w:szCs w:val="15"/>
          <w:b w:val="1"/>
          <w:bCs w:val="1"/>
          <w:color w:val="auto"/>
        </w:rPr>
        <w:t>Sections 13.2</w:t>
      </w:r>
      <w:r>
        <w:rPr>
          <w:rFonts w:ascii="Arial" w:cs="Arial" w:eastAsia="Arial" w:hAnsi="Arial"/>
          <w:sz w:val="15"/>
          <w:szCs w:val="15"/>
          <w:color w:val="auto"/>
        </w:rPr>
        <w:t xml:space="preserve"> and </w:t>
      </w:r>
      <w:r>
        <w:rPr>
          <w:rFonts w:ascii="Arial" w:cs="Arial" w:eastAsia="Arial" w:hAnsi="Arial"/>
          <w:sz w:val="15"/>
          <w:szCs w:val="15"/>
          <w:b w:val="1"/>
          <w:bCs w:val="1"/>
          <w:color w:val="auto"/>
        </w:rPr>
        <w:t>13.3</w:t>
      </w:r>
      <w:r>
        <w:rPr>
          <w:rFonts w:ascii="Arial" w:cs="Arial" w:eastAsia="Arial" w:hAnsi="Arial"/>
          <w:sz w:val="15"/>
          <w:szCs w:val="15"/>
          <w:color w:val="auto"/>
        </w:rPr>
        <w:t xml:space="preserve"> prior to entering into a sublease which, when aggregated with all other subleases, would result in 50% or more of the rentable square footage of the Premises being sublet.</w:t>
      </w:r>
    </w:p>
    <w:p>
      <w:pPr>
        <w:spacing w:after="0" w:line="302"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13.5. </w:t>
      </w:r>
      <w:r>
        <w:rPr>
          <w:rFonts w:ascii="Arial" w:cs="Arial" w:eastAsia="Arial" w:hAnsi="Arial"/>
          <w:sz w:val="15"/>
          <w:szCs w:val="15"/>
          <w:b w:val="1"/>
          <w:bCs w:val="1"/>
          <w:u w:val="single" w:color="auto"/>
          <w:color w:val="auto"/>
        </w:rPr>
        <w:t>Profits</w:t>
      </w:r>
      <w:r>
        <w:rPr>
          <w:rFonts w:ascii="Arial" w:cs="Arial" w:eastAsia="Arial" w:hAnsi="Arial"/>
          <w:sz w:val="15"/>
          <w:szCs w:val="15"/>
          <w:b w:val="1"/>
          <w:bCs w:val="1"/>
          <w:color w:val="auto"/>
        </w:rPr>
        <w:t xml:space="preserve">. </w:t>
      </w:r>
      <w:r>
        <w:rPr>
          <w:rFonts w:ascii="Arial" w:cs="Arial" w:eastAsia="Arial" w:hAnsi="Arial"/>
          <w:sz w:val="15"/>
          <w:szCs w:val="15"/>
          <w:color w:val="auto"/>
        </w:rPr>
        <w:t>If Tenant enters into any assignment or sublease permitted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hereunder or consented to by Landlord (excepting only assignments or subleases pursuant to </w:t>
      </w:r>
      <w:r>
        <w:rPr>
          <w:rFonts w:ascii="Arial" w:cs="Arial" w:eastAsia="Arial" w:hAnsi="Arial"/>
          <w:sz w:val="15"/>
          <w:szCs w:val="15"/>
          <w:b w:val="1"/>
          <w:bCs w:val="1"/>
          <w:color w:val="auto"/>
        </w:rPr>
        <w:t>Section 13.6</w:t>
      </w:r>
      <w:r>
        <w:rPr>
          <w:rFonts w:ascii="Arial" w:cs="Arial" w:eastAsia="Arial" w:hAnsi="Arial"/>
          <w:sz w:val="15"/>
          <w:szCs w:val="15"/>
          <w:color w:val="auto"/>
        </w:rPr>
        <w:t>), Tenant shall, within sixty (60) days of Landlord’s consent to such assignment or</w:t>
      </w:r>
      <w:r>
        <w:rPr>
          <w:rFonts w:ascii="Arial" w:cs="Arial" w:eastAsia="Arial" w:hAnsi="Arial"/>
          <w:sz w:val="15"/>
          <w:szCs w:val="15"/>
          <w:b w:val="1"/>
          <w:bCs w:val="1"/>
          <w:color w:val="auto"/>
        </w:rPr>
        <w:t xml:space="preserve"> </w:t>
      </w:r>
      <w:r>
        <w:rPr>
          <w:rFonts w:ascii="Arial" w:cs="Arial" w:eastAsia="Arial" w:hAnsi="Arial"/>
          <w:sz w:val="15"/>
          <w:szCs w:val="15"/>
          <w:color w:val="auto"/>
        </w:rPr>
        <w:t>sublease, deliver to Landlord (a) a list of Tenant’s reasonable third-party costs and expenses paid or to be paid in connection with such transaction, including third-party brokerage fees, legal fees, design and construction expenses, improvement allowances, construction administration fees and, in the case of any sublease, any actual costs incurred by Tenant in separately demising the sublet space (collectively, “</w:t>
      </w:r>
      <w:r>
        <w:rPr>
          <w:rFonts w:ascii="Arial" w:cs="Arial" w:eastAsia="Arial" w:hAnsi="Arial"/>
          <w:sz w:val="15"/>
          <w:szCs w:val="15"/>
          <w:b w:val="1"/>
          <w:bCs w:val="1"/>
          <w:color w:val="auto"/>
        </w:rPr>
        <w:t>Transaction Costs</w:t>
      </w:r>
      <w:r>
        <w:rPr>
          <w:rFonts w:ascii="Arial" w:cs="Arial" w:eastAsia="Arial" w:hAnsi="Arial"/>
          <w:sz w:val="15"/>
          <w:szCs w:val="15"/>
          <w:color w:val="auto"/>
        </w:rPr>
        <w:t>”), (b) a list of all of Tenant’s Property to be transferred to such Transferee, and (c) a schedule setting forth the Alterations theretofore performed in the Premises by or on behalf of Tenant and the amounts paid by Tenant in connection therewith, including the amount of Tenant’s Contribution, if any (collectively, the “</w:t>
      </w:r>
      <w:r>
        <w:rPr>
          <w:rFonts w:ascii="Arial" w:cs="Arial" w:eastAsia="Arial" w:hAnsi="Arial"/>
          <w:sz w:val="15"/>
          <w:szCs w:val="15"/>
          <w:b w:val="1"/>
          <w:bCs w:val="1"/>
          <w:color w:val="auto"/>
        </w:rPr>
        <w:t>Tenant’s Alterations Costs</w:t>
      </w:r>
      <w:r>
        <w:rPr>
          <w:rFonts w:ascii="Arial" w:cs="Arial" w:eastAsia="Arial" w:hAnsi="Arial"/>
          <w:sz w:val="15"/>
          <w:szCs w:val="15"/>
          <w:color w:val="auto"/>
        </w:rPr>
        <w:t>”). The Transaction Costs shall be amortized, on a straight-line basis, over the term of any sublease. Tenant shall deliver to Landlord evidence of the payment of such Transaction Costs promptly after the same are paid. In consideration of such assignment or subletting, Tenant shall pay to Landlord fifty percent (50%) of any consideration paid to Tenant by the Transferee for or by reason of such assignment or sublease (including sums paid for the sale or rental of Tenant’s Property, less the then fair market or rental value thereof, as reasonably determined by Landlord) after first deducting (i) the Transaction Costs, and (ii) the unamortized Tenant’s Alterations Costs (i.e., the unamortized portion of the Tenant’s Alterations Costs, amortized on a straight-line basis over the Initial Term), or in the event of a sublease of a portion of the Premises, a proportionate share thereof. In connection with an assignment, Tenant shall pay said amounts by not later than the effective date of the assignment. In connection with a sublease, Tenant shall pay said amounts monthly as and when paid by the subtenant to Tenant.</w:t>
      </w:r>
    </w:p>
    <w:p>
      <w:pPr>
        <w:spacing w:after="0" w:line="23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13.6. </w:t>
      </w:r>
      <w:r>
        <w:rPr>
          <w:rFonts w:ascii="Arial" w:cs="Arial" w:eastAsia="Arial" w:hAnsi="Arial"/>
          <w:sz w:val="15"/>
          <w:szCs w:val="15"/>
          <w:b w:val="1"/>
          <w:bCs w:val="1"/>
          <w:u w:val="single" w:color="auto"/>
          <w:color w:val="auto"/>
        </w:rPr>
        <w:t>Permitted Transfers</w:t>
      </w:r>
      <w:r>
        <w:rPr>
          <w:rFonts w:ascii="Arial" w:cs="Arial" w:eastAsia="Arial" w:hAnsi="Arial"/>
          <w:sz w:val="15"/>
          <w:szCs w:val="15"/>
          <w:color w:val="auto"/>
        </w:rPr>
        <w:t>.</w:t>
      </w:r>
    </w:p>
    <w:p>
      <w:pPr>
        <w:spacing w:after="0" w:line="164" w:lineRule="exact"/>
        <w:rPr>
          <w:sz w:val="20"/>
          <w:szCs w:val="20"/>
          <w:color w:val="auto"/>
        </w:rPr>
      </w:pPr>
    </w:p>
    <w:p>
      <w:pPr>
        <w:ind w:left="1220" w:right="1319" w:firstLine="1013"/>
        <w:spacing w:after="0" w:line="244" w:lineRule="auto"/>
        <w:tabs>
          <w:tab w:leader="none" w:pos="2592" w:val="left"/>
        </w:tabs>
        <w:numPr>
          <w:ilvl w:val="0"/>
          <w:numId w:val="641"/>
        </w:numPr>
        <w:rPr>
          <w:rFonts w:ascii="Arial" w:cs="Arial" w:eastAsia="Arial" w:hAnsi="Arial"/>
          <w:sz w:val="15"/>
          <w:szCs w:val="15"/>
          <w:color w:val="auto"/>
        </w:rPr>
      </w:pPr>
      <w:r>
        <w:rPr>
          <w:rFonts w:ascii="Arial" w:cs="Arial" w:eastAsia="Arial" w:hAnsi="Arial"/>
          <w:sz w:val="15"/>
          <w:szCs w:val="15"/>
          <w:b w:val="1"/>
          <w:bCs w:val="1"/>
          <w:color w:val="auto"/>
        </w:rPr>
        <w:t xml:space="preserve">Transfers of Ownership Interests in Tenant. </w:t>
      </w:r>
      <w:r>
        <w:rPr>
          <w:rFonts w:ascii="Arial" w:cs="Arial" w:eastAsia="Arial" w:hAnsi="Arial"/>
          <w:sz w:val="15"/>
          <w:szCs w:val="15"/>
          <w:color w:val="auto"/>
        </w:rPr>
        <w:t>If Tenant is a legal entity,</w:t>
      </w:r>
      <w:r>
        <w:rPr>
          <w:rFonts w:ascii="Arial" w:cs="Arial" w:eastAsia="Arial" w:hAnsi="Arial"/>
          <w:sz w:val="15"/>
          <w:szCs w:val="15"/>
          <w:b w:val="1"/>
          <w:bCs w:val="1"/>
          <w:color w:val="auto"/>
        </w:rPr>
        <w:t xml:space="preserve"> </w:t>
      </w:r>
      <w:r>
        <w:rPr>
          <w:rFonts w:ascii="Arial" w:cs="Arial" w:eastAsia="Arial" w:hAnsi="Arial"/>
          <w:sz w:val="15"/>
          <w:szCs w:val="15"/>
          <w:color w:val="auto"/>
        </w:rPr>
        <w:t>the transfer (by one or more transfers), directly or indirectly, by operation of law or otherwise, of a majority of the membership interests, or the stock or other beneficial ownership interests in Tenant (collectively “</w:t>
      </w:r>
      <w:r>
        <w:rPr>
          <w:rFonts w:ascii="Arial" w:cs="Arial" w:eastAsia="Arial" w:hAnsi="Arial"/>
          <w:sz w:val="15"/>
          <w:szCs w:val="15"/>
          <w:b w:val="1"/>
          <w:bCs w:val="1"/>
          <w:color w:val="auto"/>
        </w:rPr>
        <w:t>Ownership Interests</w:t>
      </w:r>
      <w:r>
        <w:rPr>
          <w:rFonts w:ascii="Arial" w:cs="Arial" w:eastAsia="Arial" w:hAnsi="Arial"/>
          <w:sz w:val="15"/>
          <w:szCs w:val="15"/>
          <w:color w:val="auto"/>
        </w:rPr>
        <w:t>”) shall be deemed a voluntary assignment of this Lease and shall constitute a “</w:t>
      </w:r>
      <w:r>
        <w:rPr>
          <w:rFonts w:ascii="Arial" w:cs="Arial" w:eastAsia="Arial" w:hAnsi="Arial"/>
          <w:sz w:val="15"/>
          <w:szCs w:val="15"/>
          <w:b w:val="1"/>
          <w:bCs w:val="1"/>
          <w:color w:val="auto"/>
        </w:rPr>
        <w:t>transfer</w:t>
      </w:r>
      <w:r>
        <w:rPr>
          <w:rFonts w:ascii="Arial" w:cs="Arial" w:eastAsia="Arial" w:hAnsi="Arial"/>
          <w:sz w:val="15"/>
          <w:szCs w:val="15"/>
          <w:color w:val="auto"/>
        </w:rPr>
        <w:t xml:space="preserve">” of this Lease. Without limiting the foregoing, for purposes of this </w:t>
      </w:r>
      <w:r>
        <w:rPr>
          <w:rFonts w:ascii="Arial" w:cs="Arial" w:eastAsia="Arial" w:hAnsi="Arial"/>
          <w:sz w:val="15"/>
          <w:szCs w:val="15"/>
          <w:b w:val="1"/>
          <w:bCs w:val="1"/>
          <w:color w:val="auto"/>
        </w:rPr>
        <w:t>Article 13</w:t>
      </w:r>
      <w:r>
        <w:rPr>
          <w:rFonts w:ascii="Arial" w:cs="Arial" w:eastAsia="Arial" w:hAnsi="Arial"/>
          <w:sz w:val="15"/>
          <w:szCs w:val="15"/>
          <w:color w:val="auto"/>
        </w:rPr>
        <w:t>, the term “</w:t>
      </w:r>
      <w:r>
        <w:rPr>
          <w:rFonts w:ascii="Arial" w:cs="Arial" w:eastAsia="Arial" w:hAnsi="Arial"/>
          <w:sz w:val="15"/>
          <w:szCs w:val="15"/>
          <w:b w:val="1"/>
          <w:bCs w:val="1"/>
          <w:color w:val="auto"/>
        </w:rPr>
        <w:t>transfers</w:t>
      </w:r>
      <w:r>
        <w:rPr>
          <w:rFonts w:ascii="Arial" w:cs="Arial" w:eastAsia="Arial" w:hAnsi="Arial"/>
          <w:sz w:val="15"/>
          <w:szCs w:val="15"/>
          <w:color w:val="auto"/>
        </w:rPr>
        <w:t>” shall be deemed to include (x) the issuance of</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11" w:name="page712"/>
    <w:bookmarkEnd w:id="711"/>
    <w:p>
      <w:pPr>
        <w:ind w:left="1220" w:right="1339"/>
        <w:spacing w:after="0" w:line="243" w:lineRule="auto"/>
        <w:rPr>
          <w:sz w:val="20"/>
          <w:szCs w:val="20"/>
          <w:color w:val="auto"/>
        </w:rPr>
      </w:pPr>
      <w:r>
        <w:rPr>
          <w:rFonts w:ascii="Arial" w:cs="Arial" w:eastAsia="Arial" w:hAnsi="Arial"/>
          <w:sz w:val="15"/>
          <w:szCs w:val="15"/>
          <w:color w:val="auto"/>
        </w:rPr>
        <w:t>new Ownership Interests in Tenant which results in a majority of the Ownership Interests in Tenant being held by a person or entity which is not Guarantor or an Affiliate of Guarantor, and</w:t>
      </w:r>
    </w:p>
    <w:p>
      <w:pPr>
        <w:spacing w:after="0" w:line="1" w:lineRule="exact"/>
        <w:rPr>
          <w:sz w:val="20"/>
          <w:szCs w:val="20"/>
          <w:color w:val="auto"/>
        </w:rPr>
      </w:pPr>
    </w:p>
    <w:p>
      <w:pPr>
        <w:ind w:left="1220" w:right="1299" w:firstLine="4"/>
        <w:spacing w:after="0" w:line="237" w:lineRule="auto"/>
        <w:tabs>
          <w:tab w:leader="none" w:pos="1442" w:val="left"/>
        </w:tabs>
        <w:numPr>
          <w:ilvl w:val="0"/>
          <w:numId w:val="642"/>
        </w:numPr>
        <w:rPr>
          <w:rFonts w:ascii="Arial" w:cs="Arial" w:eastAsia="Arial" w:hAnsi="Arial"/>
          <w:sz w:val="15"/>
          <w:szCs w:val="15"/>
          <w:color w:val="auto"/>
        </w:rPr>
      </w:pPr>
      <w:r>
        <w:rPr>
          <w:rFonts w:ascii="Arial" w:cs="Arial" w:eastAsia="Arial" w:hAnsi="Arial"/>
          <w:sz w:val="15"/>
          <w:szCs w:val="15"/>
          <w:color w:val="auto"/>
        </w:rPr>
        <w:t xml:space="preserve">the sale or transfer of all or substantially all of the assets of Tenant in one or more transactions, and/or the merger or consolidation of Tenant into or with another business entity which is not Guarantor or an Affiliate of Guarantor, subject to the provisions of </w:t>
      </w:r>
      <w:r>
        <w:rPr>
          <w:rFonts w:ascii="Arial" w:cs="Arial" w:eastAsia="Arial" w:hAnsi="Arial"/>
          <w:sz w:val="15"/>
          <w:szCs w:val="15"/>
          <w:b w:val="1"/>
          <w:bCs w:val="1"/>
          <w:color w:val="auto"/>
        </w:rPr>
        <w:t>Section 13.6(b)</w:t>
      </w:r>
      <w:r>
        <w:rPr>
          <w:rFonts w:ascii="Arial" w:cs="Arial" w:eastAsia="Arial" w:hAnsi="Arial"/>
          <w:sz w:val="15"/>
          <w:szCs w:val="15"/>
          <w:color w:val="auto"/>
        </w:rPr>
        <w:t xml:space="preserve">. Notwithstanding anything to the contrary, the provisions of this </w:t>
      </w:r>
      <w:r>
        <w:rPr>
          <w:rFonts w:ascii="Arial" w:cs="Arial" w:eastAsia="Arial" w:hAnsi="Arial"/>
          <w:sz w:val="15"/>
          <w:szCs w:val="15"/>
          <w:b w:val="1"/>
          <w:bCs w:val="1"/>
          <w:color w:val="auto"/>
        </w:rPr>
        <w:t>Article 13</w:t>
      </w:r>
      <w:r>
        <w:rPr>
          <w:rFonts w:ascii="Arial" w:cs="Arial" w:eastAsia="Arial" w:hAnsi="Arial"/>
          <w:sz w:val="15"/>
          <w:szCs w:val="15"/>
          <w:color w:val="auto"/>
        </w:rPr>
        <w:t xml:space="preserve"> shall not apply to the transfer of Ownership Interests in Tenant if and so long as (i) the Ownership Interests in Tenant or Guarantor are publicly traded on a nationally recognized stock exchange, and (ii) after giving effect to such transfer, (A) Tenant continues to be Controlled by Guarantor or a Qualified Replacement Guarantor, and (B) the Guaranty remains in full force and effect.</w:t>
      </w:r>
    </w:p>
    <w:p>
      <w:pPr>
        <w:spacing w:after="0" w:line="135" w:lineRule="exact"/>
        <w:rPr>
          <w:rFonts w:ascii="Arial" w:cs="Arial" w:eastAsia="Arial" w:hAnsi="Arial"/>
          <w:sz w:val="15"/>
          <w:szCs w:val="15"/>
          <w:color w:val="auto"/>
        </w:rPr>
      </w:pPr>
    </w:p>
    <w:p>
      <w:pPr>
        <w:jc w:val="both"/>
        <w:ind w:left="1220" w:right="1239" w:firstLine="1013"/>
        <w:spacing w:after="0" w:line="241" w:lineRule="auto"/>
        <w:tabs>
          <w:tab w:leader="none" w:pos="2592" w:val="left"/>
        </w:tabs>
        <w:numPr>
          <w:ilvl w:val="1"/>
          <w:numId w:val="642"/>
        </w:numPr>
        <w:rPr>
          <w:rFonts w:ascii="Arial" w:cs="Arial" w:eastAsia="Arial" w:hAnsi="Arial"/>
          <w:sz w:val="15"/>
          <w:szCs w:val="15"/>
          <w:color w:val="auto"/>
        </w:rPr>
      </w:pPr>
      <w:r>
        <w:rPr>
          <w:rFonts w:ascii="Arial" w:cs="Arial" w:eastAsia="Arial" w:hAnsi="Arial"/>
          <w:sz w:val="15"/>
          <w:szCs w:val="15"/>
          <w:b w:val="1"/>
          <w:bCs w:val="1"/>
          <w:color w:val="auto"/>
        </w:rPr>
        <w:t xml:space="preserve">Mergers, Consolidations of Tenant. </w:t>
      </w:r>
      <w:r>
        <w:rPr>
          <w:rFonts w:ascii="Arial" w:cs="Arial" w:eastAsia="Arial" w:hAnsi="Arial"/>
          <w:sz w:val="15"/>
          <w:szCs w:val="15"/>
          <w:color w:val="auto"/>
        </w:rPr>
        <w:t>Notwithstanding anything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contrary, the prior consent of Landlord shall not be required with respect to either (a) an assignment of this Lease or a sublease of all or part of the Premises to an Affiliate of Tenant, or</w:t>
      </w:r>
    </w:p>
    <w:p>
      <w:pPr>
        <w:jc w:val="both"/>
        <w:ind w:left="1220" w:right="1239" w:firstLine="4"/>
        <w:spacing w:after="0"/>
        <w:tabs>
          <w:tab w:leader="none" w:pos="1465" w:val="left"/>
        </w:tabs>
        <w:numPr>
          <w:ilvl w:val="0"/>
          <w:numId w:val="643"/>
        </w:numPr>
        <w:rPr>
          <w:rFonts w:ascii="Arial" w:cs="Arial" w:eastAsia="Arial" w:hAnsi="Arial"/>
          <w:sz w:val="15"/>
          <w:szCs w:val="15"/>
          <w:color w:val="auto"/>
        </w:rPr>
      </w:pPr>
      <w:r>
        <w:rPr>
          <w:rFonts w:ascii="Arial" w:cs="Arial" w:eastAsia="Arial" w:hAnsi="Arial"/>
          <w:sz w:val="15"/>
          <w:szCs w:val="15"/>
          <w:color w:val="auto"/>
        </w:rPr>
        <w:t xml:space="preserve">an assignment of this Lease or sublease of all of the Premises to a business entity into or with which Tenant is merged or consolidated, or to which all or substantially all of Tenant’s assets are transferred, or which acquires all or substantially all of the Ownership Interests in Tenant, as long as, in each instance (i) such transaction was made for a legitimate independent business purpose and not for the sole purpose of transferring this Lease, (ii) in the event of any such assignment of this Lease, Guarantor or a Qualified Replacement Guarantor has a Market Capitalization which is not less than the Market Capitalization of Guarantor as of the Effective Date; (iii) proof satisfactory to Landlord of such Market Capitalization is delivered to Landlord at least ten (10) days prior to the effective date of any such transaction (provided, however, if pursuant to applicable Requirements the Guarantor or the Qualified Replacement Guarantor (as applicable) is prohibited from providing such information concerning Market Capitalization to Landlord ten (10) days prior to the effective date of said transaction, then said information shall be delivered to Landlord as soon thereafter as Guarantor or Qualified Replacement Guarantor (as applicable) is permitted to do so); and (iv) by not later than the effective date of the transaction, either (A) Guarantor reaffirms its obligations and liabilities under the Guaranty and a reasonably satisfactory instrument evidencing said reaffirmation is delivered to Landlord, or (B) a Qualified Replacement Guarantor provides Landlord with a replacement Guaranty, substantially in the form of </w:t>
      </w:r>
      <w:r>
        <w:rPr>
          <w:rFonts w:ascii="Arial" w:cs="Arial" w:eastAsia="Arial" w:hAnsi="Arial"/>
          <w:sz w:val="15"/>
          <w:szCs w:val="15"/>
          <w:b w:val="1"/>
          <w:bCs w:val="1"/>
          <w:color w:val="auto"/>
        </w:rPr>
        <w:t>Exhibit N</w:t>
      </w:r>
      <w:r>
        <w:rPr>
          <w:rFonts w:ascii="Arial" w:cs="Arial" w:eastAsia="Arial" w:hAnsi="Arial"/>
          <w:sz w:val="15"/>
          <w:szCs w:val="15"/>
          <w:color w:val="auto"/>
        </w:rPr>
        <w:t xml:space="preserve"> attached hereto, guaranteeing the obligations and liabilities of Tenant under this Lease. Notwithstanding the foregoing, Tenant shall have no right to assign this Lease or sublease all or any portion of the Premises without Landlord’s consent pursuant to this </w:t>
      </w:r>
      <w:r>
        <w:rPr>
          <w:rFonts w:ascii="Arial" w:cs="Arial" w:eastAsia="Arial" w:hAnsi="Arial"/>
          <w:sz w:val="15"/>
          <w:szCs w:val="15"/>
          <w:b w:val="1"/>
          <w:bCs w:val="1"/>
          <w:color w:val="auto"/>
        </w:rPr>
        <w:t>Section 13.6</w:t>
      </w:r>
      <w:r>
        <w:rPr>
          <w:rFonts w:ascii="Arial" w:cs="Arial" w:eastAsia="Arial" w:hAnsi="Arial"/>
          <w:sz w:val="15"/>
          <w:szCs w:val="15"/>
          <w:color w:val="auto"/>
        </w:rPr>
        <w:t xml:space="preserve"> if Tenant is not a Permitted Transferee.</w:t>
      </w:r>
    </w:p>
    <w:p>
      <w:pPr>
        <w:spacing w:after="0" w:line="235"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color w:val="auto"/>
        </w:rPr>
        <w:t>A “</w:t>
      </w:r>
      <w:r>
        <w:rPr>
          <w:rFonts w:ascii="Arial" w:cs="Arial" w:eastAsia="Arial" w:hAnsi="Arial"/>
          <w:sz w:val="15"/>
          <w:szCs w:val="15"/>
          <w:b w:val="1"/>
          <w:bCs w:val="1"/>
          <w:color w:val="auto"/>
        </w:rPr>
        <w:t>Qualified Replacement Guarantor</w:t>
      </w:r>
      <w:r>
        <w:rPr>
          <w:rFonts w:ascii="Arial" w:cs="Arial" w:eastAsia="Arial" w:hAnsi="Arial"/>
          <w:sz w:val="15"/>
          <w:szCs w:val="15"/>
          <w:color w:val="auto"/>
        </w:rPr>
        <w:t xml:space="preserve">” shall mean an entity which Controls the successor Tenant and which satisfies the following conditions: (i) the Qualified Replacement Guarantor has a Market Capitalization which is not less than the Market Capitalization of Guarantor as of the Effective Date; (ii) proof satisfactory to Landlord of such Market Capitalization is delivered to Landlord at least ten (10) days prior to the effective date of any such transaction, (iii) the Qualified Replacement Guarantor assumes, affirms and agrees, pursuant to a reasonably satisfactory Guaranty, substantially in the form of </w:t>
      </w:r>
      <w:r>
        <w:rPr>
          <w:rFonts w:ascii="Arial" w:cs="Arial" w:eastAsia="Arial" w:hAnsi="Arial"/>
          <w:sz w:val="15"/>
          <w:szCs w:val="15"/>
          <w:b w:val="1"/>
          <w:bCs w:val="1"/>
          <w:color w:val="auto"/>
        </w:rPr>
        <w:t>Exhibit N</w:t>
      </w:r>
      <w:r>
        <w:rPr>
          <w:rFonts w:ascii="Arial" w:cs="Arial" w:eastAsia="Arial" w:hAnsi="Arial"/>
          <w:sz w:val="15"/>
          <w:szCs w:val="15"/>
          <w:color w:val="auto"/>
        </w:rPr>
        <w:t xml:space="preserve"> attached hereto, to guaranty all of the liabilities and obligations of Tenant under this Lease; (iv) the Qualified Replacement Guarantor holds (directly or indirectly) not less than a majority of the ownership interests in Tenant; and (v) the Qualified Replacement Guarantor has not been subject to any petition or proceeding for bankruptcy, reorganization or insolvency proceedings. Upon the delivery of the Guaranty from the Qualified Replacement Guarantor, subject to the satisfaction of the foregoing conditions, (a) the Qualified Replacement Guarantor shall become the “</w:t>
      </w:r>
      <w:r>
        <w:rPr>
          <w:rFonts w:ascii="Arial" w:cs="Arial" w:eastAsia="Arial" w:hAnsi="Arial"/>
          <w:sz w:val="15"/>
          <w:szCs w:val="15"/>
          <w:b w:val="1"/>
          <w:bCs w:val="1"/>
          <w:color w:val="auto"/>
        </w:rPr>
        <w:t>Guarantor</w:t>
      </w:r>
      <w:r>
        <w:rPr>
          <w:rFonts w:ascii="Arial" w:cs="Arial" w:eastAsia="Arial" w:hAnsi="Arial"/>
          <w:sz w:val="15"/>
          <w:szCs w:val="15"/>
          <w:color w:val="auto"/>
        </w:rPr>
        <w:t>” for all purposes under this Lease, and (b) the then-current Guarantor shall be automatically released from all liabilities and</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12" w:name="page713"/>
    <w:bookmarkEnd w:id="712"/>
    <w:p>
      <w:pPr>
        <w:ind w:left="1220" w:right="1239"/>
        <w:spacing w:after="0" w:line="274" w:lineRule="auto"/>
        <w:rPr>
          <w:sz w:val="20"/>
          <w:szCs w:val="20"/>
          <w:color w:val="auto"/>
        </w:rPr>
      </w:pPr>
      <w:r>
        <w:rPr>
          <w:rFonts w:ascii="Arial" w:cs="Arial" w:eastAsia="Arial" w:hAnsi="Arial"/>
          <w:sz w:val="15"/>
          <w:szCs w:val="15"/>
          <w:color w:val="auto"/>
        </w:rPr>
        <w:t>obligations thereafter arising under the Guaranty. Upon request from Tenant, Landlord shall provide confirmation of said release.</w:t>
      </w:r>
    </w:p>
    <w:p>
      <w:pPr>
        <w:spacing w:after="0" w:line="109" w:lineRule="exact"/>
        <w:rPr>
          <w:sz w:val="20"/>
          <w:szCs w:val="20"/>
          <w:color w:val="auto"/>
        </w:rPr>
      </w:pPr>
    </w:p>
    <w:p>
      <w:pPr>
        <w:jc w:val="both"/>
        <w:ind w:left="1220" w:right="1239" w:firstLine="1013"/>
        <w:spacing w:after="0" w:line="235" w:lineRule="auto"/>
        <w:tabs>
          <w:tab w:leader="none" w:pos="2592" w:val="left"/>
        </w:tabs>
        <w:numPr>
          <w:ilvl w:val="0"/>
          <w:numId w:val="644"/>
        </w:numPr>
        <w:rPr>
          <w:rFonts w:ascii="Arial" w:cs="Arial" w:eastAsia="Arial" w:hAnsi="Arial"/>
          <w:sz w:val="15"/>
          <w:szCs w:val="15"/>
          <w:color w:val="auto"/>
        </w:rPr>
      </w:pPr>
      <w:r>
        <w:rPr>
          <w:rFonts w:ascii="Arial" w:cs="Arial" w:eastAsia="Arial" w:hAnsi="Arial"/>
          <w:sz w:val="15"/>
          <w:szCs w:val="15"/>
          <w:b w:val="1"/>
          <w:bCs w:val="1"/>
          <w:color w:val="auto"/>
        </w:rPr>
        <w:t>Permitted Occupants</w:t>
      </w:r>
      <w:r>
        <w:rPr>
          <w:rFonts w:ascii="Arial" w:cs="Arial" w:eastAsia="Arial" w:hAnsi="Arial"/>
          <w:sz w:val="15"/>
          <w:szCs w:val="15"/>
          <w:color w:val="auto"/>
        </w:rPr>
        <w:t>. Notwithstanding the foregoing, the prior consent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Landlord shall not be required, and Tenant shall not be obligated to deliver a Tenant’s Assignment/Sublease Offer Notice or Tenant’s Assignment/Sublease Consent Notice, and the provisions of </w:t>
      </w:r>
      <w:r>
        <w:rPr>
          <w:rFonts w:ascii="Arial" w:cs="Arial" w:eastAsia="Arial" w:hAnsi="Arial"/>
          <w:sz w:val="15"/>
          <w:szCs w:val="15"/>
          <w:b w:val="1"/>
          <w:bCs w:val="1"/>
          <w:color w:val="auto"/>
        </w:rPr>
        <w:t>Section 13.2</w:t>
      </w:r>
      <w:r>
        <w:rPr>
          <w:rFonts w:ascii="Arial" w:cs="Arial" w:eastAsia="Arial" w:hAnsi="Arial"/>
          <w:sz w:val="15"/>
          <w:szCs w:val="15"/>
          <w:color w:val="auto"/>
        </w:rPr>
        <w:t xml:space="preserve"> shall not apply with respect to, occupancy arrangements with employees of any company, firm or other entity (i) which is an Affiliate of Tenant, (ii) with whom Tenant has a contractual or other relationship providing for cooperative or collaborative research or development work, who is or typically would be located by Tenant in one of its facilities, and/or (iii) in which Tenant has a beneficial interest and which is actively engaged in research activities using technology, techniques and/or equipment developed by or in collaboration with Tenant (collectively, “</w:t>
      </w:r>
      <w:r>
        <w:rPr>
          <w:rFonts w:ascii="Arial" w:cs="Arial" w:eastAsia="Arial" w:hAnsi="Arial"/>
          <w:sz w:val="15"/>
          <w:szCs w:val="15"/>
          <w:b w:val="1"/>
          <w:bCs w:val="1"/>
          <w:color w:val="auto"/>
        </w:rPr>
        <w:t>Permitted Occupants</w:t>
      </w:r>
      <w:r>
        <w:rPr>
          <w:rFonts w:ascii="Arial" w:cs="Arial" w:eastAsia="Arial" w:hAnsi="Arial"/>
          <w:sz w:val="15"/>
          <w:szCs w:val="15"/>
          <w:color w:val="auto"/>
        </w:rPr>
        <w:t>”) for the use and occupancy of space within the Premises, provided that (a) Tenant does not separately demise such space and the Permitted Occupants utilize, in common with Tenant, common entryways to the Premises as well as shared central services, such as reception, photocopying and the like; (b) the Permitted Occupants shall occupy, in the aggregate, not more than 20% of the rentable area of the Premises; (c) the Permitted Occupants occupy space in the Premises for the Permitted Use and for no other purpose; and (d) if requested by Landlord, Tenant notifies Landlord, in writing, of the identity of any such Permitted Occupants prior to occupancy of the Premises by such Permitted Occupants. If any Permitted Occupants occupy any portion of the Premises as described herein, (i) the Permitted Occupants shall comply with all provisions of this Lease, and a default by any Permitted Occupant shall be deemed a default by Tenant under this Lease; (ii) all notices required to be provided by Landlord under this Lease shall be forwarded only to Tenant in accordance with the terms of this Lease and in no event shall Landlord be required to send any notices to any Permitted Occupants; (iii) in no event shall any use or occupancy of any portion of the Premises by any Permitted Occupant release or relieve Tenant from any of its obligations under this Lease; (iv) the Permitted Occupants shall be deemed to be contractors of Tenant for purposes of Tenant’s indemnification obligations set forth in this Lease; and (v) in no event shall the occupancy of any portion of the Premises by Permitted Occupants be deemed to create a landlord/tenant relationship between Landlord and such Permitted Occupants, and, in all instances, Tenant shall be considered the sole tenant under this Lease notwithstanding the occupancy of any portion of the Premises by the Permitted Occupants.</w:t>
      </w:r>
    </w:p>
    <w:p>
      <w:pPr>
        <w:spacing w:after="0" w:line="147" w:lineRule="exact"/>
        <w:rPr>
          <w:rFonts w:ascii="Arial" w:cs="Arial" w:eastAsia="Arial" w:hAnsi="Arial"/>
          <w:sz w:val="15"/>
          <w:szCs w:val="15"/>
          <w:color w:val="auto"/>
        </w:rPr>
      </w:pPr>
    </w:p>
    <w:p>
      <w:pPr>
        <w:jc w:val="both"/>
        <w:ind w:left="1220" w:right="1239" w:firstLine="1013"/>
        <w:spacing w:after="0" w:line="261" w:lineRule="auto"/>
        <w:tabs>
          <w:tab w:leader="none" w:pos="2592" w:val="left"/>
        </w:tabs>
        <w:numPr>
          <w:ilvl w:val="0"/>
          <w:numId w:val="644"/>
        </w:numPr>
        <w:rPr>
          <w:rFonts w:ascii="Arial" w:cs="Arial" w:eastAsia="Arial" w:hAnsi="Arial"/>
          <w:sz w:val="15"/>
          <w:szCs w:val="15"/>
          <w:color w:val="auto"/>
        </w:rPr>
      </w:pPr>
      <w:r>
        <w:rPr>
          <w:rFonts w:ascii="Arial" w:cs="Arial" w:eastAsia="Arial" w:hAnsi="Arial"/>
          <w:sz w:val="15"/>
          <w:szCs w:val="15"/>
          <w:b w:val="1"/>
          <w:bCs w:val="1"/>
          <w:color w:val="auto"/>
        </w:rPr>
        <w:t xml:space="preserve">Applicability. </w:t>
      </w:r>
      <w:r>
        <w:rPr>
          <w:rFonts w:ascii="Arial" w:cs="Arial" w:eastAsia="Arial" w:hAnsi="Arial"/>
          <w:sz w:val="15"/>
          <w:szCs w:val="15"/>
          <w:color w:val="auto"/>
        </w:rPr>
        <w:t>The limitations set forth in this</w:t>
      </w:r>
      <w:r>
        <w:rPr>
          <w:rFonts w:ascii="Arial" w:cs="Arial" w:eastAsia="Arial" w:hAnsi="Arial"/>
          <w:sz w:val="15"/>
          <w:szCs w:val="15"/>
          <w:b w:val="1"/>
          <w:bCs w:val="1"/>
          <w:color w:val="auto"/>
        </w:rPr>
        <w:t xml:space="preserve"> Section 13.6 </w:t>
      </w:r>
      <w:r>
        <w:rPr>
          <w:rFonts w:ascii="Arial" w:cs="Arial" w:eastAsia="Arial" w:hAnsi="Arial"/>
          <w:sz w:val="15"/>
          <w:szCs w:val="15"/>
          <w:color w:val="auto"/>
        </w:rPr>
        <w:t>shall apply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Transferee(s) and guarantor(s) of this Lease, if any, and any transfer by any such entity in violation of this </w:t>
      </w:r>
      <w:r>
        <w:rPr>
          <w:rFonts w:ascii="Arial" w:cs="Arial" w:eastAsia="Arial" w:hAnsi="Arial"/>
          <w:sz w:val="15"/>
          <w:szCs w:val="15"/>
          <w:b w:val="1"/>
          <w:bCs w:val="1"/>
          <w:color w:val="auto"/>
        </w:rPr>
        <w:t>Section 13.6</w:t>
      </w:r>
      <w:r>
        <w:rPr>
          <w:rFonts w:ascii="Arial" w:cs="Arial" w:eastAsia="Arial" w:hAnsi="Arial"/>
          <w:sz w:val="15"/>
          <w:szCs w:val="15"/>
          <w:color w:val="auto"/>
        </w:rPr>
        <w:t xml:space="preserve"> shall be a transfer in violation of </w:t>
      </w:r>
      <w:r>
        <w:rPr>
          <w:rFonts w:ascii="Arial" w:cs="Arial" w:eastAsia="Arial" w:hAnsi="Arial"/>
          <w:sz w:val="15"/>
          <w:szCs w:val="15"/>
          <w:b w:val="1"/>
          <w:bCs w:val="1"/>
          <w:color w:val="auto"/>
        </w:rPr>
        <w:t>Section 13.1</w:t>
      </w:r>
      <w:r>
        <w:rPr>
          <w:rFonts w:ascii="Arial" w:cs="Arial" w:eastAsia="Arial" w:hAnsi="Arial"/>
          <w:sz w:val="15"/>
          <w:szCs w:val="15"/>
          <w:color w:val="auto"/>
        </w:rPr>
        <w:t>.</w:t>
      </w:r>
    </w:p>
    <w:p>
      <w:pPr>
        <w:spacing w:after="0" w:line="110" w:lineRule="exact"/>
        <w:rPr>
          <w:rFonts w:ascii="Arial" w:cs="Arial" w:eastAsia="Arial" w:hAnsi="Arial"/>
          <w:sz w:val="15"/>
          <w:szCs w:val="15"/>
          <w:color w:val="auto"/>
        </w:rPr>
      </w:pPr>
    </w:p>
    <w:p>
      <w:pPr>
        <w:jc w:val="both"/>
        <w:ind w:left="1220" w:right="1239" w:firstLine="1013"/>
        <w:spacing w:after="0" w:line="252" w:lineRule="auto"/>
        <w:tabs>
          <w:tab w:leader="none" w:pos="2592" w:val="left"/>
        </w:tabs>
        <w:numPr>
          <w:ilvl w:val="0"/>
          <w:numId w:val="644"/>
        </w:numPr>
        <w:rPr>
          <w:rFonts w:ascii="Arial" w:cs="Arial" w:eastAsia="Arial" w:hAnsi="Arial"/>
          <w:sz w:val="15"/>
          <w:szCs w:val="15"/>
          <w:color w:val="auto"/>
        </w:rPr>
      </w:pPr>
      <w:r>
        <w:rPr>
          <w:rFonts w:ascii="Arial" w:cs="Arial" w:eastAsia="Arial" w:hAnsi="Arial"/>
          <w:sz w:val="15"/>
          <w:szCs w:val="15"/>
          <w:b w:val="1"/>
          <w:bCs w:val="1"/>
          <w:color w:val="auto"/>
        </w:rPr>
        <w:t xml:space="preserve">Modifications, Takeover Agreements. </w:t>
      </w:r>
      <w:r>
        <w:rPr>
          <w:rFonts w:ascii="Arial" w:cs="Arial" w:eastAsia="Arial" w:hAnsi="Arial"/>
          <w:sz w:val="15"/>
          <w:szCs w:val="15"/>
          <w:color w:val="auto"/>
        </w:rPr>
        <w:t>Any modification, amendment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extension of a sublease and/or any other agreement by which a landlord of a building other than the Building or its Affiliate agrees to assume the obligations of Tenant under this Lease shall be deemed a sublease for the purposes of </w:t>
      </w:r>
      <w:r>
        <w:rPr>
          <w:rFonts w:ascii="Arial" w:cs="Arial" w:eastAsia="Arial" w:hAnsi="Arial"/>
          <w:sz w:val="15"/>
          <w:szCs w:val="15"/>
          <w:b w:val="1"/>
          <w:bCs w:val="1"/>
          <w:color w:val="auto"/>
        </w:rPr>
        <w:t>Section 13.1</w:t>
      </w:r>
      <w:r>
        <w:rPr>
          <w:rFonts w:ascii="Arial" w:cs="Arial" w:eastAsia="Arial" w:hAnsi="Arial"/>
          <w:sz w:val="15"/>
          <w:szCs w:val="15"/>
          <w:color w:val="auto"/>
        </w:rPr>
        <w:t xml:space="preserve"> hereof.</w:t>
      </w:r>
    </w:p>
    <w:p>
      <w:pPr>
        <w:spacing w:after="0" w:line="117"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13.7. </w:t>
      </w:r>
      <w:r>
        <w:rPr>
          <w:rFonts w:ascii="Arial" w:cs="Arial" w:eastAsia="Arial" w:hAnsi="Arial"/>
          <w:sz w:val="15"/>
          <w:szCs w:val="15"/>
          <w:b w:val="1"/>
          <w:bCs w:val="1"/>
          <w:u w:val="single" w:color="auto"/>
          <w:color w:val="auto"/>
        </w:rPr>
        <w:t>Binding on Tenant; Indemnification of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w:t>
      </w:r>
      <w:r>
        <w:rPr>
          <w:rFonts w:ascii="Arial" w:cs="Arial" w:eastAsia="Arial" w:hAnsi="Arial"/>
          <w:sz w:val="15"/>
          <w:szCs w:val="15"/>
          <w:b w:val="1"/>
          <w:bCs w:val="1"/>
          <w:color w:val="auto"/>
        </w:rPr>
        <w:t xml:space="preserve"> </w:t>
      </w:r>
      <w:r>
        <w:rPr>
          <w:rFonts w:ascii="Arial" w:cs="Arial" w:eastAsia="Arial" w:hAnsi="Arial"/>
          <w:sz w:val="15"/>
          <w:szCs w:val="15"/>
          <w:color w:val="auto"/>
        </w:rPr>
        <w:t>assignment or subletting or any acceptance of rent by Landlord from any Transferee, Tenant shall remain fully liable for the payment of all Rent due and for the performance of all the covenants, terms and conditions contained in this Lease on Tenant’s part to be observed and performed, and any default under any term, covenant or condition of this Lease by any Transferee or anyone claiming under or through any Transferee shall be deemed to be a default under this Lease by Tenant. Tenant shall indemnify, defend, protect and hold harmless Landlord from and against any and all Losses resulting from any claims that may be made against Landlord by the Transferee</w:t>
      </w: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2" w:right="1440" w:bottom="1440" w:gutter="0" w:footer="0" w:header="0"/>
        </w:sectPr>
      </w:pPr>
    </w:p>
    <w:bookmarkStart w:id="713" w:name="page714"/>
    <w:bookmarkEnd w:id="713"/>
    <w:p>
      <w:pPr>
        <w:jc w:val="both"/>
        <w:ind w:left="1220" w:right="1239"/>
        <w:spacing w:after="0" w:line="247" w:lineRule="auto"/>
        <w:rPr>
          <w:sz w:val="20"/>
          <w:szCs w:val="20"/>
          <w:color w:val="auto"/>
        </w:rPr>
      </w:pPr>
      <w:r>
        <w:rPr>
          <w:rFonts w:ascii="Arial" w:cs="Arial" w:eastAsia="Arial" w:hAnsi="Arial"/>
          <w:sz w:val="15"/>
          <w:szCs w:val="15"/>
          <w:color w:val="auto"/>
        </w:rPr>
        <w:t xml:space="preserve">or anyone claiming under or through any Transferee or by any brokers or other persons or entities claiming a commission or similar compensation in connection with the proposed assignment or sublease, irrespective of whether Landlord shall give or decline to give its consent to any proposed assignment or sublease, or if Landlord shall exercise any of its options under this </w:t>
      </w:r>
      <w:r>
        <w:rPr>
          <w:rFonts w:ascii="Arial" w:cs="Arial" w:eastAsia="Arial" w:hAnsi="Arial"/>
          <w:sz w:val="15"/>
          <w:szCs w:val="15"/>
          <w:b w:val="1"/>
          <w:bCs w:val="1"/>
          <w:color w:val="auto"/>
        </w:rPr>
        <w:t>Article 13</w:t>
      </w:r>
      <w:r>
        <w:rPr>
          <w:rFonts w:ascii="Arial" w:cs="Arial" w:eastAsia="Arial" w:hAnsi="Arial"/>
          <w:sz w:val="15"/>
          <w:szCs w:val="15"/>
          <w:color w:val="auto"/>
        </w:rPr>
        <w:t>.</w:t>
      </w:r>
    </w:p>
    <w:p>
      <w:pPr>
        <w:spacing w:after="0" w:line="297"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13.8. </w:t>
      </w:r>
      <w:r>
        <w:rPr>
          <w:rFonts w:ascii="Arial" w:cs="Arial" w:eastAsia="Arial" w:hAnsi="Arial"/>
          <w:sz w:val="15"/>
          <w:szCs w:val="15"/>
          <w:b w:val="1"/>
          <w:bCs w:val="1"/>
          <w:u w:val="single" w:color="auto"/>
          <w:color w:val="auto"/>
        </w:rPr>
        <w:t>Assumption of Obligations</w:t>
      </w:r>
      <w:r>
        <w:rPr>
          <w:rFonts w:ascii="Arial" w:cs="Arial" w:eastAsia="Arial" w:hAnsi="Arial"/>
          <w:sz w:val="15"/>
          <w:szCs w:val="15"/>
          <w:b w:val="1"/>
          <w:bCs w:val="1"/>
          <w:color w:val="auto"/>
        </w:rPr>
        <w:t xml:space="preserve">. </w:t>
      </w:r>
      <w:r>
        <w:rPr>
          <w:rFonts w:ascii="Arial" w:cs="Arial" w:eastAsia="Arial" w:hAnsi="Arial"/>
          <w:sz w:val="15"/>
          <w:szCs w:val="15"/>
          <w:color w:val="auto"/>
        </w:rPr>
        <w:t>No assignment or transfer shall be effective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unless and until (i) the Transferee executes, acknowledges and delivers to Landlord an agreement in form and substance reasonably satisfactory to Landlord whereby the assignee (a) assumes Tenant’s obligations under this Lease and (b) agrees that, notwithstanding such assignment or transfer, the provisions of </w:t>
      </w:r>
      <w:r>
        <w:rPr>
          <w:rFonts w:ascii="Arial" w:cs="Arial" w:eastAsia="Arial" w:hAnsi="Arial"/>
          <w:sz w:val="15"/>
          <w:szCs w:val="15"/>
          <w:b w:val="1"/>
          <w:bCs w:val="1"/>
          <w:color w:val="auto"/>
        </w:rPr>
        <w:t>Section 13.1</w:t>
      </w:r>
      <w:r>
        <w:rPr>
          <w:rFonts w:ascii="Arial" w:cs="Arial" w:eastAsia="Arial" w:hAnsi="Arial"/>
          <w:sz w:val="15"/>
          <w:szCs w:val="15"/>
          <w:color w:val="auto"/>
        </w:rPr>
        <w:t xml:space="preserve"> hereof shall be binding upon it in respect of all future assignments and transfers; and (ii) Guarantor or a Qualified Replacement Guarantor reaffirms its obligations and liabilities under the Guaranty and a reasonably satisfactory instrument evidencing said reaffirmation is delivered to Landlord not less than ten (10) days prior to the effective date of the transaction.</w:t>
      </w:r>
    </w:p>
    <w:p>
      <w:pPr>
        <w:spacing w:after="0" w:line="136"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13.9. </w:t>
      </w:r>
      <w:r>
        <w:rPr>
          <w:rFonts w:ascii="Arial" w:cs="Arial" w:eastAsia="Arial" w:hAnsi="Arial"/>
          <w:sz w:val="15"/>
          <w:szCs w:val="15"/>
          <w:b w:val="1"/>
          <w:bCs w:val="1"/>
          <w:u w:val="single" w:color="auto"/>
          <w:color w:val="auto"/>
        </w:rPr>
        <w:t>Tenant’s Liability</w:t>
      </w:r>
      <w:r>
        <w:rPr>
          <w:rFonts w:ascii="Arial" w:cs="Arial" w:eastAsia="Arial" w:hAnsi="Arial"/>
          <w:sz w:val="15"/>
          <w:szCs w:val="15"/>
          <w:b w:val="1"/>
          <w:bCs w:val="1"/>
          <w:color w:val="auto"/>
        </w:rPr>
        <w:t xml:space="preserve">. </w:t>
      </w:r>
      <w:r>
        <w:rPr>
          <w:rFonts w:ascii="Arial" w:cs="Arial" w:eastAsia="Arial" w:hAnsi="Arial"/>
          <w:sz w:val="15"/>
          <w:szCs w:val="15"/>
          <w:color w:val="auto"/>
        </w:rPr>
        <w:t>The joint and several liability of Tenant, any</w:t>
      </w:r>
      <w:r>
        <w:rPr>
          <w:rFonts w:ascii="Arial" w:cs="Arial" w:eastAsia="Arial" w:hAnsi="Arial"/>
          <w:sz w:val="15"/>
          <w:szCs w:val="15"/>
          <w:b w:val="1"/>
          <w:bCs w:val="1"/>
          <w:color w:val="auto"/>
        </w:rPr>
        <w:t xml:space="preserve"> </w:t>
      </w:r>
      <w:r>
        <w:rPr>
          <w:rFonts w:ascii="Arial" w:cs="Arial" w:eastAsia="Arial" w:hAnsi="Arial"/>
          <w:sz w:val="15"/>
          <w:szCs w:val="15"/>
          <w:color w:val="auto"/>
        </w:rPr>
        <w:t>successors-in-interest of Tenant, and/or Guarantor and the due performance of Tenant’s obligations under this Lease shall not be discharged, released or impaired by any agreement or stipulation made by Landlord, or any grantee or assignee of Landlord, extending the time, or modifying any of the terms and provisions of this Lease, or by any waiver or failure of Landlord, or any grantee or assignee of Landlord, to enforce any of the terms and provisions of this Lease.</w:t>
      </w:r>
    </w:p>
    <w:p>
      <w:pPr>
        <w:spacing w:after="0" w:line="306"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13.10. </w:t>
      </w:r>
      <w:r>
        <w:rPr>
          <w:rFonts w:ascii="Arial" w:cs="Arial" w:eastAsia="Arial" w:hAnsi="Arial"/>
          <w:sz w:val="15"/>
          <w:szCs w:val="15"/>
          <w:b w:val="1"/>
          <w:bCs w:val="1"/>
          <w:u w:val="single" w:color="auto"/>
          <w:color w:val="auto"/>
        </w:rPr>
        <w:t>Listings in Building Directory</w:t>
      </w:r>
      <w:r>
        <w:rPr>
          <w:rFonts w:ascii="Arial" w:cs="Arial" w:eastAsia="Arial" w:hAnsi="Arial"/>
          <w:sz w:val="15"/>
          <w:szCs w:val="15"/>
          <w:color w:val="auto"/>
        </w:rPr>
        <w:t>. The listing of any name other than that</w:t>
      </w:r>
      <w:r>
        <w:rPr>
          <w:rFonts w:ascii="Arial" w:cs="Arial" w:eastAsia="Arial" w:hAnsi="Arial"/>
          <w:sz w:val="15"/>
          <w:szCs w:val="15"/>
          <w:b w:val="1"/>
          <w:bCs w:val="1"/>
          <w:color w:val="auto"/>
        </w:rPr>
        <w:t xml:space="preserve"> </w:t>
      </w:r>
      <w:r>
        <w:rPr>
          <w:rFonts w:ascii="Arial" w:cs="Arial" w:eastAsia="Arial" w:hAnsi="Arial"/>
          <w:sz w:val="15"/>
          <w:szCs w:val="15"/>
          <w:color w:val="auto"/>
        </w:rPr>
        <w:t>of Tenant on the doors of the Premises, the Building directory or elsewhere shall not vest any right or interest in this Lease or in the Premises, nor be deemed to constitute Landlord’s consent to any assignment or transfer of this Lease or to any sublease of the Premises or to the use or occupancy thereof by others. Any such listing shall constitute a privilege revocable in Landlord’s discretion by notice to Tenant.</w:t>
      </w:r>
    </w:p>
    <w:p>
      <w:pPr>
        <w:spacing w:after="0" w:line="134"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ARTICLE 14</w:t>
      </w:r>
    </w:p>
    <w:p>
      <w:pPr>
        <w:spacing w:after="0" w:line="164" w:lineRule="exact"/>
        <w:rPr>
          <w:sz w:val="20"/>
          <w:szCs w:val="20"/>
          <w:color w:val="auto"/>
        </w:rPr>
      </w:pPr>
    </w:p>
    <w:p>
      <w:pPr>
        <w:ind w:left="3640"/>
        <w:spacing w:after="0"/>
        <w:rPr>
          <w:sz w:val="20"/>
          <w:szCs w:val="20"/>
          <w:color w:val="auto"/>
        </w:rPr>
      </w:pPr>
      <w:r>
        <w:rPr>
          <w:rFonts w:ascii="Arial" w:cs="Arial" w:eastAsia="Arial" w:hAnsi="Arial"/>
          <w:sz w:val="15"/>
          <w:szCs w:val="15"/>
          <w:b w:val="1"/>
          <w:bCs w:val="1"/>
          <w:color w:val="auto"/>
        </w:rPr>
        <w:t>ACCESS TO PREMISES</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14.1. </w:t>
      </w:r>
      <w:r>
        <w:rPr>
          <w:rFonts w:ascii="Arial" w:cs="Arial" w:eastAsia="Arial" w:hAnsi="Arial"/>
          <w:sz w:val="15"/>
          <w:szCs w:val="15"/>
          <w:b w:val="1"/>
          <w:bCs w:val="1"/>
          <w:u w:val="single" w:color="auto"/>
          <w:color w:val="auto"/>
        </w:rPr>
        <w:t>Landlord’s Access</w:t>
      </w:r>
      <w:r>
        <w:rPr>
          <w:rFonts w:ascii="Arial" w:cs="Arial" w:eastAsia="Arial" w:hAnsi="Arial"/>
          <w:sz w:val="15"/>
          <w:szCs w:val="15"/>
          <w:color w:val="auto"/>
        </w:rPr>
        <w:t>.</w:t>
      </w:r>
    </w:p>
    <w:p>
      <w:pPr>
        <w:spacing w:after="0" w:line="166" w:lineRule="exact"/>
        <w:rPr>
          <w:sz w:val="20"/>
          <w:szCs w:val="20"/>
          <w:color w:val="auto"/>
        </w:rPr>
      </w:pPr>
    </w:p>
    <w:p>
      <w:pPr>
        <w:jc w:val="both"/>
        <w:ind w:left="1220" w:right="1239" w:firstLine="1013"/>
        <w:spacing w:after="0" w:line="242" w:lineRule="auto"/>
        <w:tabs>
          <w:tab w:leader="none" w:pos="2592" w:val="left"/>
        </w:tabs>
        <w:numPr>
          <w:ilvl w:val="0"/>
          <w:numId w:val="645"/>
        </w:numPr>
        <w:rPr>
          <w:rFonts w:ascii="Arial" w:cs="Arial" w:eastAsia="Arial" w:hAnsi="Arial"/>
          <w:sz w:val="15"/>
          <w:szCs w:val="15"/>
          <w:color w:val="auto"/>
        </w:rPr>
      </w:pPr>
      <w:r>
        <w:rPr>
          <w:rFonts w:ascii="Arial" w:cs="Arial" w:eastAsia="Arial" w:hAnsi="Arial"/>
          <w:sz w:val="15"/>
          <w:szCs w:val="15"/>
          <w:color w:val="auto"/>
        </w:rPr>
        <w:t xml:space="preserve">Landlord, Landlord’s agents and utility service providers servicing the Building may erect, use and maintain concealed ducts, pipes, and conduits in and through the Premises, provided (i) such ducts, pipes and conduits shall be installed above the dropped ceilings, below the floors, and/or in the walls of the Premises, and (ii) such use does not cause the usable area of the Premises to be reduced beyond a de minimis amount. Landlord shall promptly repair any damage to the Premises caused by any work performed pursuant to this </w:t>
      </w:r>
      <w:r>
        <w:rPr>
          <w:rFonts w:ascii="Arial" w:cs="Arial" w:eastAsia="Arial" w:hAnsi="Arial"/>
          <w:sz w:val="15"/>
          <w:szCs w:val="15"/>
          <w:b w:val="1"/>
          <w:bCs w:val="1"/>
          <w:color w:val="auto"/>
        </w:rPr>
        <w:t>Article 14</w:t>
      </w:r>
      <w:r>
        <w:rPr>
          <w:rFonts w:ascii="Arial" w:cs="Arial" w:eastAsia="Arial" w:hAnsi="Arial"/>
          <w:sz w:val="15"/>
          <w:szCs w:val="15"/>
          <w:color w:val="auto"/>
        </w:rPr>
        <w:t>.</w:t>
      </w:r>
    </w:p>
    <w:p>
      <w:pPr>
        <w:spacing w:after="0" w:line="302"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45"/>
        </w:numPr>
        <w:rPr>
          <w:rFonts w:ascii="Arial" w:cs="Arial" w:eastAsia="Arial" w:hAnsi="Arial"/>
          <w:sz w:val="15"/>
          <w:szCs w:val="15"/>
          <w:color w:val="auto"/>
        </w:rPr>
      </w:pPr>
      <w:r>
        <w:rPr>
          <w:rFonts w:ascii="Arial" w:cs="Arial" w:eastAsia="Arial" w:hAnsi="Arial"/>
          <w:sz w:val="15"/>
          <w:szCs w:val="15"/>
          <w:color w:val="auto"/>
        </w:rPr>
        <w:t>Landlord, Landlord’s Agent, any Lessor or Mortgagee, Landlord’s partners and investors, and/or any prospective partner, investor, or Mortgagee, together with their respective agents and representatives, shall have the right to enter the Premises at all reasonable times, upon reasonable notice (which notice may be oral) except in the case of emergency, to examine the Premises, to show the Premises to prospective purchasers, Mortgagees, and/or Lessors, and their respective agents and representatives or others, and to perform Restorative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14" w:name="page715"/>
    <w:bookmarkEnd w:id="714"/>
    <w:p>
      <w:pPr>
        <w:jc w:val="both"/>
        <w:ind w:left="1220" w:right="1239"/>
        <w:spacing w:after="0" w:line="274" w:lineRule="auto"/>
        <w:rPr>
          <w:sz w:val="20"/>
          <w:szCs w:val="20"/>
          <w:color w:val="auto"/>
        </w:rPr>
      </w:pPr>
      <w:r>
        <w:rPr>
          <w:rFonts w:ascii="Arial" w:cs="Arial" w:eastAsia="Arial" w:hAnsi="Arial"/>
          <w:sz w:val="15"/>
          <w:szCs w:val="15"/>
          <w:color w:val="auto"/>
        </w:rPr>
        <w:t>Work to the Premises or the Building, and during the last eighteen (18) months preceding the Expiration Date, to prospective tenants and their respective agents and representatives.</w:t>
      </w:r>
    </w:p>
    <w:p>
      <w:pPr>
        <w:spacing w:after="0" w:line="111"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color w:val="auto"/>
        </w:rPr>
        <w:t>In connection with any such access to the Premises, Landlord will (i) except for routine access such as access for performing recurring obligations such as providing cleaning services, or repair or maintenance services, and except in the case of emergency, provide reasonable (not less than twenty-four (24) hours’) advance notice of such entry into the Premises, and (ii) exercise commercially reasonable efforts to minimize disruption to the usual and customary business operations of Tenant in the Premises. In addition, with respect to any access to the Lab Areas, (a) a representative or agent of Tenant shall accompany all such people entering the Lab Areas (and Tenant shall make a representative or agent available on reasonable prior notice), and (b) prior to such entry into the Lab Areas, on request, each such person shall enter into a reasonable customary confidentiality agreement provided by Tenant.</w:t>
      </w:r>
    </w:p>
    <w:p>
      <w:pPr>
        <w:spacing w:after="0" w:line="140" w:lineRule="exact"/>
        <w:rPr>
          <w:sz w:val="20"/>
          <w:szCs w:val="20"/>
          <w:color w:val="auto"/>
        </w:rPr>
      </w:pPr>
    </w:p>
    <w:p>
      <w:pPr>
        <w:jc w:val="both"/>
        <w:ind w:left="1220" w:right="1239" w:firstLine="1013"/>
        <w:spacing w:after="0"/>
        <w:tabs>
          <w:tab w:leader="none" w:pos="2592" w:val="left"/>
        </w:tabs>
        <w:numPr>
          <w:ilvl w:val="0"/>
          <w:numId w:val="646"/>
        </w:numPr>
        <w:rPr>
          <w:rFonts w:ascii="Arial" w:cs="Arial" w:eastAsia="Arial" w:hAnsi="Arial"/>
          <w:sz w:val="15"/>
          <w:szCs w:val="15"/>
          <w:color w:val="auto"/>
        </w:rPr>
      </w:pPr>
      <w:r>
        <w:rPr>
          <w:rFonts w:ascii="Arial" w:cs="Arial" w:eastAsia="Arial" w:hAnsi="Arial"/>
          <w:sz w:val="15"/>
          <w:szCs w:val="15"/>
          <w:color w:val="auto"/>
        </w:rPr>
        <w:t>All parts (except surfaces facing the interior of the Premises) of all walls, windows and exterior doors bounding the Premises, all balconies, terraces and roofs adjacent to the Premises, all space in or adjacent to the Premises used for shafts, stacks, stairways, mail chutes, conduits and other mechanical facilities, Building Systems, Common Facilities and Common Areas are not part of the Premises, and Landlord shall have the use thereof and access thereto through the Premises for the purposes of operation, maintenance, alteration and repair of the Building.</w:t>
      </w:r>
    </w:p>
    <w:p>
      <w:pPr>
        <w:spacing w:after="0" w:line="136"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14.2. </w:t>
      </w:r>
      <w:r>
        <w:rPr>
          <w:rFonts w:ascii="Arial" w:cs="Arial" w:eastAsia="Arial" w:hAnsi="Arial"/>
          <w:sz w:val="15"/>
          <w:szCs w:val="15"/>
          <w:b w:val="1"/>
          <w:bCs w:val="1"/>
          <w:u w:val="single" w:color="auto"/>
          <w:color w:val="auto"/>
        </w:rPr>
        <w:t>Building Name</w:t>
      </w:r>
      <w:r>
        <w:rPr>
          <w:rFonts w:ascii="Arial" w:cs="Arial" w:eastAsia="Arial" w:hAnsi="Arial"/>
          <w:sz w:val="15"/>
          <w:szCs w:val="15"/>
          <w:color w:val="auto"/>
        </w:rPr>
        <w:t>. Landlord has the right at any time and from time to time</w:t>
      </w:r>
      <w:r>
        <w:rPr>
          <w:rFonts w:ascii="Arial" w:cs="Arial" w:eastAsia="Arial" w:hAnsi="Arial"/>
          <w:sz w:val="15"/>
          <w:szCs w:val="15"/>
          <w:b w:val="1"/>
          <w:bCs w:val="1"/>
          <w:color w:val="auto"/>
        </w:rPr>
        <w:t xml:space="preserve"> </w:t>
      </w:r>
      <w:r>
        <w:rPr>
          <w:rFonts w:ascii="Arial" w:cs="Arial" w:eastAsia="Arial" w:hAnsi="Arial"/>
          <w:sz w:val="15"/>
          <w:szCs w:val="15"/>
          <w:color w:val="auto"/>
        </w:rPr>
        <w:t>to change the name(s), number(s) or designation(s) by which the Building is (or are) commonly known, subject to prior written notice to Tenant and Tenant’s prior written approval, which approval shall not be unreasonably withheld, conditioned, or delayed.</w:t>
      </w:r>
    </w:p>
    <w:p>
      <w:pPr>
        <w:spacing w:after="0" w:line="128"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14.3. </w:t>
      </w:r>
      <w:r>
        <w:rPr>
          <w:rFonts w:ascii="Arial" w:cs="Arial" w:eastAsia="Arial" w:hAnsi="Arial"/>
          <w:sz w:val="15"/>
          <w:szCs w:val="15"/>
          <w:b w:val="1"/>
          <w:bCs w:val="1"/>
          <w:u w:val="single" w:color="auto"/>
          <w:color w:val="auto"/>
        </w:rPr>
        <w:t>Light and Air</w:t>
      </w:r>
      <w:r>
        <w:rPr>
          <w:rFonts w:ascii="Arial" w:cs="Arial" w:eastAsia="Arial" w:hAnsi="Arial"/>
          <w:sz w:val="15"/>
          <w:szCs w:val="15"/>
          <w:b w:val="1"/>
          <w:bCs w:val="1"/>
          <w:color w:val="auto"/>
        </w:rPr>
        <w:t xml:space="preserve">. </w:t>
      </w:r>
      <w:r>
        <w:rPr>
          <w:rFonts w:ascii="Arial" w:cs="Arial" w:eastAsia="Arial" w:hAnsi="Arial"/>
          <w:sz w:val="15"/>
          <w:szCs w:val="15"/>
          <w:color w:val="auto"/>
        </w:rPr>
        <w:t>If at any time any windows of the Premises are temporarily</w:t>
      </w:r>
      <w:r>
        <w:rPr>
          <w:rFonts w:ascii="Arial" w:cs="Arial" w:eastAsia="Arial" w:hAnsi="Arial"/>
          <w:sz w:val="15"/>
          <w:szCs w:val="15"/>
          <w:b w:val="1"/>
          <w:bCs w:val="1"/>
          <w:color w:val="auto"/>
        </w:rPr>
        <w:t xml:space="preserve"> </w:t>
      </w:r>
      <w:r>
        <w:rPr>
          <w:rFonts w:ascii="Arial" w:cs="Arial" w:eastAsia="Arial" w:hAnsi="Arial"/>
          <w:sz w:val="15"/>
          <w:szCs w:val="15"/>
          <w:color w:val="auto"/>
        </w:rPr>
        <w:t>darkened or covered over by reason of any Restorative Work, any of such windows are permanently darkened or covered over due to any Requirement or there is otherwise a diminution of light, air or view by another structure which may hereafter be erected (whether or not by Landlord), Landlord shall not be liable for any damages and Tenant shall not be entitled to any compensation or abatement of any Rent, nor shall the same release Tenant from its obligations hereunder or constitute an actual or constructive eviction.</w:t>
      </w:r>
    </w:p>
    <w:p>
      <w:pPr>
        <w:spacing w:after="0" w:line="133"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ARTICLE 15</w:t>
      </w:r>
    </w:p>
    <w:p>
      <w:pPr>
        <w:spacing w:after="0" w:line="164"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DEFAULT</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15.1. </w:t>
      </w:r>
      <w:r>
        <w:rPr>
          <w:rFonts w:ascii="Arial" w:cs="Arial" w:eastAsia="Arial" w:hAnsi="Arial"/>
          <w:sz w:val="15"/>
          <w:szCs w:val="15"/>
          <w:b w:val="1"/>
          <w:bCs w:val="1"/>
          <w:u w:val="single" w:color="auto"/>
          <w:color w:val="auto"/>
        </w:rPr>
        <w:t>Tenant’s Defaults</w:t>
      </w:r>
      <w:r>
        <w:rPr>
          <w:rFonts w:ascii="Arial" w:cs="Arial" w:eastAsia="Arial" w:hAnsi="Arial"/>
          <w:sz w:val="15"/>
          <w:szCs w:val="15"/>
          <w:b w:val="1"/>
          <w:bCs w:val="1"/>
          <w:color w:val="auto"/>
        </w:rPr>
        <w:t xml:space="preserve">. </w:t>
      </w:r>
      <w:r>
        <w:rPr>
          <w:rFonts w:ascii="Arial" w:cs="Arial" w:eastAsia="Arial" w:hAnsi="Arial"/>
          <w:sz w:val="15"/>
          <w:szCs w:val="15"/>
          <w:color w:val="auto"/>
        </w:rPr>
        <w:t>Each of the following events shall be an “</w:t>
      </w:r>
      <w:r>
        <w:rPr>
          <w:rFonts w:ascii="Arial" w:cs="Arial" w:eastAsia="Arial" w:hAnsi="Arial"/>
          <w:sz w:val="15"/>
          <w:szCs w:val="15"/>
          <w:b w:val="1"/>
          <w:bCs w:val="1"/>
          <w:color w:val="auto"/>
        </w:rPr>
        <w:t>Event of</w:t>
      </w:r>
    </w:p>
    <w:p>
      <w:pPr>
        <w:spacing w:after="0" w:line="12" w:lineRule="exact"/>
        <w:rPr>
          <w:sz w:val="20"/>
          <w:szCs w:val="20"/>
          <w:color w:val="auto"/>
        </w:rPr>
      </w:pPr>
    </w:p>
    <w:p>
      <w:pPr>
        <w:ind w:left="1220"/>
        <w:spacing w:after="0"/>
        <w:rPr>
          <w:sz w:val="20"/>
          <w:szCs w:val="20"/>
          <w:color w:val="auto"/>
        </w:rPr>
      </w:pPr>
      <w:r>
        <w:rPr>
          <w:rFonts w:ascii="Arial" w:cs="Arial" w:eastAsia="Arial" w:hAnsi="Arial"/>
          <w:sz w:val="15"/>
          <w:szCs w:val="15"/>
          <w:b w:val="1"/>
          <w:bCs w:val="1"/>
          <w:color w:val="auto"/>
        </w:rPr>
        <w:t>Default</w:t>
      </w:r>
      <w:r>
        <w:rPr>
          <w:rFonts w:ascii="Arial" w:cs="Arial" w:eastAsia="Arial" w:hAnsi="Arial"/>
          <w:sz w:val="15"/>
          <w:szCs w:val="15"/>
          <w:color w:val="auto"/>
        </w:rPr>
        <w:t>” hereunder:</w:t>
      </w:r>
    </w:p>
    <w:p>
      <w:pPr>
        <w:spacing w:after="0" w:line="150" w:lineRule="exact"/>
        <w:rPr>
          <w:sz w:val="20"/>
          <w:szCs w:val="20"/>
          <w:color w:val="auto"/>
        </w:rPr>
      </w:pPr>
    </w:p>
    <w:p>
      <w:pPr>
        <w:jc w:val="both"/>
        <w:ind w:left="1220" w:right="1239" w:firstLine="1013"/>
        <w:spacing w:after="0" w:line="244" w:lineRule="auto"/>
        <w:tabs>
          <w:tab w:leader="none" w:pos="2592" w:val="left"/>
        </w:tabs>
        <w:numPr>
          <w:ilvl w:val="0"/>
          <w:numId w:val="647"/>
        </w:numPr>
        <w:rPr>
          <w:rFonts w:ascii="Arial" w:cs="Arial" w:eastAsia="Arial" w:hAnsi="Arial"/>
          <w:sz w:val="15"/>
          <w:szCs w:val="15"/>
          <w:color w:val="auto"/>
        </w:rPr>
      </w:pPr>
      <w:r>
        <w:rPr>
          <w:rFonts w:ascii="Arial" w:cs="Arial" w:eastAsia="Arial" w:hAnsi="Arial"/>
          <w:sz w:val="15"/>
          <w:szCs w:val="15"/>
          <w:color w:val="auto"/>
        </w:rPr>
        <w:t>Tenant fails to pay when due any payment of Rent within five (5) Business Days following delivery to Tenant of written notice that such payment was not received when due; provided however, that Landlord shall not be obligated to deliver such written notice more than twice in any twelve-month period and upon the third such occurrence in any twelve (12) month period Tenant shall be in default if it fails to pay when due any payment of Rent; or</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15" w:name="page716"/>
    <w:bookmarkEnd w:id="715"/>
    <w:p>
      <w:pPr>
        <w:jc w:val="both"/>
        <w:ind w:left="1220" w:right="1239" w:firstLine="1013"/>
        <w:spacing w:after="0" w:line="254" w:lineRule="auto"/>
        <w:tabs>
          <w:tab w:leader="none" w:pos="2592" w:val="left"/>
        </w:tabs>
        <w:numPr>
          <w:ilvl w:val="0"/>
          <w:numId w:val="648"/>
        </w:numPr>
        <w:rPr>
          <w:rFonts w:ascii="Arial" w:cs="Arial" w:eastAsia="Arial" w:hAnsi="Arial"/>
          <w:sz w:val="15"/>
          <w:szCs w:val="15"/>
          <w:color w:val="auto"/>
        </w:rPr>
      </w:pPr>
      <w:r>
        <w:rPr>
          <w:rFonts w:ascii="Arial" w:cs="Arial" w:eastAsia="Arial" w:hAnsi="Arial"/>
          <w:sz w:val="15"/>
          <w:szCs w:val="15"/>
          <w:color w:val="auto"/>
        </w:rPr>
        <w:t>Tenant fails to pay when due any Tenant’s Progress Payment within five (5) Business Days following delivery to Tenant of written notice that such payment was not received when due;</w:t>
      </w:r>
    </w:p>
    <w:p>
      <w:pPr>
        <w:spacing w:after="0" w:line="125"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48"/>
        </w:numPr>
        <w:rPr>
          <w:rFonts w:ascii="Arial" w:cs="Arial" w:eastAsia="Arial" w:hAnsi="Arial"/>
          <w:sz w:val="15"/>
          <w:szCs w:val="15"/>
          <w:color w:val="auto"/>
        </w:rPr>
      </w:pPr>
      <w:r>
        <w:rPr>
          <w:rFonts w:ascii="Arial" w:cs="Arial" w:eastAsia="Arial" w:hAnsi="Arial"/>
          <w:sz w:val="15"/>
          <w:szCs w:val="15"/>
          <w:color w:val="auto"/>
        </w:rPr>
        <w:t>Tenant or any Tenant Party causes a release of Hazardous Materials in violation of any applicable Environmental Law or a release that requires the performance of a response action pursuant to any Environmental Law, and such response action is not completed by the date which is thirty (30) days after notice by Landlord to Tenant thereof, or if such response action is of a nature that it cannot be completed within thirty (30) days, failure by Tenant to commence to such response action within said thirty (30) days, and thereafter diligently prosecute to completion all steps necessary to such response action as soon as practicable thereafter; or</w:t>
      </w:r>
    </w:p>
    <w:p>
      <w:pPr>
        <w:spacing w:after="0" w:line="306"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48"/>
        </w:numPr>
        <w:rPr>
          <w:rFonts w:ascii="Arial" w:cs="Arial" w:eastAsia="Arial" w:hAnsi="Arial"/>
          <w:sz w:val="15"/>
          <w:szCs w:val="15"/>
          <w:color w:val="auto"/>
        </w:rPr>
      </w:pPr>
      <w:r>
        <w:rPr>
          <w:rFonts w:ascii="Arial" w:cs="Arial" w:eastAsia="Arial" w:hAnsi="Arial"/>
          <w:sz w:val="15"/>
          <w:szCs w:val="15"/>
          <w:color w:val="auto"/>
        </w:rPr>
        <w:t xml:space="preserve">Tenant fails to observe or perform any other term, covenant or condition of this Lease and such failure continues for more than thirty (30) days (ten (10) days with respect to a default under </w:t>
      </w:r>
      <w:r>
        <w:rPr>
          <w:rFonts w:ascii="Arial" w:cs="Arial" w:eastAsia="Arial" w:hAnsi="Arial"/>
          <w:sz w:val="15"/>
          <w:szCs w:val="15"/>
          <w:b w:val="1"/>
          <w:bCs w:val="1"/>
          <w:color w:val="auto"/>
        </w:rPr>
        <w:t>Article 3</w:t>
      </w:r>
      <w:r>
        <w:rPr>
          <w:rFonts w:ascii="Arial" w:cs="Arial" w:eastAsia="Arial" w:hAnsi="Arial"/>
          <w:sz w:val="15"/>
          <w:szCs w:val="15"/>
          <w:color w:val="auto"/>
        </w:rPr>
        <w:t xml:space="preserve">) after notice by Landlord to Tenant of such default, or if such default (other than a default under </w:t>
      </w:r>
      <w:r>
        <w:rPr>
          <w:rFonts w:ascii="Arial" w:cs="Arial" w:eastAsia="Arial" w:hAnsi="Arial"/>
          <w:sz w:val="15"/>
          <w:szCs w:val="15"/>
          <w:b w:val="1"/>
          <w:bCs w:val="1"/>
          <w:color w:val="auto"/>
        </w:rPr>
        <w:t>Article 3</w:t>
      </w:r>
      <w:r>
        <w:rPr>
          <w:rFonts w:ascii="Arial" w:cs="Arial" w:eastAsia="Arial" w:hAnsi="Arial"/>
          <w:sz w:val="15"/>
          <w:szCs w:val="15"/>
          <w:color w:val="auto"/>
        </w:rPr>
        <w:t>) is of a nature that it cannot be completely remedied within thirty (30) days, failure by Tenant to commence to remedy such failure within said thirty (30) days, and thereafter diligently prosecute to completion all steps necessary to remedy such default, provided in all events the same is completed within ninety (90) days; or</w:t>
      </w:r>
    </w:p>
    <w:p>
      <w:pPr>
        <w:spacing w:after="0" w:line="138" w:lineRule="exact"/>
        <w:rPr>
          <w:rFonts w:ascii="Arial" w:cs="Arial" w:eastAsia="Arial" w:hAnsi="Arial"/>
          <w:sz w:val="15"/>
          <w:szCs w:val="15"/>
          <w:color w:val="auto"/>
        </w:rPr>
      </w:pPr>
    </w:p>
    <w:p>
      <w:pPr>
        <w:jc w:val="both"/>
        <w:ind w:left="1220" w:right="1239" w:firstLine="1013"/>
        <w:spacing w:after="0" w:line="242" w:lineRule="auto"/>
        <w:tabs>
          <w:tab w:leader="none" w:pos="2592" w:val="left"/>
        </w:tabs>
        <w:numPr>
          <w:ilvl w:val="0"/>
          <w:numId w:val="648"/>
        </w:numPr>
        <w:rPr>
          <w:rFonts w:ascii="Arial" w:cs="Arial" w:eastAsia="Arial" w:hAnsi="Arial"/>
          <w:sz w:val="15"/>
          <w:szCs w:val="15"/>
          <w:color w:val="auto"/>
        </w:rPr>
      </w:pPr>
      <w:r>
        <w:rPr>
          <w:rFonts w:ascii="Arial" w:cs="Arial" w:eastAsia="Arial" w:hAnsi="Arial"/>
          <w:sz w:val="15"/>
          <w:szCs w:val="15"/>
          <w:color w:val="auto"/>
        </w:rPr>
        <w:t xml:space="preserve">Tenant fails to timely provide or maintain a Letter of Credit in the then-applicable Letter of Credit Amount, in accordance with the provisions of </w:t>
      </w:r>
      <w:r>
        <w:rPr>
          <w:rFonts w:ascii="Arial" w:cs="Arial" w:eastAsia="Arial" w:hAnsi="Arial"/>
          <w:sz w:val="15"/>
          <w:szCs w:val="15"/>
          <w:b w:val="1"/>
          <w:bCs w:val="1"/>
          <w:color w:val="auto"/>
        </w:rPr>
        <w:t>Article 28</w:t>
      </w:r>
      <w:r>
        <w:rPr>
          <w:rFonts w:ascii="Arial" w:cs="Arial" w:eastAsia="Arial" w:hAnsi="Arial"/>
          <w:sz w:val="15"/>
          <w:szCs w:val="15"/>
          <w:color w:val="auto"/>
        </w:rPr>
        <w:t>, or if Landlord draws on the Letter of Credit, and Tenant fails to deposit with Landlord the amount so applied or retained by Landlord, or to provide Landlord with a replacement Letter of Credit (as hereinafter defined), if applicable, within five (5) days after notice by Landlord to Tenant stating the amount applied or retained; or</w:t>
      </w:r>
    </w:p>
    <w:p>
      <w:pPr>
        <w:spacing w:after="0" w:line="133" w:lineRule="exact"/>
        <w:rPr>
          <w:rFonts w:ascii="Arial" w:cs="Arial" w:eastAsia="Arial" w:hAnsi="Arial"/>
          <w:sz w:val="15"/>
          <w:szCs w:val="15"/>
          <w:color w:val="auto"/>
        </w:rPr>
      </w:pPr>
    </w:p>
    <w:p>
      <w:pPr>
        <w:jc w:val="both"/>
        <w:ind w:left="1220" w:right="1239" w:firstLine="1013"/>
        <w:spacing w:after="0" w:line="244" w:lineRule="auto"/>
        <w:tabs>
          <w:tab w:leader="none" w:pos="2592" w:val="left"/>
        </w:tabs>
        <w:numPr>
          <w:ilvl w:val="0"/>
          <w:numId w:val="648"/>
        </w:numPr>
        <w:rPr>
          <w:rFonts w:ascii="Arial" w:cs="Arial" w:eastAsia="Arial" w:hAnsi="Arial"/>
          <w:sz w:val="15"/>
          <w:szCs w:val="15"/>
          <w:color w:val="auto"/>
        </w:rPr>
      </w:pPr>
      <w:r>
        <w:rPr>
          <w:rFonts w:ascii="Arial" w:cs="Arial" w:eastAsia="Arial" w:hAnsi="Arial"/>
          <w:sz w:val="15"/>
          <w:szCs w:val="15"/>
          <w:color w:val="auto"/>
        </w:rPr>
        <w:t>Tenant files a voluntary petition in bankruptcy or insolvency, or is adjudicated a bankrupt or insolvent, or files any petition or answer seeking any reorganization, liquidation, dissolution or similar relief, or makes an assignment for the benefit of creditors or seeks or consents to or acquiesces in the appointment of any trustee, receiver, liquidator or other similar official for Tenant or for all or any part of Tenant’s property; or</w:t>
      </w:r>
    </w:p>
    <w:p>
      <w:pPr>
        <w:spacing w:after="0" w:line="132" w:lineRule="exact"/>
        <w:rPr>
          <w:rFonts w:ascii="Arial" w:cs="Arial" w:eastAsia="Arial" w:hAnsi="Arial"/>
          <w:sz w:val="15"/>
          <w:szCs w:val="15"/>
          <w:color w:val="auto"/>
        </w:rPr>
      </w:pPr>
    </w:p>
    <w:p>
      <w:pPr>
        <w:jc w:val="both"/>
        <w:ind w:left="1220" w:right="1239" w:firstLine="1013"/>
        <w:spacing w:after="0" w:line="242" w:lineRule="auto"/>
        <w:tabs>
          <w:tab w:leader="none" w:pos="2592" w:val="left"/>
        </w:tabs>
        <w:numPr>
          <w:ilvl w:val="0"/>
          <w:numId w:val="648"/>
        </w:numPr>
        <w:rPr>
          <w:rFonts w:ascii="Arial" w:cs="Arial" w:eastAsia="Arial" w:hAnsi="Arial"/>
          <w:sz w:val="15"/>
          <w:szCs w:val="15"/>
          <w:color w:val="auto"/>
        </w:rPr>
      </w:pPr>
      <w:r>
        <w:rPr>
          <w:rFonts w:ascii="Arial" w:cs="Arial" w:eastAsia="Arial" w:hAnsi="Arial"/>
          <w:sz w:val="15"/>
          <w:szCs w:val="15"/>
          <w:color w:val="auto"/>
        </w:rPr>
        <w:t>a court of competent jurisdiction shall enter an order, judgment or decree appointing a trustee, receiver or liquidator of Tenant, or of the whole or any substantial part of its property, or approving a petition filed against Tenant seeking reorganization or arrangement of Tenant under the bankruptcy laws of the United States, as now in effect or hereafter amended, or any state thereof; and such order, judgment or decree shall not be vacated or set aside or stayed within sixty (60) days from the date of entry thereof.</w:t>
      </w:r>
    </w:p>
    <w:p>
      <w:pPr>
        <w:spacing w:after="0" w:line="13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color w:val="auto"/>
        </w:rPr>
        <w:t>Upon the occurrence of any one or more of such Events of Default, Landlord may, in addition to all other remedies available at law or in equity, at its sole option, (i) immediately, or at any time after such Event of Default, in accordance with all applicable Requirements, re-enter the Premises or any part thereof, in the name of the whole and repossess the same as of Landlord’s former estate, and dispossess Tenant and any other persons or entities from the Premises and remove any and all of their property and effects from the Premises, without being deemed guilty of any manner of trespass and without prejudice to any other rights or remedies, and/or (ii) give to Tenant three (3) days’ notice of cancellation of this Lease, in which event this Lease and the Term shall terminate (whether or not the Term shall have commenced) with the same force and effect as if the date set forth in the notice was the Expiration Date stated herein, and Tenant shall then quit and surrender the Premises to Landlord, but Tenant shall remain liable for damages as</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16" w:name="page717"/>
    <w:bookmarkEnd w:id="716"/>
    <w:p>
      <w:pPr>
        <w:ind w:left="1220" w:right="1239"/>
        <w:spacing w:after="0" w:line="277" w:lineRule="auto"/>
        <w:rPr>
          <w:sz w:val="20"/>
          <w:szCs w:val="20"/>
          <w:color w:val="auto"/>
        </w:rPr>
      </w:pPr>
      <w:r>
        <w:rPr>
          <w:rFonts w:ascii="Arial" w:cs="Arial" w:eastAsia="Arial" w:hAnsi="Arial"/>
          <w:sz w:val="15"/>
          <w:szCs w:val="15"/>
          <w:color w:val="auto"/>
        </w:rPr>
        <w:t xml:space="preserve">provided in this </w:t>
      </w:r>
      <w:r>
        <w:rPr>
          <w:rFonts w:ascii="Arial" w:cs="Arial" w:eastAsia="Arial" w:hAnsi="Arial"/>
          <w:sz w:val="15"/>
          <w:szCs w:val="15"/>
          <w:b w:val="1"/>
          <w:bCs w:val="1"/>
          <w:color w:val="auto"/>
        </w:rPr>
        <w:t>Article 15</w:t>
      </w:r>
      <w:r>
        <w:rPr>
          <w:rFonts w:ascii="Arial" w:cs="Arial" w:eastAsia="Arial" w:hAnsi="Arial"/>
          <w:sz w:val="15"/>
          <w:szCs w:val="15"/>
          <w:color w:val="auto"/>
        </w:rPr>
        <w:t>. Any notice of cancellation of the Term may be given simultaneously with any notice of default given to Tenant.</w:t>
      </w:r>
    </w:p>
    <w:p>
      <w:pPr>
        <w:spacing w:after="0" w:line="106"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15.2. </w:t>
      </w:r>
      <w:r>
        <w:rPr>
          <w:rFonts w:ascii="Arial" w:cs="Arial" w:eastAsia="Arial" w:hAnsi="Arial"/>
          <w:sz w:val="15"/>
          <w:szCs w:val="15"/>
          <w:b w:val="1"/>
          <w:bCs w:val="1"/>
          <w:u w:val="single" w:color="auto"/>
          <w:color w:val="auto"/>
        </w:rPr>
        <w:t>Landlord’s Remedies</w:t>
      </w:r>
      <w:r>
        <w:rPr>
          <w:rFonts w:ascii="Arial" w:cs="Arial" w:eastAsia="Arial" w:hAnsi="Arial"/>
          <w:sz w:val="15"/>
          <w:szCs w:val="15"/>
          <w:color w:val="auto"/>
        </w:rPr>
        <w:t>.</w:t>
      </w:r>
    </w:p>
    <w:p>
      <w:pPr>
        <w:spacing w:after="0" w:line="164" w:lineRule="exact"/>
        <w:rPr>
          <w:sz w:val="20"/>
          <w:szCs w:val="20"/>
          <w:color w:val="auto"/>
        </w:rPr>
      </w:pPr>
    </w:p>
    <w:p>
      <w:pPr>
        <w:ind w:left="1220" w:right="1239" w:firstLine="1013"/>
        <w:spacing w:after="0" w:line="277" w:lineRule="auto"/>
        <w:tabs>
          <w:tab w:leader="none" w:pos="2592" w:val="left"/>
        </w:tabs>
        <w:numPr>
          <w:ilvl w:val="0"/>
          <w:numId w:val="649"/>
        </w:numPr>
        <w:rPr>
          <w:rFonts w:ascii="Arial" w:cs="Arial" w:eastAsia="Arial" w:hAnsi="Arial"/>
          <w:sz w:val="15"/>
          <w:szCs w:val="15"/>
          <w:color w:val="auto"/>
        </w:rPr>
      </w:pPr>
      <w:r>
        <w:rPr>
          <w:rFonts w:ascii="Arial" w:cs="Arial" w:eastAsia="Arial" w:hAnsi="Arial"/>
          <w:sz w:val="15"/>
          <w:szCs w:val="15"/>
          <w:b w:val="1"/>
          <w:bCs w:val="1"/>
          <w:color w:val="auto"/>
        </w:rPr>
        <w:t xml:space="preserve">Possession/Reletting. </w:t>
      </w:r>
      <w:r>
        <w:rPr>
          <w:rFonts w:ascii="Arial" w:cs="Arial" w:eastAsia="Arial" w:hAnsi="Arial"/>
          <w:sz w:val="15"/>
          <w:szCs w:val="15"/>
          <w:color w:val="auto"/>
        </w:rPr>
        <w:t>If any Event of Default occurs and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reenters the Premises or terminates this Lease as aforesaid.</w:t>
      </w:r>
    </w:p>
    <w:p>
      <w:pPr>
        <w:spacing w:after="0" w:line="106" w:lineRule="exact"/>
        <w:rPr>
          <w:rFonts w:ascii="Arial" w:cs="Arial" w:eastAsia="Arial" w:hAnsi="Arial"/>
          <w:sz w:val="15"/>
          <w:szCs w:val="15"/>
          <w:color w:val="auto"/>
        </w:rPr>
      </w:pPr>
    </w:p>
    <w:p>
      <w:pPr>
        <w:ind w:left="3100" w:hanging="362"/>
        <w:spacing w:after="0"/>
        <w:tabs>
          <w:tab w:leader="none" w:pos="3100" w:val="left"/>
        </w:tabs>
        <w:numPr>
          <w:ilvl w:val="1"/>
          <w:numId w:val="649"/>
        </w:numPr>
        <w:rPr>
          <w:rFonts w:ascii="Arial" w:cs="Arial" w:eastAsia="Arial" w:hAnsi="Arial"/>
          <w:sz w:val="15"/>
          <w:szCs w:val="15"/>
          <w:color w:val="auto"/>
        </w:rPr>
      </w:pPr>
      <w:r>
        <w:rPr>
          <w:rFonts w:ascii="Arial" w:cs="Arial" w:eastAsia="Arial" w:hAnsi="Arial"/>
          <w:sz w:val="15"/>
          <w:szCs w:val="15"/>
          <w:b w:val="1"/>
          <w:bCs w:val="1"/>
          <w:color w:val="auto"/>
        </w:rPr>
        <w:t xml:space="preserve">Surrender of Possession.  </w:t>
      </w:r>
      <w:r>
        <w:rPr>
          <w:rFonts w:ascii="Arial" w:cs="Arial" w:eastAsia="Arial" w:hAnsi="Arial"/>
          <w:sz w:val="15"/>
          <w:szCs w:val="15"/>
          <w:color w:val="auto"/>
        </w:rPr>
        <w:t>Tenant shall quit and surrender the</w:t>
      </w:r>
    </w:p>
    <w:p>
      <w:pPr>
        <w:spacing w:after="0" w:line="11" w:lineRule="exact"/>
        <w:rPr>
          <w:rFonts w:ascii="Arial" w:cs="Arial" w:eastAsia="Arial" w:hAnsi="Arial"/>
          <w:sz w:val="15"/>
          <w:szCs w:val="15"/>
          <w:color w:val="auto"/>
        </w:rPr>
      </w:pPr>
    </w:p>
    <w:p>
      <w:pPr>
        <w:ind w:left="1220"/>
        <w:spacing w:after="0"/>
        <w:rPr>
          <w:rFonts w:ascii="Arial" w:cs="Arial" w:eastAsia="Arial" w:hAnsi="Arial"/>
          <w:sz w:val="15"/>
          <w:szCs w:val="15"/>
          <w:color w:val="auto"/>
        </w:rPr>
      </w:pPr>
      <w:r>
        <w:rPr>
          <w:rFonts w:ascii="Arial" w:cs="Arial" w:eastAsia="Arial" w:hAnsi="Arial"/>
          <w:sz w:val="15"/>
          <w:szCs w:val="15"/>
          <w:color w:val="auto"/>
        </w:rPr>
        <w:t>Premises to Landlord.</w:t>
      </w:r>
    </w:p>
    <w:p>
      <w:pPr>
        <w:spacing w:after="0" w:line="148" w:lineRule="exact"/>
        <w:rPr>
          <w:sz w:val="20"/>
          <w:szCs w:val="20"/>
          <w:color w:val="auto"/>
        </w:rPr>
      </w:pPr>
    </w:p>
    <w:p>
      <w:pPr>
        <w:ind w:left="2740"/>
        <w:spacing w:after="0"/>
        <w:tabs>
          <w:tab w:leader="none" w:pos="3100" w:val="left"/>
          <w:tab w:leader="none" w:pos="5980" w:val="left"/>
        </w:tabs>
        <w:rPr>
          <w:sz w:val="20"/>
          <w:szCs w:val="20"/>
          <w:color w:val="auto"/>
        </w:rPr>
      </w:pPr>
      <w:r>
        <w:rPr>
          <w:rFonts w:ascii="Arial" w:cs="Arial" w:eastAsia="Arial" w:hAnsi="Arial"/>
          <w:sz w:val="15"/>
          <w:szCs w:val="15"/>
          <w:color w:val="auto"/>
        </w:rPr>
        <w:t>(ii)</w:t>
      </w:r>
      <w:r>
        <w:rPr>
          <w:sz w:val="20"/>
          <w:szCs w:val="20"/>
          <w:color w:val="auto"/>
        </w:rPr>
        <w:tab/>
      </w:r>
      <w:r>
        <w:rPr>
          <w:rFonts w:ascii="Arial" w:cs="Arial" w:eastAsia="Arial" w:hAnsi="Arial"/>
          <w:sz w:val="15"/>
          <w:szCs w:val="15"/>
          <w:b w:val="1"/>
          <w:bCs w:val="1"/>
          <w:color w:val="auto"/>
        </w:rPr>
        <w:t>Disposition of Tenant’s Property.</w:t>
      </w:r>
      <w:r>
        <w:rPr>
          <w:sz w:val="20"/>
          <w:szCs w:val="20"/>
          <w:color w:val="auto"/>
        </w:rPr>
        <w:tab/>
      </w:r>
      <w:r>
        <w:rPr>
          <w:rFonts w:ascii="Arial" w:cs="Arial" w:eastAsia="Arial" w:hAnsi="Arial"/>
          <w:sz w:val="15"/>
          <w:szCs w:val="15"/>
          <w:color w:val="auto"/>
        </w:rPr>
        <w:t>In the event of any such</w:t>
      </w:r>
    </w:p>
    <w:p>
      <w:pPr>
        <w:spacing w:after="0" w:line="12" w:lineRule="exact"/>
        <w:rPr>
          <w:sz w:val="20"/>
          <w:szCs w:val="20"/>
          <w:color w:val="auto"/>
        </w:rPr>
      </w:pPr>
    </w:p>
    <w:p>
      <w:pPr>
        <w:jc w:val="both"/>
        <w:ind w:left="1220" w:right="1239"/>
        <w:spacing w:after="0"/>
        <w:rPr>
          <w:sz w:val="20"/>
          <w:szCs w:val="20"/>
          <w:color w:val="auto"/>
        </w:rPr>
      </w:pPr>
      <w:r>
        <w:rPr>
          <w:rFonts w:ascii="Arial" w:cs="Arial" w:eastAsia="Arial" w:hAnsi="Arial"/>
          <w:sz w:val="15"/>
          <w:szCs w:val="15"/>
          <w:color w:val="auto"/>
        </w:rPr>
        <w:t>termination, entry or re-entry, Landlord shall have the rights to remove and store Tenant’s property and that of persons claiming by, through or under Tenant at the sole risk and expense of Tenant and, if Landlord so elects, (x) to sell such property at public auction or private sale and apply the net proceeds to the payment of all sums due to Landlord from Tenant and pay the balance, if any, to Tenant, or (y) to dispose of such property in any manner in which Landlord shall elect, Tenant hereby agreeing to the fullest extent permitted by law that it shall have no right, title or interest in any property remaining in the Premises after such termination, entry or re-entry.</w:t>
      </w:r>
    </w:p>
    <w:p>
      <w:pPr>
        <w:spacing w:after="0" w:line="290" w:lineRule="exact"/>
        <w:rPr>
          <w:sz w:val="20"/>
          <w:szCs w:val="20"/>
          <w:color w:val="auto"/>
        </w:rPr>
      </w:pPr>
    </w:p>
    <w:p>
      <w:pPr>
        <w:jc w:val="both"/>
        <w:ind w:left="1220" w:right="1239" w:firstLine="1518"/>
        <w:spacing w:after="0"/>
        <w:tabs>
          <w:tab w:leader="none" w:pos="3067" w:val="left"/>
        </w:tabs>
        <w:numPr>
          <w:ilvl w:val="0"/>
          <w:numId w:val="650"/>
        </w:numPr>
        <w:rPr>
          <w:rFonts w:ascii="Arial" w:cs="Arial" w:eastAsia="Arial" w:hAnsi="Arial"/>
          <w:sz w:val="15"/>
          <w:szCs w:val="15"/>
          <w:color w:val="auto"/>
        </w:rPr>
      </w:pPr>
      <w:r>
        <w:rPr>
          <w:rFonts w:ascii="Arial" w:cs="Arial" w:eastAsia="Arial" w:hAnsi="Arial"/>
          <w:sz w:val="15"/>
          <w:szCs w:val="15"/>
          <w:b w:val="1"/>
          <w:bCs w:val="1"/>
          <w:color w:val="auto"/>
        </w:rPr>
        <w:t xml:space="preserve">Landlord’s Reletting. </w:t>
      </w:r>
      <w:r>
        <w:rPr>
          <w:rFonts w:ascii="Arial" w:cs="Arial" w:eastAsia="Arial" w:hAnsi="Arial"/>
          <w:sz w:val="15"/>
          <w:szCs w:val="15"/>
          <w:color w:val="auto"/>
        </w:rPr>
        <w:t>Landlord, at Landlord’s option, may relet all or</w:t>
      </w:r>
      <w:r>
        <w:rPr>
          <w:rFonts w:ascii="Arial" w:cs="Arial" w:eastAsia="Arial" w:hAnsi="Arial"/>
          <w:sz w:val="15"/>
          <w:szCs w:val="15"/>
          <w:b w:val="1"/>
          <w:bCs w:val="1"/>
          <w:color w:val="auto"/>
        </w:rPr>
        <w:t xml:space="preserve"> </w:t>
      </w:r>
      <w:r>
        <w:rPr>
          <w:rFonts w:ascii="Arial" w:cs="Arial" w:eastAsia="Arial" w:hAnsi="Arial"/>
          <w:sz w:val="15"/>
          <w:szCs w:val="15"/>
          <w:color w:val="auto"/>
        </w:rPr>
        <w:t>any part of the Premises from time to time, either in the name of Landlord or otherwise, to such tenant or tenants, for any term ending before, on or after the Expiration Date, at such rental and upon such other conditions (which may include concessions and free rent periods) as Landlord, in its sole discretion, may determine. Landlord shall have no obligation to and shall not be liable for refusal or failure to relet the Premises or any part thereof, or, in the event of any such reletting, for refusal or failure to collect any rent due upon any such reletting and Tenant hereby waives, to the extent permitted by applicable Requirements, any obligation Landlord may have to mitigate Tenant’s damages; and no such refusal or failure shall relieve Tenant of, or otherwise affect, any liability under this Lease. Notwithstanding the foregoing, Landlord will use reasonable efforts to relet the Premises after Tenant vacates the Premises; however, the marketing of the Premises in a manner similar to the manner in which Landlord markets other premises within Landlord’s control in the Building shall be deemed to have satisfied Landlord’s obligation to use “reasonable efforts.” In no event shall Landlord be required to (i) solicit or entertain negotiations with any other prospective tenants for the Premises unless and until Landlord obtains full and complete possession of the Premises, including the final and unappealable legal right to relet the Premises free of any claim of Tenant, (ii) lease the Premises to a tenant whose proposed use, in Landlord’s reasonable judgment, will be unacceptable, (iii) relet the Premises prior to leasing any other vacant space in the Building, suitable for the use of the prospective tenant, (iv) lease the Premises for a rental rate less than the current fair market rent then prevailing for similar space in Comparable Buildings, or (v) enter into a lease with any proposed tenant that does not have, in Landlord’s reasonable opinion, sufficient financial wherewithal and resources to satisfy its financial obligations under the prospective lease. Landlord shall be entitled to take into account in connection with any such reletting of the Premises all relevant factors which would be taken into account by a sophisticated landlord in securing a replacement tenant for the Premises including the first class quality of the Building, matters of tenant mix, and the financial responsibility of any such replacement tenant. Landlord, at Landlord’s option, may make such alterations, decorations and other physical changes in and to the Premises as Landlord, in its sole discretion, considers advisable or necessary in connection with such reletting or proposed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17" w:name="page718"/>
    <w:bookmarkEnd w:id="717"/>
    <w:p>
      <w:pPr>
        <w:ind w:left="1220" w:right="1239"/>
        <w:spacing w:after="0" w:line="274" w:lineRule="auto"/>
        <w:rPr>
          <w:sz w:val="20"/>
          <w:szCs w:val="20"/>
          <w:color w:val="auto"/>
        </w:rPr>
      </w:pPr>
      <w:r>
        <w:rPr>
          <w:rFonts w:ascii="Arial" w:cs="Arial" w:eastAsia="Arial" w:hAnsi="Arial"/>
          <w:sz w:val="15"/>
          <w:szCs w:val="15"/>
          <w:color w:val="auto"/>
        </w:rPr>
        <w:t>reletting. No action or inaction by Landlord in connection with such reletting shall relieve Tenant of any liability under this Lease or otherwise affecting any such liability.</w:t>
      </w:r>
    </w:p>
    <w:p>
      <w:pPr>
        <w:spacing w:after="0" w:line="109" w:lineRule="exact"/>
        <w:rPr>
          <w:sz w:val="20"/>
          <w:szCs w:val="20"/>
          <w:color w:val="auto"/>
        </w:rPr>
      </w:pPr>
    </w:p>
    <w:p>
      <w:pPr>
        <w:jc w:val="both"/>
        <w:ind w:left="1220" w:right="1239" w:firstLine="1518"/>
        <w:spacing w:after="0" w:line="244" w:lineRule="auto"/>
        <w:tabs>
          <w:tab w:leader="none" w:pos="3265" w:val="left"/>
        </w:tabs>
        <w:numPr>
          <w:ilvl w:val="2"/>
          <w:numId w:val="651"/>
        </w:numPr>
        <w:rPr>
          <w:rFonts w:ascii="Arial" w:cs="Arial" w:eastAsia="Arial" w:hAnsi="Arial"/>
          <w:sz w:val="15"/>
          <w:szCs w:val="15"/>
          <w:color w:val="auto"/>
        </w:rPr>
      </w:pPr>
      <w:r>
        <w:rPr>
          <w:rFonts w:ascii="Arial" w:cs="Arial" w:eastAsia="Arial" w:hAnsi="Arial"/>
          <w:sz w:val="15"/>
          <w:szCs w:val="15"/>
          <w:b w:val="1"/>
          <w:bCs w:val="1"/>
          <w:color w:val="auto"/>
        </w:rPr>
        <w:t xml:space="preserve">Remedies Not Exclusive. </w:t>
      </w:r>
      <w:r>
        <w:rPr>
          <w:rFonts w:ascii="Arial" w:cs="Arial" w:eastAsia="Arial" w:hAnsi="Arial"/>
          <w:sz w:val="15"/>
          <w:szCs w:val="15"/>
          <w:color w:val="auto"/>
        </w:rPr>
        <w:t>The specified remedies to which</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may resort hereunder are not intended to be exclusive of any remedies or means of redress to which Landlord may, at any time, be entitled lawfully and Landlord may invoke any remedy (including the remedy of specific performance) allowed at law or in equity as if specific remedies were not herein provided for.</w:t>
      </w:r>
    </w:p>
    <w:p>
      <w:pPr>
        <w:spacing w:after="0" w:line="132" w:lineRule="exact"/>
        <w:rPr>
          <w:rFonts w:ascii="Arial" w:cs="Arial" w:eastAsia="Arial" w:hAnsi="Arial"/>
          <w:sz w:val="15"/>
          <w:szCs w:val="15"/>
          <w:color w:val="auto"/>
        </w:rPr>
      </w:pPr>
    </w:p>
    <w:p>
      <w:pPr>
        <w:jc w:val="both"/>
        <w:ind w:left="1220" w:right="1239" w:firstLine="1518"/>
        <w:spacing w:after="0" w:line="248" w:lineRule="auto"/>
        <w:tabs>
          <w:tab w:leader="none" w:pos="3115" w:val="left"/>
        </w:tabs>
        <w:numPr>
          <w:ilvl w:val="2"/>
          <w:numId w:val="651"/>
        </w:numPr>
        <w:rPr>
          <w:rFonts w:ascii="Arial" w:cs="Arial" w:eastAsia="Arial" w:hAnsi="Arial"/>
          <w:sz w:val="15"/>
          <w:szCs w:val="15"/>
          <w:color w:val="auto"/>
        </w:rPr>
      </w:pPr>
      <w:r>
        <w:rPr>
          <w:rFonts w:ascii="Arial" w:cs="Arial" w:eastAsia="Arial" w:hAnsi="Arial"/>
          <w:sz w:val="15"/>
          <w:szCs w:val="15"/>
          <w:b w:val="1"/>
          <w:bCs w:val="1"/>
          <w:color w:val="auto"/>
        </w:rPr>
        <w:t xml:space="preserve">Summary Process. </w:t>
      </w:r>
      <w:r>
        <w:rPr>
          <w:rFonts w:ascii="Arial" w:cs="Arial" w:eastAsia="Arial" w:hAnsi="Arial"/>
          <w:sz w:val="15"/>
          <w:szCs w:val="15"/>
          <w:color w:val="auto"/>
        </w:rPr>
        <w:t>Upon any Event of Default of Tenant, or the</w:t>
      </w:r>
      <w:r>
        <w:rPr>
          <w:rFonts w:ascii="Arial" w:cs="Arial" w:eastAsia="Arial" w:hAnsi="Arial"/>
          <w:sz w:val="15"/>
          <w:szCs w:val="15"/>
          <w:b w:val="1"/>
          <w:bCs w:val="1"/>
          <w:color w:val="auto"/>
        </w:rPr>
        <w:t xml:space="preserve"> </w:t>
      </w:r>
      <w:r>
        <w:rPr>
          <w:rFonts w:ascii="Arial" w:cs="Arial" w:eastAsia="Arial" w:hAnsi="Arial"/>
          <w:sz w:val="15"/>
          <w:szCs w:val="15"/>
          <w:color w:val="auto"/>
        </w:rPr>
        <w:t>expiration or termination of this Lease, Landlord shall have the right of summary process under M.G.L.A. Chapter 239, and/or other applicable statues, and such other rights to recover possession as permitted by applicable Requirements.</w:t>
      </w:r>
    </w:p>
    <w:p>
      <w:pPr>
        <w:spacing w:after="0" w:line="128" w:lineRule="exact"/>
        <w:rPr>
          <w:rFonts w:ascii="Arial" w:cs="Arial" w:eastAsia="Arial" w:hAnsi="Arial"/>
          <w:sz w:val="15"/>
          <w:szCs w:val="15"/>
          <w:color w:val="auto"/>
        </w:rPr>
      </w:pPr>
    </w:p>
    <w:p>
      <w:pPr>
        <w:jc w:val="both"/>
        <w:ind w:left="1220" w:right="1239" w:firstLine="1013"/>
        <w:spacing w:after="0" w:line="237" w:lineRule="auto"/>
        <w:tabs>
          <w:tab w:leader="none" w:pos="2592" w:val="left"/>
        </w:tabs>
        <w:numPr>
          <w:ilvl w:val="1"/>
          <w:numId w:val="652"/>
        </w:numPr>
        <w:rPr>
          <w:rFonts w:ascii="Arial" w:cs="Arial" w:eastAsia="Arial" w:hAnsi="Arial"/>
          <w:sz w:val="15"/>
          <w:szCs w:val="15"/>
          <w:color w:val="auto"/>
        </w:rPr>
      </w:pPr>
      <w:r>
        <w:rPr>
          <w:rFonts w:ascii="Arial" w:cs="Arial" w:eastAsia="Arial" w:hAnsi="Arial"/>
          <w:sz w:val="15"/>
          <w:szCs w:val="15"/>
          <w:b w:val="1"/>
          <w:bCs w:val="1"/>
          <w:color w:val="auto"/>
        </w:rPr>
        <w:t xml:space="preserve">Tenant’s Waiver. </w:t>
      </w:r>
      <w:r>
        <w:rPr>
          <w:rFonts w:ascii="Arial" w:cs="Arial" w:eastAsia="Arial" w:hAnsi="Arial"/>
          <w:sz w:val="15"/>
          <w:szCs w:val="15"/>
          <w:color w:val="auto"/>
        </w:rPr>
        <w:t>To the maximum extent permitted by law, Tenant, on its</w:t>
      </w:r>
      <w:r>
        <w:rPr>
          <w:rFonts w:ascii="Arial" w:cs="Arial" w:eastAsia="Arial" w:hAnsi="Arial"/>
          <w:sz w:val="15"/>
          <w:szCs w:val="15"/>
          <w:b w:val="1"/>
          <w:bCs w:val="1"/>
          <w:color w:val="auto"/>
        </w:rPr>
        <w:t xml:space="preserve"> </w:t>
      </w:r>
      <w:r>
        <w:rPr>
          <w:rFonts w:ascii="Arial" w:cs="Arial" w:eastAsia="Arial" w:hAnsi="Arial"/>
          <w:sz w:val="15"/>
          <w:szCs w:val="15"/>
          <w:color w:val="auto"/>
        </w:rPr>
        <w:t>own behalf and on behalf of all persons or entities claiming through or under Tenant, including all creditors, hereby waives all rights which Tenant and all such persons or entities might otherwise have under any Requirement (including M.G.L. Chapter 186, Section 11); (i) to redeem, or to re-enter or repossess the Premises, or (ii) to restore the operation of this Lease, after (A) Tenant shall have been dispossessed by judgment or by warrant of any court or judge,</w:t>
      </w:r>
    </w:p>
    <w:p>
      <w:pPr>
        <w:spacing w:after="0" w:line="3" w:lineRule="exact"/>
        <w:rPr>
          <w:rFonts w:ascii="Arial" w:cs="Arial" w:eastAsia="Arial" w:hAnsi="Arial"/>
          <w:sz w:val="15"/>
          <w:szCs w:val="15"/>
          <w:color w:val="auto"/>
        </w:rPr>
      </w:pPr>
    </w:p>
    <w:p>
      <w:pPr>
        <w:jc w:val="both"/>
        <w:ind w:left="1220" w:right="1239" w:firstLine="4"/>
        <w:spacing w:after="0"/>
        <w:tabs>
          <w:tab w:leader="none" w:pos="1471" w:val="left"/>
        </w:tabs>
        <w:numPr>
          <w:ilvl w:val="0"/>
          <w:numId w:val="653"/>
        </w:numPr>
        <w:rPr>
          <w:rFonts w:ascii="Arial" w:cs="Arial" w:eastAsia="Arial" w:hAnsi="Arial"/>
          <w:sz w:val="15"/>
          <w:szCs w:val="15"/>
          <w:color w:val="auto"/>
        </w:rPr>
      </w:pPr>
      <w:r>
        <w:rPr>
          <w:rFonts w:ascii="Arial" w:cs="Arial" w:eastAsia="Arial" w:hAnsi="Arial"/>
          <w:sz w:val="15"/>
          <w:szCs w:val="15"/>
          <w:color w:val="auto"/>
        </w:rPr>
        <w:t>any re-entry by Landlord, or (C) any expiration or early termination of the term of this Lease, whether such dispossess, re-entry, expiration or termination shall be by operation of law or pursuant to the provisions of this Lease. The words “</w:t>
      </w:r>
      <w:r>
        <w:rPr>
          <w:rFonts w:ascii="Arial" w:cs="Arial" w:eastAsia="Arial" w:hAnsi="Arial"/>
          <w:sz w:val="15"/>
          <w:szCs w:val="15"/>
          <w:b w:val="1"/>
          <w:bCs w:val="1"/>
          <w:color w:val="auto"/>
        </w:rPr>
        <w:t>re-enter</w:t>
      </w:r>
      <w:r>
        <w:rPr>
          <w:rFonts w:ascii="Arial" w:cs="Arial" w:eastAsia="Arial" w:hAnsi="Arial"/>
          <w:sz w:val="15"/>
          <w:szCs w:val="15"/>
          <w:color w:val="auto"/>
        </w:rPr>
        <w:t>,” “</w:t>
      </w:r>
      <w:r>
        <w:rPr>
          <w:rFonts w:ascii="Arial" w:cs="Arial" w:eastAsia="Arial" w:hAnsi="Arial"/>
          <w:sz w:val="15"/>
          <w:szCs w:val="15"/>
          <w:b w:val="1"/>
          <w:bCs w:val="1"/>
          <w:color w:val="auto"/>
        </w:rPr>
        <w:t>re-entry</w:t>
      </w:r>
      <w:r>
        <w:rPr>
          <w:rFonts w:ascii="Arial" w:cs="Arial" w:eastAsia="Arial" w:hAnsi="Arial"/>
          <w:sz w:val="15"/>
          <w:szCs w:val="15"/>
          <w:color w:val="auto"/>
        </w:rPr>
        <w:t>” and “</w:t>
      </w:r>
      <w:r>
        <w:rPr>
          <w:rFonts w:ascii="Arial" w:cs="Arial" w:eastAsia="Arial" w:hAnsi="Arial"/>
          <w:sz w:val="15"/>
          <w:szCs w:val="15"/>
          <w:b w:val="1"/>
          <w:bCs w:val="1"/>
          <w:color w:val="auto"/>
        </w:rPr>
        <w:t>re-entered</w:t>
      </w:r>
      <w:r>
        <w:rPr>
          <w:rFonts w:ascii="Arial" w:cs="Arial" w:eastAsia="Arial" w:hAnsi="Arial"/>
          <w:sz w:val="15"/>
          <w:szCs w:val="15"/>
          <w:color w:val="auto"/>
        </w:rPr>
        <w:t>” as used in this Lease shall not be deemed to be restricted to their technical legal meanings.</w:t>
      </w:r>
    </w:p>
    <w:p>
      <w:pPr>
        <w:spacing w:after="0" w:line="135" w:lineRule="exact"/>
        <w:rPr>
          <w:rFonts w:ascii="Arial" w:cs="Arial" w:eastAsia="Arial" w:hAnsi="Arial"/>
          <w:sz w:val="15"/>
          <w:szCs w:val="15"/>
          <w:color w:val="auto"/>
        </w:rPr>
      </w:pPr>
    </w:p>
    <w:p>
      <w:pPr>
        <w:jc w:val="both"/>
        <w:ind w:left="1220" w:right="1239" w:firstLine="1013"/>
        <w:spacing w:after="0" w:line="241" w:lineRule="auto"/>
        <w:tabs>
          <w:tab w:leader="none" w:pos="2592" w:val="left"/>
        </w:tabs>
        <w:numPr>
          <w:ilvl w:val="1"/>
          <w:numId w:val="653"/>
        </w:numPr>
        <w:rPr>
          <w:rFonts w:ascii="Arial" w:cs="Arial" w:eastAsia="Arial" w:hAnsi="Arial"/>
          <w:sz w:val="15"/>
          <w:szCs w:val="15"/>
          <w:color w:val="auto"/>
        </w:rPr>
      </w:pPr>
      <w:r>
        <w:rPr>
          <w:rFonts w:ascii="Arial" w:cs="Arial" w:eastAsia="Arial" w:hAnsi="Arial"/>
          <w:sz w:val="15"/>
          <w:szCs w:val="15"/>
          <w:b w:val="1"/>
          <w:bCs w:val="1"/>
          <w:color w:val="auto"/>
        </w:rPr>
        <w:t xml:space="preserve">Tenant’s Breach. </w:t>
      </w:r>
      <w:r>
        <w:rPr>
          <w:rFonts w:ascii="Arial" w:cs="Arial" w:eastAsia="Arial" w:hAnsi="Arial"/>
          <w:sz w:val="15"/>
          <w:szCs w:val="15"/>
          <w:color w:val="auto"/>
        </w:rPr>
        <w:t>Upon the breach or threatened breach by Tenant, or any</w:t>
      </w:r>
      <w:r>
        <w:rPr>
          <w:rFonts w:ascii="Arial" w:cs="Arial" w:eastAsia="Arial" w:hAnsi="Arial"/>
          <w:sz w:val="15"/>
          <w:szCs w:val="15"/>
          <w:b w:val="1"/>
          <w:bCs w:val="1"/>
          <w:color w:val="auto"/>
        </w:rPr>
        <w:t xml:space="preserve"> </w:t>
      </w:r>
      <w:r>
        <w:rPr>
          <w:rFonts w:ascii="Arial" w:cs="Arial" w:eastAsia="Arial" w:hAnsi="Arial"/>
          <w:sz w:val="15"/>
          <w:szCs w:val="15"/>
          <w:color w:val="auto"/>
        </w:rPr>
        <w:t>persons or entities claiming through or under Tenant, of any term, covenant or condition of this Lease, Landlord shall have the right to enjoin such breach and to invoke any other remedy allowed at law or in equity as if re-entry, summary process proceedings and other special remedies were not provided in this Lease for such breach. The rights to invoke the remedies set forth above are cumulative and shall not preclude Landlord from invoking any other remedy allowed at law or in equity.</w:t>
      </w:r>
    </w:p>
    <w:p>
      <w:pPr>
        <w:spacing w:after="0" w:line="133"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15.3. </w:t>
      </w:r>
      <w:r>
        <w:rPr>
          <w:rFonts w:ascii="Arial" w:cs="Arial" w:eastAsia="Arial" w:hAnsi="Arial"/>
          <w:sz w:val="15"/>
          <w:szCs w:val="15"/>
          <w:b w:val="1"/>
          <w:bCs w:val="1"/>
          <w:u w:val="single" w:color="auto"/>
          <w:color w:val="auto"/>
        </w:rPr>
        <w:t>Landlord’s Damages</w:t>
      </w:r>
      <w:r>
        <w:rPr>
          <w:rFonts w:ascii="Arial" w:cs="Arial" w:eastAsia="Arial" w:hAnsi="Arial"/>
          <w:sz w:val="15"/>
          <w:szCs w:val="15"/>
          <w:color w:val="auto"/>
        </w:rPr>
        <w:t>.</w:t>
      </w:r>
    </w:p>
    <w:p>
      <w:pPr>
        <w:spacing w:after="0" w:line="164" w:lineRule="exact"/>
        <w:rPr>
          <w:sz w:val="20"/>
          <w:szCs w:val="20"/>
          <w:color w:val="auto"/>
        </w:rPr>
      </w:pPr>
    </w:p>
    <w:p>
      <w:pPr>
        <w:jc w:val="both"/>
        <w:ind w:left="1220" w:right="1239" w:firstLine="1013"/>
        <w:spacing w:after="0" w:line="261" w:lineRule="auto"/>
        <w:tabs>
          <w:tab w:leader="none" w:pos="2592" w:val="left"/>
        </w:tabs>
        <w:numPr>
          <w:ilvl w:val="0"/>
          <w:numId w:val="654"/>
        </w:numPr>
        <w:rPr>
          <w:rFonts w:ascii="Arial" w:cs="Arial" w:eastAsia="Arial" w:hAnsi="Arial"/>
          <w:sz w:val="15"/>
          <w:szCs w:val="15"/>
          <w:color w:val="auto"/>
        </w:rPr>
      </w:pPr>
      <w:r>
        <w:rPr>
          <w:rFonts w:ascii="Arial" w:cs="Arial" w:eastAsia="Arial" w:hAnsi="Arial"/>
          <w:sz w:val="15"/>
          <w:szCs w:val="15"/>
          <w:b w:val="1"/>
          <w:bCs w:val="1"/>
          <w:color w:val="auto"/>
        </w:rPr>
        <w:t xml:space="preserve">Amount of Damages. </w:t>
      </w:r>
      <w:r>
        <w:rPr>
          <w:rFonts w:ascii="Arial" w:cs="Arial" w:eastAsia="Arial" w:hAnsi="Arial"/>
          <w:sz w:val="15"/>
          <w:szCs w:val="15"/>
          <w:color w:val="auto"/>
        </w:rPr>
        <w:t>If this Lease and the Term, or Tenant’s right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possession of the Premises shall terminate, or Landlord shall re-enter the Premises, as provided in </w:t>
      </w:r>
      <w:r>
        <w:rPr>
          <w:rFonts w:ascii="Arial" w:cs="Arial" w:eastAsia="Arial" w:hAnsi="Arial"/>
          <w:sz w:val="15"/>
          <w:szCs w:val="15"/>
          <w:b w:val="1"/>
          <w:bCs w:val="1"/>
          <w:color w:val="auto"/>
        </w:rPr>
        <w:t>Section 15.1</w:t>
      </w:r>
      <w:r>
        <w:rPr>
          <w:rFonts w:ascii="Arial" w:cs="Arial" w:eastAsia="Arial" w:hAnsi="Arial"/>
          <w:sz w:val="15"/>
          <w:szCs w:val="15"/>
          <w:color w:val="auto"/>
        </w:rPr>
        <w:t>, then, in any of such events:</w:t>
      </w:r>
    </w:p>
    <w:p>
      <w:pPr>
        <w:spacing w:after="0" w:line="112" w:lineRule="exact"/>
        <w:rPr>
          <w:rFonts w:ascii="Arial" w:cs="Arial" w:eastAsia="Arial" w:hAnsi="Arial"/>
          <w:sz w:val="15"/>
          <w:szCs w:val="15"/>
          <w:color w:val="auto"/>
        </w:rPr>
      </w:pPr>
    </w:p>
    <w:p>
      <w:pPr>
        <w:ind w:left="3080" w:hanging="342"/>
        <w:spacing w:after="0"/>
        <w:tabs>
          <w:tab w:leader="none" w:pos="3080" w:val="left"/>
        </w:tabs>
        <w:numPr>
          <w:ilvl w:val="1"/>
          <w:numId w:val="654"/>
        </w:numPr>
        <w:rPr>
          <w:rFonts w:ascii="Arial" w:cs="Arial" w:eastAsia="Arial" w:hAnsi="Arial"/>
          <w:sz w:val="15"/>
          <w:szCs w:val="15"/>
          <w:color w:val="auto"/>
        </w:rPr>
      </w:pPr>
      <w:r>
        <w:rPr>
          <w:rFonts w:ascii="Arial" w:cs="Arial" w:eastAsia="Arial" w:hAnsi="Arial"/>
          <w:sz w:val="15"/>
          <w:szCs w:val="15"/>
          <w:color w:val="auto"/>
        </w:rPr>
        <w:t>Tenant shall pay to Landlord all items of Rent payable under this</w:t>
      </w:r>
    </w:p>
    <w:p>
      <w:pPr>
        <w:spacing w:after="0" w:line="9" w:lineRule="exact"/>
        <w:rPr>
          <w:rFonts w:ascii="Arial" w:cs="Arial" w:eastAsia="Arial" w:hAnsi="Arial"/>
          <w:sz w:val="15"/>
          <w:szCs w:val="15"/>
          <w:color w:val="auto"/>
        </w:rPr>
      </w:pPr>
    </w:p>
    <w:p>
      <w:pPr>
        <w:ind w:left="1220"/>
        <w:spacing w:after="0"/>
        <w:rPr>
          <w:rFonts w:ascii="Arial" w:cs="Arial" w:eastAsia="Arial" w:hAnsi="Arial"/>
          <w:sz w:val="15"/>
          <w:szCs w:val="15"/>
          <w:color w:val="auto"/>
        </w:rPr>
      </w:pPr>
      <w:r>
        <w:rPr>
          <w:rFonts w:ascii="Arial" w:cs="Arial" w:eastAsia="Arial" w:hAnsi="Arial"/>
          <w:sz w:val="15"/>
          <w:szCs w:val="15"/>
          <w:color w:val="auto"/>
        </w:rPr>
        <w:t>Lease by Tenant to Landlord prior to the date of termination or repossession;</w:t>
      </w:r>
    </w:p>
    <w:p>
      <w:pPr>
        <w:spacing w:after="0" w:line="149" w:lineRule="exact"/>
        <w:rPr>
          <w:rFonts w:ascii="Arial" w:cs="Arial" w:eastAsia="Arial" w:hAnsi="Arial"/>
          <w:sz w:val="15"/>
          <w:szCs w:val="15"/>
          <w:color w:val="auto"/>
        </w:rPr>
      </w:pPr>
    </w:p>
    <w:p>
      <w:pPr>
        <w:jc w:val="both"/>
        <w:ind w:left="1220" w:right="1239" w:firstLine="1518"/>
        <w:spacing w:after="0" w:line="247" w:lineRule="auto"/>
        <w:tabs>
          <w:tab w:leader="none" w:pos="3083" w:val="left"/>
        </w:tabs>
        <w:numPr>
          <w:ilvl w:val="1"/>
          <w:numId w:val="654"/>
        </w:numPr>
        <w:rPr>
          <w:rFonts w:ascii="Arial" w:cs="Arial" w:eastAsia="Arial" w:hAnsi="Arial"/>
          <w:sz w:val="15"/>
          <w:szCs w:val="15"/>
          <w:color w:val="auto"/>
        </w:rPr>
      </w:pPr>
      <w:r>
        <w:rPr>
          <w:rFonts w:ascii="Arial" w:cs="Arial" w:eastAsia="Arial" w:hAnsi="Arial"/>
          <w:sz w:val="15"/>
          <w:szCs w:val="15"/>
          <w:color w:val="auto"/>
        </w:rPr>
        <w:t>Landlord may retain all monies, if any, paid by Tenant to Landlord, whether as prepaid Rent, a security deposit or otherwise, which monies, to the extent not otherwise applied to amounts due and owing to Landlord, shall be credited by Landlord against any damages payable by Tenant to Landlord;</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18" w:name="page719"/>
    <w:bookmarkEnd w:id="718"/>
    <w:p>
      <w:pPr>
        <w:jc w:val="both"/>
        <w:ind w:left="1220" w:right="1239" w:firstLine="1518"/>
        <w:spacing w:after="0" w:line="242" w:lineRule="auto"/>
        <w:tabs>
          <w:tab w:leader="none" w:pos="3121" w:val="left"/>
        </w:tabs>
        <w:numPr>
          <w:ilvl w:val="1"/>
          <w:numId w:val="655"/>
        </w:numPr>
        <w:rPr>
          <w:rFonts w:ascii="Arial" w:cs="Arial" w:eastAsia="Arial" w:hAnsi="Arial"/>
          <w:sz w:val="15"/>
          <w:szCs w:val="15"/>
          <w:color w:val="auto"/>
        </w:rPr>
      </w:pPr>
      <w:r>
        <w:rPr>
          <w:rFonts w:ascii="Arial" w:cs="Arial" w:eastAsia="Arial" w:hAnsi="Arial"/>
          <w:sz w:val="15"/>
          <w:szCs w:val="15"/>
          <w:color w:val="auto"/>
        </w:rPr>
        <w:t>Tenant shall pay to Landlord, in monthly installments, on the days specified in this Lease for payment of installments of Fixed Rent, any Deficiency; it being understood that Landlord shall be entitled to recover the Deficiency from Tenant each month as the same shall arise, and no suit to collect the amount of the Deficiency for any month, shall prejudice Landlord’s right to collect the Deficiency for any subsequent month by a similar proceeding; and</w:t>
      </w:r>
    </w:p>
    <w:p>
      <w:pPr>
        <w:spacing w:after="0" w:line="133" w:lineRule="exact"/>
        <w:rPr>
          <w:rFonts w:ascii="Arial" w:cs="Arial" w:eastAsia="Arial" w:hAnsi="Arial"/>
          <w:sz w:val="15"/>
          <w:szCs w:val="15"/>
          <w:color w:val="auto"/>
        </w:rPr>
      </w:pPr>
    </w:p>
    <w:p>
      <w:pPr>
        <w:jc w:val="both"/>
        <w:ind w:left="1220" w:right="1239" w:firstLine="1518"/>
        <w:spacing w:after="0" w:line="237" w:lineRule="auto"/>
        <w:tabs>
          <w:tab w:leader="none" w:pos="3079" w:val="left"/>
        </w:tabs>
        <w:numPr>
          <w:ilvl w:val="1"/>
          <w:numId w:val="655"/>
        </w:numPr>
        <w:rPr>
          <w:rFonts w:ascii="Arial" w:cs="Arial" w:eastAsia="Arial" w:hAnsi="Arial"/>
          <w:sz w:val="15"/>
          <w:szCs w:val="15"/>
          <w:color w:val="auto"/>
        </w:rPr>
      </w:pPr>
      <w:r>
        <w:rPr>
          <w:rFonts w:ascii="Arial" w:cs="Arial" w:eastAsia="Arial" w:hAnsi="Arial"/>
          <w:sz w:val="15"/>
          <w:szCs w:val="15"/>
          <w:color w:val="auto"/>
        </w:rPr>
        <w:t xml:space="preserve">whether or not Landlord shall have collected any monthly Deficiency, Tenant shall pay to Landlord, on demand, at the election of Landlord, in lieu of any further Deficiency and as liquidated and agreed final damages, a sum equal to the amount by which the Rent for the period which otherwise would have constituted the unexpired portion of the Term (assuming the Additional Rent during such period to be the same as was payable for the year immediately preceding such termination or re-entry, increased in each succeeding year by 4% (on a compounded basis)) exceeds the then fair and reasonable rental value of the Premises, for the same period (with both amounts being discounted to present value at a rate of interest equal to the Base Rate) less the aggregate amount of Deficiencies theretofore collected by Landlord pursuant to the provisions of </w:t>
      </w:r>
      <w:r>
        <w:rPr>
          <w:rFonts w:ascii="Arial" w:cs="Arial" w:eastAsia="Arial" w:hAnsi="Arial"/>
          <w:sz w:val="15"/>
          <w:szCs w:val="15"/>
          <w:b w:val="1"/>
          <w:bCs w:val="1"/>
          <w:color w:val="auto"/>
        </w:rPr>
        <w:t>Section 15.3(a)(iii)</w:t>
      </w:r>
      <w:r>
        <w:rPr>
          <w:rFonts w:ascii="Arial" w:cs="Arial" w:eastAsia="Arial" w:hAnsi="Arial"/>
          <w:sz w:val="15"/>
          <w:szCs w:val="15"/>
          <w:color w:val="auto"/>
        </w:rPr>
        <w:t xml:space="preserve"> for the same period. If, before presentation of proof of such liquidated damages to any court, commission or tribunal, the Premises, or any part thereof, shall have been relet by Landlord for the period which otherwise would have constituted the unexpired portion of the Term, or any part thereof, the amount of rent reserved upon such reletting shall be deemed prima facie, to be the fair and reasonable rental value for the part or the whole of the Premises so relet during the term of the reletting.</w:t>
      </w:r>
    </w:p>
    <w:p>
      <w:pPr>
        <w:spacing w:after="0" w:line="134" w:lineRule="exact"/>
        <w:rPr>
          <w:rFonts w:ascii="Arial" w:cs="Arial" w:eastAsia="Arial" w:hAnsi="Arial"/>
          <w:sz w:val="15"/>
          <w:szCs w:val="15"/>
          <w:color w:val="auto"/>
        </w:rPr>
      </w:pPr>
    </w:p>
    <w:p>
      <w:pPr>
        <w:jc w:val="both"/>
        <w:ind w:left="1220" w:right="1239" w:firstLine="1013"/>
        <w:spacing w:after="0" w:line="241" w:lineRule="auto"/>
        <w:tabs>
          <w:tab w:leader="none" w:pos="2592" w:val="left"/>
        </w:tabs>
        <w:numPr>
          <w:ilvl w:val="0"/>
          <w:numId w:val="656"/>
        </w:numPr>
        <w:rPr>
          <w:rFonts w:ascii="Arial" w:cs="Arial" w:eastAsia="Arial" w:hAnsi="Arial"/>
          <w:sz w:val="15"/>
          <w:szCs w:val="15"/>
          <w:color w:val="auto"/>
        </w:rPr>
      </w:pPr>
      <w:r>
        <w:rPr>
          <w:rFonts w:ascii="Arial" w:cs="Arial" w:eastAsia="Arial" w:hAnsi="Arial"/>
          <w:sz w:val="15"/>
          <w:szCs w:val="15"/>
          <w:b w:val="1"/>
          <w:bCs w:val="1"/>
          <w:color w:val="auto"/>
        </w:rPr>
        <w:t xml:space="preserve">Reletting. </w:t>
      </w:r>
      <w:r>
        <w:rPr>
          <w:rFonts w:ascii="Arial" w:cs="Arial" w:eastAsia="Arial" w:hAnsi="Arial"/>
          <w:sz w:val="15"/>
          <w:szCs w:val="15"/>
          <w:color w:val="auto"/>
        </w:rPr>
        <w:t>If the Premises, or any part thereof, shall be relet together with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other space in the Building, the rents collected or reserved under any such reletting and the expenses of any such reletting shall be equitably apportioned for the purposes of this </w:t>
      </w:r>
      <w:r>
        <w:rPr>
          <w:rFonts w:ascii="Arial" w:cs="Arial" w:eastAsia="Arial" w:hAnsi="Arial"/>
          <w:sz w:val="15"/>
          <w:szCs w:val="15"/>
          <w:b w:val="1"/>
          <w:bCs w:val="1"/>
          <w:color w:val="auto"/>
        </w:rPr>
        <w:t>Section</w:t>
      </w:r>
      <w:r>
        <w:rPr>
          <w:rFonts w:ascii="Arial" w:cs="Arial" w:eastAsia="Arial" w:hAnsi="Arial"/>
          <w:sz w:val="15"/>
          <w:szCs w:val="15"/>
          <w:color w:val="auto"/>
        </w:rPr>
        <w:t xml:space="preserve"> </w:t>
      </w:r>
      <w:r>
        <w:rPr>
          <w:rFonts w:ascii="Arial" w:cs="Arial" w:eastAsia="Arial" w:hAnsi="Arial"/>
          <w:sz w:val="15"/>
          <w:szCs w:val="15"/>
          <w:b w:val="1"/>
          <w:bCs w:val="1"/>
          <w:color w:val="auto"/>
        </w:rPr>
        <w:t>15.3</w:t>
      </w:r>
      <w:r>
        <w:rPr>
          <w:rFonts w:ascii="Arial" w:cs="Arial" w:eastAsia="Arial" w:hAnsi="Arial"/>
          <w:sz w:val="15"/>
          <w:szCs w:val="15"/>
          <w:color w:val="auto"/>
        </w:rPr>
        <w:t>. Tenant shall not be entitled to any rents collected or payable under any reletting, whether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or not such rents exceed the Fixed Rent reserved in this Lease. Nothing contained in </w:t>
      </w:r>
      <w:r>
        <w:rPr>
          <w:rFonts w:ascii="Arial" w:cs="Arial" w:eastAsia="Arial" w:hAnsi="Arial"/>
          <w:sz w:val="15"/>
          <w:szCs w:val="15"/>
          <w:b w:val="1"/>
          <w:bCs w:val="1"/>
          <w:color w:val="auto"/>
        </w:rPr>
        <w:t>Article 15</w:t>
      </w:r>
      <w:r>
        <w:rPr>
          <w:rFonts w:ascii="Arial" w:cs="Arial" w:eastAsia="Arial" w:hAnsi="Arial"/>
          <w:sz w:val="15"/>
          <w:szCs w:val="15"/>
          <w:color w:val="auto"/>
        </w:rPr>
        <w:t xml:space="preserve"> shall be deemed to limit or preclude the recovery by Landlord from Tenant of the maximum amount allowed to be obtained as damages by any Requirement, or of any sums or damages to which Landlord may be entitled in addition to the damages set forth in this </w:t>
      </w:r>
      <w:r>
        <w:rPr>
          <w:rFonts w:ascii="Arial" w:cs="Arial" w:eastAsia="Arial" w:hAnsi="Arial"/>
          <w:sz w:val="15"/>
          <w:szCs w:val="15"/>
          <w:b w:val="1"/>
          <w:bCs w:val="1"/>
          <w:color w:val="auto"/>
        </w:rPr>
        <w:t>Section 15.3</w:t>
      </w:r>
      <w:r>
        <w:rPr>
          <w:rFonts w:ascii="Arial" w:cs="Arial" w:eastAsia="Arial" w:hAnsi="Arial"/>
          <w:sz w:val="15"/>
          <w:szCs w:val="15"/>
          <w:color w:val="auto"/>
        </w:rPr>
        <w:t>.</w:t>
      </w:r>
    </w:p>
    <w:p>
      <w:pPr>
        <w:spacing w:after="0" w:line="12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15.4. </w:t>
      </w:r>
      <w:r>
        <w:rPr>
          <w:rFonts w:ascii="Arial" w:cs="Arial" w:eastAsia="Arial" w:hAnsi="Arial"/>
          <w:sz w:val="15"/>
          <w:szCs w:val="15"/>
          <w:b w:val="1"/>
          <w:bCs w:val="1"/>
          <w:u w:val="single" w:color="auto"/>
          <w:color w:val="auto"/>
        </w:rPr>
        <w:t>Interest and Late Charges</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payment of Rent is not paid within five</w:t>
      </w:r>
    </w:p>
    <w:p>
      <w:pPr>
        <w:spacing w:after="0" w:line="12" w:lineRule="exact"/>
        <w:rPr>
          <w:sz w:val="20"/>
          <w:szCs w:val="20"/>
          <w:color w:val="auto"/>
        </w:rPr>
      </w:pPr>
    </w:p>
    <w:p>
      <w:pPr>
        <w:jc w:val="both"/>
        <w:ind w:left="1220" w:right="1239" w:firstLine="4"/>
        <w:spacing w:after="0"/>
        <w:tabs>
          <w:tab w:leader="none" w:pos="1472" w:val="left"/>
        </w:tabs>
        <w:numPr>
          <w:ilvl w:val="0"/>
          <w:numId w:val="657"/>
        </w:numPr>
        <w:rPr>
          <w:rFonts w:ascii="Arial" w:cs="Arial" w:eastAsia="Arial" w:hAnsi="Arial"/>
          <w:sz w:val="15"/>
          <w:szCs w:val="15"/>
          <w:color w:val="auto"/>
        </w:rPr>
      </w:pPr>
      <w:r>
        <w:rPr>
          <w:rFonts w:ascii="Arial" w:cs="Arial" w:eastAsia="Arial" w:hAnsi="Arial"/>
          <w:sz w:val="15"/>
          <w:szCs w:val="15"/>
          <w:color w:val="auto"/>
        </w:rPr>
        <w:t>Business Days after the date when due, interest shall accrue on such payment, from the date such payment became due until paid at the Interest Rate. Tenant acknowledges that late payment by Tenant of Rent will cause Landlord to incur costs not contemplated by this Lease, the exact amount of such costs being extremely difficult and impracticable to fix. Such costs include, without limitation, processing and accounting charges, and late charges that may be imposed on Landlord by the terms of any note secured by a Mortgage covering the Real Property (or any part thereof). Therefore, in addition to interest, if any amount is not paid when due, a late charge equal to five percent (5%) of such amount shall be assessed, provided, however, that on two (2) occasions during any calendar year of the Term, Landlord shall give Tenant notice of such late payment and Tenant shall have a period of five (5) Business Days thereafter in which to make such payment before any late charge is assessed. Such interest and late charges shall constitute Additional Rent payable by Tenant, and are separate and cumulative and are in addition to and shall not diminish or represent a substitute for any of Landlord’s rights or remedies under any other provision of this Lease or otherwise available at law or in equity.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19" w:name="page720"/>
    <w:bookmarkEnd w:id="719"/>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15.5. </w:t>
      </w:r>
      <w:r>
        <w:rPr>
          <w:rFonts w:ascii="Arial" w:cs="Arial" w:eastAsia="Arial" w:hAnsi="Arial"/>
          <w:sz w:val="15"/>
          <w:szCs w:val="15"/>
          <w:b w:val="1"/>
          <w:bCs w:val="1"/>
          <w:u w:val="single" w:color="auto"/>
          <w:color w:val="auto"/>
        </w:rPr>
        <w:t>Other Rights of Landlord</w:t>
      </w:r>
      <w:r>
        <w:rPr>
          <w:rFonts w:ascii="Arial" w:cs="Arial" w:eastAsia="Arial" w:hAnsi="Arial"/>
          <w:sz w:val="15"/>
          <w:szCs w:val="15"/>
          <w:b w:val="1"/>
          <w:bCs w:val="1"/>
          <w:color w:val="auto"/>
        </w:rPr>
        <w:t xml:space="preserve">. </w:t>
      </w:r>
      <w:r>
        <w:rPr>
          <w:rFonts w:ascii="Arial" w:cs="Arial" w:eastAsia="Arial" w:hAnsi="Arial"/>
          <w:sz w:val="15"/>
          <w:szCs w:val="15"/>
          <w:color w:val="auto"/>
        </w:rPr>
        <w:t>If Tenant fails to pay any Additional Rent</w:t>
      </w:r>
      <w:r>
        <w:rPr>
          <w:rFonts w:ascii="Arial" w:cs="Arial" w:eastAsia="Arial" w:hAnsi="Arial"/>
          <w:sz w:val="15"/>
          <w:szCs w:val="15"/>
          <w:b w:val="1"/>
          <w:bCs w:val="1"/>
          <w:color w:val="auto"/>
        </w:rPr>
        <w:t xml:space="preserve"> </w:t>
      </w:r>
      <w:r>
        <w:rPr>
          <w:rFonts w:ascii="Arial" w:cs="Arial" w:eastAsia="Arial" w:hAnsi="Arial"/>
          <w:sz w:val="15"/>
          <w:szCs w:val="15"/>
          <w:color w:val="auto"/>
        </w:rPr>
        <w:t>when due, Landlord, in addition to any other right or remedy, shall have the same rights and remedies as in the case of a default by Tenant in the payment of Fixed Rent. If Tenant is in arrears in the payment of Rent, Tenant waives Tenant’s right, if any, to designate the items against which any payments made by Tenant are to be credited, and Landlord may apply any payments made by Tenant to any items Landlord sees fit, regardless of any request by Tenant.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16</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LANDLORD’S RIGHT TO CURE; FEES AND EXPENSES</w:t>
      </w:r>
    </w:p>
    <w:p>
      <w:pPr>
        <w:spacing w:after="0" w:line="166" w:lineRule="exact"/>
        <w:rPr>
          <w:sz w:val="20"/>
          <w:szCs w:val="20"/>
          <w:color w:val="auto"/>
        </w:rPr>
      </w:pPr>
    </w:p>
    <w:p>
      <w:pPr>
        <w:jc w:val="both"/>
        <w:ind w:left="1220" w:right="1239" w:firstLine="505"/>
        <w:spacing w:after="0" w:line="236" w:lineRule="auto"/>
        <w:rPr>
          <w:sz w:val="20"/>
          <w:szCs w:val="20"/>
          <w:color w:val="auto"/>
        </w:rPr>
      </w:pPr>
      <w:r>
        <w:rPr>
          <w:rFonts w:ascii="Arial" w:cs="Arial" w:eastAsia="Arial" w:hAnsi="Arial"/>
          <w:sz w:val="15"/>
          <w:szCs w:val="15"/>
          <w:color w:val="auto"/>
        </w:rPr>
        <w:t>If an Event of Default by Tenant occurs under this Lease, then Landlord, without waiving such default, may perform such obligations at Tenant’s expense: (a) immediately, and without notice, in the case of emergency or if the default (i) materially interferes with the use by any other occupant of the Building, (ii) materially interferes with the efficient operation of the Building, (iii) results in a violation of any Requirement, or (iv) results or may result in a cancellation of any insurance policy maintained by Landlord, and (b) in any other case if such default continues after ten (10) days from the date Landlord gives notice of Landlord’s intention to perform the defaulted obligation. All costs and expenses incurred by Landlord in connection with any such performance by it and all costs and expenses, including reasonable counsel fees and disbursements, incurred by Landlord as a result of any Event of Default by Tenant under this Lease or in any action or proceeding (including any summary process proceeding) brought by Landlord to enforce any obligation of Tenant under this Lease and/or right of Landlord in or to the Premises, or any other such action or proceeding in which Landlord is a party, shall be paid by Tenant to Landlord not later than thirty (30) days after delivery of demand therefor, with interest thereon at the Interest Rate from the date when due and payable. Except as expressly provided to the contrary in this Lease, all costs and expenses which, pursuant to this Lease are incurred by Landlord and payable to Landlord by Tenant, and all charges, amounts and sums payable to Landlord by Tenant for any property, material, labor, utility or other services which, pursuant to this Lease, attributable directly to Tenant’s use and occupancy of the Premises or presence at the Building, or at the request and for the account of Tenant, are provided, furnished or rendered by Landlord, shall become due and payable by Tenant to Landlord within thirty (30) days after receipt of Landlord’s invoice for such amount.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17</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 REPRESENTATIONS BY LANDLORD; LANDLORD’S APPROVAL</w:t>
      </w:r>
    </w:p>
    <w:p>
      <w:pPr>
        <w:spacing w:after="0" w:line="16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17.1. </w:t>
      </w:r>
      <w:r>
        <w:rPr>
          <w:rFonts w:ascii="Arial" w:cs="Arial" w:eastAsia="Arial" w:hAnsi="Arial"/>
          <w:sz w:val="15"/>
          <w:szCs w:val="15"/>
          <w:b w:val="1"/>
          <w:bCs w:val="1"/>
          <w:u w:val="single" w:color="auto"/>
          <w:color w:val="auto"/>
        </w:rPr>
        <w:t>No Representations</w:t>
      </w:r>
      <w:r>
        <w:rPr>
          <w:rFonts w:ascii="Arial" w:cs="Arial" w:eastAsia="Arial" w:hAnsi="Arial"/>
          <w:sz w:val="15"/>
          <w:szCs w:val="15"/>
          <w:b w:val="1"/>
          <w:bCs w:val="1"/>
          <w:color w:val="auto"/>
        </w:rPr>
        <w:t xml:space="preserve">. </w:t>
      </w:r>
      <w:r>
        <w:rPr>
          <w:rFonts w:ascii="Arial" w:cs="Arial" w:eastAsia="Arial" w:hAnsi="Arial"/>
          <w:sz w:val="15"/>
          <w:szCs w:val="15"/>
          <w:color w:val="auto"/>
        </w:rPr>
        <w:t>Except as expressly set forth herein, Landlord and</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agents have made no warranties, representations, statements or promises with respect to the Building, the Real Property, or the Premises and no rights, easements or licenses are or have been acquired by Tenant by implication or otherwise. Tenant is entering into this Lease after full investigation and is not relying upon any statement or representation made by Landlord not expressly and specifically set forth in this Lease.</w:t>
      </w:r>
    </w:p>
    <w:p>
      <w:pPr>
        <w:spacing w:after="0" w:line="13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17.2. </w:t>
      </w:r>
      <w:r>
        <w:rPr>
          <w:rFonts w:ascii="Arial" w:cs="Arial" w:eastAsia="Arial" w:hAnsi="Arial"/>
          <w:sz w:val="15"/>
          <w:szCs w:val="15"/>
          <w:b w:val="1"/>
          <w:bCs w:val="1"/>
          <w:u w:val="single" w:color="auto"/>
          <w:color w:val="auto"/>
        </w:rPr>
        <w:t>No Money Damages</w:t>
      </w:r>
      <w:r>
        <w:rPr>
          <w:rFonts w:ascii="Arial" w:cs="Arial" w:eastAsia="Arial" w:hAnsi="Arial"/>
          <w:sz w:val="15"/>
          <w:szCs w:val="15"/>
          <w:b w:val="1"/>
          <w:bCs w:val="1"/>
          <w:color w:val="auto"/>
        </w:rPr>
        <w:t xml:space="preserve">. </w:t>
      </w:r>
      <w:r>
        <w:rPr>
          <w:rFonts w:ascii="Arial" w:cs="Arial" w:eastAsia="Arial" w:hAnsi="Arial"/>
          <w:sz w:val="15"/>
          <w:szCs w:val="15"/>
          <w:color w:val="auto"/>
        </w:rPr>
        <w:t>Wherever in this Lease Landlord’s consent or</w:t>
      </w:r>
      <w:r>
        <w:rPr>
          <w:rFonts w:ascii="Arial" w:cs="Arial" w:eastAsia="Arial" w:hAnsi="Arial"/>
          <w:sz w:val="15"/>
          <w:szCs w:val="15"/>
          <w:b w:val="1"/>
          <w:bCs w:val="1"/>
          <w:color w:val="auto"/>
        </w:rPr>
        <w:t xml:space="preserve"> </w:t>
      </w:r>
      <w:r>
        <w:rPr>
          <w:rFonts w:ascii="Arial" w:cs="Arial" w:eastAsia="Arial" w:hAnsi="Arial"/>
          <w:sz w:val="15"/>
          <w:szCs w:val="15"/>
          <w:color w:val="auto"/>
        </w:rPr>
        <w:t>approval is required, if Landlord refuses to grant such consent or approval, whether or not Landlord expressly agreed that such consent or approval would not be unreasonably withheld, Tenant shall not make, and Tenant hereby waives, any claim for money damages (including any claim by way of set-off, counterclaim or defense) based upon Tenant’s claim or assertion that Landlord unreasonably withheld or delayed its consent or approval. Tenant’s sole remedy shall</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20" w:name="page721"/>
    <w:bookmarkEnd w:id="720"/>
    <w:p>
      <w:pPr>
        <w:jc w:val="both"/>
        <w:ind w:left="1220" w:right="1239"/>
        <w:spacing w:after="0" w:line="239" w:lineRule="auto"/>
        <w:rPr>
          <w:sz w:val="20"/>
          <w:szCs w:val="20"/>
          <w:color w:val="auto"/>
        </w:rPr>
      </w:pPr>
      <w:r>
        <w:rPr>
          <w:rFonts w:ascii="Arial" w:cs="Arial" w:eastAsia="Arial" w:hAnsi="Arial"/>
          <w:sz w:val="15"/>
          <w:szCs w:val="15"/>
          <w:color w:val="auto"/>
        </w:rPr>
        <w:t xml:space="preserve">be an action or proceeding to enforce such provision, by specific performance, injunction or declaratory judgment. In no event shall Landlord be liable for, and Tenant, on behalf of itself and all other Tenant Parties, hereby waives any claim for, any indirect, consequential or punitive damages, including loss of profits or business opportunity, arising under or in connection with this Lease. Excepting only as set forth in </w:t>
      </w:r>
      <w:r>
        <w:rPr>
          <w:rFonts w:ascii="Arial" w:cs="Arial" w:eastAsia="Arial" w:hAnsi="Arial"/>
          <w:sz w:val="15"/>
          <w:szCs w:val="15"/>
          <w:b w:val="1"/>
          <w:bCs w:val="1"/>
          <w:color w:val="auto"/>
        </w:rPr>
        <w:t>Sections 18.2, 18.3,</w:t>
      </w:r>
      <w:r>
        <w:rPr>
          <w:rFonts w:ascii="Arial" w:cs="Arial" w:eastAsia="Arial" w:hAnsi="Arial"/>
          <w:sz w:val="15"/>
          <w:szCs w:val="15"/>
          <w:color w:val="auto"/>
        </w:rPr>
        <w:t xml:space="preserve"> and/or </w:t>
      </w:r>
      <w:r>
        <w:rPr>
          <w:rFonts w:ascii="Arial" w:cs="Arial" w:eastAsia="Arial" w:hAnsi="Arial"/>
          <w:sz w:val="15"/>
          <w:szCs w:val="15"/>
          <w:b w:val="1"/>
          <w:bCs w:val="1"/>
          <w:color w:val="auto"/>
        </w:rPr>
        <w:t>27.4</w:t>
      </w:r>
      <w:r>
        <w:rPr>
          <w:rFonts w:ascii="Arial" w:cs="Arial" w:eastAsia="Arial" w:hAnsi="Arial"/>
          <w:sz w:val="15"/>
          <w:szCs w:val="15"/>
          <w:color w:val="auto"/>
        </w:rPr>
        <w:t>, in no event shall Tenant be liable for and Landlord hereby waives any claim for, any indirect, consequential or punitive damages, arising under or in connection with this Lease, including loss of profits or business opportunity, arising under or in connection with this Lease</w:t>
      </w:r>
    </w:p>
    <w:p>
      <w:pPr>
        <w:spacing w:after="0" w:line="138"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17.3. </w:t>
      </w:r>
      <w:r>
        <w:rPr>
          <w:rFonts w:ascii="Arial" w:cs="Arial" w:eastAsia="Arial" w:hAnsi="Arial"/>
          <w:sz w:val="15"/>
          <w:szCs w:val="15"/>
          <w:b w:val="1"/>
          <w:bCs w:val="1"/>
          <w:u w:val="single" w:color="auto"/>
          <w:color w:val="auto"/>
        </w:rPr>
        <w:t>Reasonable Efforts</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Lease, except as expressly and</w:t>
      </w:r>
      <w:r>
        <w:rPr>
          <w:rFonts w:ascii="Arial" w:cs="Arial" w:eastAsia="Arial" w:hAnsi="Arial"/>
          <w:sz w:val="15"/>
          <w:szCs w:val="15"/>
          <w:b w:val="1"/>
          <w:bCs w:val="1"/>
          <w:color w:val="auto"/>
        </w:rPr>
        <w:t xml:space="preserve"> </w:t>
      </w:r>
      <w:r>
        <w:rPr>
          <w:rFonts w:ascii="Arial" w:cs="Arial" w:eastAsia="Arial" w:hAnsi="Arial"/>
          <w:sz w:val="15"/>
          <w:szCs w:val="15"/>
          <w:color w:val="auto"/>
        </w:rPr>
        <w:t>specifically set forth herein, “</w:t>
      </w:r>
      <w:r>
        <w:rPr>
          <w:rFonts w:ascii="Arial" w:cs="Arial" w:eastAsia="Arial" w:hAnsi="Arial"/>
          <w:sz w:val="15"/>
          <w:szCs w:val="15"/>
          <w:b w:val="1"/>
          <w:bCs w:val="1"/>
          <w:color w:val="auto"/>
        </w:rPr>
        <w:t>reasonable efforts</w:t>
      </w:r>
      <w:r>
        <w:rPr>
          <w:rFonts w:ascii="Arial" w:cs="Arial" w:eastAsia="Arial" w:hAnsi="Arial"/>
          <w:sz w:val="15"/>
          <w:szCs w:val="15"/>
          <w:color w:val="auto"/>
        </w:rPr>
        <w:t>” by Landlord or Tenant shall not include an obligation to employ contractors or labor at overtime or other premium pay rates or to incur any other overtime costs or additional expenses whatsoever.</w:t>
      </w:r>
    </w:p>
    <w:p>
      <w:pPr>
        <w:spacing w:after="0" w:line="128"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ARTICLE 18</w:t>
      </w:r>
    </w:p>
    <w:p>
      <w:pPr>
        <w:spacing w:after="0" w:line="164"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END OF TERM</w:t>
      </w:r>
    </w:p>
    <w:p>
      <w:pPr>
        <w:spacing w:after="0" w:line="164"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18.1. </w:t>
      </w:r>
      <w:r>
        <w:rPr>
          <w:rFonts w:ascii="Arial" w:cs="Arial" w:eastAsia="Arial" w:hAnsi="Arial"/>
          <w:sz w:val="15"/>
          <w:szCs w:val="15"/>
          <w:b w:val="1"/>
          <w:bCs w:val="1"/>
          <w:u w:val="single" w:color="auto"/>
          <w:color w:val="auto"/>
        </w:rPr>
        <w:t>Expiration</w:t>
      </w:r>
      <w:r>
        <w:rPr>
          <w:rFonts w:ascii="Arial" w:cs="Arial" w:eastAsia="Arial" w:hAnsi="Arial"/>
          <w:sz w:val="15"/>
          <w:szCs w:val="15"/>
          <w:b w:val="1"/>
          <w:bCs w:val="1"/>
          <w:color w:val="auto"/>
        </w:rPr>
        <w:t xml:space="preserve">. </w:t>
      </w:r>
      <w:r>
        <w:rPr>
          <w:rFonts w:ascii="Arial" w:cs="Arial" w:eastAsia="Arial" w:hAnsi="Arial"/>
          <w:sz w:val="15"/>
          <w:szCs w:val="15"/>
          <w:color w:val="auto"/>
        </w:rPr>
        <w:t>Upon the expiration or other termination of the Term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Lease, Tenant shall quit and surrender to Landlord the Premises (including all fixed lab benches, fume hoods, electric, plumbing, heating and sprinkling systems, fixtures and outlets, vaults, paneling, molding, shelving, radiator enclosures, cork, rubber, linoleum and composition floors, ventilating, silencing, air conditioning and cooling equipment therein and all other then-remaining components of Landlord’s Work, or provided by Landlord or paid for in whole or in part by any allowance provided to Tenant by Landlord under this Lease) vacant, broom clean and in good order and condition, ordinary wear and tear and damage for which Tenant is not responsible under the terms of this Lease excepted, and Tenant shall remove all of Tenant’s Property and Rooftop Equipment, all autoclaves and cage washers, Tenant’s vivarium, and, in accordance with and subject to the provisions of </w:t>
      </w:r>
      <w:r>
        <w:rPr>
          <w:rFonts w:ascii="Arial" w:cs="Arial" w:eastAsia="Arial" w:hAnsi="Arial"/>
          <w:sz w:val="15"/>
          <w:szCs w:val="15"/>
          <w:b w:val="1"/>
          <w:bCs w:val="1"/>
          <w:color w:val="auto"/>
        </w:rPr>
        <w:t>Section 5.3</w:t>
      </w:r>
      <w:r>
        <w:rPr>
          <w:rFonts w:ascii="Arial" w:cs="Arial" w:eastAsia="Arial" w:hAnsi="Arial"/>
          <w:sz w:val="15"/>
          <w:szCs w:val="15"/>
          <w:color w:val="auto"/>
        </w:rPr>
        <w:t>, any Specialty Alterations.</w:t>
      </w:r>
    </w:p>
    <w:p>
      <w:pPr>
        <w:spacing w:after="0" w:line="129"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18.2. </w:t>
      </w:r>
      <w:r>
        <w:rPr>
          <w:rFonts w:ascii="Arial" w:cs="Arial" w:eastAsia="Arial" w:hAnsi="Arial"/>
          <w:sz w:val="15"/>
          <w:szCs w:val="15"/>
          <w:b w:val="1"/>
          <w:bCs w:val="1"/>
          <w:u w:val="single" w:color="auto"/>
          <w:color w:val="auto"/>
        </w:rPr>
        <w:t>Decommissioning</w:t>
      </w:r>
      <w:r>
        <w:rPr>
          <w:rFonts w:ascii="Arial" w:cs="Arial" w:eastAsia="Arial" w:hAnsi="Arial"/>
          <w:sz w:val="15"/>
          <w:szCs w:val="15"/>
          <w:color w:val="auto"/>
        </w:rPr>
        <w:t>.</w:t>
      </w:r>
    </w:p>
    <w:p>
      <w:pPr>
        <w:spacing w:after="0" w:line="164" w:lineRule="exact"/>
        <w:rPr>
          <w:sz w:val="20"/>
          <w:szCs w:val="20"/>
          <w:color w:val="auto"/>
        </w:rPr>
      </w:pPr>
    </w:p>
    <w:p>
      <w:pPr>
        <w:jc w:val="both"/>
        <w:ind w:left="1220" w:right="1239" w:firstLine="1013"/>
        <w:spacing w:after="0"/>
        <w:tabs>
          <w:tab w:leader="none" w:pos="2592" w:val="left"/>
        </w:tabs>
        <w:numPr>
          <w:ilvl w:val="0"/>
          <w:numId w:val="658"/>
        </w:numPr>
        <w:rPr>
          <w:rFonts w:ascii="Arial" w:cs="Arial" w:eastAsia="Arial" w:hAnsi="Arial"/>
          <w:sz w:val="15"/>
          <w:szCs w:val="15"/>
          <w:color w:val="auto"/>
        </w:rPr>
      </w:pPr>
      <w:r>
        <w:rPr>
          <w:rFonts w:ascii="Arial" w:cs="Arial" w:eastAsia="Arial" w:hAnsi="Arial"/>
          <w:sz w:val="15"/>
          <w:szCs w:val="15"/>
          <w:color w:val="auto"/>
        </w:rPr>
        <w:t>A “</w:t>
      </w:r>
      <w:r>
        <w:rPr>
          <w:rFonts w:ascii="Arial" w:cs="Arial" w:eastAsia="Arial" w:hAnsi="Arial"/>
          <w:sz w:val="15"/>
          <w:szCs w:val="15"/>
          <w:b w:val="1"/>
          <w:bCs w:val="1"/>
          <w:color w:val="auto"/>
        </w:rPr>
        <w:t>Surrender Plan</w:t>
      </w:r>
      <w:r>
        <w:rPr>
          <w:rFonts w:ascii="Arial" w:cs="Arial" w:eastAsia="Arial" w:hAnsi="Arial"/>
          <w:sz w:val="15"/>
          <w:szCs w:val="15"/>
          <w:color w:val="auto"/>
        </w:rPr>
        <w:t>” shall mean a detailed plan and narrative description, prepared by a qualified independent certified industrial hygienist engaged by Tenant and reasonably acceptable to Landlord, which describes and outlines in detail the actions proposed to be undertaken by Tenant in connection with the yield-up and surrender of the Premises, as required to cause the Premises to be free of Hazardous Materials and otherwise released for unrestricted use and occupancy at the expiration or earlier termination of this Lease, including such actions as may be necessary to cause the Premises to be decommissioned in accordance with the regulations of the Massachusetts Department of Public Health (the “</w:t>
      </w:r>
      <w:r>
        <w:rPr>
          <w:rFonts w:ascii="Arial" w:cs="Arial" w:eastAsia="Arial" w:hAnsi="Arial"/>
          <w:sz w:val="15"/>
          <w:szCs w:val="15"/>
          <w:b w:val="1"/>
          <w:bCs w:val="1"/>
          <w:color w:val="auto"/>
        </w:rPr>
        <w:t>MDPH</w:t>
      </w:r>
      <w:r>
        <w:rPr>
          <w:rFonts w:ascii="Arial" w:cs="Arial" w:eastAsia="Arial" w:hAnsi="Arial"/>
          <w:sz w:val="15"/>
          <w:szCs w:val="15"/>
          <w:color w:val="auto"/>
        </w:rPr>
        <w:t>”) for the control of radiation and to be released for unrestricted use by the Radiation Control Program of the MDPH, as and to the extent applicable. Without limitation, the Surrender Plan shall address the cleaning and removal of all Hazardous Materials from all floors, walls, ceilings, counters, piping, supply lines, waste lines and plumbing in or serving the Premises, and all exhaust or other ductwork in or serving the Premises. The Surrender Plan shall be prepared such that, following its implementation, the Premises and all exhaust and other duct work in the Premises may be reused by a subsequent tenant or disposed of in conformance with all applicable Environmental Laws without incurring additional costs or expenses on account of any Hazardous Materials, or undertaking unusual or special procedures for demolition, disposal, investigation, assessment, cleaning or removal of Hazardous Materials, or requiring notices to or filings with any Governmental Authorities in connection with such Hazardous Materials. The Surrender Plan (i)</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21" w:name="page722"/>
    <w:bookmarkEnd w:id="721"/>
    <w:p>
      <w:pPr>
        <w:jc w:val="both"/>
        <w:ind w:left="1220" w:right="1239"/>
        <w:spacing w:after="0" w:line="244" w:lineRule="auto"/>
        <w:rPr>
          <w:sz w:val="20"/>
          <w:szCs w:val="20"/>
          <w:color w:val="auto"/>
        </w:rPr>
      </w:pPr>
      <w:r>
        <w:rPr>
          <w:rFonts w:ascii="Arial" w:cs="Arial" w:eastAsia="Arial" w:hAnsi="Arial"/>
          <w:sz w:val="15"/>
          <w:szCs w:val="15"/>
          <w:color w:val="auto"/>
        </w:rPr>
        <w:t>shall be accompanied by a current list of (A) all local, state and federal licenses, registrations, permits and approvals held by or on behalf of Tenant or any Tenant Party with respect to Hazardous Materials in, on, under, at or about the Premises, and (B) an updated schedule identifying all of Tenant’s Hazardous Materials. The Surrender Plan shall be subject to the review and approval of Landlord and Landlord’s environmental consultant in all respects.</w:t>
      </w:r>
    </w:p>
    <w:p>
      <w:pPr>
        <w:spacing w:after="0" w:line="132" w:lineRule="exact"/>
        <w:rPr>
          <w:sz w:val="20"/>
          <w:szCs w:val="20"/>
          <w:color w:val="auto"/>
        </w:rPr>
      </w:pPr>
    </w:p>
    <w:p>
      <w:pPr>
        <w:jc w:val="both"/>
        <w:ind w:left="1220" w:right="1239" w:firstLine="1013"/>
        <w:spacing w:after="0" w:line="242" w:lineRule="auto"/>
        <w:tabs>
          <w:tab w:leader="none" w:pos="2592" w:val="left"/>
        </w:tabs>
        <w:numPr>
          <w:ilvl w:val="0"/>
          <w:numId w:val="659"/>
        </w:numPr>
        <w:rPr>
          <w:rFonts w:ascii="Arial" w:cs="Arial" w:eastAsia="Arial" w:hAnsi="Arial"/>
          <w:sz w:val="15"/>
          <w:szCs w:val="15"/>
          <w:color w:val="auto"/>
        </w:rPr>
      </w:pPr>
      <w:r>
        <w:rPr>
          <w:rFonts w:ascii="Arial" w:cs="Arial" w:eastAsia="Arial" w:hAnsi="Arial"/>
          <w:sz w:val="15"/>
          <w:szCs w:val="15"/>
          <w:color w:val="auto"/>
        </w:rPr>
        <w:t>Tenant shall prepare and deliver the proposed Surrender Plan to Landlord for its review and approval not later than sixty (60) days prior to the Expiration Date (or, if applicable, within five (5) business days after any earlier termination of the Term of this Lease). If Landlord or Landlord’s consultant shall request any reasonable or customary revisions to the proposed Surrender Plan, then Tenant shall revise the proposed Surrender Plan and resubmit the proposed Surrender Plan to Landlord for its approval.</w:t>
      </w:r>
    </w:p>
    <w:p>
      <w:pPr>
        <w:spacing w:after="0" w:line="133" w:lineRule="exact"/>
        <w:rPr>
          <w:rFonts w:ascii="Arial" w:cs="Arial" w:eastAsia="Arial" w:hAnsi="Arial"/>
          <w:sz w:val="15"/>
          <w:szCs w:val="15"/>
          <w:color w:val="auto"/>
        </w:rPr>
      </w:pPr>
    </w:p>
    <w:p>
      <w:pPr>
        <w:jc w:val="both"/>
        <w:ind w:left="1220" w:right="1239" w:firstLine="1013"/>
        <w:spacing w:after="0" w:line="235" w:lineRule="auto"/>
        <w:tabs>
          <w:tab w:leader="none" w:pos="2592" w:val="left"/>
        </w:tabs>
        <w:numPr>
          <w:ilvl w:val="0"/>
          <w:numId w:val="659"/>
        </w:numPr>
        <w:rPr>
          <w:rFonts w:ascii="Arial" w:cs="Arial" w:eastAsia="Arial" w:hAnsi="Arial"/>
          <w:sz w:val="15"/>
          <w:szCs w:val="15"/>
          <w:color w:val="auto"/>
        </w:rPr>
      </w:pPr>
      <w:r>
        <w:rPr>
          <w:rFonts w:ascii="Arial" w:cs="Arial" w:eastAsia="Arial" w:hAnsi="Arial"/>
          <w:sz w:val="15"/>
          <w:szCs w:val="15"/>
          <w:color w:val="auto"/>
        </w:rPr>
        <w:t>On or before the Expiration Date (or within thirty (30) days after any earlier termination of the Term of this Lease), Tenant shall implement the approved Surrender Plan using a contractor approved by Landlord. In connection therewith, Tenant shall, at is sole costs and expense, (i) clean and decommission all interior surfaces of the Premises (including floors, walls, ceilings, and counters), and all piping, supply lines, waste lines, acid neutralization systems and plumbing in and/or exclusively serving the Premises, and all exhausts or other ductwork located in and/or exclusively serving the Premises, in each case to the extent required to remove and remediate any Hazardous Materials or other chemical or biological materials used in the operation of the Premises, (ii) perform or cause to be performed all other actions described in the approved Surrender Plan, and (iii) deliver to Landlord a report prepared by a qualified independent certified industrial hygienist reasonably acceptable to Landlord, confirming that the Premises do not contain any Hazardous Materials and that all of the work contemplated by the approved Surrender Plan has been satisfactorily completed (the “</w:t>
      </w:r>
      <w:r>
        <w:rPr>
          <w:rFonts w:ascii="Arial" w:cs="Arial" w:eastAsia="Arial" w:hAnsi="Arial"/>
          <w:sz w:val="15"/>
          <w:szCs w:val="15"/>
          <w:b w:val="1"/>
          <w:bCs w:val="1"/>
          <w:color w:val="auto"/>
        </w:rPr>
        <w:t>Decommissioning</w:t>
      </w:r>
      <w:r>
        <w:rPr>
          <w:rFonts w:ascii="Arial" w:cs="Arial" w:eastAsia="Arial" w:hAnsi="Arial"/>
          <w:sz w:val="15"/>
          <w:szCs w:val="15"/>
          <w:color w:val="auto"/>
        </w:rPr>
        <w:t xml:space="preserve"> </w:t>
      </w:r>
      <w:r>
        <w:rPr>
          <w:rFonts w:ascii="Arial" w:cs="Arial" w:eastAsia="Arial" w:hAnsi="Arial"/>
          <w:sz w:val="15"/>
          <w:szCs w:val="15"/>
          <w:b w:val="1"/>
          <w:bCs w:val="1"/>
          <w:color w:val="auto"/>
        </w:rPr>
        <w:t>Closure Report</w:t>
      </w:r>
      <w:r>
        <w:rPr>
          <w:rFonts w:ascii="Arial" w:cs="Arial" w:eastAsia="Arial" w:hAnsi="Arial"/>
          <w:sz w:val="15"/>
          <w:szCs w:val="15"/>
          <w:color w:val="auto"/>
        </w:rPr>
        <w:t>”). Without limitation, the Decommissioning Closure Report shall also include</w:t>
      </w:r>
      <w:r>
        <w:rPr>
          <w:rFonts w:ascii="Arial" w:cs="Arial" w:eastAsia="Arial" w:hAnsi="Arial"/>
          <w:sz w:val="15"/>
          <w:szCs w:val="15"/>
          <w:b w:val="1"/>
          <w:bCs w:val="1"/>
          <w:color w:val="auto"/>
        </w:rPr>
        <w:t xml:space="preserve"> </w:t>
      </w:r>
      <w:r>
        <w:rPr>
          <w:rFonts w:ascii="Arial" w:cs="Arial" w:eastAsia="Arial" w:hAnsi="Arial"/>
          <w:sz w:val="15"/>
          <w:szCs w:val="15"/>
          <w:color w:val="auto"/>
        </w:rPr>
        <w:t>reasonable detail concerning the clean-up measures taken by Tenant, the clean-up locations, the tests performed by Tenant, and the analytic results. Landlord may elect, subject to reimbursement by Tenant, to cause Landlord’s environmental consultant to inspect the Premises and to perform such additional testing and reviews as may be reasonably necessary to confirm that the Premises are, as of the expiration of the Term (or, if applicable, the date which is thirty (30) days after any earlier termination of this Lease), free of Hazardous Materials and otherwise available for unrestricted use and occupancy as aforesaid. Landlord may elect to deliver the Surrender Plan, the Decommissioning Closure Report and any report by Landlord’s environmental consultant with respect to the surrender of the Premises to third parties and such third parties shall be entitled to rely on the Decommissioning Closure Report.</w:t>
      </w:r>
    </w:p>
    <w:p>
      <w:pPr>
        <w:spacing w:after="0" w:line="151" w:lineRule="exact"/>
        <w:rPr>
          <w:rFonts w:ascii="Arial" w:cs="Arial" w:eastAsia="Arial" w:hAnsi="Arial"/>
          <w:sz w:val="15"/>
          <w:szCs w:val="15"/>
          <w:color w:val="auto"/>
        </w:rPr>
      </w:pPr>
    </w:p>
    <w:p>
      <w:pPr>
        <w:jc w:val="both"/>
        <w:ind w:left="1220" w:right="1239" w:firstLine="1013"/>
        <w:spacing w:after="0"/>
        <w:tabs>
          <w:tab w:leader="none" w:pos="2592" w:val="left"/>
        </w:tabs>
        <w:numPr>
          <w:ilvl w:val="0"/>
          <w:numId w:val="659"/>
        </w:numPr>
        <w:rPr>
          <w:rFonts w:ascii="Arial" w:cs="Arial" w:eastAsia="Arial" w:hAnsi="Arial"/>
          <w:sz w:val="15"/>
          <w:szCs w:val="15"/>
          <w:color w:val="auto"/>
        </w:rPr>
      </w:pPr>
      <w:r>
        <w:rPr>
          <w:rFonts w:ascii="Arial" w:cs="Arial" w:eastAsia="Arial" w:hAnsi="Arial"/>
          <w:sz w:val="15"/>
          <w:szCs w:val="15"/>
          <w:color w:val="auto"/>
        </w:rPr>
        <w:t>If (i) Tenant fails to prepare timely an acceptable Surrender Plan, or (ii) Tenant fails to submit timely an acceptable Decommissioning Closure Report based on the Surrender Plan approved by Landlord, or (iii) Tenant fails to complete all of the actions contemplated by the approved Surrender Plan, then in any such event Landlord may elect to take any such actions as Landlord may deem reasonable or appropriate to assure that the Premises are surrendered free and clear of Hazardous Materials and in the condition required hereunder (the “</w:t>
      </w:r>
      <w:r>
        <w:rPr>
          <w:rFonts w:ascii="Arial" w:cs="Arial" w:eastAsia="Arial" w:hAnsi="Arial"/>
          <w:sz w:val="15"/>
          <w:szCs w:val="15"/>
          <w:b w:val="1"/>
          <w:bCs w:val="1"/>
          <w:color w:val="auto"/>
        </w:rPr>
        <w:t>Landlord Remediation Actions</w:t>
      </w:r>
      <w:r>
        <w:rPr>
          <w:rFonts w:ascii="Arial" w:cs="Arial" w:eastAsia="Arial" w:hAnsi="Arial"/>
          <w:sz w:val="15"/>
          <w:szCs w:val="15"/>
          <w:color w:val="auto"/>
        </w:rPr>
        <w:t>”). Tenant shall reimburse Landlord, as Additional Rent, for all commercially reasonable costs and expenses incurred by Landlord in connection with any such Landlord Remediation Actions. Without limitation, if Tenant remains in possession of the Premises after the Expiration Date or the earlier termination of the Term of this Lease, then the foregoing shall not limit, restrict or prohibit Landlord from exercising any and all available rights and remedies available to Landlord at law or in equity to regain possession of the Premises, including, but not limited to, prosecuting a summary process proceeding; provided, however, whether or not Tenant remains in the Premises after the Term (or the earlier termination of this Lease) or has</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22" w:name="page723"/>
    <w:bookmarkEnd w:id="722"/>
    <w:p>
      <w:pPr>
        <w:jc w:val="both"/>
        <w:ind w:left="1220" w:right="1239"/>
        <w:spacing w:after="0" w:line="237" w:lineRule="auto"/>
        <w:rPr>
          <w:sz w:val="20"/>
          <w:szCs w:val="20"/>
          <w:color w:val="auto"/>
        </w:rPr>
      </w:pPr>
      <w:r>
        <w:rPr>
          <w:rFonts w:ascii="Arial" w:cs="Arial" w:eastAsia="Arial" w:hAnsi="Arial"/>
          <w:sz w:val="15"/>
          <w:szCs w:val="15"/>
          <w:color w:val="auto"/>
        </w:rPr>
        <w:t>vacated the Premises by the Expiration Date (or the earlier termination of this Lease), for with respect to each month or portion thereof during the period of time commencing on the Expiration Date (or earlier termination of this Lease) until the earlier of (i) the date on which Landlord elects to take any such Landlord’s Remediation Actions, and (ii) the date on which Tenant completes all of the actions contemplated by the Surrender Plan and delivers the Decommissioning Closure Report (in the form required hereunder) to Landlord, Tenant shall pay to Landlord a fee equal to (A) 150% of the monthly Fixed Rent payable under this Lease immediately prior to such termination, plus (B) Tenant’s Tax Payment, Tenant’s Operating Payment, and Tenant’s Insurance Payment attributable to such period of time. If Tenant vacates the Premises prior to completing all of the actions contemplated by the Surrender Plan and to delivering the Decommissioning Closure Report, then unless and until Landlord elects to take Landlord’s Remediation Actions, Landlord will provide Tenant with reasonable access to the Premises as required to implement the Surrender Plan.</w:t>
      </w:r>
    </w:p>
    <w:p>
      <w:pPr>
        <w:spacing w:after="0" w:line="139" w:lineRule="exact"/>
        <w:rPr>
          <w:sz w:val="20"/>
          <w:szCs w:val="20"/>
          <w:color w:val="auto"/>
        </w:rPr>
      </w:pPr>
    </w:p>
    <w:p>
      <w:pPr>
        <w:jc w:val="both"/>
        <w:ind w:left="1220" w:right="1239" w:firstLine="505"/>
        <w:spacing w:after="0" w:line="235" w:lineRule="auto"/>
        <w:rPr>
          <w:sz w:val="20"/>
          <w:szCs w:val="20"/>
          <w:color w:val="auto"/>
        </w:rPr>
      </w:pPr>
      <w:r>
        <w:rPr>
          <w:rFonts w:ascii="Arial" w:cs="Arial" w:eastAsia="Arial" w:hAnsi="Arial"/>
          <w:sz w:val="15"/>
          <w:szCs w:val="15"/>
          <w:b w:val="1"/>
          <w:bCs w:val="1"/>
          <w:color w:val="auto"/>
        </w:rPr>
        <w:t xml:space="preserve">Section 18.3. </w:t>
      </w:r>
      <w:r>
        <w:rPr>
          <w:rFonts w:ascii="Arial" w:cs="Arial" w:eastAsia="Arial" w:hAnsi="Arial"/>
          <w:sz w:val="15"/>
          <w:szCs w:val="15"/>
          <w:b w:val="1"/>
          <w:bCs w:val="1"/>
          <w:u w:val="single" w:color="auto"/>
          <w:color w:val="auto"/>
        </w:rPr>
        <w:t>Holdover Rent</w:t>
      </w:r>
      <w:r>
        <w:rPr>
          <w:rFonts w:ascii="Arial" w:cs="Arial" w:eastAsia="Arial" w:hAnsi="Arial"/>
          <w:sz w:val="15"/>
          <w:szCs w:val="15"/>
          <w:b w:val="1"/>
          <w:bCs w:val="1"/>
          <w:color w:val="auto"/>
        </w:rPr>
        <w:t xml:space="preserve">. </w:t>
      </w:r>
      <w:r>
        <w:rPr>
          <w:rFonts w:ascii="Arial" w:cs="Arial" w:eastAsia="Arial" w:hAnsi="Arial"/>
          <w:sz w:val="15"/>
          <w:szCs w:val="15"/>
          <w:color w:val="auto"/>
        </w:rPr>
        <w:t>Any holding over by Tenant after the expiration or earlier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the Term shall be treated as a tenancy at sufferance, at the Rent set forth below, and otherwise on the terms and conditions of this Lease. Landlord and Tenant recognize that Landlord’s damages resulting from Tenant’s failure to timely surrender possession of the Premises may be substantial, may exceed the amount of the Rent payable hereunder, and will be impossible to accurately measure. Accordingly, if possession of the Premises is not surrendered to Landlord by the Expiration Date or sooner termination of this Lease, in addition to any other rights or remedies Landlord may have hereunder or at law, Tenant shall pay to Landlord for each month (or any portion thereof) during which Tenant holds over in the Premises after the Expiration Date or sooner termination of this Lease, a holdover charge calculated as follows: (i) for each day during which Tenant holds over in the Premises after the Expiration Date or sooner termination of this Lease, through and including the day which is thirty</w:t>
      </w:r>
    </w:p>
    <w:p>
      <w:pPr>
        <w:spacing w:after="0" w:line="8" w:lineRule="exact"/>
        <w:rPr>
          <w:sz w:val="20"/>
          <w:szCs w:val="20"/>
          <w:color w:val="auto"/>
        </w:rPr>
      </w:pPr>
    </w:p>
    <w:p>
      <w:pPr>
        <w:jc w:val="both"/>
        <w:ind w:left="1220" w:right="1239" w:firstLine="4"/>
        <w:spacing w:after="0" w:line="234" w:lineRule="auto"/>
        <w:tabs>
          <w:tab w:leader="none" w:pos="1544" w:val="left"/>
        </w:tabs>
        <w:numPr>
          <w:ilvl w:val="0"/>
          <w:numId w:val="660"/>
        </w:numPr>
        <w:rPr>
          <w:rFonts w:ascii="Arial" w:cs="Arial" w:eastAsia="Arial" w:hAnsi="Arial"/>
          <w:sz w:val="15"/>
          <w:szCs w:val="15"/>
          <w:color w:val="auto"/>
        </w:rPr>
      </w:pPr>
      <w:r>
        <w:rPr>
          <w:rFonts w:ascii="Arial" w:cs="Arial" w:eastAsia="Arial" w:hAnsi="Arial"/>
          <w:sz w:val="15"/>
          <w:szCs w:val="15"/>
          <w:color w:val="auto"/>
        </w:rPr>
        <w:t>days thereafter, a per diem holdover charge calculated at a rate equal to the greater of (x) 150% of the daily Fixed Rent payable under this Lease for the last full calendar month of the Term, plus Tenant’s Tax Payment, Tenant’s Operating Payment, and Tenant’s Insurance Payment for said period of time; or (y) the then-applicable fair market rental value of the Premises, as reasonably determined by Landlord; and (ii) if Tenant holds over in the Premises for more than thirty (30) days after the Expiration Date or sooner termination of this Lease, a per diem holdover charge calculated at a rate equal to the greater of (x) 200% of the daily Fixed Rent payable under this Lease for the last full calendar month of the Term, plus Tenant’s Tax Payment, Tenant’s Operating Payment, and Tenant’s Insurance Payment for said period of time; or (y) the then-applicable fair market rental value of the Premises, as reasonably determined by Landlord. In addition, if such holding over continues for more than thirty (30) days after the Expiration Date or sooner termination of this Lease, then Tenant shall (x) be liable to Landlord for (1) any payment or rent concession which Landlord may be required to make to any tenant obtained by Landlord for all or any part of the Premises (a “</w:t>
      </w:r>
      <w:r>
        <w:rPr>
          <w:rFonts w:ascii="Arial" w:cs="Arial" w:eastAsia="Arial" w:hAnsi="Arial"/>
          <w:sz w:val="15"/>
          <w:szCs w:val="15"/>
          <w:b w:val="1"/>
          <w:bCs w:val="1"/>
          <w:color w:val="auto"/>
        </w:rPr>
        <w:t>New Tenant</w:t>
      </w:r>
      <w:r>
        <w:rPr>
          <w:rFonts w:ascii="Arial" w:cs="Arial" w:eastAsia="Arial" w:hAnsi="Arial"/>
          <w:sz w:val="15"/>
          <w:szCs w:val="15"/>
          <w:color w:val="auto"/>
        </w:rPr>
        <w:t>”) in order to induce such New Tenant not to terminate its lease by reason of the holding-over by Tenant, and</w:t>
      </w:r>
    </w:p>
    <w:p>
      <w:pPr>
        <w:jc w:val="both"/>
        <w:ind w:left="1220" w:right="1239" w:firstLine="4"/>
        <w:spacing w:after="0" w:line="237" w:lineRule="auto"/>
        <w:tabs>
          <w:tab w:leader="none" w:pos="1453" w:val="left"/>
        </w:tabs>
        <w:numPr>
          <w:ilvl w:val="0"/>
          <w:numId w:val="661"/>
        </w:numPr>
        <w:rPr>
          <w:rFonts w:ascii="Arial" w:cs="Arial" w:eastAsia="Arial" w:hAnsi="Arial"/>
          <w:sz w:val="15"/>
          <w:szCs w:val="15"/>
          <w:color w:val="auto"/>
        </w:rPr>
      </w:pPr>
      <w:r>
        <w:rPr>
          <w:rFonts w:ascii="Arial" w:cs="Arial" w:eastAsia="Arial" w:hAnsi="Arial"/>
          <w:sz w:val="15"/>
          <w:szCs w:val="15"/>
          <w:color w:val="auto"/>
        </w:rPr>
        <w:t xml:space="preserve">the loss of the benefit of the bargain if any New Tenant shall terminate its lease by reason of the holding-over by Tenant, and (y) indemnify Landlord against (i) all claims for damages by any New Tenant, and (ii) all consequential, indirect, and special damages incurred by Landlord arising out of or resulting of any such holding-over by Tenant. No holding-over by Tenant, nor the payment to Landlord of the amounts specified above, shall operate to extend the Term hereof. Nothing herein contained shall be deemed to permit Tenant to retain possession of the Premises after the Expiration Date or sooner termination of this Lease, and no acceptance by Landlord of payments from Tenant after the Expiration Date or sooner termination of this Lease shall be deemed to be other than on account of the amount to be paid by Tenant in accordance with the provisions of this </w:t>
      </w:r>
      <w:r>
        <w:rPr>
          <w:rFonts w:ascii="Arial" w:cs="Arial" w:eastAsia="Arial" w:hAnsi="Arial"/>
          <w:sz w:val="15"/>
          <w:szCs w:val="15"/>
          <w:b w:val="1"/>
          <w:bCs w:val="1"/>
          <w:color w:val="auto"/>
        </w:rPr>
        <w:t>Section 18.3</w:t>
      </w:r>
      <w:r>
        <w:rPr>
          <w:rFonts w:ascii="Arial" w:cs="Arial" w:eastAsia="Arial" w:hAnsi="Arial"/>
          <w:sz w:val="15"/>
          <w:szCs w:val="15"/>
          <w:color w:val="auto"/>
        </w:rPr>
        <w: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23" w:name="page724"/>
    <w:bookmarkEnd w:id="723"/>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Section 18.4. </w:t>
      </w:r>
      <w:r>
        <w:rPr>
          <w:rFonts w:ascii="Arial" w:cs="Arial" w:eastAsia="Arial" w:hAnsi="Arial"/>
          <w:sz w:val="15"/>
          <w:szCs w:val="15"/>
          <w:b w:val="1"/>
          <w:bCs w:val="1"/>
          <w:u w:val="single" w:color="auto"/>
          <w:color w:val="auto"/>
        </w:rPr>
        <w:t>Survival</w:t>
      </w:r>
      <w:r>
        <w:rPr>
          <w:rFonts w:ascii="Arial" w:cs="Arial" w:eastAsia="Arial" w:hAnsi="Arial"/>
          <w:sz w:val="15"/>
          <w:szCs w:val="15"/>
          <w:b w:val="1"/>
          <w:bCs w:val="1"/>
          <w:color w:val="auto"/>
        </w:rPr>
        <w:t xml:space="preserve">. </w:t>
      </w:r>
      <w:r>
        <w:rPr>
          <w:rFonts w:ascii="Arial" w:cs="Arial" w:eastAsia="Arial" w:hAnsi="Arial"/>
          <w:sz w:val="15"/>
          <w:szCs w:val="15"/>
          <w:color w:val="auto"/>
        </w:rPr>
        <w:t>Tenant’s obligations under this</w:t>
      </w:r>
      <w:r>
        <w:rPr>
          <w:rFonts w:ascii="Arial" w:cs="Arial" w:eastAsia="Arial" w:hAnsi="Arial"/>
          <w:sz w:val="15"/>
          <w:szCs w:val="15"/>
          <w:b w:val="1"/>
          <w:bCs w:val="1"/>
          <w:color w:val="auto"/>
        </w:rPr>
        <w:t xml:space="preserve"> Article 18 </w:t>
      </w:r>
      <w:r>
        <w:rPr>
          <w:rFonts w:ascii="Arial" w:cs="Arial" w:eastAsia="Arial" w:hAnsi="Arial"/>
          <w:sz w:val="15"/>
          <w:szCs w:val="15"/>
          <w:color w:val="auto"/>
        </w:rPr>
        <w:t>shall survive the</w:t>
      </w:r>
      <w:r>
        <w:rPr>
          <w:rFonts w:ascii="Arial" w:cs="Arial" w:eastAsia="Arial" w:hAnsi="Arial"/>
          <w:sz w:val="15"/>
          <w:szCs w:val="15"/>
          <w:b w:val="1"/>
          <w:bCs w:val="1"/>
          <w:color w:val="auto"/>
        </w:rPr>
        <w:t xml:space="preserve"> </w:t>
      </w:r>
      <w:r>
        <w:rPr>
          <w:rFonts w:ascii="Arial" w:cs="Arial" w:eastAsia="Arial" w:hAnsi="Arial"/>
          <w:sz w:val="15"/>
          <w:szCs w:val="15"/>
          <w:color w:val="auto"/>
        </w:rPr>
        <w:t>expiration or earlier termination of this Lease.</w:t>
      </w:r>
    </w:p>
    <w:p>
      <w:pPr>
        <w:spacing w:after="0" w:line="106"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ARTICLE 19</w:t>
      </w:r>
    </w:p>
    <w:p>
      <w:pPr>
        <w:spacing w:after="0" w:line="164" w:lineRule="exact"/>
        <w:rPr>
          <w:sz w:val="20"/>
          <w:szCs w:val="20"/>
          <w:color w:val="auto"/>
        </w:rPr>
      </w:pPr>
    </w:p>
    <w:p>
      <w:pPr>
        <w:ind w:left="3760"/>
        <w:spacing w:after="0"/>
        <w:rPr>
          <w:sz w:val="20"/>
          <w:szCs w:val="20"/>
          <w:color w:val="auto"/>
        </w:rPr>
      </w:pPr>
      <w:r>
        <w:rPr>
          <w:rFonts w:ascii="Arial" w:cs="Arial" w:eastAsia="Arial" w:hAnsi="Arial"/>
          <w:sz w:val="15"/>
          <w:szCs w:val="15"/>
          <w:b w:val="1"/>
          <w:bCs w:val="1"/>
          <w:color w:val="auto"/>
        </w:rPr>
        <w:t>QUIET ENJOYMENT</w:t>
      </w:r>
    </w:p>
    <w:p>
      <w:pPr>
        <w:spacing w:after="0" w:line="166"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color w:val="auto"/>
        </w:rPr>
        <w:t>Provided this Lease is in full force and effect and no Event of Default then exists, Tenant may peaceably and quietly enjoy the Premises without hindrance by Landlord or any person lawfully claiming through or under Landlord, subject to the terms and conditions of this Lease. The foregoing provisions are in lieu of any other covenant of quiet enjoyment, express or implied.</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20</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 SURRENDER; NO WAIVER</w:t>
      </w:r>
    </w:p>
    <w:p>
      <w:pPr>
        <w:spacing w:after="0" w:line="164"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20.1. </w:t>
      </w:r>
      <w:r>
        <w:rPr>
          <w:rFonts w:ascii="Arial" w:cs="Arial" w:eastAsia="Arial" w:hAnsi="Arial"/>
          <w:sz w:val="15"/>
          <w:szCs w:val="15"/>
          <w:b w:val="1"/>
          <w:bCs w:val="1"/>
          <w:u w:val="single" w:color="auto"/>
          <w:color w:val="auto"/>
        </w:rPr>
        <w:t>No Surrender or Release</w:t>
      </w:r>
      <w:r>
        <w:rPr>
          <w:rFonts w:ascii="Arial" w:cs="Arial" w:eastAsia="Arial" w:hAnsi="Arial"/>
          <w:sz w:val="15"/>
          <w:szCs w:val="15"/>
          <w:b w:val="1"/>
          <w:bCs w:val="1"/>
          <w:color w:val="auto"/>
        </w:rPr>
        <w:t xml:space="preserve">. </w:t>
      </w:r>
      <w:r>
        <w:rPr>
          <w:rFonts w:ascii="Arial" w:cs="Arial" w:eastAsia="Arial" w:hAnsi="Arial"/>
          <w:sz w:val="15"/>
          <w:szCs w:val="15"/>
          <w:color w:val="auto"/>
        </w:rPr>
        <w:t>No act or thing done by Landlord or Landlord’s</w:t>
      </w:r>
      <w:r>
        <w:rPr>
          <w:rFonts w:ascii="Arial" w:cs="Arial" w:eastAsia="Arial" w:hAnsi="Arial"/>
          <w:sz w:val="15"/>
          <w:szCs w:val="15"/>
          <w:b w:val="1"/>
          <w:bCs w:val="1"/>
          <w:color w:val="auto"/>
        </w:rPr>
        <w:t xml:space="preserve"> </w:t>
      </w:r>
      <w:r>
        <w:rPr>
          <w:rFonts w:ascii="Arial" w:cs="Arial" w:eastAsia="Arial" w:hAnsi="Arial"/>
          <w:sz w:val="15"/>
          <w:szCs w:val="15"/>
          <w:color w:val="auto"/>
        </w:rPr>
        <w:t>agents or employees during the Term shall be deemed an acceptance of a surrender of the Premises, and no provision of this Lease shall be deemed to have been waived by either Landlord or Tenant, unless such waiver is in writing and is signed by the waiving party. Without limitation, the receipt or acceptance by Landlord or Landlord’s Agent of the keys to the Premises shall not be deemed an acceptance of a surrender of the Premises or a termination of this Lease.</w:t>
      </w:r>
    </w:p>
    <w:p>
      <w:pPr>
        <w:spacing w:after="0" w:line="306"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20.2. </w:t>
      </w:r>
      <w:r>
        <w:rPr>
          <w:rFonts w:ascii="Arial" w:cs="Arial" w:eastAsia="Arial" w:hAnsi="Arial"/>
          <w:sz w:val="15"/>
          <w:szCs w:val="15"/>
          <w:b w:val="1"/>
          <w:bCs w:val="1"/>
          <w:u w:val="single" w:color="auto"/>
          <w:color w:val="auto"/>
        </w:rPr>
        <w:t>No Waiver</w:t>
      </w:r>
      <w:r>
        <w:rPr>
          <w:rFonts w:ascii="Arial" w:cs="Arial" w:eastAsia="Arial" w:hAnsi="Arial"/>
          <w:sz w:val="15"/>
          <w:szCs w:val="15"/>
          <w:b w:val="1"/>
          <w:bCs w:val="1"/>
          <w:color w:val="auto"/>
        </w:rPr>
        <w:t xml:space="preserve">. </w:t>
      </w:r>
      <w:r>
        <w:rPr>
          <w:rFonts w:ascii="Arial" w:cs="Arial" w:eastAsia="Arial" w:hAnsi="Arial"/>
          <w:sz w:val="15"/>
          <w:szCs w:val="15"/>
          <w:color w:val="auto"/>
        </w:rPr>
        <w:t>The failure of either party to seek redress for violation of, or to</w:t>
      </w:r>
      <w:r>
        <w:rPr>
          <w:rFonts w:ascii="Arial" w:cs="Arial" w:eastAsia="Arial" w:hAnsi="Arial"/>
          <w:sz w:val="15"/>
          <w:szCs w:val="15"/>
          <w:b w:val="1"/>
          <w:bCs w:val="1"/>
          <w:color w:val="auto"/>
        </w:rPr>
        <w:t xml:space="preserve"> </w:t>
      </w:r>
      <w:r>
        <w:rPr>
          <w:rFonts w:ascii="Arial" w:cs="Arial" w:eastAsia="Arial" w:hAnsi="Arial"/>
          <w:sz w:val="15"/>
          <w:szCs w:val="15"/>
          <w:color w:val="auto"/>
        </w:rPr>
        <w:t>insist upon the strict performance of, any covenant or condition of this Lease, or any of the Rules and Regulations, shall not be construed as a waiver or relinquishment for the future performance of such obligations of this Lease or the Rules and Regulations, or of the right to exercise such election but the same shall continue and remain in full force and effect with respect to any subsequent breach, act or omission. The receipt by Landlord of any Rent payable pursuant to this Lease or any other sums with knowledge of the breach of any covenant of this Lease shall not be deemed a waiver of such breach. No payment by Tenant or receipt by Landlord of a lesser amount than the monthly Rent herein stipulated shall be deemed to be other than a payment on account of the earliest stipulated Rent, or as Landlord may elect to apply such payment, nor shall any endorsement or statement on any check or any letter accompanying any check or payment as Rent be deemed an accord and satisfaction, and Landlord may accept such check or payment without prejudice to Landlord’s right to recover the balance of such Rent or pursue any other remedy provided in this Lease.</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24" w:name="page725"/>
    <w:bookmarkEnd w:id="724"/>
    <w:p>
      <w:pPr>
        <w:jc w:val="center"/>
        <w:ind w:right="19"/>
        <w:spacing w:after="0"/>
        <w:rPr>
          <w:sz w:val="20"/>
          <w:szCs w:val="20"/>
          <w:color w:val="auto"/>
        </w:rPr>
      </w:pPr>
      <w:r>
        <w:rPr>
          <w:rFonts w:ascii="Arial" w:cs="Arial" w:eastAsia="Arial" w:hAnsi="Arial"/>
          <w:sz w:val="15"/>
          <w:szCs w:val="15"/>
          <w:b w:val="1"/>
          <w:bCs w:val="1"/>
          <w:color w:val="auto"/>
        </w:rPr>
        <w:t>ARTICLE 21</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WAIVER OF TRIAL BY JURY; COUNTERCLAIM</w:t>
      </w:r>
    </w:p>
    <w:p>
      <w:pPr>
        <w:spacing w:after="0" w:line="16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21.1. </w:t>
      </w:r>
      <w:r>
        <w:rPr>
          <w:rFonts w:ascii="Arial" w:cs="Arial" w:eastAsia="Arial" w:hAnsi="Arial"/>
          <w:sz w:val="15"/>
          <w:szCs w:val="15"/>
          <w:b w:val="1"/>
          <w:bCs w:val="1"/>
          <w:u w:val="single" w:color="auto"/>
          <w:color w:val="auto"/>
        </w:rPr>
        <w:t>Jury Trial Waiver</w:t>
      </w:r>
      <w:r>
        <w:rPr>
          <w:rFonts w:ascii="Arial" w:cs="Arial" w:eastAsia="Arial" w:hAnsi="Arial"/>
          <w:sz w:val="15"/>
          <w:szCs w:val="15"/>
          <w:color w:val="auto"/>
        </w:rPr>
        <w:t>. LANDLORD AND TENANT HEREBY WAIVE TRIAL</w:t>
      </w:r>
      <w:r>
        <w:rPr>
          <w:rFonts w:ascii="Arial" w:cs="Arial" w:eastAsia="Arial" w:hAnsi="Arial"/>
          <w:sz w:val="15"/>
          <w:szCs w:val="15"/>
          <w:b w:val="1"/>
          <w:bCs w:val="1"/>
          <w:color w:val="auto"/>
        </w:rPr>
        <w:t xml:space="preserve"> </w:t>
      </w:r>
      <w:r>
        <w:rPr>
          <w:rFonts w:ascii="Arial" w:cs="Arial" w:eastAsia="Arial" w:hAnsi="Arial"/>
          <w:sz w:val="15"/>
          <w:szCs w:val="15"/>
          <w:color w:val="auto"/>
        </w:rPr>
        <w:t>BY JURY IN ANY ACTION, PROCEEDING OR COUNTERCLAIM BROUGHT BY EITHER PARTY AGAINST THE OTHER ON ANY MATTERS IN ANY WAY ARISING OUT OF OR CONNECTED WITH THIS LEASE, THE RELATIONSHIP OF LANDLORD AND TENANT, TENANT’S USE OR OCCUPANCY OF THE PREMISES, OR THE ENFORCEMENT OF ANY REMEDY UNDER ANY STATUTE, EMERGENCY OR OTHERWISE.</w:t>
      </w:r>
    </w:p>
    <w:p>
      <w:pPr>
        <w:spacing w:after="0" w:line="13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21.2. </w:t>
      </w:r>
      <w:r>
        <w:rPr>
          <w:rFonts w:ascii="Arial" w:cs="Arial" w:eastAsia="Arial" w:hAnsi="Arial"/>
          <w:sz w:val="15"/>
          <w:szCs w:val="15"/>
          <w:b w:val="1"/>
          <w:bCs w:val="1"/>
          <w:u w:val="single" w:color="auto"/>
          <w:color w:val="auto"/>
        </w:rPr>
        <w:t>Waiver of Counterclaim</w:t>
      </w:r>
      <w:r>
        <w:rPr>
          <w:rFonts w:ascii="Arial" w:cs="Arial" w:eastAsia="Arial" w:hAnsi="Arial"/>
          <w:sz w:val="15"/>
          <w:szCs w:val="15"/>
          <w:b w:val="1"/>
          <w:bCs w:val="1"/>
          <w:color w:val="auto"/>
        </w:rPr>
        <w:t xml:space="preserve">. </w:t>
      </w:r>
      <w:r>
        <w:rPr>
          <w:rFonts w:ascii="Arial" w:cs="Arial" w:eastAsia="Arial" w:hAnsi="Arial"/>
          <w:sz w:val="15"/>
          <w:szCs w:val="15"/>
          <w:color w:val="auto"/>
        </w:rPr>
        <w:t>If Landlord commences any summary</w:t>
      </w:r>
      <w:r>
        <w:rPr>
          <w:rFonts w:ascii="Arial" w:cs="Arial" w:eastAsia="Arial" w:hAnsi="Arial"/>
          <w:sz w:val="15"/>
          <w:szCs w:val="15"/>
          <w:b w:val="1"/>
          <w:bCs w:val="1"/>
          <w:color w:val="auto"/>
        </w:rPr>
        <w:t xml:space="preserve"> </w:t>
      </w:r>
      <w:r>
        <w:rPr>
          <w:rFonts w:ascii="Arial" w:cs="Arial" w:eastAsia="Arial" w:hAnsi="Arial"/>
          <w:sz w:val="15"/>
          <w:szCs w:val="15"/>
          <w:color w:val="auto"/>
        </w:rPr>
        <w:t>proceeding against Tenant, Tenant will not interpose any counterclaim of any nature or description in any such proceeding (unless failure to interpose such counterclaim would preclude Tenant from asserting in a separate action the claim which is the subject of such counterclaim), and will not seek to consolidate such proceeding with any other action which may have been or is thereafter brought in any other court by Tenant.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NOTICES</w:t>
      </w:r>
    </w:p>
    <w:p>
      <w:pPr>
        <w:spacing w:after="0" w:line="166"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color w:val="auto"/>
        </w:rPr>
        <w:t xml:space="preserve">Except as otherwise expressly provided in this Lease, all consents, notices, demands, requests, approvals or other communications given under this Lease shall be in writing and shall be deemed sufficiently given or rendered if delivered by hand (provided a signed receipt is obtained) or if sent by registered or certified mail (return receipt requested) or by a nationally recognized overnight delivery service making receipted deliveries, addressed to Landlord and Tenant as set forth in </w:t>
      </w:r>
      <w:r>
        <w:rPr>
          <w:rFonts w:ascii="Arial" w:cs="Arial" w:eastAsia="Arial" w:hAnsi="Arial"/>
          <w:sz w:val="15"/>
          <w:szCs w:val="15"/>
          <w:b w:val="1"/>
          <w:bCs w:val="1"/>
          <w:color w:val="auto"/>
        </w:rPr>
        <w:t>Article 1</w:t>
      </w:r>
      <w:r>
        <w:rPr>
          <w:rFonts w:ascii="Arial" w:cs="Arial" w:eastAsia="Arial" w:hAnsi="Arial"/>
          <w:sz w:val="15"/>
          <w:szCs w:val="15"/>
          <w:color w:val="auto"/>
        </w:rPr>
        <w:t xml:space="preserve">, and to any Mortgagee or Lessor who shall require copies of notices and whose address is provided to Tenant, or to such other address(es) as Landlord, Tenant or any Mortgagee or Lessor may designate as its new address(es) for such purpose by notice given to the other in accordance with the provisions of this </w:t>
      </w:r>
      <w:r>
        <w:rPr>
          <w:rFonts w:ascii="Arial" w:cs="Arial" w:eastAsia="Arial" w:hAnsi="Arial"/>
          <w:sz w:val="15"/>
          <w:szCs w:val="15"/>
          <w:b w:val="1"/>
          <w:bCs w:val="1"/>
          <w:color w:val="auto"/>
        </w:rPr>
        <w:t>Article 22</w:t>
      </w:r>
      <w:r>
        <w:rPr>
          <w:rFonts w:ascii="Arial" w:cs="Arial" w:eastAsia="Arial" w:hAnsi="Arial"/>
          <w:sz w:val="15"/>
          <w:szCs w:val="15"/>
          <w:color w:val="auto"/>
        </w:rPr>
        <w:t xml:space="preserve">. Any such approval, consent, notice, demand, request or other communication shall be deemed to have been given on the date of receipted delivery, refusal to accept delivery or when delivery is first attempted but cannot be made due to a change of address for which no notice is given or three (3) Business Days after it shall have been mailed as provided in this </w:t>
      </w:r>
      <w:r>
        <w:rPr>
          <w:rFonts w:ascii="Arial" w:cs="Arial" w:eastAsia="Arial" w:hAnsi="Arial"/>
          <w:sz w:val="15"/>
          <w:szCs w:val="15"/>
          <w:b w:val="1"/>
          <w:bCs w:val="1"/>
          <w:color w:val="auto"/>
        </w:rPr>
        <w:t>Article 22</w:t>
      </w:r>
      <w:r>
        <w:rPr>
          <w:rFonts w:ascii="Arial" w:cs="Arial" w:eastAsia="Arial" w:hAnsi="Arial"/>
          <w:sz w:val="15"/>
          <w:szCs w:val="15"/>
          <w:color w:val="auto"/>
        </w:rPr>
        <w:t>, whichever is earlier.</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23</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RULES AND REGULATIONS</w:t>
      </w:r>
    </w:p>
    <w:p>
      <w:pPr>
        <w:spacing w:after="0" w:line="166"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color w:val="auto"/>
        </w:rPr>
        <w:t>Tenant and all Tenant Parties shall observe and comply with the Rules and Regulations, as supplemented or amended from time to time. Landlord reserves the right, from time to time, to adopt additional commercially reasonable Rules and Regulations and to amend the Rules and Regulations then in effect. In the event of any conflict or inconsistency between this Lease and such Rules and Regulations, the terms of this Lease shall govern and control.</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25" w:name="page726"/>
    <w:bookmarkEnd w:id="725"/>
    <w:p>
      <w:pPr>
        <w:jc w:val="center"/>
        <w:ind w:right="19"/>
        <w:spacing w:after="0"/>
        <w:rPr>
          <w:sz w:val="20"/>
          <w:szCs w:val="20"/>
          <w:color w:val="auto"/>
        </w:rPr>
      </w:pPr>
      <w:r>
        <w:rPr>
          <w:rFonts w:ascii="Arial" w:cs="Arial" w:eastAsia="Arial" w:hAnsi="Arial"/>
          <w:sz w:val="15"/>
          <w:szCs w:val="15"/>
          <w:b w:val="1"/>
          <w:bCs w:val="1"/>
          <w:color w:val="auto"/>
        </w:rPr>
        <w:t>ARTICLE 24</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BROKER</w:t>
      </w:r>
    </w:p>
    <w:p>
      <w:pPr>
        <w:spacing w:after="0" w:line="166"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color w:val="auto"/>
        </w:rPr>
        <w:t>Landlord has retained Landlord’s Broker as leasing agent in connection with this Lease and Landlord will be solely responsible for any fees that may be payable to Landlord’s Broker. Landlord agrees to pay a commission to Tenant’s Broker pursuant to a separate agreement between Landlord and Tenant’s Broker. Each of Landlord and Tenant represents and warrants to the other that neither it nor its agents have dealt with any broker in connection with this Lease other than Landlord’s Broker and Tenant’s Broker. Each of Landlord and Tenant shall indemnify, defend, protect and hold the other party harmless from and against any and all Losses which the indemnified party may incur by reason of any claim of or liability to any broker, finder or like agent (other than Landlord’s Broker and Tenant’s Broker) arising out of any dealings claimed to have occurred between the indemnifying party and the claimant in connection with this Lease, and/or the above representation being false.</w:t>
      </w:r>
    </w:p>
    <w:p>
      <w:pPr>
        <w:spacing w:after="0" w:line="135" w:lineRule="exact"/>
        <w:rPr>
          <w:sz w:val="20"/>
          <w:szCs w:val="20"/>
          <w:color w:val="auto"/>
        </w:rPr>
      </w:pPr>
    </w:p>
    <w:p>
      <w:pPr>
        <w:ind w:left="4060"/>
        <w:spacing w:after="0"/>
        <w:rPr>
          <w:sz w:val="20"/>
          <w:szCs w:val="20"/>
          <w:color w:val="auto"/>
        </w:rPr>
      </w:pPr>
      <w:r>
        <w:rPr>
          <w:rFonts w:ascii="Arial" w:cs="Arial" w:eastAsia="Arial" w:hAnsi="Arial"/>
          <w:sz w:val="15"/>
          <w:szCs w:val="15"/>
          <w:b w:val="1"/>
          <w:bCs w:val="1"/>
          <w:color w:val="auto"/>
        </w:rPr>
        <w:t>ARTICLE 25</w:t>
      </w:r>
    </w:p>
    <w:p>
      <w:pPr>
        <w:spacing w:after="0" w:line="164" w:lineRule="exact"/>
        <w:rPr>
          <w:sz w:val="20"/>
          <w:szCs w:val="20"/>
          <w:color w:val="auto"/>
        </w:rPr>
      </w:pPr>
    </w:p>
    <w:p>
      <w:pPr>
        <w:ind w:left="4080"/>
        <w:spacing w:after="0"/>
        <w:rPr>
          <w:sz w:val="20"/>
          <w:szCs w:val="20"/>
          <w:color w:val="auto"/>
        </w:rPr>
      </w:pPr>
      <w:r>
        <w:rPr>
          <w:rFonts w:ascii="Arial" w:cs="Arial" w:eastAsia="Arial" w:hAnsi="Arial"/>
          <w:sz w:val="15"/>
          <w:szCs w:val="15"/>
          <w:b w:val="1"/>
          <w:bCs w:val="1"/>
          <w:color w:val="auto"/>
        </w:rPr>
        <w:t>INDEMNITY</w:t>
      </w:r>
    </w:p>
    <w:p>
      <w:pPr>
        <w:spacing w:after="0" w:line="164"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25.1. </w:t>
      </w:r>
      <w:r>
        <w:rPr>
          <w:rFonts w:ascii="Arial" w:cs="Arial" w:eastAsia="Arial" w:hAnsi="Arial"/>
          <w:sz w:val="15"/>
          <w:szCs w:val="15"/>
          <w:b w:val="1"/>
          <w:bCs w:val="1"/>
          <w:u w:val="single" w:color="auto"/>
          <w:color w:val="auto"/>
        </w:rPr>
        <w:t>Tenant’s Indemnity</w:t>
      </w:r>
      <w:r>
        <w:rPr>
          <w:rFonts w:ascii="Arial" w:cs="Arial" w:eastAsia="Arial" w:hAnsi="Arial"/>
          <w:sz w:val="15"/>
          <w:szCs w:val="15"/>
          <w:b w:val="1"/>
          <w:bCs w:val="1"/>
          <w:color w:val="auto"/>
        </w:rPr>
        <w:t xml:space="preserve">. </w:t>
      </w:r>
      <w:r>
        <w:rPr>
          <w:rFonts w:ascii="Arial" w:cs="Arial" w:eastAsia="Arial" w:hAnsi="Arial"/>
          <w:sz w:val="15"/>
          <w:szCs w:val="15"/>
          <w:color w:val="auto"/>
        </w:rPr>
        <w:t>Excepting only to the extent otherwise provided in</w:t>
      </w:r>
      <w:r>
        <w:rPr>
          <w:rFonts w:ascii="Arial" w:cs="Arial" w:eastAsia="Arial" w:hAnsi="Arial"/>
          <w:sz w:val="15"/>
          <w:szCs w:val="15"/>
          <w:b w:val="1"/>
          <w:bCs w:val="1"/>
          <w:color w:val="auto"/>
        </w:rPr>
        <w:t xml:space="preserve"> </w:t>
      </w:r>
      <w:r>
        <w:rPr>
          <w:rFonts w:ascii="Arial" w:cs="Arial" w:eastAsia="Arial" w:hAnsi="Arial"/>
          <w:sz w:val="15"/>
          <w:szCs w:val="15"/>
          <w:color w:val="auto"/>
        </w:rPr>
        <w:t>M.G.L. Chapter 186, Section 15. Tenant shall indemnify, defend, protect and hold harmless each of the Indemnitees from and against any and all Losses, resulting from any claims (i) against the Indemnitees arising from any the negligence or willful misconduct of any of the Tenant Parties, (ii) against the Indemnitees arising from any accident, injury or damage to any person or to the property of any person and occurring in the Premises or the areas of the Building with respect to which Tenant is granted exclusive rights, and (iii) against the Indemnitees resulting from any breach, violation or nonperformance of any covenant, condition or agreement of this Lease on the part of Tenant to be fulfilled, kept, observed or performed.</w:t>
      </w:r>
    </w:p>
    <w:p>
      <w:pPr>
        <w:spacing w:after="0" w:line="136"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Section 25.2. </w:t>
      </w:r>
      <w:r>
        <w:rPr>
          <w:rFonts w:ascii="Arial" w:cs="Arial" w:eastAsia="Arial" w:hAnsi="Arial"/>
          <w:sz w:val="15"/>
          <w:szCs w:val="15"/>
          <w:b w:val="1"/>
          <w:bCs w:val="1"/>
          <w:u w:val="single" w:color="auto"/>
          <w:color w:val="auto"/>
        </w:rPr>
        <w:t>Landlord’s Indemnity</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indemnify, defend and hold</w:t>
      </w:r>
      <w:r>
        <w:rPr>
          <w:rFonts w:ascii="Arial" w:cs="Arial" w:eastAsia="Arial" w:hAnsi="Arial"/>
          <w:sz w:val="15"/>
          <w:szCs w:val="15"/>
          <w:b w:val="1"/>
          <w:bCs w:val="1"/>
          <w:color w:val="auto"/>
        </w:rPr>
        <w:t xml:space="preserve"> </w:t>
      </w:r>
      <w:r>
        <w:rPr>
          <w:rFonts w:ascii="Arial" w:cs="Arial" w:eastAsia="Arial" w:hAnsi="Arial"/>
          <w:sz w:val="15"/>
          <w:szCs w:val="15"/>
          <w:color w:val="auto"/>
        </w:rPr>
        <w:t>harmless Tenant from and against all Losses incurred by Tenant arising from any accident, injury or damage to any person or the property of any person in or about the Common Areas (specifically excluding the Premises) to the extent caused by the negligence or willful misconduct of Landlord or its employees or agents.</w:t>
      </w:r>
    </w:p>
    <w:p>
      <w:pPr>
        <w:spacing w:after="0" w:line="132"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25.3. </w:t>
      </w:r>
      <w:r>
        <w:rPr>
          <w:rFonts w:ascii="Arial" w:cs="Arial" w:eastAsia="Arial" w:hAnsi="Arial"/>
          <w:sz w:val="15"/>
          <w:szCs w:val="15"/>
          <w:b w:val="1"/>
          <w:bCs w:val="1"/>
          <w:u w:val="single" w:color="auto"/>
          <w:color w:val="auto"/>
        </w:rPr>
        <w:t>Defense and Settlement</w:t>
      </w:r>
      <w:r>
        <w:rPr>
          <w:rFonts w:ascii="Arial" w:cs="Arial" w:eastAsia="Arial" w:hAnsi="Arial"/>
          <w:sz w:val="15"/>
          <w:szCs w:val="15"/>
          <w:color w:val="auto"/>
        </w:rPr>
        <w:t>. If any claim, action or proceeding is made or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brought against any party entitled to indemnification hereunder, then such party shall provide prompt notice thereof to the indemnifying party and thereafter, upon demand, the indemnifying party, at its sole cost and expense, shall resist or defend such claim, action or proceeding in the Indemnitee’s name (if necessary), by attorneys approved by the party entitled to indemnification hereunder, which approval shall not be unreasonably withheld (attorneys for the insurer of the indemnifying party shall be deemed approved for purposes of this </w:t>
      </w:r>
      <w:r>
        <w:rPr>
          <w:rFonts w:ascii="Arial" w:cs="Arial" w:eastAsia="Arial" w:hAnsi="Arial"/>
          <w:sz w:val="15"/>
          <w:szCs w:val="15"/>
          <w:b w:val="1"/>
          <w:bCs w:val="1"/>
          <w:color w:val="auto"/>
        </w:rPr>
        <w:t>Section 25.3</w:t>
      </w:r>
      <w:r>
        <w:rPr>
          <w:rFonts w:ascii="Arial" w:cs="Arial" w:eastAsia="Arial" w:hAnsi="Arial"/>
          <w:sz w:val="15"/>
          <w:szCs w:val="15"/>
          <w:color w:val="auto"/>
        </w:rPr>
        <w:t>). Notwithstanding the foregoing, an Indemnitee may retain its own attorneys to participate or assist in defending any claim, action or proceeding involving potential liability in excess of the amount available under its liability insurance for such claim and the indemnifying party shall pay the reasonable fees and disbursements of such attorneys. If the indemnifying party fails to diligently defend or if there is a legal conflict or other conflict of interest, then the Indemnitee may retain separate counsel at the indemnifying party’s expense. Notwithstanding anything herein contained to the contrary, the indemnifying party may direct the Indemnitee to settle any claim, suit or other proceeding provided that (a) such settlement shall involve no obligation on the part of the Indemnitee other than the</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26" w:name="page727"/>
    <w:bookmarkEnd w:id="726"/>
    <w:p>
      <w:pPr>
        <w:jc w:val="both"/>
        <w:ind w:left="1220" w:right="1239"/>
        <w:spacing w:after="0"/>
        <w:rPr>
          <w:sz w:val="20"/>
          <w:szCs w:val="20"/>
          <w:color w:val="auto"/>
        </w:rPr>
      </w:pPr>
      <w:r>
        <w:rPr>
          <w:rFonts w:ascii="Arial" w:cs="Arial" w:eastAsia="Arial" w:hAnsi="Arial"/>
          <w:sz w:val="15"/>
          <w:szCs w:val="15"/>
          <w:color w:val="auto"/>
        </w:rPr>
        <w:t>payment of money, (b) any payments to be made pursuant to such settlement shall be paid in full exclusively by the indemnifying party at the time such settlement is reached, (c) such settlement shall not require the Indemnitee to admit any liability, and (d) the Indemnitee shall have received an unconditional release from the other parties to such claim, suit or other proceeding. In addition, the Indemnitee shall not settle any such claim, suit or other proceeding without the consent of the indemnifying party to the terms of such settlement, unless the Indemnitee waives or releases any further liability of the indemnifying party with respect thereto.</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26</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MISCELLANEOUS</w:t>
      </w:r>
    </w:p>
    <w:p>
      <w:pPr>
        <w:spacing w:after="0" w:line="164"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Section 26.1. </w:t>
      </w:r>
      <w:r>
        <w:rPr>
          <w:rFonts w:ascii="Arial" w:cs="Arial" w:eastAsia="Arial" w:hAnsi="Arial"/>
          <w:sz w:val="15"/>
          <w:szCs w:val="15"/>
          <w:b w:val="1"/>
          <w:bCs w:val="1"/>
          <w:u w:val="single" w:color="auto"/>
          <w:color w:val="auto"/>
        </w:rPr>
        <w:t>Delivery</w:t>
      </w:r>
      <w:r>
        <w:rPr>
          <w:rFonts w:ascii="Arial" w:cs="Arial" w:eastAsia="Arial" w:hAnsi="Arial"/>
          <w:sz w:val="15"/>
          <w:szCs w:val="15"/>
          <w:b w:val="1"/>
          <w:bCs w:val="1"/>
          <w:color w:val="auto"/>
        </w:rPr>
        <w:t xml:space="preserve">. </w:t>
      </w:r>
      <w:r>
        <w:rPr>
          <w:rFonts w:ascii="Arial" w:cs="Arial" w:eastAsia="Arial" w:hAnsi="Arial"/>
          <w:sz w:val="15"/>
          <w:szCs w:val="15"/>
          <w:color w:val="auto"/>
        </w:rPr>
        <w:t>The submission of drafts of this document for examination and</w:t>
      </w:r>
      <w:r>
        <w:rPr>
          <w:rFonts w:ascii="Arial" w:cs="Arial" w:eastAsia="Arial" w:hAnsi="Arial"/>
          <w:sz w:val="15"/>
          <w:szCs w:val="15"/>
          <w:b w:val="1"/>
          <w:bCs w:val="1"/>
          <w:color w:val="auto"/>
        </w:rPr>
        <w:t xml:space="preserve"> </w:t>
      </w:r>
      <w:r>
        <w:rPr>
          <w:rFonts w:ascii="Arial" w:cs="Arial" w:eastAsia="Arial" w:hAnsi="Arial"/>
          <w:sz w:val="15"/>
          <w:szCs w:val="15"/>
          <w:color w:val="auto"/>
        </w:rPr>
        <w:t>negotiation does not constitute an offer to lease, or the acceptance of an offer to lease, or a reservation of or option for, the Premises. This Lease shall not be binding upon Landlord or Tenant unless and until Landlord shall have executed and delivered a fully executed copy of this Lease to Tenant.</w:t>
      </w:r>
    </w:p>
    <w:p>
      <w:pPr>
        <w:spacing w:after="0" w:line="132"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26.2. </w:t>
      </w:r>
      <w:r>
        <w:rPr>
          <w:rFonts w:ascii="Arial" w:cs="Arial" w:eastAsia="Arial" w:hAnsi="Arial"/>
          <w:sz w:val="15"/>
          <w:szCs w:val="15"/>
          <w:b w:val="1"/>
          <w:bCs w:val="1"/>
          <w:u w:val="single" w:color="auto"/>
          <w:color w:val="auto"/>
        </w:rPr>
        <w:t>Transfer of Real Property</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Landlord’s obligations under this Lease shall</w:t>
      </w:r>
      <w:r>
        <w:rPr>
          <w:rFonts w:ascii="Arial" w:cs="Arial" w:eastAsia="Arial" w:hAnsi="Arial"/>
          <w:sz w:val="15"/>
          <w:szCs w:val="15"/>
          <w:b w:val="1"/>
          <w:bCs w:val="1"/>
          <w:color w:val="auto"/>
        </w:rPr>
        <w:t xml:space="preserve"> </w:t>
      </w:r>
      <w:r>
        <w:rPr>
          <w:rFonts w:ascii="Arial" w:cs="Arial" w:eastAsia="Arial" w:hAnsi="Arial"/>
          <w:sz w:val="15"/>
          <w:szCs w:val="15"/>
          <w:color w:val="auto"/>
        </w:rPr>
        <w:t>not be binding upon any Landlord (including the Landlord originally named in this Lease) after the sale, conveyance, assignment or transfer (collectively, a “</w:t>
      </w:r>
      <w:r>
        <w:rPr>
          <w:rFonts w:ascii="Arial" w:cs="Arial" w:eastAsia="Arial" w:hAnsi="Arial"/>
          <w:sz w:val="15"/>
          <w:szCs w:val="15"/>
          <w:b w:val="1"/>
          <w:bCs w:val="1"/>
          <w:color w:val="auto"/>
        </w:rPr>
        <w:t>Transfer</w:t>
      </w:r>
      <w:r>
        <w:rPr>
          <w:rFonts w:ascii="Arial" w:cs="Arial" w:eastAsia="Arial" w:hAnsi="Arial"/>
          <w:sz w:val="15"/>
          <w:szCs w:val="15"/>
          <w:color w:val="auto"/>
        </w:rPr>
        <w:t>”) by such Landlord of its interest in the Building or the Real Property, as the case may be, and in the event of any such Transfer, such Landlord shall be entirely freed and released of and from all covenants, liabilities and obligations of Landlord hereunder arising from and after the date of Transfer, and the transferee of Landlord’s interest (or that of such subsequent Landlord) in the Building and/or the Real Property, as the case may be, shall be deemed to have assumed all obligations under this Lease arising from and after the date of Transfer.</w:t>
      </w:r>
    </w:p>
    <w:p>
      <w:pPr>
        <w:spacing w:after="0" w:line="136"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26.3. </w:t>
      </w:r>
      <w:r>
        <w:rPr>
          <w:rFonts w:ascii="Arial" w:cs="Arial" w:eastAsia="Arial" w:hAnsi="Arial"/>
          <w:sz w:val="15"/>
          <w:szCs w:val="15"/>
          <w:b w:val="1"/>
          <w:bCs w:val="1"/>
          <w:u w:val="single" w:color="auto"/>
          <w:color w:val="auto"/>
        </w:rPr>
        <w:t>Limitation on Liability</w:t>
      </w:r>
      <w:r>
        <w:rPr>
          <w:rFonts w:ascii="Arial" w:cs="Arial" w:eastAsia="Arial" w:hAnsi="Arial"/>
          <w:sz w:val="15"/>
          <w:szCs w:val="15"/>
          <w:b w:val="1"/>
          <w:bCs w:val="1"/>
          <w:color w:val="auto"/>
        </w:rPr>
        <w:t xml:space="preserve">. </w:t>
      </w:r>
      <w:r>
        <w:rPr>
          <w:rFonts w:ascii="Arial" w:cs="Arial" w:eastAsia="Arial" w:hAnsi="Arial"/>
          <w:sz w:val="15"/>
          <w:szCs w:val="15"/>
          <w:color w:val="auto"/>
        </w:rPr>
        <w:t>Notwithstanding any provision contained in this</w:t>
      </w:r>
      <w:r>
        <w:rPr>
          <w:rFonts w:ascii="Arial" w:cs="Arial" w:eastAsia="Arial" w:hAnsi="Arial"/>
          <w:sz w:val="15"/>
          <w:szCs w:val="15"/>
          <w:b w:val="1"/>
          <w:bCs w:val="1"/>
          <w:color w:val="auto"/>
        </w:rPr>
        <w:t xml:space="preserve"> </w:t>
      </w:r>
      <w:r>
        <w:rPr>
          <w:rFonts w:ascii="Arial" w:cs="Arial" w:eastAsia="Arial" w:hAnsi="Arial"/>
          <w:sz w:val="15"/>
          <w:szCs w:val="15"/>
          <w:color w:val="auto"/>
        </w:rPr>
        <w:t>Lease to the contrary, the liability of Landlord for its obligations under this Lease shall be limited to the interests of Landlord in the Real Property (including insurance awards, condemnation proceeds, and undistributed rents arising from the Real Property). In no event shall any partner, member, manager, shareholder, director, officer, principal, employee, agent, or owner of Landlord, direct or indirect, disclosed or undisclosed, be personally liable for any debts, liabilities or obligations of Landlord, or for any claims against Landlord, arising out of or resulting from this Lease. Any such debts, obligations, liabilities or claims shall be satisfied solely out of the interests of Landlord in the Real Property (including insurance awards, condemnation proceeds, and undistributed rents arising from the Real Property). In no event shall any personal judgment be sought or obtained against any partner, member, manager, shareholder, director, officer, principal, employee, agent, or owner of Landlord, direct or indirect, disclosed or undisclosed (collectively,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31"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26.4. </w:t>
      </w:r>
      <w:r>
        <w:rPr>
          <w:rFonts w:ascii="Arial" w:cs="Arial" w:eastAsia="Arial" w:hAnsi="Arial"/>
          <w:sz w:val="15"/>
          <w:szCs w:val="15"/>
          <w:b w:val="1"/>
          <w:bCs w:val="1"/>
          <w:u w:val="single" w:color="auto"/>
          <w:color w:val="auto"/>
        </w:rPr>
        <w:t>Rent</w:t>
      </w:r>
      <w:r>
        <w:rPr>
          <w:rFonts w:ascii="Arial" w:cs="Arial" w:eastAsia="Arial" w:hAnsi="Arial"/>
          <w:sz w:val="15"/>
          <w:szCs w:val="15"/>
          <w:b w:val="1"/>
          <w:bCs w:val="1"/>
          <w:color w:val="auto"/>
        </w:rPr>
        <w:t xml:space="preserve">. </w:t>
      </w:r>
      <w:r>
        <w:rPr>
          <w:rFonts w:ascii="Arial" w:cs="Arial" w:eastAsia="Arial" w:hAnsi="Arial"/>
          <w:sz w:val="15"/>
          <w:szCs w:val="15"/>
          <w:color w:val="auto"/>
        </w:rPr>
        <w:t>All amounts payable by Tenant to or on behalf of Landlord under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whether or not expressly denominated Fixed Rent, Tenant’s Tax Payment, Tenant’s Operating Payment, Tenant’s Insurance Payment, Additional Rent or Rent, shall constitute rent for the purposes of Section 502(b)(6) of the United States Bankruptcy Code.</w:t>
      </w:r>
    </w:p>
    <w:p>
      <w:pPr>
        <w:spacing w:after="0" w:line="128"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26.5. </w:t>
      </w:r>
      <w:r>
        <w:rPr>
          <w:rFonts w:ascii="Arial" w:cs="Arial" w:eastAsia="Arial" w:hAnsi="Arial"/>
          <w:sz w:val="15"/>
          <w:szCs w:val="15"/>
          <w:b w:val="1"/>
          <w:bCs w:val="1"/>
          <w:u w:val="single" w:color="auto"/>
          <w:color w:val="auto"/>
        </w:rPr>
        <w:t>Entire Document</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(including any Schedules and Exhibits</w:t>
      </w:r>
      <w:r>
        <w:rPr>
          <w:rFonts w:ascii="Arial" w:cs="Arial" w:eastAsia="Arial" w:hAnsi="Arial"/>
          <w:sz w:val="15"/>
          <w:szCs w:val="15"/>
          <w:b w:val="1"/>
          <w:bCs w:val="1"/>
          <w:color w:val="auto"/>
        </w:rPr>
        <w:t xml:space="preserve"> </w:t>
      </w:r>
      <w:r>
        <w:rPr>
          <w:rFonts w:ascii="Arial" w:cs="Arial" w:eastAsia="Arial" w:hAnsi="Arial"/>
          <w:sz w:val="15"/>
          <w:szCs w:val="15"/>
          <w:color w:val="auto"/>
        </w:rPr>
        <w:t>referred to herein and all supplementary agreements provided for herein) contains the entire agreement between the parties and all prior negotiations and agreements are merged into this Lease. All of the Schedules and Exhibits attached hereto are incorporated in and made a part of</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27" w:name="page728"/>
    <w:bookmarkEnd w:id="727"/>
    <w:p>
      <w:pPr>
        <w:jc w:val="both"/>
        <w:ind w:left="1220" w:right="1239"/>
        <w:spacing w:after="0" w:line="254" w:lineRule="auto"/>
        <w:rPr>
          <w:sz w:val="20"/>
          <w:szCs w:val="20"/>
          <w:color w:val="auto"/>
        </w:rPr>
      </w:pPr>
      <w:r>
        <w:rPr>
          <w:rFonts w:ascii="Arial" w:cs="Arial" w:eastAsia="Arial" w:hAnsi="Arial"/>
          <w:sz w:val="15"/>
          <w:szCs w:val="15"/>
          <w:color w:val="auto"/>
        </w:rPr>
        <w:t>this Lease, provided that in the event of any inconsistency between the terms and provisions of this Lease and the terms and provisions of the Schedules and Exhibits hereto, the terms and provisions of this Lease shall control.</w:t>
      </w:r>
    </w:p>
    <w:p>
      <w:pPr>
        <w:spacing w:after="0" w:line="123"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Section 26.6. </w:t>
      </w: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shall be governed in all respects by the laws</w:t>
      </w:r>
      <w:r>
        <w:rPr>
          <w:rFonts w:ascii="Arial" w:cs="Arial" w:eastAsia="Arial" w:hAnsi="Arial"/>
          <w:sz w:val="15"/>
          <w:szCs w:val="15"/>
          <w:b w:val="1"/>
          <w:bCs w:val="1"/>
          <w:color w:val="auto"/>
        </w:rPr>
        <w:t xml:space="preserve"> </w:t>
      </w:r>
      <w:r>
        <w:rPr>
          <w:rFonts w:ascii="Arial" w:cs="Arial" w:eastAsia="Arial" w:hAnsi="Arial"/>
          <w:sz w:val="15"/>
          <w:szCs w:val="15"/>
          <w:color w:val="auto"/>
        </w:rPr>
        <w:t>of the Commonwealth of Massachusetts.</w:t>
      </w:r>
    </w:p>
    <w:p>
      <w:pPr>
        <w:spacing w:after="0" w:line="106"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26.7. </w:t>
      </w:r>
      <w:r>
        <w:rPr>
          <w:rFonts w:ascii="Arial" w:cs="Arial" w:eastAsia="Arial" w:hAnsi="Arial"/>
          <w:sz w:val="15"/>
          <w:szCs w:val="15"/>
          <w:b w:val="1"/>
          <w:bCs w:val="1"/>
          <w:u w:val="single" w:color="auto"/>
          <w:color w:val="auto"/>
        </w:rPr>
        <w:t>Unenforceability</w:t>
      </w:r>
      <w:r>
        <w:rPr>
          <w:rFonts w:ascii="Arial" w:cs="Arial" w:eastAsia="Arial" w:hAnsi="Arial"/>
          <w:sz w:val="15"/>
          <w:szCs w:val="15"/>
          <w:b w:val="1"/>
          <w:bCs w:val="1"/>
          <w:color w:val="auto"/>
        </w:rPr>
        <w:t xml:space="preserve">. </w:t>
      </w:r>
      <w:r>
        <w:rPr>
          <w:rFonts w:ascii="Arial" w:cs="Arial" w:eastAsia="Arial" w:hAnsi="Arial"/>
          <w:sz w:val="15"/>
          <w:szCs w:val="15"/>
          <w:color w:val="auto"/>
        </w:rPr>
        <w:t>If any provision of this Lease, or its application to any</w:t>
      </w:r>
      <w:r>
        <w:rPr>
          <w:rFonts w:ascii="Arial" w:cs="Arial" w:eastAsia="Arial" w:hAnsi="Arial"/>
          <w:sz w:val="15"/>
          <w:szCs w:val="15"/>
          <w:b w:val="1"/>
          <w:bCs w:val="1"/>
          <w:color w:val="auto"/>
        </w:rPr>
        <w:t xml:space="preserve"> </w:t>
      </w:r>
      <w:r>
        <w:rPr>
          <w:rFonts w:ascii="Arial" w:cs="Arial" w:eastAsia="Arial" w:hAnsi="Arial"/>
          <w:sz w:val="15"/>
          <w:szCs w:val="15"/>
          <w:color w:val="auto"/>
        </w:rPr>
        <w:t>person or entity or circumstance, shall ever be held to be invalid or unenforceable, then in each such event the remainder of this Lease or the application of such provision to any other person or entity or any other circumstance (other than those as to which it shall be invalid or unenforceable) shall not be thereby affected, and each provision hereof shall remain valid and enforceable to the fullest extent permitted by law.</w:t>
      </w:r>
    </w:p>
    <w:p>
      <w:pPr>
        <w:spacing w:after="0" w:line="134"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26.8. </w:t>
      </w:r>
      <w:r>
        <w:rPr>
          <w:rFonts w:ascii="Arial" w:cs="Arial" w:eastAsia="Arial" w:hAnsi="Arial"/>
          <w:sz w:val="15"/>
          <w:szCs w:val="15"/>
          <w:b w:val="1"/>
          <w:bCs w:val="1"/>
          <w:u w:val="single" w:color="auto"/>
          <w:color w:val="auto"/>
        </w:rPr>
        <w:t>Lease Disputes</w:t>
      </w:r>
      <w:r>
        <w:rPr>
          <w:rFonts w:ascii="Arial" w:cs="Arial" w:eastAsia="Arial" w:hAnsi="Arial"/>
          <w:sz w:val="15"/>
          <w:szCs w:val="15"/>
          <w:b w:val="1"/>
          <w:bCs w:val="1"/>
          <w:color w:val="auto"/>
        </w:rPr>
        <w:t xml:space="preserve">. </w:t>
      </w:r>
      <w:r>
        <w:rPr>
          <w:rFonts w:ascii="Arial" w:cs="Arial" w:eastAsia="Arial" w:hAnsi="Arial"/>
          <w:sz w:val="15"/>
          <w:szCs w:val="15"/>
          <w:color w:val="auto"/>
        </w:rPr>
        <w:t>(a) Landlord and Tenant agree that all disputes arising,</w:t>
      </w:r>
      <w:r>
        <w:rPr>
          <w:rFonts w:ascii="Arial" w:cs="Arial" w:eastAsia="Arial" w:hAnsi="Arial"/>
          <w:sz w:val="15"/>
          <w:szCs w:val="15"/>
          <w:b w:val="1"/>
          <w:bCs w:val="1"/>
          <w:color w:val="auto"/>
        </w:rPr>
        <w:t xml:space="preserve"> </w:t>
      </w:r>
      <w:r>
        <w:rPr>
          <w:rFonts w:ascii="Arial" w:cs="Arial" w:eastAsia="Arial" w:hAnsi="Arial"/>
          <w:sz w:val="15"/>
          <w:szCs w:val="15"/>
          <w:color w:val="auto"/>
        </w:rPr>
        <w:t>directly or indirectly, out of or relating to this Lease, and all actions to enforce this Lease, shall be dealt with and adjudicated in the state courts of the Commonwealth of Massachusetts or the federal courts located in the Commonwealth of Massachusetts and for that purpose hereby expressly and irrevocably submits itself to the jurisdiction of such courts. Landlord and Tenant agree that so far as is permitted under applicable law, this consent to personal jurisdiction shall be self-operative and no further instrument or action, other than service of process in one of the manners specified in this Lease, or as otherwise permitted by law, shall be necessary in order to confer jurisdiction upon it in any such court.</w:t>
      </w:r>
    </w:p>
    <w:p>
      <w:pPr>
        <w:spacing w:after="0" w:line="138" w:lineRule="exact"/>
        <w:rPr>
          <w:sz w:val="20"/>
          <w:szCs w:val="20"/>
          <w:color w:val="auto"/>
        </w:rPr>
      </w:pPr>
    </w:p>
    <w:p>
      <w:pPr>
        <w:jc w:val="both"/>
        <w:ind w:left="1220" w:right="1239" w:firstLine="509"/>
        <w:spacing w:after="0" w:line="244" w:lineRule="auto"/>
        <w:tabs>
          <w:tab w:leader="none" w:pos="2180" w:val="left"/>
        </w:tabs>
        <w:numPr>
          <w:ilvl w:val="0"/>
          <w:numId w:val="662"/>
        </w:numPr>
        <w:rPr>
          <w:rFonts w:ascii="Arial" w:cs="Arial" w:eastAsia="Arial" w:hAnsi="Arial"/>
          <w:sz w:val="15"/>
          <w:szCs w:val="15"/>
          <w:color w:val="auto"/>
        </w:rPr>
      </w:pPr>
      <w:r>
        <w:rPr>
          <w:rFonts w:ascii="Arial" w:cs="Arial" w:eastAsia="Arial" w:hAnsi="Arial"/>
          <w:sz w:val="15"/>
          <w:szCs w:val="15"/>
          <w:color w:val="auto"/>
        </w:rPr>
        <w:t>To the extent that Tenant has or hereafter may acquire any immunity from jurisdiction of any court or from any legal process (whether through service or notice, attachment prior to judgment, attachment in aid of execution, execution or otherwise) with respect to itself or its property, Tenant irrevocably waives such immunity in respect of its obligations under this Lease.</w:t>
      </w:r>
    </w:p>
    <w:p>
      <w:pPr>
        <w:spacing w:after="0" w:line="130"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26.9. </w:t>
      </w:r>
      <w:r>
        <w:rPr>
          <w:rFonts w:ascii="Arial" w:cs="Arial" w:eastAsia="Arial" w:hAnsi="Arial"/>
          <w:sz w:val="15"/>
          <w:szCs w:val="15"/>
          <w:b w:val="1"/>
          <w:bCs w:val="1"/>
          <w:u w:val="single" w:color="auto"/>
          <w:color w:val="auto"/>
        </w:rPr>
        <w:t>Landlord’s Agent</w:t>
      </w:r>
      <w:r>
        <w:rPr>
          <w:rFonts w:ascii="Arial" w:cs="Arial" w:eastAsia="Arial" w:hAnsi="Arial"/>
          <w:sz w:val="15"/>
          <w:szCs w:val="15"/>
          <w:b w:val="1"/>
          <w:bCs w:val="1"/>
          <w:color w:val="auto"/>
        </w:rPr>
        <w:t xml:space="preserve">. </w:t>
      </w:r>
      <w:r>
        <w:rPr>
          <w:rFonts w:ascii="Arial" w:cs="Arial" w:eastAsia="Arial" w:hAnsi="Arial"/>
          <w:sz w:val="15"/>
          <w:szCs w:val="15"/>
          <w:color w:val="auto"/>
        </w:rPr>
        <w:t>Unless Landlord delivers notice to Tenant to the</w:t>
      </w:r>
      <w:r>
        <w:rPr>
          <w:rFonts w:ascii="Arial" w:cs="Arial" w:eastAsia="Arial" w:hAnsi="Arial"/>
          <w:sz w:val="15"/>
          <w:szCs w:val="15"/>
          <w:b w:val="1"/>
          <w:bCs w:val="1"/>
          <w:color w:val="auto"/>
        </w:rPr>
        <w:t xml:space="preserve"> </w:t>
      </w:r>
      <w:r>
        <w:rPr>
          <w:rFonts w:ascii="Arial" w:cs="Arial" w:eastAsia="Arial" w:hAnsi="Arial"/>
          <w:sz w:val="15"/>
          <w:szCs w:val="15"/>
          <w:color w:val="auto"/>
        </w:rPr>
        <w:t>contrary, Landlord’s Agent is authorized to act as Landlord’s agent in connection with the performance of this Lease, and Tenant shall be entitled to rely upon correspondence received from Landlord’s Agent. Tenant acknowledges that Landlord’s Agent is acting solely as agent for Landlord in connection with the foregoing; and neither Landlord’s Agent nor any of its direct or indirect partners, members, managers, officers, shareholders, directors, employees, principals, agents or representatives shall have any liability to Tenant in connection with the performance of the obligations of Landlord under this Lease, and Tenant waives any and all claims against any and all of such parties arising out of, or in any way connected with the obligations of Landlord under this Lease, the Building or the Real Property.</w:t>
      </w:r>
    </w:p>
    <w:p>
      <w:pPr>
        <w:spacing w:after="0" w:line="140"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26.10. </w:t>
      </w:r>
      <w:r>
        <w:rPr>
          <w:rFonts w:ascii="Arial" w:cs="Arial" w:eastAsia="Arial" w:hAnsi="Arial"/>
          <w:sz w:val="15"/>
          <w:szCs w:val="15"/>
          <w:b w:val="1"/>
          <w:bCs w:val="1"/>
          <w:u w:val="single" w:color="auto"/>
          <w:color w:val="auto"/>
        </w:rPr>
        <w:t>Estoppel</w:t>
      </w:r>
      <w:r>
        <w:rPr>
          <w:rFonts w:ascii="Arial" w:cs="Arial" w:eastAsia="Arial" w:hAnsi="Arial"/>
          <w:sz w:val="15"/>
          <w:szCs w:val="15"/>
          <w:b w:val="1"/>
          <w:bCs w:val="1"/>
          <w:color w:val="auto"/>
        </w:rPr>
        <w:t xml:space="preserve">. </w:t>
      </w:r>
      <w:r>
        <w:rPr>
          <w:rFonts w:ascii="Arial" w:cs="Arial" w:eastAsia="Arial" w:hAnsi="Arial"/>
          <w:sz w:val="15"/>
          <w:szCs w:val="15"/>
          <w:color w:val="auto"/>
        </w:rPr>
        <w:t>Within ten (10) Business Days following request from</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any Mortgagee or any Lessor, Tenant shall deliver to Landlord a statement executed and acknowledged by Tenant, in form reasonably satisfactory to Landlord, (a) stating the Commencement Date, the Rent Commencement Date and the Expiration Date, and that this Lease is then in full force and effect and has not been modified (or if modified, setting forth all modifications), (b) setting forth the date to which the Fixed Rent and any Additional Rent have been paid, together with the amount of monthly Fixed Rent and Additional, Rent then payable,</w:t>
      </w:r>
    </w:p>
    <w:p>
      <w:pPr>
        <w:spacing w:after="0" w:line="1" w:lineRule="exact"/>
        <w:rPr>
          <w:sz w:val="20"/>
          <w:szCs w:val="20"/>
          <w:color w:val="auto"/>
        </w:rPr>
      </w:pPr>
    </w:p>
    <w:p>
      <w:pPr>
        <w:jc w:val="both"/>
        <w:ind w:left="1220" w:right="1239" w:firstLine="4"/>
        <w:spacing w:after="0"/>
        <w:tabs>
          <w:tab w:leader="none" w:pos="1444" w:val="left"/>
        </w:tabs>
        <w:numPr>
          <w:ilvl w:val="0"/>
          <w:numId w:val="663"/>
        </w:numPr>
        <w:rPr>
          <w:rFonts w:ascii="Arial" w:cs="Arial" w:eastAsia="Arial" w:hAnsi="Arial"/>
          <w:sz w:val="15"/>
          <w:szCs w:val="15"/>
          <w:color w:val="auto"/>
        </w:rPr>
      </w:pPr>
      <w:r>
        <w:rPr>
          <w:rFonts w:ascii="Arial" w:cs="Arial" w:eastAsia="Arial" w:hAnsi="Arial"/>
          <w:sz w:val="15"/>
          <w:szCs w:val="15"/>
          <w:color w:val="auto"/>
        </w:rPr>
        <w:t>stating whether or not, to the best of Tenant’s knowledge, either Tenant and/or Landlord is in default under this Lease, and setting forth the specific nature of all such defaults, if any, (d) stating the amount of the security deposit, if any, under this Lease, (e) stating whether there are any subleases or assignments affecting the Premises, (f) stating the address of Tenant to which all</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28" w:name="page729"/>
    <w:bookmarkEnd w:id="728"/>
    <w:p>
      <w:pPr>
        <w:jc w:val="both"/>
        <w:ind w:left="1220" w:right="1239"/>
        <w:spacing w:after="0" w:line="242" w:lineRule="auto"/>
        <w:rPr>
          <w:sz w:val="20"/>
          <w:szCs w:val="20"/>
          <w:color w:val="auto"/>
        </w:rPr>
      </w:pPr>
      <w:r>
        <w:rPr>
          <w:rFonts w:ascii="Arial" w:cs="Arial" w:eastAsia="Arial" w:hAnsi="Arial"/>
          <w:sz w:val="15"/>
          <w:szCs w:val="15"/>
          <w:color w:val="auto"/>
        </w:rPr>
        <w:t xml:space="preserve">notices and communications under this Lease shall be sent, and (g) confirming any other factual matters reasonably requested by Landlord, such Mortgagee or such Lessor. Tenant acknowledges that any statement delivered pursuant to this </w:t>
      </w:r>
      <w:r>
        <w:rPr>
          <w:rFonts w:ascii="Arial" w:cs="Arial" w:eastAsia="Arial" w:hAnsi="Arial"/>
          <w:sz w:val="15"/>
          <w:szCs w:val="15"/>
          <w:b w:val="1"/>
          <w:bCs w:val="1"/>
          <w:color w:val="auto"/>
        </w:rPr>
        <w:t>Section 26.10</w:t>
      </w:r>
      <w:r>
        <w:rPr>
          <w:rFonts w:ascii="Arial" w:cs="Arial" w:eastAsia="Arial" w:hAnsi="Arial"/>
          <w:sz w:val="15"/>
          <w:szCs w:val="15"/>
          <w:color w:val="auto"/>
        </w:rPr>
        <w:t xml:space="preserve"> may be relied upon by any purchaser or owner of the Real Property or the Building, or all or any portion of Landlord’s interest in the Real Property or the Building or any Superior Lease, or by any Mortgagee, or assignee thereof or by any Lessor, or assignee thereof.</w:t>
      </w:r>
    </w:p>
    <w:p>
      <w:pPr>
        <w:spacing w:after="0" w:line="134"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color w:val="auto"/>
        </w:rPr>
        <w:t>Within fifteen (15) Business Days following request from Tenant, Landlord shall deliver to Tenant a statement executed by Landlord stating the Commencement Date, the Rent Commencement Date and the Expiration Date, and certifying (i) that this Lease is then in full force and effect and has not been modified (or if modified, setting forth all such modifications),</w:t>
      </w:r>
    </w:p>
    <w:p>
      <w:pPr>
        <w:spacing w:after="0" w:line="3" w:lineRule="exact"/>
        <w:rPr>
          <w:sz w:val="20"/>
          <w:szCs w:val="20"/>
          <w:color w:val="auto"/>
        </w:rPr>
      </w:pPr>
    </w:p>
    <w:p>
      <w:pPr>
        <w:jc w:val="both"/>
        <w:ind w:left="1220" w:right="1239" w:firstLine="4"/>
        <w:spacing w:after="0"/>
        <w:tabs>
          <w:tab w:leader="none" w:pos="1446" w:val="left"/>
        </w:tabs>
        <w:numPr>
          <w:ilvl w:val="0"/>
          <w:numId w:val="664"/>
        </w:numPr>
        <w:rPr>
          <w:rFonts w:ascii="Arial" w:cs="Arial" w:eastAsia="Arial" w:hAnsi="Arial"/>
          <w:sz w:val="15"/>
          <w:szCs w:val="15"/>
          <w:color w:val="auto"/>
        </w:rPr>
      </w:pPr>
      <w:r>
        <w:rPr>
          <w:rFonts w:ascii="Arial" w:cs="Arial" w:eastAsia="Arial" w:hAnsi="Arial"/>
          <w:sz w:val="15"/>
          <w:szCs w:val="15"/>
          <w:color w:val="auto"/>
        </w:rPr>
        <w:t>setting forth the date to which Fixed Rent and an Additional Rent have been paid, together with the amount of monthly Fixed Rent, Tenant’s Tax Payment, Tenant’s Operating Payment and Tenant’s Insurance Payment then payable by Tenant under this Lease, (iii) stating whether or not, to the knowledge of Landlord, Tenant is then in default under this Lease if so, setting forth the specific nature of all such defaults, (iv) stating the amount of the security deposit, if any, then being held by Landlord under this Lease, (v) setting forth the addresses of Landlord to which notices and communications delivered pursuant to this Lease shall be sent, and (vi) confirming any other factual matters concerning this Lease as may be reasonably requested by Tenant.</w:t>
      </w:r>
    </w:p>
    <w:p>
      <w:pPr>
        <w:spacing w:after="0" w:line="286"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26.11. </w:t>
      </w:r>
      <w:r>
        <w:rPr>
          <w:rFonts w:ascii="Arial" w:cs="Arial" w:eastAsia="Arial" w:hAnsi="Arial"/>
          <w:sz w:val="15"/>
          <w:szCs w:val="15"/>
          <w:b w:val="1"/>
          <w:bCs w:val="1"/>
          <w:u w:val="single" w:color="auto"/>
          <w:color w:val="auto"/>
        </w:rPr>
        <w:t>Certain Interpretational Rules</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of this Lease, whenever</w:t>
      </w:r>
      <w:r>
        <w:rPr>
          <w:rFonts w:ascii="Arial" w:cs="Arial" w:eastAsia="Arial" w:hAnsi="Arial"/>
          <w:sz w:val="15"/>
          <w:szCs w:val="15"/>
          <w:b w:val="1"/>
          <w:bCs w:val="1"/>
          <w:color w:val="auto"/>
        </w:rPr>
        <w:t xml:space="preserve"> </w:t>
      </w:r>
      <w:r>
        <w:rPr>
          <w:rFonts w:ascii="Arial" w:cs="Arial" w:eastAsia="Arial" w:hAnsi="Arial"/>
          <w:sz w:val="15"/>
          <w:szCs w:val="15"/>
          <w:color w:val="auto"/>
        </w:rPr>
        <w:t>the words “include”, “includes”, or “including” are used, they shall be deemed to be followed by the words “without limitation” and, whenever the circumstances or the context requires, the singular shall be construed as the plural, the masculine shall be construed as the feminine and/or the neuter and vice versa. This Lease shall be interpreted and enforced without the aid of any canon, custom or rule of law requiring or suggesting construction against the party drafting or causing the drafting of the provision in question. The captions in this Lease are inserted only as a matter of convenience and for reference and in no way define, limit or describe the scope of this Lease or the intent of any provision hereof.</w:t>
      </w:r>
    </w:p>
    <w:p>
      <w:pPr>
        <w:spacing w:after="0" w:line="136"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Section 26.12. </w:t>
      </w:r>
      <w:r>
        <w:rPr>
          <w:rFonts w:ascii="Arial" w:cs="Arial" w:eastAsia="Arial" w:hAnsi="Arial"/>
          <w:sz w:val="15"/>
          <w:szCs w:val="15"/>
          <w:b w:val="1"/>
          <w:bCs w:val="1"/>
          <w:u w:val="single" w:color="auto"/>
          <w:color w:val="auto"/>
        </w:rPr>
        <w:t>Parties Bound</w:t>
      </w:r>
      <w:r>
        <w:rPr>
          <w:rFonts w:ascii="Arial" w:cs="Arial" w:eastAsia="Arial" w:hAnsi="Arial"/>
          <w:sz w:val="15"/>
          <w:szCs w:val="15"/>
          <w:b w:val="1"/>
          <w:bCs w:val="1"/>
          <w:color w:val="auto"/>
        </w:rPr>
        <w:t xml:space="preserve">. </w:t>
      </w:r>
      <w:r>
        <w:rPr>
          <w:rFonts w:ascii="Arial" w:cs="Arial" w:eastAsia="Arial" w:hAnsi="Arial"/>
          <w:sz w:val="15"/>
          <w:szCs w:val="15"/>
          <w:color w:val="auto"/>
        </w:rPr>
        <w:t>The terms, covenants, conditions and agreements</w:t>
      </w:r>
      <w:r>
        <w:rPr>
          <w:rFonts w:ascii="Arial" w:cs="Arial" w:eastAsia="Arial" w:hAnsi="Arial"/>
          <w:sz w:val="15"/>
          <w:szCs w:val="15"/>
          <w:b w:val="1"/>
          <w:bCs w:val="1"/>
          <w:color w:val="auto"/>
        </w:rPr>
        <w:t xml:space="preserve"> </w:t>
      </w:r>
      <w:r>
        <w:rPr>
          <w:rFonts w:ascii="Arial" w:cs="Arial" w:eastAsia="Arial" w:hAnsi="Arial"/>
          <w:sz w:val="15"/>
          <w:szCs w:val="15"/>
          <w:color w:val="auto"/>
        </w:rPr>
        <w:t>contained in this Lease shall bind and inure to the benefit of Landlord and Tenant and, except as otherwise provided in this Lease, to their respective legal representatives, successors, and assigns. Each term and each provision of this Lease to be performed by the Tenant shall be construed to be both a covenant and a condition.</w:t>
      </w:r>
    </w:p>
    <w:p>
      <w:pPr>
        <w:spacing w:after="0" w:line="132"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 xml:space="preserve">Section 26.13. </w:t>
      </w:r>
      <w:r>
        <w:rPr>
          <w:rFonts w:ascii="Arial" w:cs="Arial" w:eastAsia="Arial" w:hAnsi="Arial"/>
          <w:sz w:val="15"/>
          <w:szCs w:val="15"/>
          <w:b w:val="1"/>
          <w:bCs w:val="1"/>
          <w:u w:val="single" w:color="auto"/>
          <w:color w:val="auto"/>
        </w:rPr>
        <w:t>Memorandum of Lease</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shall not be recorded; provided,</w:t>
      </w:r>
      <w:r>
        <w:rPr>
          <w:rFonts w:ascii="Arial" w:cs="Arial" w:eastAsia="Arial" w:hAnsi="Arial"/>
          <w:sz w:val="15"/>
          <w:szCs w:val="15"/>
          <w:b w:val="1"/>
          <w:bCs w:val="1"/>
          <w:color w:val="auto"/>
        </w:rPr>
        <w:t xml:space="preserve"> </w:t>
      </w:r>
      <w:r>
        <w:rPr>
          <w:rFonts w:ascii="Arial" w:cs="Arial" w:eastAsia="Arial" w:hAnsi="Arial"/>
          <w:sz w:val="15"/>
          <w:szCs w:val="15"/>
          <w:color w:val="auto"/>
        </w:rPr>
        <w:t>however, at request of either party, Landlord and Tenant shall execute, acknowledge and deliver a notice of lease in recordable form and complying with applicable Massachusetts laws, and reasonably satisfactory to both Landlord and Tenant. In no event shall such document set forth the rental or other charges payable by Tenant under this Lease; and any such document shall expressly state that it is executed pursuant to the provisions contained in this Lease, and is not intended to vary the terms and conditions of this Lease. Within ten (10) days after the expiration or earlier termination of the Term, Tenant shall enter into such documentation as is reasonably required by Landlord to remove the notice of lease of record.</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29" w:name="page730"/>
    <w:bookmarkEnd w:id="729"/>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Section 26.14. </w:t>
      </w:r>
      <w:r>
        <w:rPr>
          <w:rFonts w:ascii="Arial" w:cs="Arial" w:eastAsia="Arial" w:hAnsi="Arial"/>
          <w:sz w:val="15"/>
          <w:szCs w:val="15"/>
          <w:b w:val="1"/>
          <w:bCs w:val="1"/>
          <w:u w:val="single" w:color="auto"/>
          <w:color w:val="auto"/>
        </w:rPr>
        <w:t>Counterparts</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may be executed in two (2) or more</w:t>
      </w:r>
      <w:r>
        <w:rPr>
          <w:rFonts w:ascii="Arial" w:cs="Arial" w:eastAsia="Arial" w:hAnsi="Arial"/>
          <w:sz w:val="15"/>
          <w:szCs w:val="15"/>
          <w:b w:val="1"/>
          <w:bCs w:val="1"/>
          <w:color w:val="auto"/>
        </w:rPr>
        <w:t xml:space="preserve"> </w:t>
      </w:r>
      <w:r>
        <w:rPr>
          <w:rFonts w:ascii="Arial" w:cs="Arial" w:eastAsia="Arial" w:hAnsi="Arial"/>
          <w:sz w:val="15"/>
          <w:szCs w:val="15"/>
          <w:color w:val="auto"/>
        </w:rPr>
        <w:t>counterparts, each of which shall constitute an original, but all of which, when taken together, shall constitute but one instrument.</w:t>
      </w:r>
    </w:p>
    <w:p>
      <w:pPr>
        <w:spacing w:after="0" w:line="123"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26.15. </w:t>
      </w:r>
      <w:r>
        <w:rPr>
          <w:rFonts w:ascii="Arial" w:cs="Arial" w:eastAsia="Arial" w:hAnsi="Arial"/>
          <w:sz w:val="15"/>
          <w:szCs w:val="15"/>
          <w:b w:val="1"/>
          <w:bCs w:val="1"/>
          <w:u w:val="single" w:color="auto"/>
          <w:color w:val="auto"/>
        </w:rPr>
        <w:t>Survival</w:t>
      </w:r>
      <w:r>
        <w:rPr>
          <w:rFonts w:ascii="Arial" w:cs="Arial" w:eastAsia="Arial" w:hAnsi="Arial"/>
          <w:sz w:val="15"/>
          <w:szCs w:val="15"/>
          <w:b w:val="1"/>
          <w:bCs w:val="1"/>
          <w:color w:val="auto"/>
        </w:rPr>
        <w:t xml:space="preserve">. </w:t>
      </w:r>
      <w:r>
        <w:rPr>
          <w:rFonts w:ascii="Arial" w:cs="Arial" w:eastAsia="Arial" w:hAnsi="Arial"/>
          <w:sz w:val="15"/>
          <w:szCs w:val="15"/>
          <w:color w:val="auto"/>
        </w:rPr>
        <w:t>All obligations and liabilities of Landlord or Tenant to the other</w:t>
      </w:r>
      <w:r>
        <w:rPr>
          <w:rFonts w:ascii="Arial" w:cs="Arial" w:eastAsia="Arial" w:hAnsi="Arial"/>
          <w:sz w:val="15"/>
          <w:szCs w:val="15"/>
          <w:b w:val="1"/>
          <w:bCs w:val="1"/>
          <w:color w:val="auto"/>
        </w:rPr>
        <w:t xml:space="preserve"> </w:t>
      </w:r>
      <w:r>
        <w:rPr>
          <w:rFonts w:ascii="Arial" w:cs="Arial" w:eastAsia="Arial" w:hAnsi="Arial"/>
          <w:sz w:val="15"/>
          <w:szCs w:val="15"/>
          <w:color w:val="auto"/>
        </w:rPr>
        <w:t>which accrued before the expiration or other termination of this Lease, and all such obligations and liabilities which by their nature or under the circumstances can only be, or by the provisions of this Lease may be, performed after such expiration or other termination, shall survive the expiration or other termination of this Lease. Without limiting the generality of the foregoing, the rights and obligations of the parties with respect to any indemnity under this Lease, and with respect to any Rent and any other amounts payable under this Lease, shall survive the expiration or other termination of this Lease.</w:t>
      </w:r>
    </w:p>
    <w:p>
      <w:pPr>
        <w:spacing w:after="0" w:line="134"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26.16. </w:t>
      </w:r>
      <w:r>
        <w:rPr>
          <w:rFonts w:ascii="Arial" w:cs="Arial" w:eastAsia="Arial" w:hAnsi="Arial"/>
          <w:sz w:val="15"/>
          <w:szCs w:val="15"/>
          <w:b w:val="1"/>
          <w:bCs w:val="1"/>
          <w:u w:val="single" w:color="auto"/>
          <w:color w:val="auto"/>
        </w:rPr>
        <w:t>Inability to Perform</w:t>
      </w:r>
      <w:r>
        <w:rPr>
          <w:rFonts w:ascii="Arial" w:cs="Arial" w:eastAsia="Arial" w:hAnsi="Arial"/>
          <w:sz w:val="15"/>
          <w:szCs w:val="15"/>
          <w:b w:val="1"/>
          <w:bCs w:val="1"/>
          <w:color w:val="auto"/>
        </w:rPr>
        <w:t xml:space="preserve">. </w:t>
      </w:r>
      <w:r>
        <w:rPr>
          <w:rFonts w:ascii="Arial" w:cs="Arial" w:eastAsia="Arial" w:hAnsi="Arial"/>
          <w:sz w:val="15"/>
          <w:szCs w:val="15"/>
          <w:color w:val="auto"/>
        </w:rPr>
        <w:t>This Lease and the obligation of Tenant to pay</w:t>
      </w:r>
      <w:r>
        <w:rPr>
          <w:rFonts w:ascii="Arial" w:cs="Arial" w:eastAsia="Arial" w:hAnsi="Arial"/>
          <w:sz w:val="15"/>
          <w:szCs w:val="15"/>
          <w:b w:val="1"/>
          <w:bCs w:val="1"/>
          <w:color w:val="auto"/>
        </w:rPr>
        <w:t xml:space="preserve"> </w:t>
      </w:r>
      <w:r>
        <w:rPr>
          <w:rFonts w:ascii="Arial" w:cs="Arial" w:eastAsia="Arial" w:hAnsi="Arial"/>
          <w:sz w:val="15"/>
          <w:szCs w:val="15"/>
          <w:color w:val="auto"/>
        </w:rPr>
        <w:t>Rent shall not be affected, impaired or excused by any Unavoidable Delays. Each party shall use reasonable efforts to promptly notify the other party of any Unavoidable Delay which prevents such party from fulfilling any of its obligations under this Lease.</w:t>
      </w:r>
    </w:p>
    <w:p>
      <w:pPr>
        <w:spacing w:after="0" w:line="12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26.17. </w:t>
      </w:r>
      <w:r>
        <w:rPr>
          <w:rFonts w:ascii="Arial" w:cs="Arial" w:eastAsia="Arial" w:hAnsi="Arial"/>
          <w:sz w:val="15"/>
          <w:szCs w:val="15"/>
          <w:b w:val="1"/>
          <w:bCs w:val="1"/>
          <w:u w:val="single" w:color="auto"/>
          <w:color w:val="auto"/>
        </w:rPr>
        <w:t>Landlord Defaults</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shall in no event be in breach or default in</w:t>
      </w:r>
      <w:r>
        <w:rPr>
          <w:rFonts w:ascii="Arial" w:cs="Arial" w:eastAsia="Arial" w:hAnsi="Arial"/>
          <w:sz w:val="15"/>
          <w:szCs w:val="15"/>
          <w:b w:val="1"/>
          <w:bCs w:val="1"/>
          <w:color w:val="auto"/>
        </w:rPr>
        <w:t xml:space="preserve"> </w:t>
      </w:r>
      <w:r>
        <w:rPr>
          <w:rFonts w:ascii="Arial" w:cs="Arial" w:eastAsia="Arial" w:hAnsi="Arial"/>
          <w:sz w:val="15"/>
          <w:szCs w:val="15"/>
          <w:color w:val="auto"/>
        </w:rPr>
        <w:t>the performance of any of Landlord’s obligations under this Lease or any warranties or promises hereunder unless Landlord shall have failed to perform such obligations within thirty (30) days, or such additional time as is reasonably required to correct any such default, after notice by Tenant to Landlord properly specifying wherein Landlord has failed to perform any such obligation, provided that Landlord has commenced to cure and thereafter diligently prosecutes such cure to completion. Without limitation, in no event shall Tenant have the right to terminate or cancel this Lease or to withhold rent or to set-off any claim or damages against rent as a result of any default by Landlord or breach by Landlord of its obligations or any warranties or promises hereunder, except in the case of a wrongful eviction of Tenant from the Premises (constructive or actual) by Landlord continuing after notice to Landlord thereof and a reasonable opportunity for Landlord to cure the same as set forth above. In addition, except as expressly and specifically set forth in this Lease, Tenant shall not assert any right to deduct the cost of repairs or any monetary claim against Landlord from Rent thereafter due and payable under this Lease, but shall look solely to the interests of the Landlord in the Real Property for satisfaction of any such claim.</w:t>
      </w:r>
    </w:p>
    <w:p>
      <w:pPr>
        <w:spacing w:after="0" w:line="272"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26.18. </w:t>
      </w:r>
      <w:r>
        <w:rPr>
          <w:rFonts w:ascii="Arial" w:cs="Arial" w:eastAsia="Arial" w:hAnsi="Arial"/>
          <w:sz w:val="15"/>
          <w:szCs w:val="15"/>
          <w:b w:val="1"/>
          <w:bCs w:val="1"/>
          <w:u w:val="single" w:color="auto"/>
          <w:color w:val="auto"/>
        </w:rPr>
        <w:t>Work Orders</w:t>
      </w:r>
      <w:r>
        <w:rPr>
          <w:rFonts w:ascii="Arial" w:cs="Arial" w:eastAsia="Arial" w:hAnsi="Arial"/>
          <w:sz w:val="15"/>
          <w:szCs w:val="15"/>
          <w:b w:val="1"/>
          <w:bCs w:val="1"/>
          <w:color w:val="auto"/>
        </w:rPr>
        <w:t xml:space="preserve">. </w:t>
      </w:r>
      <w:r>
        <w:rPr>
          <w:rFonts w:ascii="Arial" w:cs="Arial" w:eastAsia="Arial" w:hAnsi="Arial"/>
          <w:sz w:val="15"/>
          <w:szCs w:val="15"/>
          <w:color w:val="auto"/>
        </w:rPr>
        <w:t>All requests made by or on behalf of Tenant either (i) for</w:t>
      </w:r>
      <w:r>
        <w:rPr>
          <w:rFonts w:ascii="Arial" w:cs="Arial" w:eastAsia="Arial" w:hAnsi="Arial"/>
          <w:sz w:val="15"/>
          <w:szCs w:val="15"/>
          <w:b w:val="1"/>
          <w:bCs w:val="1"/>
          <w:color w:val="auto"/>
        </w:rPr>
        <w:t xml:space="preserve"> </w:t>
      </w:r>
      <w:r>
        <w:rPr>
          <w:rFonts w:ascii="Arial" w:cs="Arial" w:eastAsia="Arial" w:hAnsi="Arial"/>
          <w:sz w:val="15"/>
          <w:szCs w:val="15"/>
          <w:color w:val="auto"/>
        </w:rPr>
        <w:t>work to be performed by Landlord, or (ii) for services to be provided by Landlord, shall be submitted in accordance with the applicable procedures established from time to time by the Landlord. As of the date of this Lease, the Landlord has established an Angus system for such requests, and all such requests shall be submitted in accordance with the Angus procedures and using the Angus forms.</w:t>
      </w:r>
    </w:p>
    <w:p>
      <w:pPr>
        <w:spacing w:after="0" w:line="13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Section 26.19. </w:t>
      </w:r>
      <w:r>
        <w:rPr>
          <w:rFonts w:ascii="Arial" w:cs="Arial" w:eastAsia="Arial" w:hAnsi="Arial"/>
          <w:sz w:val="15"/>
          <w:szCs w:val="15"/>
          <w:b w:val="1"/>
          <w:bCs w:val="1"/>
          <w:u w:val="single" w:color="auto"/>
          <w:color w:val="auto"/>
        </w:rPr>
        <w:t>Financial Statements</w:t>
      </w:r>
      <w:r>
        <w:rPr>
          <w:rFonts w:ascii="Arial" w:cs="Arial" w:eastAsia="Arial" w:hAnsi="Arial"/>
          <w:sz w:val="15"/>
          <w:szCs w:val="15"/>
          <w:color w:val="auto"/>
        </w:rPr>
        <w:t>.</w:t>
      </w:r>
    </w:p>
    <w:p>
      <w:pPr>
        <w:spacing w:after="0" w:line="166" w:lineRule="exact"/>
        <w:rPr>
          <w:sz w:val="20"/>
          <w:szCs w:val="20"/>
          <w:color w:val="auto"/>
        </w:rPr>
      </w:pPr>
    </w:p>
    <w:p>
      <w:pPr>
        <w:jc w:val="both"/>
        <w:ind w:left="1220" w:right="1239" w:firstLine="509"/>
        <w:spacing w:after="0"/>
        <w:tabs>
          <w:tab w:leader="none" w:pos="2146" w:val="left"/>
        </w:tabs>
        <w:numPr>
          <w:ilvl w:val="0"/>
          <w:numId w:val="665"/>
        </w:numPr>
        <w:rPr>
          <w:rFonts w:ascii="Arial" w:cs="Arial" w:eastAsia="Arial" w:hAnsi="Arial"/>
          <w:sz w:val="15"/>
          <w:szCs w:val="15"/>
          <w:color w:val="auto"/>
        </w:rPr>
      </w:pPr>
      <w:r>
        <w:rPr>
          <w:rFonts w:ascii="Arial" w:cs="Arial" w:eastAsia="Arial" w:hAnsi="Arial"/>
          <w:sz w:val="15"/>
          <w:szCs w:val="15"/>
          <w:color w:val="auto"/>
        </w:rPr>
        <w:t>Tenant shall provide Landlord with its most recent currently available financial statements (which may include consolidated financial statements if separate financial statements for Tenant have not been prepared at such time), at such times as may be requested by Landlord from time-to-time; provided, however, (i) unless an Event of Default occurs under this Lease, Landlord shall not request such financial statements more than once in any twelve (12) month period, and (ii) upon request of Tenant, Landlord shall enter into a customary confidentiality agreement with Tenant with respect to such financial statements.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30" w:name="page731"/>
    <w:bookmarkEnd w:id="730"/>
    <w:p>
      <w:pPr>
        <w:jc w:val="both"/>
        <w:ind w:left="1220" w:right="1239" w:firstLine="509"/>
        <w:spacing w:after="0"/>
        <w:tabs>
          <w:tab w:leader="none" w:pos="2140" w:val="left"/>
        </w:tabs>
        <w:numPr>
          <w:ilvl w:val="0"/>
          <w:numId w:val="666"/>
        </w:numPr>
        <w:rPr>
          <w:rFonts w:ascii="Arial" w:cs="Arial" w:eastAsia="Arial" w:hAnsi="Arial"/>
          <w:sz w:val="15"/>
          <w:szCs w:val="15"/>
          <w:color w:val="auto"/>
        </w:rPr>
      </w:pPr>
      <w:r>
        <w:rPr>
          <w:rFonts w:ascii="Arial" w:cs="Arial" w:eastAsia="Arial" w:hAnsi="Arial"/>
          <w:sz w:val="15"/>
          <w:szCs w:val="15"/>
          <w:color w:val="auto"/>
        </w:rPr>
        <w:t>Tenant shall cause Guarantor to provide Landlord with its most recent current audited financial statements (including balance sheets and income/expense statements), prepared and certified by an independent certified public accountant, at such times as may be requested by Landlord from time-to-time; provided, however, (x) unless an Event of Default occurs under this Lease, Landlord shall not request such financial statements more than once in any calendar year, (y) Tenant shall not be required to cause Guarantor to provide such financial statements to Landlord if at the time of said request Guarantor is a publicly-traded entity and the financial statements of Guarantor are otherwise publicly-available to Landlord, and (z) upon request, if the financial statements of Guarantor are not then publicly available, Landlord shall enter into a customary confidentiality agreement with Guarantor with respect to such financial statements.</w:t>
      </w:r>
    </w:p>
    <w:p>
      <w:pPr>
        <w:spacing w:after="0" w:line="292" w:lineRule="exact"/>
        <w:rPr>
          <w:sz w:val="20"/>
          <w:szCs w:val="20"/>
          <w:color w:val="auto"/>
        </w:rPr>
      </w:pPr>
    </w:p>
    <w:p>
      <w:pPr>
        <w:jc w:val="both"/>
        <w:ind w:left="1220" w:right="1239" w:firstLine="505"/>
        <w:spacing w:after="0" w:line="236" w:lineRule="auto"/>
        <w:rPr>
          <w:sz w:val="20"/>
          <w:szCs w:val="20"/>
          <w:color w:val="auto"/>
        </w:rPr>
      </w:pPr>
      <w:r>
        <w:rPr>
          <w:rFonts w:ascii="Arial" w:cs="Arial" w:eastAsia="Arial" w:hAnsi="Arial"/>
          <w:sz w:val="15"/>
          <w:szCs w:val="15"/>
          <w:b w:val="1"/>
          <w:bCs w:val="1"/>
          <w:color w:val="auto"/>
        </w:rPr>
        <w:t xml:space="preserve">Section 26.20. Tax Status of Beneficial Owner. </w:t>
      </w:r>
      <w:r>
        <w:rPr>
          <w:rFonts w:ascii="Arial" w:cs="Arial" w:eastAsia="Arial" w:hAnsi="Arial"/>
          <w:sz w:val="15"/>
          <w:szCs w:val="15"/>
          <w:color w:val="auto"/>
        </w:rPr>
        <w:t>Tenant recognizes and acknowledges</w:t>
      </w:r>
      <w:r>
        <w:rPr>
          <w:rFonts w:ascii="Arial" w:cs="Arial" w:eastAsia="Arial" w:hAnsi="Arial"/>
          <w:sz w:val="15"/>
          <w:szCs w:val="15"/>
          <w:b w:val="1"/>
          <w:bCs w:val="1"/>
          <w:color w:val="auto"/>
        </w:rPr>
        <w:t xml:space="preserve"> </w:t>
      </w:r>
      <w:r>
        <w:rPr>
          <w:rFonts w:ascii="Arial" w:cs="Arial" w:eastAsia="Arial" w:hAnsi="Arial"/>
          <w:sz w:val="15"/>
          <w:szCs w:val="15"/>
          <w:color w:val="auto"/>
        </w:rPr>
        <w:t>that Landlord and/or certain beneficial owners of Landlord may from time to time qualify as real estate investment trusts pursuant to Sections 856 et seq. of the Code (“</w:t>
      </w:r>
      <w:r>
        <w:rPr>
          <w:rFonts w:ascii="Arial" w:cs="Arial" w:eastAsia="Arial" w:hAnsi="Arial"/>
          <w:sz w:val="15"/>
          <w:szCs w:val="15"/>
          <w:b w:val="1"/>
          <w:bCs w:val="1"/>
          <w:color w:val="auto"/>
        </w:rPr>
        <w:t>Section 856</w:t>
      </w:r>
      <w:r>
        <w:rPr>
          <w:rFonts w:ascii="Arial" w:cs="Arial" w:eastAsia="Arial" w:hAnsi="Arial"/>
          <w:sz w:val="15"/>
          <w:szCs w:val="15"/>
          <w:color w:val="auto"/>
        </w:rPr>
        <w:t>”) or be subject to tax on unrelated business taxable income as defined in the Code (“</w:t>
      </w:r>
      <w:r>
        <w:rPr>
          <w:rFonts w:ascii="Arial" w:cs="Arial" w:eastAsia="Arial" w:hAnsi="Arial"/>
          <w:sz w:val="15"/>
          <w:szCs w:val="15"/>
          <w:b w:val="1"/>
          <w:bCs w:val="1"/>
          <w:color w:val="auto"/>
        </w:rPr>
        <w:t>UBTI</w:t>
      </w:r>
      <w:r>
        <w:rPr>
          <w:rFonts w:ascii="Arial" w:cs="Arial" w:eastAsia="Arial" w:hAnsi="Arial"/>
          <w:sz w:val="15"/>
          <w:szCs w:val="15"/>
          <w:color w:val="auto"/>
        </w:rPr>
        <w:t>”), and that avoiding (a) the loss of such status, (b) the receipt of any income derived under any provision of this Lease that does not constitute “rents from real property” (in the case of real estate investment trusts or for purposes of the unrelated business taxable income rules), and (c) the imposition of income, penalty or similar taxes (each an “</w:t>
      </w:r>
      <w:r>
        <w:rPr>
          <w:rFonts w:ascii="Arial" w:cs="Arial" w:eastAsia="Arial" w:hAnsi="Arial"/>
          <w:sz w:val="15"/>
          <w:szCs w:val="15"/>
          <w:b w:val="1"/>
          <w:bCs w:val="1"/>
          <w:color w:val="auto"/>
        </w:rPr>
        <w:t>Adverse Tax Event</w:t>
      </w:r>
      <w:r>
        <w:rPr>
          <w:rFonts w:ascii="Arial" w:cs="Arial" w:eastAsia="Arial" w:hAnsi="Arial"/>
          <w:sz w:val="15"/>
          <w:szCs w:val="15"/>
          <w:color w:val="auto"/>
        </w:rPr>
        <w:t xml:space="preserve">”) is of material concern to Landlord and such beneficial owners. In the event that (i) Section 856 is amended, or those portions of the Code of Federal Regulations applicable thereto, or the common law interpretation of, Section 856 shall be materially changed, or the rules and regulations regarding UBTI are materially changed, and (ii) this Lease or any document contemplated hereby could, based on the reasonable advice of tax advisers to Landlord, result in or cause an Adverse Tax Event, Tenant agrees upon written notice from Landlord to reasonably cooperate with Landlord, at Landlord’s cost and expense, in negotiating an amendment or modification thereof (provided that said amendment or modification shall neither increase Tenant’s obligations nor decrease Tenant’s rights under this Lease, except to a de minimus extent) and shall at the request of Landlord execute and deliver such documents reasonably required to effect such amendment or modification. Any amendment or modification pursuant to this </w:t>
      </w:r>
      <w:r>
        <w:rPr>
          <w:rFonts w:ascii="Arial" w:cs="Arial" w:eastAsia="Arial" w:hAnsi="Arial"/>
          <w:sz w:val="15"/>
          <w:szCs w:val="15"/>
          <w:b w:val="1"/>
          <w:bCs w:val="1"/>
          <w:color w:val="auto"/>
        </w:rPr>
        <w:t>Section 26.20</w:t>
      </w:r>
      <w:r>
        <w:rPr>
          <w:rFonts w:ascii="Arial" w:cs="Arial" w:eastAsia="Arial" w:hAnsi="Arial"/>
          <w:sz w:val="15"/>
          <w:szCs w:val="15"/>
          <w:color w:val="auto"/>
        </w:rPr>
        <w:t xml:space="preserve"> shall be structured to the minimum extent necessary to reasonably avoid an Adverse Tax Event, and so that the economic results to Landlord and Tenant shall be substantially similar to those set forth in this Lease without regard to such amendment or modification. Without limiting any of Landlord’s other rights under this </w:t>
      </w:r>
      <w:r>
        <w:rPr>
          <w:rFonts w:ascii="Arial" w:cs="Arial" w:eastAsia="Arial" w:hAnsi="Arial"/>
          <w:sz w:val="15"/>
          <w:szCs w:val="15"/>
          <w:b w:val="1"/>
          <w:bCs w:val="1"/>
          <w:color w:val="auto"/>
        </w:rPr>
        <w:t>Section 26.20</w:t>
      </w:r>
      <w:r>
        <w:rPr>
          <w:rFonts w:ascii="Arial" w:cs="Arial" w:eastAsia="Arial" w:hAnsi="Arial"/>
          <w:sz w:val="15"/>
          <w:szCs w:val="15"/>
          <w:color w:val="auto"/>
        </w:rPr>
        <w:t>, Landlord may elect in writing in its sole discretion to waive the receipt of any amount payable to Landlord hereunder and such written waiver shall constitute an amendment or modification of this Lease with respect to such payment.</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27</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HAZARDOUS MATERIALS</w:t>
      </w:r>
    </w:p>
    <w:p>
      <w:pPr>
        <w:spacing w:after="0" w:line="16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27.1. </w:t>
      </w:r>
      <w:r>
        <w:rPr>
          <w:rFonts w:ascii="Arial" w:cs="Arial" w:eastAsia="Arial" w:hAnsi="Arial"/>
          <w:sz w:val="15"/>
          <w:szCs w:val="15"/>
          <w:b w:val="1"/>
          <w:bCs w:val="1"/>
          <w:u w:val="single" w:color="auto"/>
          <w:color w:val="auto"/>
        </w:rPr>
        <w:t>Tenant’s Hazardous Materials</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not, without the prior written</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consent of Landlord, bring or permit to be brought to or kept at, in or on the Premises or elsewhere in the Building or the Property any Hazardous Materials, excepting only the types and quantities of Hazardous Materials which are used by Tenant in the ordinary course of Tenant’s business and are listed on the schedule attached to this Lease as </w:t>
      </w:r>
      <w:r>
        <w:rPr>
          <w:rFonts w:ascii="Arial" w:cs="Arial" w:eastAsia="Arial" w:hAnsi="Arial"/>
          <w:sz w:val="15"/>
          <w:szCs w:val="15"/>
          <w:b w:val="1"/>
          <w:bCs w:val="1"/>
          <w:color w:val="auto"/>
        </w:rPr>
        <w:t>Exhibit E</w:t>
      </w:r>
      <w:r>
        <w:rPr>
          <w:rFonts w:ascii="Arial" w:cs="Arial" w:eastAsia="Arial" w:hAnsi="Arial"/>
          <w:sz w:val="15"/>
          <w:szCs w:val="15"/>
          <w:color w:val="auto"/>
        </w:rPr>
        <w:t xml:space="preserve"> (“</w:t>
      </w:r>
      <w:r>
        <w:rPr>
          <w:rFonts w:ascii="Arial" w:cs="Arial" w:eastAsia="Arial" w:hAnsi="Arial"/>
          <w:sz w:val="15"/>
          <w:szCs w:val="15"/>
          <w:b w:val="1"/>
          <w:bCs w:val="1"/>
          <w:color w:val="auto"/>
        </w:rPr>
        <w:t>Tenant’s Hazardous Materials</w:t>
      </w:r>
      <w:r>
        <w:rPr>
          <w:rFonts w:ascii="Arial" w:cs="Arial" w:eastAsia="Arial" w:hAnsi="Arial"/>
          <w:sz w:val="15"/>
          <w:szCs w:val="15"/>
          <w:color w:val="auto"/>
        </w:rPr>
        <w:t>”). All such Hazardous Materials shall be stored and used in appropriate ‘control areas’, in accordance with all applicable Environmental Laws and prudent practices (including best practices to minimize quantities of stored Hazardous Materials using a “just in time” method of purchasing the same), and with respect to medical waste and so-called “biohazard” materials, good scientific and medical practice. In no event shall Tenant generate, produce, bring upon, use,</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31" w:name="page732"/>
    <w:bookmarkEnd w:id="731"/>
    <w:p>
      <w:pPr>
        <w:jc w:val="both"/>
        <w:ind w:left="1220" w:right="1239"/>
        <w:spacing w:after="0"/>
        <w:rPr>
          <w:sz w:val="20"/>
          <w:szCs w:val="20"/>
          <w:color w:val="auto"/>
        </w:rPr>
      </w:pPr>
      <w:r>
        <w:rPr>
          <w:rFonts w:ascii="Arial" w:cs="Arial" w:eastAsia="Arial" w:hAnsi="Arial"/>
          <w:sz w:val="15"/>
          <w:szCs w:val="15"/>
          <w:color w:val="auto"/>
        </w:rPr>
        <w:t>store or treat any infectious biological micro-organisms or any other Hazardous Materials with a risk category above the level of Biosafety Level 2 as established and described by the Department of Health and Human Services Publication Biosafety in Microbiological and Biomedical Laboratories (Fifth Edition) (as it may be further revised, the “</w:t>
      </w:r>
      <w:r>
        <w:rPr>
          <w:rFonts w:ascii="Arial" w:cs="Arial" w:eastAsia="Arial" w:hAnsi="Arial"/>
          <w:sz w:val="15"/>
          <w:szCs w:val="15"/>
          <w:b w:val="1"/>
          <w:bCs w:val="1"/>
          <w:color w:val="auto"/>
        </w:rPr>
        <w:t>BMBL</w:t>
      </w:r>
      <w:r>
        <w:rPr>
          <w:rFonts w:ascii="Arial" w:cs="Arial" w:eastAsia="Arial" w:hAnsi="Arial"/>
          <w:sz w:val="15"/>
          <w:szCs w:val="15"/>
          <w:color w:val="auto"/>
        </w:rPr>
        <w:t>”) or such other nationally recognized standards as may be adopted by Landlord from time-to-time. To the extent any Environmental Law establishes maximum quantities of any Hazardous Materials which may be stored, used or brought into the Building without additional licensing, permitting or authorizations therefor, Tenant shall not use, store or bring into the Building quantities in excess of Tenant’s Proportionate Share of such Hazardous Materials. Tenant shall assure that all laboratory uses are adequately and properly vented. By not later than the Commencement Date, Tenant shall complete and deliver to Landlord an Environmental Questionnaire (the “</w:t>
      </w:r>
      <w:r>
        <w:rPr>
          <w:rFonts w:ascii="Arial" w:cs="Arial" w:eastAsia="Arial" w:hAnsi="Arial"/>
          <w:sz w:val="15"/>
          <w:szCs w:val="15"/>
          <w:b w:val="1"/>
          <w:bCs w:val="1"/>
          <w:color w:val="auto"/>
        </w:rPr>
        <w:t>Environmental Questionnaire</w:t>
      </w:r>
      <w:r>
        <w:rPr>
          <w:rFonts w:ascii="Arial" w:cs="Arial" w:eastAsia="Arial" w:hAnsi="Arial"/>
          <w:sz w:val="15"/>
          <w:szCs w:val="15"/>
          <w:color w:val="auto"/>
        </w:rPr>
        <w:t xml:space="preserve">”) in the form attached to this Lease as </w:t>
      </w:r>
      <w:r>
        <w:rPr>
          <w:rFonts w:ascii="Arial" w:cs="Arial" w:eastAsia="Arial" w:hAnsi="Arial"/>
          <w:sz w:val="15"/>
          <w:szCs w:val="15"/>
          <w:b w:val="1"/>
          <w:bCs w:val="1"/>
          <w:color w:val="auto"/>
        </w:rPr>
        <w:t>Exhibit H,</w:t>
      </w:r>
      <w:r>
        <w:rPr>
          <w:rFonts w:ascii="Arial" w:cs="Arial" w:eastAsia="Arial" w:hAnsi="Arial"/>
          <w:sz w:val="15"/>
          <w:szCs w:val="15"/>
          <w:color w:val="auto"/>
        </w:rPr>
        <w:t xml:space="preserve"> for review and approval by Landlord, which approval shall not be unreasonably withheld, conditioned or delayed. On or before each anniversary of the Commencement Date, Tenant shall submit to Landlord for review and approval by Landlord, which approval shall not be unreasonably withheld, conditioned or delayed, the following: (x) an updated Environmental Questionnaire, and (y) an updated schedule listing Tenant’s Hazardous Materials. With respect to any Hazardous Material transported, used, stored, or generated in the Premises, Tenant shall (i) not permit any such Hazardous Material to escape, be released or be disposed of outside of the Premises, including in the Common Areas or elsewhere in the Building or the Real Property, and (ii) upon request, provide evidence reasonably satisfactory to Landlord of Tenant’s compliance with all applicable Environmental Laws, including copies of all licenses, permits and registrations obtained by Tenant that have not been previously provided to Landlord. Notwithstanding the foregoing, with respect to any of Tenant’s Hazardous Materials which Tenant does not properly handle, store or dispose of in compliance with all applicable Environmental Laws, prudent environmental practice and (with respect to medical waste and so-called “biohazard” materials) good scientific and medical practice, the right of Tenant to use such Hazardous Materials in the Premises shall be suspended unless and until Tenant demonstrates to Landlord’s reasonable satisfaction that Tenant has implemented appropriate and effective protocols and programs to thereafter properly handle, store or dispose of such material. In order to induce Landlord to waive its otherwise applicable requirement that Tenant maintain insurance in favor of Landlord against liability arising from the presence of radioactive materials in the Premises, and without limiting the foregoing, Tenant hereby represents and warrants to Landlord that at no time during the Term will Tenant bring upon, or permit to be brought upon, the Premises any radioactive materials, of any kind, whatsoever.</w:t>
      </w:r>
    </w:p>
    <w:p>
      <w:pPr>
        <w:spacing w:after="0" w:line="189"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27.2. </w:t>
      </w:r>
      <w:r>
        <w:rPr>
          <w:rFonts w:ascii="Arial" w:cs="Arial" w:eastAsia="Arial" w:hAnsi="Arial"/>
          <w:sz w:val="15"/>
          <w:szCs w:val="15"/>
          <w:b w:val="1"/>
          <w:bCs w:val="1"/>
          <w:u w:val="single" w:color="auto"/>
          <w:color w:val="auto"/>
        </w:rPr>
        <w:t>Chemical Safety Program</w:t>
      </w:r>
      <w:r>
        <w:rPr>
          <w:rFonts w:ascii="Arial" w:cs="Arial" w:eastAsia="Arial" w:hAnsi="Arial"/>
          <w:sz w:val="15"/>
          <w:szCs w:val="15"/>
          <w:color w:val="auto"/>
        </w:rPr>
        <w:t>. Tenant shall cause chemical lists and MSDS</w:t>
      </w:r>
      <w:r>
        <w:rPr>
          <w:rFonts w:ascii="Arial" w:cs="Arial" w:eastAsia="Arial" w:hAnsi="Arial"/>
          <w:sz w:val="15"/>
          <w:szCs w:val="15"/>
          <w:b w:val="1"/>
          <w:bCs w:val="1"/>
          <w:color w:val="auto"/>
        </w:rPr>
        <w:t xml:space="preserve"> </w:t>
      </w:r>
      <w:r>
        <w:rPr>
          <w:rFonts w:ascii="Arial" w:cs="Arial" w:eastAsia="Arial" w:hAnsi="Arial"/>
          <w:sz w:val="15"/>
          <w:szCs w:val="15"/>
          <w:color w:val="auto"/>
        </w:rPr>
        <w:t>sheets to be readily available at the entrance to each lab area in the Premises. Tenant shall cause lab operators carrying any lab-related materials to travel only within the Premises, and to and from the common corridors, freight elevator, and loading dock. Without limitation, Landlord may elect, upon reasonable prior notice to Tenant, from time to time, at times which are reasonably acceptable to Tenant, to undertake monitoring and testing in the Building, including, without limitation, monitoring and testing within the Premises, provided that such activities shall be coordinated with Tenant in a manner so as to not materially and adversely affect Tenant’s operations and in compliance with the customary confidentiality and security requirements established by Tenant. Landlord and Tenant shall exercise good faith reasonable efforts to cooperate with each other in connection with all such testing activities. Tenant shall establish and maintain a satisfactory chemical safety program, administered by a licensed, qualified individual in accordance with the requirements of the MWRA, the City of Boston and all other applicable Governmental Authorities. Tenant shall be solely responsible for all costs incurred in connection with such chemical safety program. Tenant shall provide Landlord with such documentation as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32" w:name="page733"/>
    <w:bookmarkEnd w:id="732"/>
    <w:p>
      <w:pPr>
        <w:jc w:val="both"/>
        <w:ind w:left="1220" w:right="1239"/>
        <w:spacing w:after="0" w:line="259" w:lineRule="auto"/>
        <w:rPr>
          <w:sz w:val="20"/>
          <w:szCs w:val="20"/>
          <w:color w:val="auto"/>
        </w:rPr>
      </w:pPr>
      <w:r>
        <w:rPr>
          <w:rFonts w:ascii="Arial" w:cs="Arial" w:eastAsia="Arial" w:hAnsi="Arial"/>
          <w:sz w:val="15"/>
          <w:szCs w:val="15"/>
          <w:color w:val="auto"/>
        </w:rPr>
        <w:t xml:space="preserve">Landlord may reasonably require evidencing Tenant’s compliance with the requirements of (i) the MWRA and any other applicable Governmental Authority with respect to such chemical safety program, and (ii) this </w:t>
      </w:r>
      <w:r>
        <w:rPr>
          <w:rFonts w:ascii="Arial" w:cs="Arial" w:eastAsia="Arial" w:hAnsi="Arial"/>
          <w:sz w:val="15"/>
          <w:szCs w:val="15"/>
          <w:b w:val="1"/>
          <w:bCs w:val="1"/>
          <w:color w:val="auto"/>
        </w:rPr>
        <w:t>Section 27.2</w:t>
      </w:r>
      <w:r>
        <w:rPr>
          <w:rFonts w:ascii="Arial" w:cs="Arial" w:eastAsia="Arial" w:hAnsi="Arial"/>
          <w:sz w:val="15"/>
          <w:szCs w:val="15"/>
          <w:color w:val="auto"/>
        </w:rPr>
        <w:t>.</w:t>
      </w:r>
    </w:p>
    <w:p>
      <w:pPr>
        <w:spacing w:after="0" w:line="112" w:lineRule="exact"/>
        <w:rPr>
          <w:sz w:val="20"/>
          <w:szCs w:val="20"/>
          <w:color w:val="auto"/>
        </w:rPr>
      </w:pPr>
    </w:p>
    <w:p>
      <w:pPr>
        <w:jc w:val="both"/>
        <w:ind w:left="1220" w:right="1239" w:firstLine="505"/>
        <w:spacing w:after="0" w:line="235" w:lineRule="auto"/>
        <w:rPr>
          <w:sz w:val="20"/>
          <w:szCs w:val="20"/>
          <w:color w:val="auto"/>
        </w:rPr>
      </w:pPr>
      <w:r>
        <w:rPr>
          <w:rFonts w:ascii="Arial" w:cs="Arial" w:eastAsia="Arial" w:hAnsi="Arial"/>
          <w:sz w:val="15"/>
          <w:szCs w:val="15"/>
          <w:b w:val="1"/>
          <w:bCs w:val="1"/>
          <w:color w:val="auto"/>
        </w:rPr>
        <w:t xml:space="preserve">Section 27.3. </w:t>
      </w:r>
      <w:r>
        <w:rPr>
          <w:rFonts w:ascii="Arial" w:cs="Arial" w:eastAsia="Arial" w:hAnsi="Arial"/>
          <w:sz w:val="15"/>
          <w:szCs w:val="15"/>
          <w:b w:val="1"/>
          <w:bCs w:val="1"/>
          <w:u w:val="single" w:color="auto"/>
          <w:color w:val="auto"/>
        </w:rPr>
        <w:t>Testing, Inspection Reports</w:t>
      </w:r>
      <w:r>
        <w:rPr>
          <w:rFonts w:ascii="Arial" w:cs="Arial" w:eastAsia="Arial" w:hAnsi="Arial"/>
          <w:sz w:val="15"/>
          <w:szCs w:val="15"/>
          <w:color w:val="auto"/>
        </w:rPr>
        <w:t>. Landlord may elect, from time to time,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inspect the Premises for compliance with applicable Environmental Laws and the terms and conditions of this </w:t>
      </w:r>
      <w:r>
        <w:rPr>
          <w:rFonts w:ascii="Arial" w:cs="Arial" w:eastAsia="Arial" w:hAnsi="Arial"/>
          <w:sz w:val="15"/>
          <w:szCs w:val="15"/>
          <w:b w:val="1"/>
          <w:bCs w:val="1"/>
          <w:color w:val="auto"/>
        </w:rPr>
        <w:t>Article 27</w:t>
      </w:r>
      <w:r>
        <w:rPr>
          <w:rFonts w:ascii="Arial" w:cs="Arial" w:eastAsia="Arial" w:hAnsi="Arial"/>
          <w:sz w:val="15"/>
          <w:szCs w:val="15"/>
          <w:color w:val="auto"/>
        </w:rPr>
        <w:t xml:space="preserve">. If and to the extent as a result of such testing Tenant is determined to have caused any release or discharge of a Hazardous Material at, in, on, under or upon the Property, then Tenant shall reimburse Landlord, as Additional Rent, for all out of pocket costs incurred by Landlord in connection therewith. Tenant shall execute all such affidavits, certifications and other documents, as may be reasonably requested by Landlord from time to time concerning the presence of Hazardous Materials at, in or, on or under the Premises, the Building or the Property arising out of or resulting from the operations of Tenant. From time to time during the term of this Lease, Tenant shall provide Landlord with such evidence of Tenant’s compliance with the terms of this </w:t>
      </w:r>
      <w:r>
        <w:rPr>
          <w:rFonts w:ascii="Arial" w:cs="Arial" w:eastAsia="Arial" w:hAnsi="Arial"/>
          <w:sz w:val="15"/>
          <w:szCs w:val="15"/>
          <w:b w:val="1"/>
          <w:bCs w:val="1"/>
          <w:color w:val="auto"/>
        </w:rPr>
        <w:t>Article 27</w:t>
      </w:r>
      <w:r>
        <w:rPr>
          <w:rFonts w:ascii="Arial" w:cs="Arial" w:eastAsia="Arial" w:hAnsi="Arial"/>
          <w:sz w:val="15"/>
          <w:szCs w:val="15"/>
          <w:color w:val="auto"/>
        </w:rPr>
        <w:t xml:space="preserve"> as Landlord may reasonably request. Landlord may elect, from time-to-time, to commission a report (each, a “</w:t>
      </w:r>
      <w:r>
        <w:rPr>
          <w:rFonts w:ascii="Arial" w:cs="Arial" w:eastAsia="Arial" w:hAnsi="Arial"/>
          <w:sz w:val="15"/>
          <w:szCs w:val="15"/>
          <w:b w:val="1"/>
          <w:bCs w:val="1"/>
          <w:color w:val="auto"/>
        </w:rPr>
        <w:t>Landlord’s Inspection Report</w:t>
      </w:r>
      <w:r>
        <w:rPr>
          <w:rFonts w:ascii="Arial" w:cs="Arial" w:eastAsia="Arial" w:hAnsi="Arial"/>
          <w:sz w:val="15"/>
          <w:szCs w:val="15"/>
          <w:color w:val="auto"/>
        </w:rPr>
        <w:t xml:space="preserve">”) prepared by a licensed environmental engineer or certified industrial hygienist based on an inspection of the Premises, and setting the current condition of the Premises with respect to the use, storage and disposal of Hazardous Materials. If any time a Landlord’s Inspection Report indicates that there has been a breach by Tenant of the terms or conditions of this </w:t>
      </w:r>
      <w:r>
        <w:rPr>
          <w:rFonts w:ascii="Arial" w:cs="Arial" w:eastAsia="Arial" w:hAnsi="Arial"/>
          <w:sz w:val="15"/>
          <w:szCs w:val="15"/>
          <w:b w:val="1"/>
          <w:bCs w:val="1"/>
          <w:color w:val="auto"/>
        </w:rPr>
        <w:t>Article 27</w:t>
      </w:r>
      <w:r>
        <w:rPr>
          <w:rFonts w:ascii="Arial" w:cs="Arial" w:eastAsia="Arial" w:hAnsi="Arial"/>
          <w:sz w:val="15"/>
          <w:szCs w:val="15"/>
          <w:color w:val="auto"/>
        </w:rPr>
        <w:t>, then (x) Tenant shall reimburse Landlord for the commercially reasonable costs and expenses of such Landlord’s Report, within thirty (30) days after demand therefor, as Additional Rent, and</w:t>
      </w:r>
    </w:p>
    <w:p>
      <w:pPr>
        <w:spacing w:after="0" w:line="4" w:lineRule="exact"/>
        <w:rPr>
          <w:sz w:val="20"/>
          <w:szCs w:val="20"/>
          <w:color w:val="auto"/>
        </w:rPr>
      </w:pPr>
    </w:p>
    <w:p>
      <w:pPr>
        <w:ind w:left="1220" w:right="1239" w:firstLine="4"/>
        <w:spacing w:after="0" w:line="254" w:lineRule="auto"/>
        <w:tabs>
          <w:tab w:leader="none" w:pos="1497" w:val="left"/>
        </w:tabs>
        <w:numPr>
          <w:ilvl w:val="0"/>
          <w:numId w:val="667"/>
        </w:numPr>
        <w:rPr>
          <w:rFonts w:ascii="Arial" w:cs="Arial" w:eastAsia="Arial" w:hAnsi="Arial"/>
          <w:sz w:val="15"/>
          <w:szCs w:val="15"/>
          <w:color w:val="auto"/>
        </w:rPr>
      </w:pPr>
      <w:r>
        <w:rPr>
          <w:rFonts w:ascii="Arial" w:cs="Arial" w:eastAsia="Arial" w:hAnsi="Arial"/>
          <w:sz w:val="15"/>
          <w:szCs w:val="15"/>
          <w:color w:val="auto"/>
        </w:rPr>
        <w:t>Tenant shall promptly remedy such breach, and shall submit reasonably satisfactory confirmation of such remedy to Landlord.</w:t>
      </w:r>
    </w:p>
    <w:p>
      <w:pPr>
        <w:spacing w:after="0" w:line="124"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27.4. </w:t>
      </w:r>
      <w:r>
        <w:rPr>
          <w:rFonts w:ascii="Arial" w:cs="Arial" w:eastAsia="Arial" w:hAnsi="Arial"/>
          <w:sz w:val="15"/>
          <w:szCs w:val="15"/>
          <w:b w:val="1"/>
          <w:bCs w:val="1"/>
          <w:u w:val="single" w:color="auto"/>
          <w:color w:val="auto"/>
        </w:rPr>
        <w:t>Hazardous Materials Indemnity; Remediation</w:t>
      </w:r>
      <w:r>
        <w:rPr>
          <w:rFonts w:ascii="Arial" w:cs="Arial" w:eastAsia="Arial" w:hAnsi="Arial"/>
          <w:sz w:val="15"/>
          <w:szCs w:val="15"/>
          <w:color w:val="auto"/>
        </w:rPr>
        <w:t>. (a) Tenant hereby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covenants and agrees to indemnify, defend and hold the Indemnitees harmless from and against any and all Losses arising out of or resulting from any contamination of, or exacerbation of the contamination of, any part of the Building, the Real Property, or any other adjacent or nearby property, or any exacerbation of any contamination of any part of the Real Property or any part thereof, or any other adjacent or nearby property, which contamination or exacerbation, as the case may be, arises out of or results from (i) the discharge, transport, use, presence, generation, or disposal of Hazardous Material in the Premises arising out of, resulting from or in connection with, the operations of Tenant in the Premises, or (ii) any default or breach by Tenant of its obligations under this </w:t>
      </w:r>
      <w:r>
        <w:rPr>
          <w:rFonts w:ascii="Arial" w:cs="Arial" w:eastAsia="Arial" w:hAnsi="Arial"/>
          <w:sz w:val="15"/>
          <w:szCs w:val="15"/>
          <w:b w:val="1"/>
          <w:bCs w:val="1"/>
          <w:color w:val="auto"/>
        </w:rPr>
        <w:t>Article 27</w:t>
      </w:r>
      <w:r>
        <w:rPr>
          <w:rFonts w:ascii="Arial" w:cs="Arial" w:eastAsia="Arial" w:hAnsi="Arial"/>
          <w:sz w:val="15"/>
          <w:szCs w:val="15"/>
          <w:color w:val="auto"/>
        </w:rPr>
        <w:t>. This indemnification shall include all costs incurred in connection with any investigation of site conditions, any cleanup, remedial, removal or restoration work or any other response action required by any Governmental Authority in connection with any Hazardous Material present in the soil, soil vapor, or ground water at, on or under, or any indoor air in, the Building.</w:t>
      </w:r>
    </w:p>
    <w:p>
      <w:pPr>
        <w:spacing w:after="0" w:line="140" w:lineRule="exact"/>
        <w:rPr>
          <w:sz w:val="20"/>
          <w:szCs w:val="20"/>
          <w:color w:val="auto"/>
        </w:rPr>
      </w:pPr>
    </w:p>
    <w:p>
      <w:pPr>
        <w:jc w:val="both"/>
        <w:ind w:left="1220" w:right="1239" w:firstLine="509"/>
        <w:spacing w:after="0"/>
        <w:tabs>
          <w:tab w:leader="none" w:pos="2044" w:val="left"/>
        </w:tabs>
        <w:numPr>
          <w:ilvl w:val="0"/>
          <w:numId w:val="668"/>
        </w:numPr>
        <w:rPr>
          <w:rFonts w:ascii="Arial" w:cs="Arial" w:eastAsia="Arial" w:hAnsi="Arial"/>
          <w:sz w:val="15"/>
          <w:szCs w:val="15"/>
          <w:color w:val="auto"/>
        </w:rPr>
      </w:pPr>
      <w:r>
        <w:rPr>
          <w:rFonts w:ascii="Arial" w:cs="Arial" w:eastAsia="Arial" w:hAnsi="Arial"/>
          <w:sz w:val="15"/>
          <w:szCs w:val="15"/>
          <w:color w:val="auto"/>
        </w:rPr>
        <w:t>Landlord agrees that if (i) Hazardous Materials subsequently are discovered to have been in the Building as of the Commencement Date, and as of the Commencement Date such substances or materials were deemed pursuant to applicable Requirements to constitute Hazardous Materials requiring the abatement and/or removal thereof pursuant to then-current industry customs and practices, and applicable Requirements, or (ii) such substances or materials are released, stored, used, disposed of, introduced or brought in or into the Premises by Landlord or Landlord’s Agent, then the Landlord shall be responsible for the abatement and/or removal thereof in accordance with then-current industry customs and practices, and applicable Requirements, at the sole cost and expense of Landlord. During the Term of this Lease, Landlord will not release, use, or dispose of Hazardous Materials in the Building, excepting only such materials and substances as (i) are stored or used in accordance with all applicable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33" w:name="page734"/>
    <w:bookmarkEnd w:id="733"/>
    <w:p>
      <w:pPr>
        <w:jc w:val="both"/>
        <w:ind w:left="1220" w:right="1239"/>
        <w:spacing w:after="0" w:line="239" w:lineRule="auto"/>
        <w:rPr>
          <w:sz w:val="20"/>
          <w:szCs w:val="20"/>
          <w:color w:val="auto"/>
        </w:rPr>
      </w:pPr>
      <w:r>
        <w:rPr>
          <w:rFonts w:ascii="Arial" w:cs="Arial" w:eastAsia="Arial" w:hAnsi="Arial"/>
          <w:sz w:val="15"/>
          <w:szCs w:val="15"/>
          <w:color w:val="auto"/>
        </w:rPr>
        <w:t>Requirements, and (ii) are ordinarily and customarily used or located in Comparable Buildings. Notwithstanding the foregoing, in no event shall Landlord have any responsibilities, liabilities, or obligations with respect to Hazardous Materials (A) which may be released, used or disposed of by any person other than Landlord or Landlord’s Agent or their respective employees or contractors, or (B) which may be released, stored, used, disposed of, introduced or brought in or into the Premises after the Commencement Date, excepting only to the extent such Hazardous Materials are released, stored, used, disposed of, introduced or brought in or into the Premises by Landlord or Landlord’s Agent.</w:t>
      </w:r>
    </w:p>
    <w:p>
      <w:pPr>
        <w:spacing w:after="0" w:line="140" w:lineRule="exact"/>
        <w:rPr>
          <w:sz w:val="20"/>
          <w:szCs w:val="20"/>
          <w:color w:val="auto"/>
        </w:rPr>
      </w:pPr>
    </w:p>
    <w:p>
      <w:pPr>
        <w:jc w:val="both"/>
        <w:ind w:left="1220" w:right="1239" w:firstLine="509"/>
        <w:spacing w:after="0" w:line="237" w:lineRule="auto"/>
        <w:tabs>
          <w:tab w:leader="none" w:pos="2054" w:val="left"/>
        </w:tabs>
        <w:numPr>
          <w:ilvl w:val="0"/>
          <w:numId w:val="669"/>
        </w:numPr>
        <w:rPr>
          <w:rFonts w:ascii="Arial" w:cs="Arial" w:eastAsia="Arial" w:hAnsi="Arial"/>
          <w:sz w:val="15"/>
          <w:szCs w:val="15"/>
          <w:color w:val="auto"/>
        </w:rPr>
      </w:pPr>
      <w:r>
        <w:rPr>
          <w:rFonts w:ascii="Arial" w:cs="Arial" w:eastAsia="Arial" w:hAnsi="Arial"/>
          <w:sz w:val="15"/>
          <w:szCs w:val="15"/>
          <w:color w:val="auto"/>
        </w:rPr>
        <w:t>Without limiting the obligations set forth in Section 27.4(a) above, if any Hazardous Material is in, on, under, at or about the Building or the Real Property arising out of, resulting from or in connection with, the operations of Tenant in the Premises, and said Hazardous Material results in any contamination of any part of the Building, the Real Property or any part thereof, or any adjacent or nearby property that requires the performance of any response action pursuant to any Environmental Law, then Tenant shall, at Tenant’s sole cost and expense promptly take all actions as are necessary to reduce such Hazardous Material to amounts below any applicable “reportable quantity”, any applicable reportable concentration and any other applicable standard set forth in any Environmental Law such that (i) no further response actions, (ii) no Activity and Use Limitation (as that term is defined in the Massachusetts Contingency Plan, 310 CMR 40.0000 et seq. (the “</w:t>
      </w:r>
      <w:r>
        <w:rPr>
          <w:rFonts w:ascii="Arial" w:cs="Arial" w:eastAsia="Arial" w:hAnsi="Arial"/>
          <w:sz w:val="15"/>
          <w:szCs w:val="15"/>
          <w:b w:val="1"/>
          <w:bCs w:val="1"/>
          <w:color w:val="auto"/>
        </w:rPr>
        <w:t>MCP</w:t>
      </w:r>
      <w:r>
        <w:rPr>
          <w:rFonts w:ascii="Arial" w:cs="Arial" w:eastAsia="Arial" w:hAnsi="Arial"/>
          <w:sz w:val="15"/>
          <w:szCs w:val="15"/>
          <w:color w:val="auto"/>
        </w:rPr>
        <w:t>”)), and (iii) no Condition (as that term is defined in the MCP) is or are required (“</w:t>
      </w:r>
      <w:r>
        <w:rPr>
          <w:rFonts w:ascii="Arial" w:cs="Arial" w:eastAsia="Arial" w:hAnsi="Arial"/>
          <w:sz w:val="15"/>
          <w:szCs w:val="15"/>
          <w:b w:val="1"/>
          <w:bCs w:val="1"/>
          <w:color w:val="auto"/>
        </w:rPr>
        <w:t>Tenant’s Remediation</w:t>
      </w:r>
      <w:r>
        <w:rPr>
          <w:rFonts w:ascii="Arial" w:cs="Arial" w:eastAsia="Arial" w:hAnsi="Arial"/>
          <w:sz w:val="15"/>
          <w:szCs w:val="15"/>
          <w:color w:val="auto"/>
        </w:rPr>
        <w:t>”). Each Tenant’s Remediation shall be subject to the prior approval of Landlord in all respects.</w:t>
      </w:r>
    </w:p>
    <w:p>
      <w:pPr>
        <w:spacing w:after="0" w:line="140" w:lineRule="exact"/>
        <w:rPr>
          <w:rFonts w:ascii="Arial" w:cs="Arial" w:eastAsia="Arial" w:hAnsi="Arial"/>
          <w:sz w:val="15"/>
          <w:szCs w:val="15"/>
          <w:color w:val="auto"/>
        </w:rPr>
      </w:pPr>
    </w:p>
    <w:p>
      <w:pPr>
        <w:jc w:val="both"/>
        <w:ind w:left="1220" w:right="1239" w:firstLine="509"/>
        <w:spacing w:after="0" w:line="254" w:lineRule="auto"/>
        <w:tabs>
          <w:tab w:leader="none" w:pos="2104" w:val="left"/>
        </w:tabs>
        <w:numPr>
          <w:ilvl w:val="0"/>
          <w:numId w:val="669"/>
        </w:numPr>
        <w:rPr>
          <w:rFonts w:ascii="Arial" w:cs="Arial" w:eastAsia="Arial" w:hAnsi="Arial"/>
          <w:sz w:val="15"/>
          <w:szCs w:val="15"/>
          <w:color w:val="auto"/>
        </w:rPr>
      </w:pPr>
      <w:r>
        <w:rPr>
          <w:rFonts w:ascii="Arial" w:cs="Arial" w:eastAsia="Arial" w:hAnsi="Arial"/>
          <w:sz w:val="15"/>
          <w:szCs w:val="15"/>
          <w:color w:val="auto"/>
        </w:rPr>
        <w:t>Without limiting any other rights and remedies of Landlord on account thereof, if Tenant fails to complete Tenant’s Remediation prior to the Expiration Date or any earlier termination of the Term, then:</w:t>
      </w:r>
    </w:p>
    <w:p>
      <w:pPr>
        <w:spacing w:after="0" w:line="125" w:lineRule="exact"/>
        <w:rPr>
          <w:rFonts w:ascii="Arial" w:cs="Arial" w:eastAsia="Arial" w:hAnsi="Arial"/>
          <w:sz w:val="15"/>
          <w:szCs w:val="15"/>
          <w:color w:val="auto"/>
        </w:rPr>
      </w:pPr>
    </w:p>
    <w:p>
      <w:pPr>
        <w:jc w:val="both"/>
        <w:ind w:left="1220" w:right="1239" w:firstLine="1013"/>
        <w:spacing w:after="0" w:line="239" w:lineRule="auto"/>
        <w:tabs>
          <w:tab w:leader="none" w:pos="2545" w:val="left"/>
        </w:tabs>
        <w:numPr>
          <w:ilvl w:val="1"/>
          <w:numId w:val="669"/>
        </w:numPr>
        <w:rPr>
          <w:rFonts w:ascii="Arial" w:cs="Arial" w:eastAsia="Arial" w:hAnsi="Arial"/>
          <w:sz w:val="15"/>
          <w:szCs w:val="15"/>
          <w:color w:val="auto"/>
        </w:rPr>
      </w:pPr>
      <w:r>
        <w:rPr>
          <w:rFonts w:ascii="Arial" w:cs="Arial" w:eastAsia="Arial" w:hAnsi="Arial"/>
          <w:sz w:val="15"/>
          <w:szCs w:val="15"/>
          <w:color w:val="auto"/>
        </w:rPr>
        <w:t>Unless and until the completion of Tenant’s Remediation (as evidenced by the certification by an acceptable Licensed Site Professional (as such term is defined by the MCP (the “</w:t>
      </w:r>
      <w:r>
        <w:rPr>
          <w:rFonts w:ascii="Arial" w:cs="Arial" w:eastAsia="Arial" w:hAnsi="Arial"/>
          <w:sz w:val="15"/>
          <w:szCs w:val="15"/>
          <w:b w:val="1"/>
          <w:bCs w:val="1"/>
          <w:color w:val="auto"/>
        </w:rPr>
        <w:t>Remediation Completion Date</w:t>
      </w:r>
      <w:r>
        <w:rPr>
          <w:rFonts w:ascii="Arial" w:cs="Arial" w:eastAsia="Arial" w:hAnsi="Arial"/>
          <w:sz w:val="15"/>
          <w:szCs w:val="15"/>
          <w:color w:val="auto"/>
        </w:rPr>
        <w:t xml:space="preserve">”), Tenant shall pay to Landlord, with respect to the portion of the Premises which reasonably cannot be occupied by a new tenant until completion of Tenant’s Remediation, (A) Fixed Rent in an amount equal to 150% of the greater of (1) the Fair Market Value of such portion of the Premises (determined in substantial accordance with the process described in </w:t>
      </w:r>
      <w:r>
        <w:rPr>
          <w:rFonts w:ascii="Arial" w:cs="Arial" w:eastAsia="Arial" w:hAnsi="Arial"/>
          <w:sz w:val="15"/>
          <w:szCs w:val="15"/>
          <w:b w:val="1"/>
          <w:bCs w:val="1"/>
          <w:color w:val="auto"/>
        </w:rPr>
        <w:t>Section 29.2</w:t>
      </w:r>
      <w:r>
        <w:rPr>
          <w:rFonts w:ascii="Arial" w:cs="Arial" w:eastAsia="Arial" w:hAnsi="Arial"/>
          <w:sz w:val="15"/>
          <w:szCs w:val="15"/>
          <w:color w:val="auto"/>
        </w:rPr>
        <w:t xml:space="preserve"> below), and (2) Fixed Rent attributable to such portion of the Premises in effect immediately prior to the end of the Term, and (B) additional rent on account of Operating Expenses and Taxes; and</w:t>
      </w:r>
    </w:p>
    <w:p>
      <w:pPr>
        <w:spacing w:after="0" w:line="136" w:lineRule="exact"/>
        <w:rPr>
          <w:rFonts w:ascii="Arial" w:cs="Arial" w:eastAsia="Arial" w:hAnsi="Arial"/>
          <w:sz w:val="15"/>
          <w:szCs w:val="15"/>
          <w:color w:val="auto"/>
        </w:rPr>
      </w:pPr>
    </w:p>
    <w:p>
      <w:pPr>
        <w:jc w:val="both"/>
        <w:ind w:left="1220" w:right="1239" w:firstLine="1013"/>
        <w:spacing w:after="0" w:line="238" w:lineRule="auto"/>
        <w:tabs>
          <w:tab w:leader="none" w:pos="2550" w:val="left"/>
        </w:tabs>
        <w:numPr>
          <w:ilvl w:val="1"/>
          <w:numId w:val="669"/>
        </w:numPr>
        <w:rPr>
          <w:rFonts w:ascii="Arial" w:cs="Arial" w:eastAsia="Arial" w:hAnsi="Arial"/>
          <w:sz w:val="15"/>
          <w:szCs w:val="15"/>
          <w:color w:val="auto"/>
        </w:rPr>
      </w:pPr>
      <w:r>
        <w:rPr>
          <w:rFonts w:ascii="Arial" w:cs="Arial" w:eastAsia="Arial" w:hAnsi="Arial"/>
          <w:sz w:val="15"/>
          <w:szCs w:val="15"/>
          <w:color w:val="auto"/>
        </w:rPr>
        <w:t>Tenant shall continue to be responsible and liable for Tenant’s Remediation and shall complete Tenant’s Remediation as soon as reasonably practicable, in accordance with all Environmental Laws. If Tenant does not diligently pursue completion of Tenant’s Remediation, Landlord may elect to (A) assume control of the performance of Tenant’s Remediation, in which event Tenant shall reimburse Landlord for all costs and expenses incurred by Landlord in connection therewith, which may include substituting Landlord as the party identified on any governmental filings as the party performing such Tenant’s Remediation, or (B) require Tenant to maintain responsibility and liability for Tenant’s Remediation, in which event Tenant shall complete Tenant’s Remediation as soon as reasonably practicable in accordance with all Environmental Laws.</w:t>
      </w:r>
    </w:p>
    <w:p>
      <w:pPr>
        <w:spacing w:after="0" w:line="138" w:lineRule="exact"/>
        <w:rPr>
          <w:sz w:val="20"/>
          <w:szCs w:val="20"/>
          <w:color w:val="auto"/>
        </w:rPr>
      </w:pPr>
    </w:p>
    <w:p>
      <w:pPr>
        <w:jc w:val="both"/>
        <w:ind w:left="1220" w:right="1239" w:firstLine="505"/>
        <w:spacing w:after="0" w:line="249" w:lineRule="auto"/>
        <w:rPr>
          <w:sz w:val="20"/>
          <w:szCs w:val="20"/>
          <w:color w:val="auto"/>
        </w:rPr>
      </w:pPr>
      <w:r>
        <w:rPr>
          <w:rFonts w:ascii="Arial" w:cs="Arial" w:eastAsia="Arial" w:hAnsi="Arial"/>
          <w:sz w:val="15"/>
          <w:szCs w:val="15"/>
          <w:b w:val="1"/>
          <w:bCs w:val="1"/>
          <w:color w:val="auto"/>
        </w:rPr>
        <w:t xml:space="preserve">Section 27.5. </w:t>
      </w:r>
      <w:r>
        <w:rPr>
          <w:rFonts w:ascii="Arial" w:cs="Arial" w:eastAsia="Arial" w:hAnsi="Arial"/>
          <w:sz w:val="15"/>
          <w:szCs w:val="15"/>
          <w:b w:val="1"/>
          <w:bCs w:val="1"/>
          <w:u w:val="single" w:color="auto"/>
          <w:color w:val="auto"/>
        </w:rPr>
        <w:t>Disclosures</w:t>
      </w:r>
      <w:r>
        <w:rPr>
          <w:rFonts w:ascii="Arial" w:cs="Arial" w:eastAsia="Arial" w:hAnsi="Arial"/>
          <w:sz w:val="15"/>
          <w:szCs w:val="15"/>
          <w:color w:val="auto"/>
        </w:rPr>
        <w:t>. Prior to introducing any Hazardous Material into any part of</w:t>
      </w:r>
      <w:r>
        <w:rPr>
          <w:rFonts w:ascii="Arial" w:cs="Arial" w:eastAsia="Arial" w:hAnsi="Arial"/>
          <w:sz w:val="15"/>
          <w:szCs w:val="15"/>
          <w:b w:val="1"/>
          <w:bCs w:val="1"/>
          <w:color w:val="auto"/>
        </w:rPr>
        <w:t xml:space="preserve"> </w:t>
      </w:r>
      <w:r>
        <w:rPr>
          <w:rFonts w:ascii="Arial" w:cs="Arial" w:eastAsia="Arial" w:hAnsi="Arial"/>
          <w:sz w:val="15"/>
          <w:szCs w:val="15"/>
          <w:color w:val="auto"/>
        </w:rPr>
        <w:t>the Premises other than customary cleaning and maintenance supplies, Tenant shall deliver to Landlord the following information with respect thereto: (a) a description of the proposed handling,</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34" w:name="page735"/>
    <w:bookmarkEnd w:id="734"/>
    <w:p>
      <w:pPr>
        <w:jc w:val="both"/>
        <w:ind w:left="1220" w:right="1239"/>
        <w:spacing w:after="0" w:line="247" w:lineRule="auto"/>
        <w:rPr>
          <w:sz w:val="20"/>
          <w:szCs w:val="20"/>
          <w:color w:val="auto"/>
        </w:rPr>
      </w:pPr>
      <w:r>
        <w:rPr>
          <w:rFonts w:ascii="Arial" w:cs="Arial" w:eastAsia="Arial" w:hAnsi="Arial"/>
          <w:sz w:val="15"/>
          <w:szCs w:val="15"/>
          <w:color w:val="auto"/>
        </w:rPr>
        <w:t>storage, use and disposal procedures to be adopted by Tenant; (b) all plans or disclosures and/or emergency response plans which Tenant has prepared, including Tenant’s spill response plan, and all plans which Tenant is required to supply to any Governmental Authority pursuant to any Environmental Laws; and (c) other information reasonably requested by Landlord.</w:t>
      </w:r>
    </w:p>
    <w:p>
      <w:pPr>
        <w:spacing w:after="0" w:line="129"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Section 27.6. </w:t>
      </w:r>
      <w:r>
        <w:rPr>
          <w:rFonts w:ascii="Arial" w:cs="Arial" w:eastAsia="Arial" w:hAnsi="Arial"/>
          <w:sz w:val="15"/>
          <w:szCs w:val="15"/>
          <w:b w:val="1"/>
          <w:bCs w:val="1"/>
          <w:u w:val="single" w:color="auto"/>
          <w:color w:val="auto"/>
        </w:rPr>
        <w:t>Survival</w:t>
      </w:r>
      <w:r>
        <w:rPr>
          <w:rFonts w:ascii="Arial" w:cs="Arial" w:eastAsia="Arial" w:hAnsi="Arial"/>
          <w:sz w:val="15"/>
          <w:szCs w:val="15"/>
          <w:color w:val="auto"/>
        </w:rPr>
        <w:t>. The provisions of this</w:t>
      </w:r>
      <w:r>
        <w:rPr>
          <w:rFonts w:ascii="Arial" w:cs="Arial" w:eastAsia="Arial" w:hAnsi="Arial"/>
          <w:sz w:val="15"/>
          <w:szCs w:val="15"/>
          <w:b w:val="1"/>
          <w:bCs w:val="1"/>
          <w:color w:val="auto"/>
        </w:rPr>
        <w:t xml:space="preserve"> Article 27 </w:t>
      </w:r>
      <w:r>
        <w:rPr>
          <w:rFonts w:ascii="Arial" w:cs="Arial" w:eastAsia="Arial" w:hAnsi="Arial"/>
          <w:sz w:val="15"/>
          <w:szCs w:val="15"/>
          <w:color w:val="auto"/>
        </w:rPr>
        <w:t>shall survive the expiration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termination of this Lease.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28</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LETTER OF CREDIT</w:t>
      </w:r>
    </w:p>
    <w:p>
      <w:pPr>
        <w:spacing w:after="0" w:line="16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28.1. </w:t>
      </w:r>
      <w:r>
        <w:rPr>
          <w:rFonts w:ascii="Arial" w:cs="Arial" w:eastAsia="Arial" w:hAnsi="Arial"/>
          <w:sz w:val="15"/>
          <w:szCs w:val="15"/>
          <w:b w:val="1"/>
          <w:bCs w:val="1"/>
          <w:u w:val="single" w:color="auto"/>
          <w:color w:val="auto"/>
        </w:rPr>
        <w:t>Letter of Credit</w:t>
      </w:r>
      <w:r>
        <w:rPr>
          <w:rFonts w:ascii="Arial" w:cs="Arial" w:eastAsia="Arial" w:hAnsi="Arial"/>
          <w:sz w:val="15"/>
          <w:szCs w:val="15"/>
          <w:b w:val="1"/>
          <w:bCs w:val="1"/>
          <w:color w:val="auto"/>
        </w:rPr>
        <w:t xml:space="preserve">. </w:t>
      </w:r>
      <w:r>
        <w:rPr>
          <w:rFonts w:ascii="Arial" w:cs="Arial" w:eastAsia="Arial" w:hAnsi="Arial"/>
          <w:sz w:val="15"/>
          <w:szCs w:val="15"/>
          <w:color w:val="auto"/>
        </w:rPr>
        <w:t>Concurrent with the execution of this Lease, Tenant shall</w:t>
      </w:r>
      <w:r>
        <w:rPr>
          <w:rFonts w:ascii="Arial" w:cs="Arial" w:eastAsia="Arial" w:hAnsi="Arial"/>
          <w:sz w:val="15"/>
          <w:szCs w:val="15"/>
          <w:b w:val="1"/>
          <w:bCs w:val="1"/>
          <w:color w:val="auto"/>
        </w:rPr>
        <w:t xml:space="preserve"> </w:t>
      </w:r>
      <w:r>
        <w:rPr>
          <w:rFonts w:ascii="Arial" w:cs="Arial" w:eastAsia="Arial" w:hAnsi="Arial"/>
          <w:sz w:val="15"/>
          <w:szCs w:val="15"/>
          <w:color w:val="auto"/>
        </w:rPr>
        <w:t>deliver to Landlord a Letter of Credit (as hereinafter defined) in the amount of the Letter of Credit Amount specified in the Basic Lease Information, as security for the faithful performance and observance by Tenant of the terms, covenants and conditions of this Lease. Tenant covenants and agrees to maintain the Letter of Credit in the Letter of Credit Amount throughout the Term of this Lease. The Letter of Credit shall be in the form of a clean, irrevocable, non-documentary and unconditional letter of credit (the “</w:t>
      </w:r>
      <w:r>
        <w:rPr>
          <w:rFonts w:ascii="Arial" w:cs="Arial" w:eastAsia="Arial" w:hAnsi="Arial"/>
          <w:sz w:val="15"/>
          <w:szCs w:val="15"/>
          <w:b w:val="1"/>
          <w:bCs w:val="1"/>
          <w:color w:val="auto"/>
        </w:rPr>
        <w:t>Letter of Credit</w:t>
      </w:r>
      <w:r>
        <w:rPr>
          <w:rFonts w:ascii="Arial" w:cs="Arial" w:eastAsia="Arial" w:hAnsi="Arial"/>
          <w:sz w:val="15"/>
          <w:szCs w:val="15"/>
          <w:color w:val="auto"/>
        </w:rPr>
        <w:t>”) issued by and drawable upon a commercial bank (the “</w:t>
      </w:r>
      <w:r>
        <w:rPr>
          <w:rFonts w:ascii="Arial" w:cs="Arial" w:eastAsia="Arial" w:hAnsi="Arial"/>
          <w:sz w:val="15"/>
          <w:szCs w:val="15"/>
          <w:b w:val="1"/>
          <w:bCs w:val="1"/>
          <w:color w:val="auto"/>
        </w:rPr>
        <w:t>Issuing Bank</w:t>
      </w:r>
      <w:r>
        <w:rPr>
          <w:rFonts w:ascii="Arial" w:cs="Arial" w:eastAsia="Arial" w:hAnsi="Arial"/>
          <w:sz w:val="15"/>
          <w:szCs w:val="15"/>
          <w:color w:val="auto"/>
        </w:rPr>
        <w:t>”), which is satisfactory to Landlord and which satisfies both the Minimum Rating Agency Threshold (as hereinafter defined) and the Minimum Capital Threshold (as hereinafter defined). The “</w:t>
      </w:r>
      <w:r>
        <w:rPr>
          <w:rFonts w:ascii="Arial" w:cs="Arial" w:eastAsia="Arial" w:hAnsi="Arial"/>
          <w:sz w:val="15"/>
          <w:szCs w:val="15"/>
          <w:b w:val="1"/>
          <w:bCs w:val="1"/>
          <w:color w:val="auto"/>
        </w:rPr>
        <w:t>Minimum Rating Agency Threshold</w:t>
      </w:r>
      <w:r>
        <w:rPr>
          <w:rFonts w:ascii="Arial" w:cs="Arial" w:eastAsia="Arial" w:hAnsi="Arial"/>
          <w:sz w:val="15"/>
          <w:szCs w:val="15"/>
          <w:color w:val="auto"/>
        </w:rPr>
        <w:t>” shall mean that the Issuing Bank has outstanding unsecured, uninsured and unguaranteed senior long-term indebtedness that is then rated (without regard to qualification of such rating by symbols such as “+” or “-” or numerical notation) “Baa” or better by Moody’s Investors Service, Inc. and/or “BBB” or better by Standard &amp; Poor’s Rating Services, or a comparable rating by a comparable national rating agency designated by Landlord in its discretion. The “</w:t>
      </w:r>
      <w:r>
        <w:rPr>
          <w:rFonts w:ascii="Arial" w:cs="Arial" w:eastAsia="Arial" w:hAnsi="Arial"/>
          <w:sz w:val="15"/>
          <w:szCs w:val="15"/>
          <w:b w:val="1"/>
          <w:bCs w:val="1"/>
          <w:color w:val="auto"/>
        </w:rPr>
        <w:t>Minimum</w:t>
      </w:r>
      <w:r>
        <w:rPr>
          <w:rFonts w:ascii="Arial" w:cs="Arial" w:eastAsia="Arial" w:hAnsi="Arial"/>
          <w:sz w:val="15"/>
          <w:szCs w:val="15"/>
          <w:color w:val="auto"/>
        </w:rPr>
        <w:t xml:space="preserve"> </w:t>
      </w:r>
      <w:r>
        <w:rPr>
          <w:rFonts w:ascii="Arial" w:cs="Arial" w:eastAsia="Arial" w:hAnsi="Arial"/>
          <w:sz w:val="15"/>
          <w:szCs w:val="15"/>
          <w:b w:val="1"/>
          <w:bCs w:val="1"/>
          <w:color w:val="auto"/>
        </w:rPr>
        <w:t>Capital Threshold</w:t>
      </w:r>
      <w:r>
        <w:rPr>
          <w:rFonts w:ascii="Arial" w:cs="Arial" w:eastAsia="Arial" w:hAnsi="Arial"/>
          <w:sz w:val="15"/>
          <w:szCs w:val="15"/>
          <w:color w:val="auto"/>
        </w:rPr>
        <w:t>” shall mean that the Issuing Bank has combined capital, surplus and</w:t>
      </w:r>
      <w:r>
        <w:rPr>
          <w:rFonts w:ascii="Arial" w:cs="Arial" w:eastAsia="Arial" w:hAnsi="Arial"/>
          <w:sz w:val="15"/>
          <w:szCs w:val="15"/>
          <w:b w:val="1"/>
          <w:bCs w:val="1"/>
          <w:color w:val="auto"/>
        </w:rPr>
        <w:t xml:space="preserve"> </w:t>
      </w:r>
      <w:r>
        <w:rPr>
          <w:rFonts w:ascii="Arial" w:cs="Arial" w:eastAsia="Arial" w:hAnsi="Arial"/>
          <w:sz w:val="15"/>
          <w:szCs w:val="15"/>
          <w:color w:val="auto"/>
        </w:rPr>
        <w:t>undivided profits of not less than $ 2,000,000,000. Landlord hereby approves Silicon Valley Bank as the Issuing Bank. The Letter of Credit shall (a) name Landlord as beneficiary, (b) have a term of not less than one year, (c) permit multiple drawings, (d) be fully transferable by Landlord without the payment of any fees or charges by Landlord, and (e) otherwise be in form and content satisfactory to Landlord. If upon any transfer of the Letter of Credit, any fees or charges shall be so imposed, then such fees or charges shall be payable solely by Tenant and the Letter of Credit shall so specify. The Letter of Credit shall provide that it shall be deemed automatically renewed, without amendment, for consecutive periods of one (1) year each thereafter during the Term. The Letter of Credit (as extended) shall not expire prior to the date which is sixty (60) days after the Expiration Date (as extended). If the Issuing Bank does not renew the Letter of Credit upon the expiration thereof, then the Issuing Bank shall send duplicate notices (the “</w:t>
      </w:r>
      <w:r>
        <w:rPr>
          <w:rFonts w:ascii="Arial" w:cs="Arial" w:eastAsia="Arial" w:hAnsi="Arial"/>
          <w:sz w:val="15"/>
          <w:szCs w:val="15"/>
          <w:b w:val="1"/>
          <w:bCs w:val="1"/>
          <w:color w:val="auto"/>
        </w:rPr>
        <w:t>Non-Renewal Notices</w:t>
      </w:r>
      <w:r>
        <w:rPr>
          <w:rFonts w:ascii="Arial" w:cs="Arial" w:eastAsia="Arial" w:hAnsi="Arial"/>
          <w:sz w:val="15"/>
          <w:szCs w:val="15"/>
          <w:color w:val="auto"/>
        </w:rPr>
        <w:t>”) to Landlord by certified mail, return receipt requested (one of which shall be</w:t>
      </w:r>
      <w:r>
        <w:rPr>
          <w:rFonts w:ascii="Arial" w:cs="Arial" w:eastAsia="Arial" w:hAnsi="Arial"/>
          <w:sz w:val="15"/>
          <w:szCs w:val="15"/>
          <w:b w:val="1"/>
          <w:bCs w:val="1"/>
          <w:color w:val="auto"/>
        </w:rPr>
        <w:t xml:space="preserve"> </w:t>
      </w:r>
      <w:r>
        <w:rPr>
          <w:rFonts w:ascii="Arial" w:cs="Arial" w:eastAsia="Arial" w:hAnsi="Arial"/>
          <w:sz w:val="15"/>
          <w:szCs w:val="15"/>
          <w:color w:val="auto"/>
        </w:rPr>
        <w:t>addressed “Attention, Chief Legal Officer” and the other of which shall be addressed “Attention, Chief Financial Officer”) not less than sixty (60) days next preceding the then expiration date of the Letter of Credit stating that the Issuing Bank has elected not to renew the Letter of Credit. The Issuing Bank shall agree with all drawers, endorsers and bona fide holders that drafts drawn under and in compliance with the terms of the Letter of Credit will be duly honored upon presentation to the Issuing Bank. The Letter of Credit shall be issued pursuant to, and shall be subject in all respects to, the Uniform Customs and Practice for Documentary Credits ISP 98, International Chamber of Commerce Practices Publication No. 590 (1998 Revision).</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35" w:name="page736"/>
    <w:bookmarkEnd w:id="735"/>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28.2. </w:t>
      </w:r>
      <w:r>
        <w:rPr>
          <w:rFonts w:ascii="Arial" w:cs="Arial" w:eastAsia="Arial" w:hAnsi="Arial"/>
          <w:sz w:val="15"/>
          <w:szCs w:val="15"/>
          <w:b w:val="1"/>
          <w:bCs w:val="1"/>
          <w:u w:val="single" w:color="auto"/>
          <w:color w:val="auto"/>
        </w:rPr>
        <w:t>Application of Security</w:t>
      </w:r>
      <w:r>
        <w:rPr>
          <w:rFonts w:ascii="Arial" w:cs="Arial" w:eastAsia="Arial" w:hAnsi="Arial"/>
          <w:sz w:val="15"/>
          <w:szCs w:val="15"/>
          <w:b w:val="1"/>
          <w:bCs w:val="1"/>
          <w:color w:val="auto"/>
        </w:rPr>
        <w:t xml:space="preserve">. </w:t>
      </w:r>
      <w:r>
        <w:rPr>
          <w:rFonts w:ascii="Arial" w:cs="Arial" w:eastAsia="Arial" w:hAnsi="Arial"/>
          <w:sz w:val="15"/>
          <w:szCs w:val="15"/>
          <w:color w:val="auto"/>
        </w:rPr>
        <w:t>If (a) an Event of Default by Tenant occurs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under this Lease, or (b) Landlord receives a Non-Renewal Notice, or (c) Tenant files a voluntary petition under any Federal or state bankruptcy or insolvency code, law or proceeding, then Landlord shall have the right by sight draft to draw, at its election, all or a portion of the proceeds of the Letter of Credit and thereafter hold, use, apply, or retain the whole or any part of such proceeds, as the case may be, (x) to the extent required for the payment of any Rent or any other sum as to which Tenant is in default including (i) any sum which Landlord may expend or may be required to expend by reason of such Event of Default, and/or (ii) any damages to which Landlord is entitled pursuant to this Lease, whether such damages accrue before or after summary proceedings or other reentry by Landlord, and/or (y) as a cash security deposit, unless and until, in the case of clause (c) above, Tenant delivers to Landlord a substitute Letter of Credit which meets the requirements of this </w:t>
      </w:r>
      <w:r>
        <w:rPr>
          <w:rFonts w:ascii="Arial" w:cs="Arial" w:eastAsia="Arial" w:hAnsi="Arial"/>
          <w:sz w:val="15"/>
          <w:szCs w:val="15"/>
          <w:b w:val="1"/>
          <w:bCs w:val="1"/>
          <w:color w:val="auto"/>
        </w:rPr>
        <w:t>Article 28</w:t>
      </w:r>
      <w:r>
        <w:rPr>
          <w:rFonts w:ascii="Arial" w:cs="Arial" w:eastAsia="Arial" w:hAnsi="Arial"/>
          <w:sz w:val="15"/>
          <w:szCs w:val="15"/>
          <w:color w:val="auto"/>
        </w:rPr>
        <w:t xml:space="preserve">. If Landlord applies or retains any part of the proceeds of the Letter of Credit, or cash security, then Tenant, not later than five (5) Business Days after demand therefor, shall amend the Letter of Credit or deliver an additional Letter of Credit which satisfies the requirements of this </w:t>
      </w:r>
      <w:r>
        <w:rPr>
          <w:rFonts w:ascii="Arial" w:cs="Arial" w:eastAsia="Arial" w:hAnsi="Arial"/>
          <w:sz w:val="15"/>
          <w:szCs w:val="15"/>
          <w:b w:val="1"/>
          <w:bCs w:val="1"/>
          <w:color w:val="auto"/>
        </w:rPr>
        <w:t>Article 28</w:t>
      </w:r>
      <w:r>
        <w:rPr>
          <w:rFonts w:ascii="Arial" w:cs="Arial" w:eastAsia="Arial" w:hAnsi="Arial"/>
          <w:sz w:val="15"/>
          <w:szCs w:val="15"/>
          <w:color w:val="auto"/>
        </w:rPr>
        <w:t xml:space="preserve"> in the amount so applied or retained such that Landlord shall have a Letter of Credit (or Letters of Credit) in the Letter of Credit Amount on hand at all times during the Term. If Tenant shall comply with all of the terms, covenants and conditions of this Lease, then the Letter of Credit or then- remaining balance of the cash security, as the case may be, shall be returned to Tenant promptly after (x) the Expiration Date, (y) the surrender and yield-up of possession of the Premises to Landlord in the manner required by this Lease, and (z) the curing of any outstanding Events of Default under this Lease.</w:t>
      </w:r>
    </w:p>
    <w:p>
      <w:pPr>
        <w:spacing w:after="0" w:line="246"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Section 28.3. </w:t>
      </w:r>
      <w:r>
        <w:rPr>
          <w:rFonts w:ascii="Arial" w:cs="Arial" w:eastAsia="Arial" w:hAnsi="Arial"/>
          <w:sz w:val="15"/>
          <w:szCs w:val="15"/>
          <w:b w:val="1"/>
          <w:bCs w:val="1"/>
          <w:u w:val="single" w:color="auto"/>
          <w:color w:val="auto"/>
        </w:rPr>
        <w:t>Transfer</w:t>
      </w:r>
      <w:r>
        <w:rPr>
          <w:rFonts w:ascii="Arial" w:cs="Arial" w:eastAsia="Arial" w:hAnsi="Arial"/>
          <w:sz w:val="15"/>
          <w:szCs w:val="15"/>
          <w:b w:val="1"/>
          <w:bCs w:val="1"/>
          <w:color w:val="auto"/>
        </w:rPr>
        <w:t xml:space="preserve">. </w:t>
      </w:r>
      <w:r>
        <w:rPr>
          <w:rFonts w:ascii="Arial" w:cs="Arial" w:eastAsia="Arial" w:hAnsi="Arial"/>
          <w:sz w:val="15"/>
          <w:szCs w:val="15"/>
          <w:color w:val="auto"/>
        </w:rPr>
        <w:t>The Letter of Credit shall also provide that Landlord, its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successors and assigns, may, at any time and without notice to Tenant and without first obtaining Tenant’s consent thereto, transfer (one or more times) all or any portion of its interest in and to the Letter of Credit to the holder of any mortgage upon the Building or the successor landlord in connection with a transfer of the Building, from or as a part of the assignment by Landlord of its rights and interests in and to this Lease. In the event of a transfer of Landlord’s interest in the Building, Landlord shall transfer the Letter of Credit, in whole or in part, to the transferee and thereupon Landlord shall without any further agreement between the parties, be released by Tenant from all liability therefor. The provisions of this </w:t>
      </w:r>
      <w:r>
        <w:rPr>
          <w:rFonts w:ascii="Arial" w:cs="Arial" w:eastAsia="Arial" w:hAnsi="Arial"/>
          <w:sz w:val="15"/>
          <w:szCs w:val="15"/>
          <w:b w:val="1"/>
          <w:bCs w:val="1"/>
          <w:color w:val="auto"/>
        </w:rPr>
        <w:t>Section 28.3</w:t>
      </w:r>
      <w:r>
        <w:rPr>
          <w:rFonts w:ascii="Arial" w:cs="Arial" w:eastAsia="Arial" w:hAnsi="Arial"/>
          <w:sz w:val="15"/>
          <w:szCs w:val="15"/>
          <w:color w:val="auto"/>
        </w:rPr>
        <w:t xml:space="preserve"> shall apply to every transfer or assignment of the whole or any portion of said Letter of Credit to a new landlord. In connection with any such transfer of the Letter of Credit by Landlord, Tenant shall, at Tenant’s sole cost and expense, execute and submit to the Issuing Bank such applications, documents and instruments as may be necessary to effectuate such transfer, and Tenant shall be responsible for paying the Bank’s transfer and processing fees in connection therewith.</w:t>
      </w:r>
    </w:p>
    <w:p>
      <w:pPr>
        <w:spacing w:after="0" w:line="13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28.4. </w:t>
      </w:r>
      <w:r>
        <w:rPr>
          <w:rFonts w:ascii="Arial" w:cs="Arial" w:eastAsia="Arial" w:hAnsi="Arial"/>
          <w:sz w:val="15"/>
          <w:szCs w:val="15"/>
          <w:b w:val="1"/>
          <w:bCs w:val="1"/>
          <w:u w:val="single" w:color="auto"/>
          <w:color w:val="auto"/>
        </w:rPr>
        <w:t>Maintenance of Letter of Credit by Tenant</w:t>
      </w:r>
      <w:r>
        <w:rPr>
          <w:rFonts w:ascii="Arial" w:cs="Arial" w:eastAsia="Arial" w:hAnsi="Arial"/>
          <w:sz w:val="15"/>
          <w:szCs w:val="15"/>
          <w:b w:val="1"/>
          <w:bCs w:val="1"/>
          <w:color w:val="auto"/>
        </w:rPr>
        <w:t xml:space="preserve">. </w:t>
      </w:r>
      <w:r>
        <w:rPr>
          <w:rFonts w:ascii="Arial" w:cs="Arial" w:eastAsia="Arial" w:hAnsi="Arial"/>
          <w:sz w:val="15"/>
          <w:szCs w:val="15"/>
          <w:color w:val="auto"/>
        </w:rPr>
        <w:t>If, as a result of any drawing</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by Landlord on the Letter of Credit, the amount of the Letter of Credit shall be less than the Letter of Credit Amount, Tenant shall, within five (5) days thereafter, provide Landlord with additional letter(s) of credit in an amount equal to the deficiency, and any such additional letter(s) of credit shall comply with all of the provisions of this </w:t>
      </w:r>
      <w:r>
        <w:rPr>
          <w:rFonts w:ascii="Arial" w:cs="Arial" w:eastAsia="Arial" w:hAnsi="Arial"/>
          <w:sz w:val="15"/>
          <w:szCs w:val="15"/>
          <w:b w:val="1"/>
          <w:bCs w:val="1"/>
          <w:color w:val="auto"/>
        </w:rPr>
        <w:t>Article 28</w:t>
      </w:r>
      <w:r>
        <w:rPr>
          <w:rFonts w:ascii="Arial" w:cs="Arial" w:eastAsia="Arial" w:hAnsi="Arial"/>
          <w:sz w:val="15"/>
          <w:szCs w:val="15"/>
          <w:color w:val="auto"/>
        </w:rPr>
        <w:t>. Tenant further covenants and warrants that it will neither assign nor encumber the Letter of Credit or any part thereof and that neither Landlord nor its successors or assigns will be bound by any such assignment, encumbrance, attempted assignment or attempted encumbrance.</w:t>
      </w:r>
    </w:p>
    <w:p>
      <w:pPr>
        <w:spacing w:after="0" w:line="13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Section 28.5. </w:t>
      </w:r>
      <w:r>
        <w:rPr>
          <w:rFonts w:ascii="Arial" w:cs="Arial" w:eastAsia="Arial" w:hAnsi="Arial"/>
          <w:sz w:val="15"/>
          <w:szCs w:val="15"/>
          <w:b w:val="1"/>
          <w:bCs w:val="1"/>
          <w:u w:val="single" w:color="auto"/>
          <w:color w:val="auto"/>
        </w:rPr>
        <w:t>Landlord’s Right to Draw Upon Letter of Credit</w:t>
      </w:r>
      <w:r>
        <w:rPr>
          <w:rFonts w:ascii="Arial" w:cs="Arial" w:eastAsia="Arial" w:hAnsi="Arial"/>
          <w:sz w:val="15"/>
          <w:szCs w:val="15"/>
          <w:b w:val="1"/>
          <w:bCs w:val="1"/>
          <w:color w:val="auto"/>
        </w:rPr>
        <w:t xml:space="preserve">. </w:t>
      </w:r>
      <w:r>
        <w:rPr>
          <w:rFonts w:ascii="Arial" w:cs="Arial" w:eastAsia="Arial" w:hAnsi="Arial"/>
          <w:sz w:val="15"/>
          <w:szCs w:val="15"/>
          <w:color w:val="auto"/>
        </w:rPr>
        <w:t>The use, application or</w:t>
      </w:r>
      <w:r>
        <w:rPr>
          <w:rFonts w:ascii="Arial" w:cs="Arial" w:eastAsia="Arial" w:hAnsi="Arial"/>
          <w:sz w:val="15"/>
          <w:szCs w:val="15"/>
          <w:b w:val="1"/>
          <w:bCs w:val="1"/>
          <w:color w:val="auto"/>
        </w:rPr>
        <w:t xml:space="preserve"> </w:t>
      </w:r>
      <w:r>
        <w:rPr>
          <w:rFonts w:ascii="Arial" w:cs="Arial" w:eastAsia="Arial" w:hAnsi="Arial"/>
          <w:sz w:val="15"/>
          <w:szCs w:val="15"/>
          <w:color w:val="auto"/>
        </w:rPr>
        <w:t>retention of the Letter of Credit, or any portion thereof, by Landlord shall not prevent Landlord from exercising any other right or remedy provided by this Lease or by any applicable law, it being intended that Landlord shall not first be required to proceed against the Letter of Credit, and shall not operate as a limitation on any recovery to which Landlord may otherwise be entitled. Tenant</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36" w:name="page737"/>
    <w:bookmarkEnd w:id="736"/>
    <w:p>
      <w:pPr>
        <w:jc w:val="both"/>
        <w:ind w:left="1220" w:right="1239"/>
        <w:spacing w:after="0" w:line="235" w:lineRule="auto"/>
        <w:rPr>
          <w:sz w:val="20"/>
          <w:szCs w:val="20"/>
          <w:color w:val="auto"/>
        </w:rPr>
      </w:pPr>
      <w:r>
        <w:rPr>
          <w:rFonts w:ascii="Arial" w:cs="Arial" w:eastAsia="Arial" w:hAnsi="Arial"/>
          <w:sz w:val="15"/>
          <w:szCs w:val="15"/>
          <w:color w:val="auto"/>
        </w:rPr>
        <w:t>agrees not to interfere in any way with payment to Landlord of the proceeds of the Letter of Credit, either prior to or following a “draw” by Landlord of any portion of the Letter of Credit, regardless of whether any dispute exists between Tenant and Landlord as to Landlord’s right to draw upon the Letter of Credit. No condition or term of this Lease shall be deemed to render the Letter of Credit conditional to justify the issuer of the Letter of Credit in failing to honor a drawing upon such Letter of Credit in a timely manner. Tenant agrees and acknowledges that (a) the Letter of Credit constitutes a separate and independent contract between Landlord and the Issuing Bank, (b) Tenant is not a third party beneficiary of such contract, (c) Tenant has no property interest whatsoever in the Letter of Credit or the proceeds thereof, and (d) in the event Tenant becomes a debtor under any chapter of the Bankruptcy Code, neither Tenant, any trustee, nor Tenant’s bankruptcy estate shall have any right to restrict or limit Landlord’s claim and/or rights to the Letter of Credit and/or the proceeds thereof by application of Section 502(b)</w:t>
      </w:r>
    </w:p>
    <w:p>
      <w:pPr>
        <w:spacing w:after="0" w:line="6" w:lineRule="exact"/>
        <w:rPr>
          <w:sz w:val="20"/>
          <w:szCs w:val="20"/>
          <w:color w:val="auto"/>
        </w:rPr>
      </w:pPr>
    </w:p>
    <w:p>
      <w:pPr>
        <w:ind w:left="1220"/>
        <w:spacing w:after="0"/>
        <w:rPr>
          <w:sz w:val="20"/>
          <w:szCs w:val="20"/>
          <w:color w:val="auto"/>
        </w:rPr>
      </w:pPr>
      <w:r>
        <w:rPr>
          <w:rFonts w:ascii="Arial" w:cs="Arial" w:eastAsia="Arial" w:hAnsi="Arial"/>
          <w:sz w:val="15"/>
          <w:szCs w:val="15"/>
          <w:color w:val="auto"/>
        </w:rPr>
        <w:t>(6) of the U. S. Bankruptcy Code or otherwise.</w:t>
      </w:r>
    </w:p>
    <w:p>
      <w:pPr>
        <w:spacing w:after="0" w:line="14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28.6. </w:t>
      </w:r>
      <w:r>
        <w:rPr>
          <w:rFonts w:ascii="Arial" w:cs="Arial" w:eastAsia="Arial" w:hAnsi="Arial"/>
          <w:sz w:val="15"/>
          <w:szCs w:val="15"/>
          <w:b w:val="1"/>
          <w:bCs w:val="1"/>
          <w:u w:val="single" w:color="auto"/>
          <w:color w:val="auto"/>
        </w:rPr>
        <w:t>Issuing Bank</w:t>
      </w:r>
      <w:r>
        <w:rPr>
          <w:rFonts w:ascii="Arial" w:cs="Arial" w:eastAsia="Arial" w:hAnsi="Arial"/>
          <w:sz w:val="15"/>
          <w:szCs w:val="15"/>
          <w:color w:val="auto"/>
        </w:rPr>
        <w:t>. If, at any time or from time to time, Landlord determines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that an Issuing Bank (i) no longer satisfies the Minimum Rating Agency Threshold, (ii) no longer satisfies the Minimum Capital Threshold, (iii) has been seized or closed by the Federal Reserve Board, the Federal Deposit Insurance Corporation, the Office of the Comptroller of the Currency, or another governmental or regulatory agency or authority, (iv) has become insolvent, or (v) is unwilling or unable to honor the Letter of Credit or to perform its obligations to honor a draw upon the Letter of Credit, then within five (5) Business Days after demand, Tenant shall deliver to Landlord a replacement Letter of Credit, issued by a replacement Issuing Bank which satisfies the Minimum Rating Agency Threshold and the Minimum Capital Threshold and otherwise satisfies the requirement of this </w:t>
      </w:r>
      <w:r>
        <w:rPr>
          <w:rFonts w:ascii="Arial" w:cs="Arial" w:eastAsia="Arial" w:hAnsi="Arial"/>
          <w:sz w:val="15"/>
          <w:szCs w:val="15"/>
          <w:b w:val="1"/>
          <w:bCs w:val="1"/>
          <w:color w:val="auto"/>
        </w:rPr>
        <w:t>Article 28.</w:t>
      </w:r>
    </w:p>
    <w:p>
      <w:pPr>
        <w:spacing w:after="0" w:line="125" w:lineRule="exact"/>
        <w:rPr>
          <w:sz w:val="20"/>
          <w:szCs w:val="20"/>
          <w:color w:val="auto"/>
        </w:rPr>
      </w:pPr>
    </w:p>
    <w:p>
      <w:pPr>
        <w:jc w:val="both"/>
        <w:ind w:left="1220" w:right="1239" w:firstLine="505"/>
        <w:spacing w:after="0" w:line="228" w:lineRule="auto"/>
        <w:rPr>
          <w:sz w:val="20"/>
          <w:szCs w:val="20"/>
          <w:color w:val="auto"/>
        </w:rPr>
      </w:pPr>
      <w:r>
        <w:rPr>
          <w:rFonts w:ascii="Arial" w:cs="Arial" w:eastAsia="Arial" w:hAnsi="Arial"/>
          <w:sz w:val="15"/>
          <w:szCs w:val="15"/>
          <w:b w:val="1"/>
          <w:bCs w:val="1"/>
          <w:color w:val="auto"/>
        </w:rPr>
        <w:t xml:space="preserve">Section 28.7. </w:t>
      </w:r>
      <w:r>
        <w:rPr>
          <w:rFonts w:ascii="Arial" w:cs="Arial" w:eastAsia="Arial" w:hAnsi="Arial"/>
          <w:sz w:val="15"/>
          <w:szCs w:val="15"/>
          <w:b w:val="1"/>
          <w:bCs w:val="1"/>
          <w:u w:val="single" w:color="auto"/>
          <w:color w:val="auto"/>
        </w:rPr>
        <w:t>Reduction of Letter of Credit</w:t>
      </w:r>
      <w:r>
        <w:rPr>
          <w:rFonts w:ascii="Arial" w:cs="Arial" w:eastAsia="Arial" w:hAnsi="Arial"/>
          <w:sz w:val="15"/>
          <w:szCs w:val="15"/>
          <w:b w:val="1"/>
          <w:bCs w:val="1"/>
          <w:color w:val="auto"/>
        </w:rPr>
        <w:t xml:space="preserve">. </w:t>
      </w:r>
      <w:r>
        <w:rPr>
          <w:rFonts w:ascii="Arial" w:cs="Arial" w:eastAsia="Arial" w:hAnsi="Arial"/>
          <w:sz w:val="15"/>
          <w:szCs w:val="15"/>
          <w:color w:val="auto"/>
        </w:rPr>
        <w:t>For purposes hereof, (i) the “</w:t>
      </w:r>
      <w:r>
        <w:rPr>
          <w:rFonts w:ascii="Arial" w:cs="Arial" w:eastAsia="Arial" w:hAnsi="Arial"/>
          <w:sz w:val="15"/>
          <w:szCs w:val="15"/>
          <w:b w:val="1"/>
          <w:bCs w:val="1"/>
          <w:color w:val="auto"/>
        </w:rPr>
        <w:t>Letter of Credit Reduction Conditions</w:t>
      </w:r>
      <w:r>
        <w:rPr>
          <w:rFonts w:ascii="Arial" w:cs="Arial" w:eastAsia="Arial" w:hAnsi="Arial"/>
          <w:sz w:val="15"/>
          <w:szCs w:val="15"/>
          <w:color w:val="auto"/>
        </w:rPr>
        <w:t>” shall mean the following: (i) no Event of Default shall have</w:t>
      </w:r>
      <w:r>
        <w:rPr>
          <w:rFonts w:ascii="Arial" w:cs="Arial" w:eastAsia="Arial" w:hAnsi="Arial"/>
          <w:sz w:val="15"/>
          <w:szCs w:val="15"/>
          <w:b w:val="1"/>
          <w:bCs w:val="1"/>
          <w:color w:val="auto"/>
        </w:rPr>
        <w:t xml:space="preserve"> </w:t>
      </w:r>
      <w:r>
        <w:rPr>
          <w:rFonts w:ascii="Arial" w:cs="Arial" w:eastAsia="Arial" w:hAnsi="Arial"/>
          <w:sz w:val="15"/>
          <w:szCs w:val="15"/>
          <w:color w:val="auto"/>
        </w:rPr>
        <w:t>occurred during the immediately preceding twelve (12) months, (ii) the original Tenant named herein or a Permitted Transferee is the tenant under this Lease, and (iii) both this Lease and the Guaranty are in full force and effect. For purposes hereof, the “</w:t>
      </w:r>
      <w:r>
        <w:rPr>
          <w:rFonts w:ascii="Arial" w:cs="Arial" w:eastAsia="Arial" w:hAnsi="Arial"/>
          <w:sz w:val="15"/>
          <w:szCs w:val="15"/>
          <w:b w:val="1"/>
          <w:bCs w:val="1"/>
          <w:color w:val="auto"/>
        </w:rPr>
        <w:t>Letter of Credit Amount</w:t>
      </w:r>
      <w:r>
        <w:rPr>
          <w:rFonts w:ascii="Arial" w:cs="Arial" w:eastAsia="Arial" w:hAnsi="Arial"/>
          <w:sz w:val="15"/>
          <w:szCs w:val="15"/>
          <w:color w:val="auto"/>
        </w:rPr>
        <w:t>” shall mean the following amounts: (i) during the period of time from the Effective Date through the day immediately preceding the third (3</w:t>
      </w:r>
      <w:r>
        <w:rPr>
          <w:rFonts w:ascii="Arial" w:cs="Arial" w:eastAsia="Arial" w:hAnsi="Arial"/>
          <w:sz w:val="20"/>
          <w:szCs w:val="20"/>
          <w:color w:val="auto"/>
          <w:vertAlign w:val="superscript"/>
        </w:rPr>
        <w:t>rd</w:t>
      </w:r>
      <w:r>
        <w:rPr>
          <w:rFonts w:ascii="Arial" w:cs="Arial" w:eastAsia="Arial" w:hAnsi="Arial"/>
          <w:sz w:val="15"/>
          <w:szCs w:val="15"/>
          <w:color w:val="auto"/>
        </w:rPr>
        <w:t>) anniversary of the Rent Commencement Date (both</w:t>
      </w:r>
    </w:p>
    <w:p>
      <w:pPr>
        <w:spacing w:after="0" w:line="2" w:lineRule="exact"/>
        <w:rPr>
          <w:sz w:val="20"/>
          <w:szCs w:val="20"/>
          <w:color w:val="auto"/>
        </w:rPr>
      </w:pPr>
    </w:p>
    <w:p>
      <w:pPr>
        <w:jc w:val="both"/>
        <w:ind w:left="1220" w:right="1239"/>
        <w:spacing w:after="0" w:line="199" w:lineRule="auto"/>
        <w:rPr>
          <w:sz w:val="20"/>
          <w:szCs w:val="20"/>
          <w:color w:val="auto"/>
        </w:rPr>
      </w:pPr>
      <w:r>
        <w:rPr>
          <w:rFonts w:ascii="Arial" w:cs="Arial" w:eastAsia="Arial" w:hAnsi="Arial"/>
          <w:sz w:val="15"/>
          <w:szCs w:val="15"/>
          <w:color w:val="auto"/>
        </w:rPr>
        <w:t>dates inclusive), the “</w:t>
      </w:r>
      <w:r>
        <w:rPr>
          <w:rFonts w:ascii="Arial" w:cs="Arial" w:eastAsia="Arial" w:hAnsi="Arial"/>
          <w:sz w:val="15"/>
          <w:szCs w:val="15"/>
          <w:b w:val="1"/>
          <w:bCs w:val="1"/>
          <w:color w:val="auto"/>
        </w:rPr>
        <w:t>Initial Letter of Credit Amount</w:t>
      </w:r>
      <w:r>
        <w:rPr>
          <w:rFonts w:ascii="Arial" w:cs="Arial" w:eastAsia="Arial" w:hAnsi="Arial"/>
          <w:sz w:val="15"/>
          <w:szCs w:val="15"/>
          <w:color w:val="auto"/>
        </w:rPr>
        <w:t>” shall mean $ ; (ii) during the period of time from the third (3</w:t>
      </w:r>
      <w:r>
        <w:rPr>
          <w:rFonts w:ascii="Arial" w:cs="Arial" w:eastAsia="Arial" w:hAnsi="Arial"/>
          <w:sz w:val="20"/>
          <w:szCs w:val="20"/>
          <w:color w:val="auto"/>
          <w:vertAlign w:val="superscript"/>
        </w:rPr>
        <w:t>rd</w:t>
      </w:r>
      <w:r>
        <w:rPr>
          <w:rFonts w:ascii="Arial" w:cs="Arial" w:eastAsia="Arial" w:hAnsi="Arial"/>
          <w:sz w:val="15"/>
          <w:szCs w:val="15"/>
          <w:color w:val="auto"/>
        </w:rPr>
        <w:t>) anniversary of the Rent Commencement Date through the day immediately preceding the sixth (6</w:t>
      </w:r>
      <w:r>
        <w:rPr>
          <w:rFonts w:ascii="Arial" w:cs="Arial" w:eastAsia="Arial" w:hAnsi="Arial"/>
          <w:sz w:val="20"/>
          <w:szCs w:val="20"/>
          <w:color w:val="auto"/>
          <w:vertAlign w:val="superscript"/>
        </w:rPr>
        <w:t>th</w:t>
      </w:r>
      <w:r>
        <w:rPr>
          <w:rFonts w:ascii="Arial" w:cs="Arial" w:eastAsia="Arial" w:hAnsi="Arial"/>
          <w:sz w:val="15"/>
          <w:szCs w:val="15"/>
          <w:color w:val="auto"/>
        </w:rPr>
        <w:t>) anniversary of the Rent Commencement Date (both dates</w:t>
      </w:r>
    </w:p>
    <w:p>
      <w:pPr>
        <w:spacing w:after="0" w:line="1" w:lineRule="exact"/>
        <w:rPr>
          <w:sz w:val="20"/>
          <w:szCs w:val="20"/>
          <w:color w:val="auto"/>
        </w:rPr>
      </w:pPr>
    </w:p>
    <w:p>
      <w:pPr>
        <w:jc w:val="both"/>
        <w:ind w:left="1220" w:right="1239"/>
        <w:spacing w:after="0" w:line="206" w:lineRule="auto"/>
        <w:rPr>
          <w:sz w:val="20"/>
          <w:szCs w:val="20"/>
          <w:color w:val="auto"/>
        </w:rPr>
      </w:pPr>
      <w:r>
        <w:rPr>
          <w:rFonts w:ascii="Arial" w:cs="Arial" w:eastAsia="Arial" w:hAnsi="Arial"/>
          <w:sz w:val="15"/>
          <w:szCs w:val="15"/>
          <w:color w:val="auto"/>
        </w:rPr>
        <w:t>inclusive), the “</w:t>
      </w:r>
      <w:r>
        <w:rPr>
          <w:rFonts w:ascii="Arial" w:cs="Arial" w:eastAsia="Arial" w:hAnsi="Arial"/>
          <w:sz w:val="15"/>
          <w:szCs w:val="15"/>
          <w:b w:val="1"/>
          <w:bCs w:val="1"/>
          <w:color w:val="auto"/>
        </w:rPr>
        <w:t>Second Letter of Credit Amount</w:t>
      </w:r>
      <w:r>
        <w:rPr>
          <w:rFonts w:ascii="Arial" w:cs="Arial" w:eastAsia="Arial" w:hAnsi="Arial"/>
          <w:sz w:val="15"/>
          <w:szCs w:val="15"/>
          <w:color w:val="auto"/>
        </w:rPr>
        <w:t>” shall mean $ ; and (iii) during the period of time from the sixth (6</w:t>
      </w:r>
      <w:r>
        <w:rPr>
          <w:rFonts w:ascii="Arial" w:cs="Arial" w:eastAsia="Arial" w:hAnsi="Arial"/>
          <w:sz w:val="20"/>
          <w:szCs w:val="20"/>
          <w:color w:val="auto"/>
          <w:vertAlign w:val="superscript"/>
        </w:rPr>
        <w:t>th</w:t>
      </w:r>
      <w:r>
        <w:rPr>
          <w:rFonts w:ascii="Arial" w:cs="Arial" w:eastAsia="Arial" w:hAnsi="Arial"/>
          <w:sz w:val="15"/>
          <w:szCs w:val="15"/>
          <w:color w:val="auto"/>
        </w:rPr>
        <w:t>) anniversary of the Rent Commencement Date through the</w:t>
      </w:r>
    </w:p>
    <w:p>
      <w:pPr>
        <w:spacing w:after="0" w:line="1" w:lineRule="exact"/>
        <w:rPr>
          <w:sz w:val="20"/>
          <w:szCs w:val="20"/>
          <w:color w:val="auto"/>
        </w:rPr>
      </w:pPr>
    </w:p>
    <w:p>
      <w:pPr>
        <w:ind w:left="1220"/>
        <w:spacing w:after="0"/>
        <w:tabs>
          <w:tab w:leader="none" w:pos="6340" w:val="left"/>
        </w:tabs>
        <w:rPr>
          <w:sz w:val="20"/>
          <w:szCs w:val="20"/>
          <w:color w:val="auto"/>
        </w:rPr>
      </w:pPr>
      <w:r>
        <w:rPr>
          <w:rFonts w:ascii="Arial" w:cs="Arial" w:eastAsia="Arial" w:hAnsi="Arial"/>
          <w:sz w:val="15"/>
          <w:szCs w:val="15"/>
          <w:color w:val="auto"/>
        </w:rPr>
        <w:t>Expiration Date, the “</w:t>
      </w:r>
      <w:r>
        <w:rPr>
          <w:rFonts w:ascii="Arial" w:cs="Arial" w:eastAsia="Arial" w:hAnsi="Arial"/>
          <w:sz w:val="15"/>
          <w:szCs w:val="15"/>
          <w:b w:val="1"/>
          <w:bCs w:val="1"/>
          <w:color w:val="auto"/>
        </w:rPr>
        <w:t>Third Letter of Credit Amount</w:t>
      </w:r>
      <w:r>
        <w:rPr>
          <w:rFonts w:ascii="Arial" w:cs="Arial" w:eastAsia="Arial" w:hAnsi="Arial"/>
          <w:sz w:val="15"/>
          <w:szCs w:val="15"/>
          <w:color w:val="auto"/>
        </w:rPr>
        <w:t>” shall mean $</w:t>
      </w:r>
      <w:r>
        <w:rPr>
          <w:sz w:val="20"/>
          <w:szCs w:val="20"/>
          <w:color w:val="auto"/>
        </w:rPr>
        <w:tab/>
      </w:r>
      <w:r>
        <w:rPr>
          <w:rFonts w:ascii="Arial" w:cs="Arial" w:eastAsia="Arial" w:hAnsi="Arial"/>
          <w:sz w:val="14"/>
          <w:szCs w:val="14"/>
          <w:color w:val="auto"/>
        </w:rPr>
        <w:t>.</w:t>
      </w:r>
    </w:p>
    <w:p>
      <w:pPr>
        <w:spacing w:after="0" w:line="15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color w:val="auto"/>
        </w:rPr>
        <w:t>Effective as of third (3</w:t>
      </w:r>
      <w:r>
        <w:rPr>
          <w:rFonts w:ascii="Arial" w:cs="Arial" w:eastAsia="Arial" w:hAnsi="Arial"/>
          <w:sz w:val="20"/>
          <w:szCs w:val="20"/>
          <w:color w:val="auto"/>
          <w:vertAlign w:val="superscript"/>
        </w:rPr>
        <w:t>rd</w:t>
      </w:r>
      <w:r>
        <w:rPr>
          <w:rFonts w:ascii="Arial" w:cs="Arial" w:eastAsia="Arial" w:hAnsi="Arial"/>
          <w:sz w:val="15"/>
          <w:szCs w:val="15"/>
          <w:color w:val="auto"/>
        </w:rPr>
        <w:t>) anniversary of the Rent Commencement Date, provided that the Letter of Credit Reduction Conditions are satisfied, the Letter of Credit Amount shall be reduced from the Initial Letter of Credit Amount to the Second Letter of Credit Amount. Effective as of sixth (6th) anniversary of the Rent Commencement Date, provided that (i) the Letter of Credit Reduction Conditions are satisfied, and (ii) Guarantor has a Market Capitalization which is not less than the Market Capitalization of Guarantor as of the Effective Date, the Letter of Credit Amount shall be reduced from the Second Letter of Credit Amount to the Third Letter of Credit Amount. Each such reduction in the amount of the Letter of Credit shall be effected as follows: Tenant shall either (x) deliver to Landlord a proposed consent to amendment to the Letter of Credit, which amendment shall be reasonably acceptable to the Landlord in all respects, reducing the amount of the Letter of Credit to the then-applicable Letter of Credit Amount, or (y) deliver to Landlord a replacement Letter of Credit in the amount of the then-applicable Letter of Credit</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37" w:name="page738"/>
    <w:bookmarkEnd w:id="737"/>
    <w:p>
      <w:pPr>
        <w:jc w:val="both"/>
        <w:ind w:left="1220" w:right="1239"/>
        <w:spacing w:after="0"/>
        <w:rPr>
          <w:sz w:val="20"/>
          <w:szCs w:val="20"/>
          <w:color w:val="auto"/>
        </w:rPr>
      </w:pPr>
      <w:r>
        <w:rPr>
          <w:rFonts w:ascii="Arial" w:cs="Arial" w:eastAsia="Arial" w:hAnsi="Arial"/>
          <w:sz w:val="15"/>
          <w:szCs w:val="15"/>
          <w:color w:val="auto"/>
        </w:rPr>
        <w:t xml:space="preserve">Amount, which replacement Letter of Credit shall in all respects comply with all of the requirements of this </w:t>
      </w:r>
      <w:r>
        <w:rPr>
          <w:rFonts w:ascii="Arial" w:cs="Arial" w:eastAsia="Arial" w:hAnsi="Arial"/>
          <w:sz w:val="15"/>
          <w:szCs w:val="15"/>
          <w:b w:val="1"/>
          <w:bCs w:val="1"/>
          <w:color w:val="auto"/>
        </w:rPr>
        <w:t>Article 28</w:t>
      </w:r>
      <w:r>
        <w:rPr>
          <w:rFonts w:ascii="Arial" w:cs="Arial" w:eastAsia="Arial" w:hAnsi="Arial"/>
          <w:sz w:val="15"/>
          <w:szCs w:val="15"/>
          <w:color w:val="auto"/>
        </w:rPr>
        <w:t>. Within thirty (30) days after delivery of either the proposed consent to an amendment to the Letter of Credit or proposed replacement Letter of Credit, Landlord will either (A) execute such consent in accordance with the terms thereof, or provide its reasonable objections to such proposed consent or amendment, or (B) consent to the cancellation of the existing Letter of Credit and to the exchange of the replacement Letter of Credit for such existing Letter of Credit.</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29</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EXTENSION TERMS</w:t>
      </w:r>
    </w:p>
    <w:p>
      <w:pPr>
        <w:spacing w:after="0" w:line="164" w:lineRule="exact"/>
        <w:rPr>
          <w:sz w:val="20"/>
          <w:szCs w:val="20"/>
          <w:color w:val="auto"/>
        </w:rPr>
      </w:pPr>
    </w:p>
    <w:p>
      <w:pPr>
        <w:jc w:val="both"/>
        <w:ind w:left="1220" w:right="1239" w:firstLine="505"/>
        <w:spacing w:after="0" w:line="235" w:lineRule="auto"/>
        <w:rPr>
          <w:sz w:val="20"/>
          <w:szCs w:val="20"/>
          <w:color w:val="auto"/>
        </w:rPr>
      </w:pPr>
      <w:r>
        <w:rPr>
          <w:rFonts w:ascii="Arial" w:cs="Arial" w:eastAsia="Arial" w:hAnsi="Arial"/>
          <w:sz w:val="15"/>
          <w:szCs w:val="15"/>
          <w:b w:val="1"/>
          <w:bCs w:val="1"/>
          <w:color w:val="auto"/>
        </w:rPr>
        <w:t xml:space="preserve">Section 29.1. </w:t>
      </w:r>
      <w:r>
        <w:rPr>
          <w:rFonts w:ascii="Arial" w:cs="Arial" w:eastAsia="Arial" w:hAnsi="Arial"/>
          <w:sz w:val="15"/>
          <w:szCs w:val="15"/>
          <w:b w:val="1"/>
          <w:bCs w:val="1"/>
          <w:u w:val="single" w:color="auto"/>
          <w:color w:val="auto"/>
        </w:rPr>
        <w:t>Extension Terms</w:t>
      </w:r>
      <w:r>
        <w:rPr>
          <w:rFonts w:ascii="Arial" w:cs="Arial" w:eastAsia="Arial" w:hAnsi="Arial"/>
          <w:sz w:val="15"/>
          <w:szCs w:val="15"/>
          <w:b w:val="1"/>
          <w:bCs w:val="1"/>
          <w:color w:val="auto"/>
        </w:rPr>
        <w:t xml:space="preserve">. </w:t>
      </w:r>
      <w:r>
        <w:rPr>
          <w:rFonts w:ascii="Arial" w:cs="Arial" w:eastAsia="Arial" w:hAnsi="Arial"/>
          <w:sz w:val="15"/>
          <w:szCs w:val="15"/>
          <w:color w:val="auto"/>
        </w:rPr>
        <w:t>(a) Subject to the terms and conditions of this</w:t>
      </w:r>
      <w:r>
        <w:rPr>
          <w:rFonts w:ascii="Arial" w:cs="Arial" w:eastAsia="Arial" w:hAnsi="Arial"/>
          <w:sz w:val="15"/>
          <w:szCs w:val="15"/>
          <w:b w:val="1"/>
          <w:bCs w:val="1"/>
          <w:color w:val="auto"/>
        </w:rPr>
        <w:t xml:space="preserve"> Article 29</w:t>
      </w:r>
      <w:r>
        <w:rPr>
          <w:rFonts w:ascii="Arial" w:cs="Arial" w:eastAsia="Arial" w:hAnsi="Arial"/>
          <w:sz w:val="15"/>
          <w:szCs w:val="15"/>
          <w:color w:val="auto"/>
        </w:rPr>
        <w:t>, Tenant shall have the right to extend the Term for the Extension Premises (as hereinafter</w:t>
      </w:r>
      <w:r>
        <w:rPr>
          <w:rFonts w:ascii="Arial" w:cs="Arial" w:eastAsia="Arial" w:hAnsi="Arial"/>
          <w:sz w:val="15"/>
          <w:szCs w:val="15"/>
          <w:b w:val="1"/>
          <w:bCs w:val="1"/>
          <w:color w:val="auto"/>
        </w:rPr>
        <w:t xml:space="preserve"> </w:t>
      </w:r>
      <w:r>
        <w:rPr>
          <w:rFonts w:ascii="Arial" w:cs="Arial" w:eastAsia="Arial" w:hAnsi="Arial"/>
          <w:sz w:val="15"/>
          <w:szCs w:val="15"/>
          <w:color w:val="auto"/>
        </w:rPr>
        <w:t>defined) for two (2) successive extension terms (each, a “</w:t>
      </w:r>
      <w:r>
        <w:rPr>
          <w:rFonts w:ascii="Arial" w:cs="Arial" w:eastAsia="Arial" w:hAnsi="Arial"/>
          <w:sz w:val="15"/>
          <w:szCs w:val="15"/>
          <w:b w:val="1"/>
          <w:bCs w:val="1"/>
          <w:color w:val="auto"/>
        </w:rPr>
        <w:t>Extension Term</w:t>
      </w:r>
      <w:r>
        <w:rPr>
          <w:rFonts w:ascii="Arial" w:cs="Arial" w:eastAsia="Arial" w:hAnsi="Arial"/>
          <w:sz w:val="15"/>
          <w:szCs w:val="15"/>
          <w:color w:val="auto"/>
        </w:rPr>
        <w:t>;” the “</w:t>
      </w:r>
      <w:r>
        <w:rPr>
          <w:rFonts w:ascii="Arial" w:cs="Arial" w:eastAsia="Arial" w:hAnsi="Arial"/>
          <w:sz w:val="15"/>
          <w:szCs w:val="15"/>
          <w:b w:val="1"/>
          <w:bCs w:val="1"/>
          <w:color w:val="auto"/>
        </w:rPr>
        <w:t>First</w:t>
      </w:r>
      <w:r>
        <w:rPr>
          <w:rFonts w:ascii="Arial" w:cs="Arial" w:eastAsia="Arial" w:hAnsi="Arial"/>
          <w:sz w:val="15"/>
          <w:szCs w:val="15"/>
          <w:color w:val="auto"/>
        </w:rPr>
        <w:t xml:space="preserve"> </w:t>
      </w:r>
      <w:r>
        <w:rPr>
          <w:rFonts w:ascii="Arial" w:cs="Arial" w:eastAsia="Arial" w:hAnsi="Arial"/>
          <w:sz w:val="15"/>
          <w:szCs w:val="15"/>
          <w:b w:val="1"/>
          <w:bCs w:val="1"/>
          <w:color w:val="auto"/>
        </w:rPr>
        <w:t>Extension Term</w:t>
      </w:r>
      <w:r>
        <w:rPr>
          <w:rFonts w:ascii="Arial" w:cs="Arial" w:eastAsia="Arial" w:hAnsi="Arial"/>
          <w:sz w:val="15"/>
          <w:szCs w:val="15"/>
          <w:color w:val="auto"/>
        </w:rPr>
        <w:t>” and the “</w:t>
      </w:r>
      <w:r>
        <w:rPr>
          <w:rFonts w:ascii="Arial" w:cs="Arial" w:eastAsia="Arial" w:hAnsi="Arial"/>
          <w:sz w:val="15"/>
          <w:szCs w:val="15"/>
          <w:b w:val="1"/>
          <w:bCs w:val="1"/>
          <w:color w:val="auto"/>
        </w:rPr>
        <w:t>Second Extension Term</w:t>
      </w:r>
      <w:r>
        <w:rPr>
          <w:rFonts w:ascii="Arial" w:cs="Arial" w:eastAsia="Arial" w:hAnsi="Arial"/>
          <w:sz w:val="15"/>
          <w:szCs w:val="15"/>
          <w:color w:val="auto"/>
        </w:rPr>
        <w:t>”, respectively) of five (5) years each. The</w:t>
      </w:r>
      <w:r>
        <w:rPr>
          <w:rFonts w:ascii="Arial" w:cs="Arial" w:eastAsia="Arial" w:hAnsi="Arial"/>
          <w:sz w:val="15"/>
          <w:szCs w:val="15"/>
          <w:b w:val="1"/>
          <w:bCs w:val="1"/>
          <w:color w:val="auto"/>
        </w:rPr>
        <w:t xml:space="preserve"> </w:t>
      </w:r>
      <w:r>
        <w:rPr>
          <w:rFonts w:ascii="Arial" w:cs="Arial" w:eastAsia="Arial" w:hAnsi="Arial"/>
          <w:sz w:val="15"/>
          <w:szCs w:val="15"/>
          <w:color w:val="auto"/>
        </w:rPr>
        <w:t>First Extension Term shall commence on the day immediately following the expiration of the Initial Term (the “</w:t>
      </w:r>
      <w:r>
        <w:rPr>
          <w:rFonts w:ascii="Arial" w:cs="Arial" w:eastAsia="Arial" w:hAnsi="Arial"/>
          <w:sz w:val="15"/>
          <w:szCs w:val="15"/>
          <w:b w:val="1"/>
          <w:bCs w:val="1"/>
          <w:color w:val="auto"/>
        </w:rPr>
        <w:t>First Extension Term Commencement Date</w:t>
      </w:r>
      <w:r>
        <w:rPr>
          <w:rFonts w:ascii="Arial" w:cs="Arial" w:eastAsia="Arial" w:hAnsi="Arial"/>
          <w:sz w:val="15"/>
          <w:szCs w:val="15"/>
          <w:color w:val="auto"/>
        </w:rPr>
        <w:t>”) and shall expire on the day immediately preceding the fifth (5th) anniversary of the First Extension Term Commencement Date or such earlier date as this Lease may terminate pursuant to any of the terms and conditions of this Lease. The Second Extension Term shall commence on the fifth (5th) anniversary of the First Extension Term Commencement Date (the “</w:t>
      </w:r>
      <w:r>
        <w:rPr>
          <w:rFonts w:ascii="Arial" w:cs="Arial" w:eastAsia="Arial" w:hAnsi="Arial"/>
          <w:sz w:val="15"/>
          <w:szCs w:val="15"/>
          <w:b w:val="1"/>
          <w:bCs w:val="1"/>
          <w:color w:val="auto"/>
        </w:rPr>
        <w:t>Second Extension Term</w:t>
      </w:r>
      <w:r>
        <w:rPr>
          <w:rFonts w:ascii="Arial" w:cs="Arial" w:eastAsia="Arial" w:hAnsi="Arial"/>
          <w:sz w:val="15"/>
          <w:szCs w:val="15"/>
          <w:color w:val="auto"/>
        </w:rPr>
        <w:t xml:space="preserve"> </w:t>
      </w:r>
      <w:r>
        <w:rPr>
          <w:rFonts w:ascii="Arial" w:cs="Arial" w:eastAsia="Arial" w:hAnsi="Arial"/>
          <w:sz w:val="15"/>
          <w:szCs w:val="15"/>
          <w:b w:val="1"/>
          <w:bCs w:val="1"/>
          <w:color w:val="auto"/>
        </w:rPr>
        <w:t>Commencement Date</w:t>
      </w:r>
      <w:r>
        <w:rPr>
          <w:rFonts w:ascii="Arial" w:cs="Arial" w:eastAsia="Arial" w:hAnsi="Arial"/>
          <w:sz w:val="15"/>
          <w:szCs w:val="15"/>
          <w:color w:val="auto"/>
        </w:rPr>
        <w:t>”), and shall expire on the day immediately preceding the fifth (5th)</w:t>
      </w:r>
      <w:r>
        <w:rPr>
          <w:rFonts w:ascii="Arial" w:cs="Arial" w:eastAsia="Arial" w:hAnsi="Arial"/>
          <w:sz w:val="15"/>
          <w:szCs w:val="15"/>
          <w:b w:val="1"/>
          <w:bCs w:val="1"/>
          <w:color w:val="auto"/>
        </w:rPr>
        <w:t xml:space="preserve"> </w:t>
      </w:r>
      <w:r>
        <w:rPr>
          <w:rFonts w:ascii="Arial" w:cs="Arial" w:eastAsia="Arial" w:hAnsi="Arial"/>
          <w:sz w:val="15"/>
          <w:szCs w:val="15"/>
          <w:color w:val="auto"/>
        </w:rPr>
        <w:t>anniversary of the Second Extension Term Commencement Date or such earlier date as this Lease may terminate pursuant to any of the terms and conditions of this Lease. The right of Tenant to extend the Term for each Extension Term shall be subject to, and the respective Extension Term shall commence only if, all of the following conditions precedent are satisfied:</w:t>
      </w:r>
    </w:p>
    <w:p>
      <w:pPr>
        <w:spacing w:after="0" w:line="6" w:lineRule="exact"/>
        <w:rPr>
          <w:sz w:val="20"/>
          <w:szCs w:val="20"/>
          <w:color w:val="auto"/>
        </w:rPr>
      </w:pPr>
    </w:p>
    <w:p>
      <w:pPr>
        <w:jc w:val="both"/>
        <w:ind w:left="1220" w:right="1239" w:firstLine="4"/>
        <w:spacing w:after="0"/>
        <w:tabs>
          <w:tab w:leader="none" w:pos="1472" w:val="left"/>
        </w:tabs>
        <w:numPr>
          <w:ilvl w:val="0"/>
          <w:numId w:val="670"/>
        </w:numPr>
        <w:rPr>
          <w:rFonts w:ascii="Arial" w:cs="Arial" w:eastAsia="Arial" w:hAnsi="Arial"/>
          <w:sz w:val="15"/>
          <w:szCs w:val="15"/>
          <w:color w:val="auto"/>
        </w:rPr>
      </w:pPr>
      <w:r>
        <w:rPr>
          <w:rFonts w:ascii="Arial" w:cs="Arial" w:eastAsia="Arial" w:hAnsi="Arial"/>
          <w:sz w:val="15"/>
          <w:szCs w:val="15"/>
          <w:color w:val="auto"/>
        </w:rPr>
        <w:t>Tenant delivers notice (the “</w:t>
      </w:r>
      <w:r>
        <w:rPr>
          <w:rFonts w:ascii="Arial" w:cs="Arial" w:eastAsia="Arial" w:hAnsi="Arial"/>
          <w:sz w:val="15"/>
          <w:szCs w:val="15"/>
          <w:b w:val="1"/>
          <w:bCs w:val="1"/>
          <w:color w:val="auto"/>
        </w:rPr>
        <w:t>Extension Notice</w:t>
      </w:r>
      <w:r>
        <w:rPr>
          <w:rFonts w:ascii="Arial" w:cs="Arial" w:eastAsia="Arial" w:hAnsi="Arial"/>
          <w:sz w:val="15"/>
          <w:szCs w:val="15"/>
          <w:color w:val="auto"/>
        </w:rPr>
        <w:t xml:space="preserve">”) to Landlord of Tenant’s exercise of such extension right not earlier than twenty-seven (27) months and not later than eighteen (18) months prior to the First Extension Term Commencement Date or the Second Extension Term Commencement Date, as applicable, (b) at the time of the exercise of such right, no Event of Default shall have occurred and be continuing hereunder, and (c) Tenant occupies not less than sixty percent (60%) of the rentable area of the Premises at the time the respective Extension Notice is given. Time is of the essence with respect to the giving of each Extension Notice. Upon the giving of each such Extension Notice, the Term of this Lease shall be extended for the respective Extension Term with the same force and effect as if such Extension Term had originally been included in the Term. Each Extension Term shall be upon all of the agreements, terms, covenants and conditions of this Lease, except that the Fixed Rent shall be determined as provided in </w:t>
      </w:r>
      <w:r>
        <w:rPr>
          <w:rFonts w:ascii="Arial" w:cs="Arial" w:eastAsia="Arial" w:hAnsi="Arial"/>
          <w:sz w:val="15"/>
          <w:szCs w:val="15"/>
          <w:b w:val="1"/>
          <w:bCs w:val="1"/>
          <w:color w:val="auto"/>
        </w:rPr>
        <w:t>Section 29.2</w:t>
      </w:r>
      <w:r>
        <w:rPr>
          <w:rFonts w:ascii="Arial" w:cs="Arial" w:eastAsia="Arial" w:hAnsi="Arial"/>
          <w:sz w:val="15"/>
          <w:szCs w:val="15"/>
          <w:color w:val="auto"/>
        </w:rPr>
        <w:t>, and after the exercise of the option with respect to the Second Extension Term, Tenant shall have no further right to extend the Term. Upon the commencement of each respective Extension Term, (A) the respective Extension Term shall be added to and become part of the Term, (B) any reference in this Lease to the “Term”, the “term of this Lease” or any similar expression shall be deemed to include the respective Extension Term, and (C) the expiration of the respective Extension Term shall become the Expiration Date. Any termination, cancellation or surrender of the entire interest of Tenant under this Lease at any time during the Term shall terminate the foregoing rights of extension of Tenant hereunder.</w:t>
      </w:r>
    </w:p>
    <w:p>
      <w:pPr>
        <w:spacing w:after="0" w:line="240" w:lineRule="exact"/>
        <w:rPr>
          <w:rFonts w:ascii="Arial" w:cs="Arial" w:eastAsia="Arial" w:hAnsi="Arial"/>
          <w:sz w:val="15"/>
          <w:szCs w:val="15"/>
          <w:color w:val="auto"/>
        </w:rPr>
      </w:pPr>
    </w:p>
    <w:p>
      <w:pPr>
        <w:ind w:left="2080" w:hanging="351"/>
        <w:spacing w:after="0"/>
        <w:tabs>
          <w:tab w:leader="none" w:pos="2080" w:val="left"/>
        </w:tabs>
        <w:numPr>
          <w:ilvl w:val="1"/>
          <w:numId w:val="670"/>
        </w:numPr>
        <w:rPr>
          <w:rFonts w:ascii="Arial" w:cs="Arial" w:eastAsia="Arial" w:hAnsi="Arial"/>
          <w:sz w:val="15"/>
          <w:szCs w:val="15"/>
          <w:color w:val="auto"/>
        </w:rPr>
      </w:pPr>
      <w:r>
        <w:rPr>
          <w:rFonts w:ascii="Arial" w:cs="Arial" w:eastAsia="Arial" w:hAnsi="Arial"/>
          <w:sz w:val="15"/>
          <w:szCs w:val="15"/>
          <w:color w:val="auto"/>
        </w:rPr>
        <w:t>Each extension option shall be exercised, at Tenant’s option, with respect to either</w:t>
      </w:r>
    </w:p>
    <w:p>
      <w:pPr>
        <w:spacing w:after="0" w:line="9" w:lineRule="exact"/>
        <w:rPr>
          <w:rFonts w:ascii="Arial" w:cs="Arial" w:eastAsia="Arial" w:hAnsi="Arial"/>
          <w:sz w:val="15"/>
          <w:szCs w:val="15"/>
          <w:color w:val="auto"/>
        </w:rPr>
      </w:pPr>
    </w:p>
    <w:p>
      <w:pPr>
        <w:jc w:val="both"/>
        <w:ind w:left="1220" w:right="1239" w:firstLine="4"/>
        <w:spacing w:after="0"/>
        <w:tabs>
          <w:tab w:leader="none" w:pos="1410" w:val="left"/>
        </w:tabs>
        <w:numPr>
          <w:ilvl w:val="0"/>
          <w:numId w:val="671"/>
        </w:numPr>
        <w:rPr>
          <w:rFonts w:ascii="Arial" w:cs="Arial" w:eastAsia="Arial" w:hAnsi="Arial"/>
          <w:sz w:val="15"/>
          <w:szCs w:val="15"/>
          <w:color w:val="auto"/>
        </w:rPr>
      </w:pPr>
      <w:r>
        <w:rPr>
          <w:rFonts w:ascii="Arial" w:cs="Arial" w:eastAsia="Arial" w:hAnsi="Arial"/>
          <w:sz w:val="15"/>
          <w:szCs w:val="15"/>
          <w:color w:val="auto"/>
        </w:rPr>
        <w:t>the entire Premises then demised under this Lease, or (ii) contiguous complete floors of the Premises containing not less than fifty percent (50%) of the rentable area of the Premises, which are either the highest contiguous complete floors then constituting part of the Premises or the lowest contiguous complete floors then constituting part of the Premises. Tenant shall specify in</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38" w:name="page739"/>
    <w:bookmarkEnd w:id="738"/>
    <w:p>
      <w:pPr>
        <w:jc w:val="both"/>
        <w:ind w:left="1220" w:right="1239"/>
        <w:spacing w:after="0" w:line="239" w:lineRule="auto"/>
        <w:rPr>
          <w:sz w:val="20"/>
          <w:szCs w:val="20"/>
          <w:color w:val="auto"/>
        </w:rPr>
      </w:pPr>
      <w:r>
        <w:rPr>
          <w:rFonts w:ascii="Arial" w:cs="Arial" w:eastAsia="Arial" w:hAnsi="Arial"/>
          <w:sz w:val="15"/>
          <w:szCs w:val="15"/>
          <w:color w:val="auto"/>
        </w:rPr>
        <w:t>the Extension Notice the portion of the Premises to be included in the Extension Premises and the Extension Surrender Space (as hereinafter defined); provided, however, if Tenant does not identify the Extension Surrender Space in the Extension Notice, then Tenant will be considered to have elected to have extended the Term of this Lease for the entire Premises then demised under this Lease. The portion of the Premises as to which Tenant exercises the extension option pursuant to clause (i) or (ii) above is referred to herein as the “</w:t>
      </w:r>
      <w:r>
        <w:rPr>
          <w:rFonts w:ascii="Arial" w:cs="Arial" w:eastAsia="Arial" w:hAnsi="Arial"/>
          <w:sz w:val="15"/>
          <w:szCs w:val="15"/>
          <w:b w:val="1"/>
          <w:bCs w:val="1"/>
          <w:color w:val="auto"/>
        </w:rPr>
        <w:t>Extension Premises</w:t>
      </w:r>
      <w:r>
        <w:rPr>
          <w:rFonts w:ascii="Arial" w:cs="Arial" w:eastAsia="Arial" w:hAnsi="Arial"/>
          <w:sz w:val="15"/>
          <w:szCs w:val="15"/>
          <w:color w:val="auto"/>
        </w:rPr>
        <w:t>”, and the portion of the Premises as to which Tenant does not exercise the extension option pursuant to clause (ii) above (together with a proportionate share of the Rooftop Areas, and the areas on the first floor and lower level of the Building used for storage and waste storage and removal) is referred to herein as the “</w:t>
      </w:r>
      <w:r>
        <w:rPr>
          <w:rFonts w:ascii="Arial" w:cs="Arial" w:eastAsia="Arial" w:hAnsi="Arial"/>
          <w:sz w:val="15"/>
          <w:szCs w:val="15"/>
          <w:b w:val="1"/>
          <w:bCs w:val="1"/>
          <w:color w:val="auto"/>
        </w:rPr>
        <w:t>Extension Surrender Space</w:t>
      </w:r>
      <w:r>
        <w:rPr>
          <w:rFonts w:ascii="Arial" w:cs="Arial" w:eastAsia="Arial" w:hAnsi="Arial"/>
          <w:sz w:val="15"/>
          <w:szCs w:val="15"/>
          <w:color w:val="auto"/>
        </w:rPr>
        <w:t>.”</w:t>
      </w:r>
    </w:p>
    <w:p>
      <w:pPr>
        <w:spacing w:after="0" w:line="133" w:lineRule="exact"/>
        <w:rPr>
          <w:sz w:val="20"/>
          <w:szCs w:val="20"/>
          <w:color w:val="auto"/>
        </w:rPr>
      </w:pPr>
    </w:p>
    <w:p>
      <w:pPr>
        <w:jc w:val="both"/>
        <w:ind w:left="1220" w:right="1239" w:firstLine="509"/>
        <w:spacing w:after="0"/>
        <w:tabs>
          <w:tab w:leader="none" w:pos="2072" w:val="left"/>
        </w:tabs>
        <w:numPr>
          <w:ilvl w:val="0"/>
          <w:numId w:val="672"/>
        </w:numPr>
        <w:rPr>
          <w:rFonts w:ascii="Arial" w:cs="Arial" w:eastAsia="Arial" w:hAnsi="Arial"/>
          <w:sz w:val="15"/>
          <w:szCs w:val="15"/>
          <w:color w:val="auto"/>
        </w:rPr>
      </w:pPr>
      <w:r>
        <w:rPr>
          <w:rFonts w:ascii="Arial" w:cs="Arial" w:eastAsia="Arial" w:hAnsi="Arial"/>
          <w:sz w:val="15"/>
          <w:szCs w:val="15"/>
          <w:color w:val="auto"/>
        </w:rPr>
        <w:t xml:space="preserve">If Tenant exercises an extension option for less than the entire Premises, then on the date immediately preceding the first day of the applicable Extension Term, Tenant shall surrender to Landlord possession of the Extension Surrender Space, free and clear of all occupants, vacant and free of any lien or encumbrance created by Tenant or persons claiming by, through or under Tenant, and otherwise in the condition required in accordance with the provisions of this Lease, including, without limitation, </w:t>
      </w:r>
      <w:r>
        <w:rPr>
          <w:rFonts w:ascii="Arial" w:cs="Arial" w:eastAsia="Arial" w:hAnsi="Arial"/>
          <w:sz w:val="15"/>
          <w:szCs w:val="15"/>
          <w:b w:val="1"/>
          <w:bCs w:val="1"/>
          <w:color w:val="auto"/>
        </w:rPr>
        <w:t>Section 5.3 and Section 18.3</w:t>
      </w:r>
      <w:r>
        <w:rPr>
          <w:rFonts w:ascii="Arial" w:cs="Arial" w:eastAsia="Arial" w:hAnsi="Arial"/>
          <w:sz w:val="15"/>
          <w:szCs w:val="15"/>
          <w:color w:val="auto"/>
        </w:rPr>
        <w:t>. On the date immediately preceding the first day of the Extension Term (such date, the “</w:t>
      </w:r>
      <w:r>
        <w:rPr>
          <w:rFonts w:ascii="Arial" w:cs="Arial" w:eastAsia="Arial" w:hAnsi="Arial"/>
          <w:sz w:val="15"/>
          <w:szCs w:val="15"/>
          <w:b w:val="1"/>
          <w:bCs w:val="1"/>
          <w:color w:val="auto"/>
        </w:rPr>
        <w:t>Extension</w:t>
      </w:r>
      <w:r>
        <w:rPr>
          <w:rFonts w:ascii="Arial" w:cs="Arial" w:eastAsia="Arial" w:hAnsi="Arial"/>
          <w:sz w:val="15"/>
          <w:szCs w:val="15"/>
          <w:color w:val="auto"/>
        </w:rPr>
        <w:t xml:space="preserve"> </w:t>
      </w:r>
      <w:r>
        <w:rPr>
          <w:rFonts w:ascii="Arial" w:cs="Arial" w:eastAsia="Arial" w:hAnsi="Arial"/>
          <w:sz w:val="15"/>
          <w:szCs w:val="15"/>
          <w:b w:val="1"/>
          <w:bCs w:val="1"/>
          <w:color w:val="auto"/>
        </w:rPr>
        <w:t>Surrender Date</w:t>
      </w:r>
      <w:r>
        <w:rPr>
          <w:rFonts w:ascii="Arial" w:cs="Arial" w:eastAsia="Arial" w:hAnsi="Arial"/>
          <w:sz w:val="15"/>
          <w:szCs w:val="15"/>
          <w:color w:val="auto"/>
        </w:rPr>
        <w:t>”), Tenant’s lease of the Extension Surrender Space shall end and expire,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Tenant’s estate in and possession of the Extension Surrender Space shall terminate and be extinguished as if the Extension Surrender Date was the Expiration Date with respect thereto. Effective as of the Extension Surrender Date, the Fixed Rent, Tenant’s Proportionate Share, all other amounts payable under this Lease which are calculated based on the area of the Premises, and the number of Garage Parking Passes and Offsite Parking Passes provided to Tenant, each shall be adjusted to reflect the removal of such Extension Surrender Premises from the Premises. If Tenant fails to surrender to Landlord possession of the Extension Surrender Space on the Extension Surrender Date in the condition required hereunder, then Tenant shall be in holdover in the Extension Surrender Space and Landlord shall have the right to exercise any of Landlord’s rights and remedies at law and in equity (including, pursuant to </w:t>
      </w:r>
      <w:r>
        <w:rPr>
          <w:rFonts w:ascii="Arial" w:cs="Arial" w:eastAsia="Arial" w:hAnsi="Arial"/>
          <w:sz w:val="15"/>
          <w:szCs w:val="15"/>
          <w:b w:val="1"/>
          <w:bCs w:val="1"/>
          <w:color w:val="auto"/>
        </w:rPr>
        <w:t xml:space="preserve">Section 18.3 </w:t>
      </w:r>
      <w:r>
        <w:rPr>
          <w:rFonts w:ascii="Arial" w:cs="Arial" w:eastAsia="Arial" w:hAnsi="Arial"/>
          <w:sz w:val="15"/>
          <w:szCs w:val="15"/>
          <w:color w:val="auto"/>
        </w:rPr>
        <w:t>of this Lease) on account thereof.</w:t>
      </w:r>
    </w:p>
    <w:p>
      <w:pPr>
        <w:spacing w:after="0" w:line="257"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29.2. </w:t>
      </w:r>
      <w:r>
        <w:rPr>
          <w:rFonts w:ascii="Arial" w:cs="Arial" w:eastAsia="Arial" w:hAnsi="Arial"/>
          <w:sz w:val="15"/>
          <w:szCs w:val="15"/>
          <w:b w:val="1"/>
          <w:bCs w:val="1"/>
          <w:u w:val="single" w:color="auto"/>
          <w:color w:val="auto"/>
        </w:rPr>
        <w:t>Extension Term Rent</w:t>
      </w:r>
      <w:r>
        <w:rPr>
          <w:rFonts w:ascii="Arial" w:cs="Arial" w:eastAsia="Arial" w:hAnsi="Arial"/>
          <w:sz w:val="15"/>
          <w:szCs w:val="15"/>
          <w:b w:val="1"/>
          <w:bCs w:val="1"/>
          <w:color w:val="auto"/>
        </w:rPr>
        <w:t xml:space="preserve">. </w:t>
      </w:r>
      <w:r>
        <w:rPr>
          <w:rFonts w:ascii="Arial" w:cs="Arial" w:eastAsia="Arial" w:hAnsi="Arial"/>
          <w:sz w:val="15"/>
          <w:szCs w:val="15"/>
          <w:color w:val="auto"/>
        </w:rPr>
        <w:t>The annual Fixed Rent payable during the</w:t>
      </w:r>
      <w:r>
        <w:rPr>
          <w:rFonts w:ascii="Arial" w:cs="Arial" w:eastAsia="Arial" w:hAnsi="Arial"/>
          <w:sz w:val="15"/>
          <w:szCs w:val="15"/>
          <w:b w:val="1"/>
          <w:bCs w:val="1"/>
          <w:color w:val="auto"/>
        </w:rPr>
        <w:t xml:space="preserve"> </w:t>
      </w:r>
      <w:r>
        <w:rPr>
          <w:rFonts w:ascii="Arial" w:cs="Arial" w:eastAsia="Arial" w:hAnsi="Arial"/>
          <w:sz w:val="15"/>
          <w:szCs w:val="15"/>
          <w:color w:val="auto"/>
        </w:rPr>
        <w:t>Extension Term shall be equal to the then-applicable annual Fair Market Value (as hereinafter defined) of the Extension Premises as of commencement of the Extension Term (the “</w:t>
      </w:r>
      <w:r>
        <w:rPr>
          <w:rFonts w:ascii="Arial" w:cs="Arial" w:eastAsia="Arial" w:hAnsi="Arial"/>
          <w:sz w:val="15"/>
          <w:szCs w:val="15"/>
          <w:b w:val="1"/>
          <w:bCs w:val="1"/>
          <w:color w:val="auto"/>
        </w:rPr>
        <w:t>Calculation Date</w:t>
      </w:r>
      <w:r>
        <w:rPr>
          <w:rFonts w:ascii="Arial" w:cs="Arial" w:eastAsia="Arial" w:hAnsi="Arial"/>
          <w:sz w:val="15"/>
          <w:szCs w:val="15"/>
          <w:color w:val="auto"/>
        </w:rPr>
        <w:t>”). “</w:t>
      </w:r>
      <w:r>
        <w:rPr>
          <w:rFonts w:ascii="Arial" w:cs="Arial" w:eastAsia="Arial" w:hAnsi="Arial"/>
          <w:sz w:val="15"/>
          <w:szCs w:val="15"/>
          <w:b w:val="1"/>
          <w:bCs w:val="1"/>
          <w:color w:val="auto"/>
        </w:rPr>
        <w:t>Fair Market Value</w:t>
      </w:r>
      <w:r>
        <w:rPr>
          <w:rFonts w:ascii="Arial" w:cs="Arial" w:eastAsia="Arial" w:hAnsi="Arial"/>
          <w:sz w:val="15"/>
          <w:szCs w:val="15"/>
          <w:color w:val="auto"/>
        </w:rPr>
        <w:t>” shall mean the fair market annual rental value of the Extension Premises as of the Calculation Date for a term equal to the Extension Term, based on comparable space in the Building and in Comparable Buildings, including all of Landlord’s services provided for in this Lease, and with the Extension Premises considered as vacant, and in “as is” condition existing on the Extension Term Commencement Date. The calculation of Fair Market Value shall also be adjusted to take into account all relevant factors. Landlord shall advise Tenant (the “</w:t>
      </w:r>
      <w:r>
        <w:rPr>
          <w:rFonts w:ascii="Arial" w:cs="Arial" w:eastAsia="Arial" w:hAnsi="Arial"/>
          <w:sz w:val="15"/>
          <w:szCs w:val="15"/>
          <w:b w:val="1"/>
          <w:bCs w:val="1"/>
          <w:color w:val="auto"/>
        </w:rPr>
        <w:t>Rent Notice</w:t>
      </w:r>
      <w:r>
        <w:rPr>
          <w:rFonts w:ascii="Arial" w:cs="Arial" w:eastAsia="Arial" w:hAnsi="Arial"/>
          <w:sz w:val="15"/>
          <w:szCs w:val="15"/>
          <w:color w:val="auto"/>
        </w:rPr>
        <w:t>”) of Landlord’s determination of Fair Market Value not later than thirty (30) days after delivery by Tenant of the Extension Notice. If Tenant disputes Landlord’s determination of Fair Market Value, then Tenant shall give notice (a “</w:t>
      </w:r>
      <w:r>
        <w:rPr>
          <w:rFonts w:ascii="Arial" w:cs="Arial" w:eastAsia="Arial" w:hAnsi="Arial"/>
          <w:sz w:val="15"/>
          <w:szCs w:val="15"/>
          <w:b w:val="1"/>
          <w:bCs w:val="1"/>
          <w:color w:val="auto"/>
        </w:rPr>
        <w:t>Dispute</w:t>
      </w:r>
      <w:r>
        <w:rPr>
          <w:rFonts w:ascii="Arial" w:cs="Arial" w:eastAsia="Arial" w:hAnsi="Arial"/>
          <w:sz w:val="15"/>
          <w:szCs w:val="15"/>
          <w:color w:val="auto"/>
        </w:rPr>
        <w:t xml:space="preserve"> </w:t>
      </w:r>
      <w:r>
        <w:rPr>
          <w:rFonts w:ascii="Arial" w:cs="Arial" w:eastAsia="Arial" w:hAnsi="Arial"/>
          <w:sz w:val="15"/>
          <w:szCs w:val="15"/>
          <w:b w:val="1"/>
          <w:bCs w:val="1"/>
          <w:color w:val="auto"/>
        </w:rPr>
        <w:t>Notice</w:t>
      </w:r>
      <w:r>
        <w:rPr>
          <w:rFonts w:ascii="Arial" w:cs="Arial" w:eastAsia="Arial" w:hAnsi="Arial"/>
          <w:sz w:val="15"/>
          <w:szCs w:val="15"/>
          <w:color w:val="auto"/>
        </w:rPr>
        <w:t>”) to Landlord of such dispute within ten (10) Business Days after delivery of the Rent</w:t>
      </w:r>
      <w:r>
        <w:rPr>
          <w:rFonts w:ascii="Arial" w:cs="Arial" w:eastAsia="Arial" w:hAnsi="Arial"/>
          <w:sz w:val="15"/>
          <w:szCs w:val="15"/>
          <w:b w:val="1"/>
          <w:bCs w:val="1"/>
          <w:color w:val="auto"/>
        </w:rPr>
        <w:t xml:space="preserve"> </w:t>
      </w:r>
      <w:r>
        <w:rPr>
          <w:rFonts w:ascii="Arial" w:cs="Arial" w:eastAsia="Arial" w:hAnsi="Arial"/>
          <w:sz w:val="15"/>
          <w:szCs w:val="15"/>
          <w:color w:val="auto"/>
        </w:rPr>
        <w:t>Notice and the parties do not resolve such dispute within thirty (30) days after the delivery of the Dispute Notice, then either party may, by delivery of a notice (an “</w:t>
      </w:r>
      <w:r>
        <w:rPr>
          <w:rFonts w:ascii="Arial" w:cs="Arial" w:eastAsia="Arial" w:hAnsi="Arial"/>
          <w:sz w:val="15"/>
          <w:szCs w:val="15"/>
          <w:b w:val="1"/>
          <w:bCs w:val="1"/>
          <w:color w:val="auto"/>
        </w:rPr>
        <w:t>Arbitration Notice</w:t>
      </w:r>
      <w:r>
        <w:rPr>
          <w:rFonts w:ascii="Arial" w:cs="Arial" w:eastAsia="Arial" w:hAnsi="Arial"/>
          <w:sz w:val="15"/>
          <w:szCs w:val="15"/>
          <w:color w:val="auto"/>
        </w:rPr>
        <w:t xml:space="preserve">”) to the other party, submit said dispute concerning the Fair Market Value to arbitration in accordance with </w:t>
      </w:r>
      <w:r>
        <w:rPr>
          <w:rFonts w:ascii="Arial" w:cs="Arial" w:eastAsia="Arial" w:hAnsi="Arial"/>
          <w:sz w:val="15"/>
          <w:szCs w:val="15"/>
          <w:b w:val="1"/>
          <w:bCs w:val="1"/>
          <w:color w:val="auto"/>
        </w:rPr>
        <w:t>Section 29.3</w:t>
      </w:r>
      <w:r>
        <w:rPr>
          <w:rFonts w:ascii="Arial" w:cs="Arial" w:eastAsia="Arial" w:hAnsi="Arial"/>
          <w:sz w:val="15"/>
          <w:szCs w:val="15"/>
          <w:color w:val="auto"/>
        </w:rPr>
        <w:t>. Time is of the essence of the giving of said Dispute Notice. Failure on the part of Tenant to timely submit a Dispute Notice shall constitute a waiver of the right of Tenant to dispute the Fair Rental Value determined by Landlord, and in such event the Fixed Rent for the Extension Term shall be as set forth in the Rent Notice. If the Fixed Rent payable during the Extension Term is not determined prior to the Extension Term Commencement Date, then Tenant shall pay Fixed Rent in an amount equal to</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39" w:name="page740"/>
    <w:bookmarkEnd w:id="739"/>
    <w:p>
      <w:pPr>
        <w:jc w:val="both"/>
        <w:ind w:left="1220" w:right="1239"/>
        <w:spacing w:after="0"/>
        <w:rPr>
          <w:sz w:val="20"/>
          <w:szCs w:val="20"/>
          <w:color w:val="auto"/>
        </w:rPr>
      </w:pPr>
      <w:r>
        <w:rPr>
          <w:rFonts w:ascii="Arial" w:cs="Arial" w:eastAsia="Arial" w:hAnsi="Arial"/>
          <w:sz w:val="15"/>
          <w:szCs w:val="15"/>
          <w:color w:val="auto"/>
        </w:rPr>
        <w:t>the Fair Market Value for the Premises as determined by Landlord (the “</w:t>
      </w:r>
      <w:r>
        <w:rPr>
          <w:rFonts w:ascii="Arial" w:cs="Arial" w:eastAsia="Arial" w:hAnsi="Arial"/>
          <w:sz w:val="15"/>
          <w:szCs w:val="15"/>
          <w:b w:val="1"/>
          <w:bCs w:val="1"/>
          <w:color w:val="auto"/>
        </w:rPr>
        <w:t>Interim Rent</w:t>
      </w:r>
      <w:r>
        <w:rPr>
          <w:rFonts w:ascii="Arial" w:cs="Arial" w:eastAsia="Arial" w:hAnsi="Arial"/>
          <w:sz w:val="15"/>
          <w:szCs w:val="15"/>
          <w:color w:val="auto"/>
        </w:rPr>
        <w:t>”). Upon final determination of the Fixed Rent for the Extension Term, Tenant shall commence paying such Fixed Rent as so determined, and within thirty (30) days after such determination Tenant shall pay any deficiency in prior payments of Fixed Rent or, if the Fixed Rent as so determined shall be less than the Interim Rent, Tenant shall be entitled to a credit against the next succeeding installments of Fixed Rent in an amount equal to the difference between each installment of Interim Rent and the Fixed Rent as so determined which should have been paid for such installment until the total amount of the over payment has been recouped.</w:t>
      </w:r>
    </w:p>
    <w:p>
      <w:pPr>
        <w:spacing w:after="0" w:line="134" w:lineRule="exact"/>
        <w:rPr>
          <w:sz w:val="20"/>
          <w:szCs w:val="20"/>
          <w:color w:val="auto"/>
        </w:rPr>
      </w:pPr>
    </w:p>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Section 29.3. </w:t>
      </w:r>
      <w:r>
        <w:rPr>
          <w:rFonts w:ascii="Arial" w:cs="Arial" w:eastAsia="Arial" w:hAnsi="Arial"/>
          <w:sz w:val="15"/>
          <w:szCs w:val="15"/>
          <w:b w:val="1"/>
          <w:bCs w:val="1"/>
          <w:u w:val="single" w:color="auto"/>
          <w:color w:val="auto"/>
        </w:rPr>
        <w:t>Arbitration</w:t>
      </w:r>
      <w:r>
        <w:rPr>
          <w:rFonts w:ascii="Arial" w:cs="Arial" w:eastAsia="Arial" w:hAnsi="Arial"/>
          <w:sz w:val="15"/>
          <w:szCs w:val="15"/>
          <w:b w:val="1"/>
          <w:bCs w:val="1"/>
          <w:color w:val="auto"/>
        </w:rPr>
        <w:t xml:space="preserve">. </w:t>
      </w:r>
      <w:r>
        <w:rPr>
          <w:rFonts w:ascii="Arial" w:cs="Arial" w:eastAsia="Arial" w:hAnsi="Arial"/>
          <w:sz w:val="15"/>
          <w:szCs w:val="15"/>
          <w:color w:val="auto"/>
        </w:rPr>
        <w:t>If either party (the “</w:t>
      </w:r>
      <w:r>
        <w:rPr>
          <w:rFonts w:ascii="Arial" w:cs="Arial" w:eastAsia="Arial" w:hAnsi="Arial"/>
          <w:sz w:val="15"/>
          <w:szCs w:val="15"/>
          <w:b w:val="1"/>
          <w:bCs w:val="1"/>
          <w:color w:val="auto"/>
        </w:rPr>
        <w:t>Initiating Party</w:t>
      </w:r>
      <w:r>
        <w:rPr>
          <w:rFonts w:ascii="Arial" w:cs="Arial" w:eastAsia="Arial" w:hAnsi="Arial"/>
          <w:sz w:val="15"/>
          <w:szCs w:val="15"/>
          <w:color w:val="auto"/>
        </w:rPr>
        <w:t>”) delivers an Arbitration</w:t>
      </w:r>
      <w:r>
        <w:rPr>
          <w:rFonts w:ascii="Arial" w:cs="Arial" w:eastAsia="Arial" w:hAnsi="Arial"/>
          <w:sz w:val="15"/>
          <w:szCs w:val="15"/>
          <w:b w:val="1"/>
          <w:bCs w:val="1"/>
          <w:color w:val="auto"/>
        </w:rPr>
        <w:t xml:space="preserve"> </w:t>
      </w:r>
      <w:r>
        <w:rPr>
          <w:rFonts w:ascii="Arial" w:cs="Arial" w:eastAsia="Arial" w:hAnsi="Arial"/>
          <w:sz w:val="15"/>
          <w:szCs w:val="15"/>
          <w:color w:val="auto"/>
        </w:rPr>
        <w:t>Notice to the other party (the “</w:t>
      </w:r>
      <w:r>
        <w:rPr>
          <w:rFonts w:ascii="Arial" w:cs="Arial" w:eastAsia="Arial" w:hAnsi="Arial"/>
          <w:sz w:val="15"/>
          <w:szCs w:val="15"/>
          <w:b w:val="1"/>
          <w:bCs w:val="1"/>
          <w:color w:val="auto"/>
        </w:rPr>
        <w:t>Receiving Party</w:t>
      </w:r>
      <w:r>
        <w:rPr>
          <w:rFonts w:ascii="Arial" w:cs="Arial" w:eastAsia="Arial" w:hAnsi="Arial"/>
          <w:sz w:val="15"/>
          <w:szCs w:val="15"/>
          <w:color w:val="auto"/>
        </w:rPr>
        <w:t>”), then the Fair Market Value shall be determined by arbitration as follows:</w:t>
      </w:r>
    </w:p>
    <w:p>
      <w:pPr>
        <w:spacing w:after="0" w:line="125" w:lineRule="exact"/>
        <w:rPr>
          <w:sz w:val="20"/>
          <w:szCs w:val="20"/>
          <w:color w:val="auto"/>
        </w:rPr>
      </w:pPr>
    </w:p>
    <w:p>
      <w:pPr>
        <w:jc w:val="both"/>
        <w:ind w:left="1720" w:right="1239" w:firstLine="513"/>
        <w:spacing w:after="0"/>
        <w:tabs>
          <w:tab w:leader="none" w:pos="2588" w:val="left"/>
        </w:tabs>
        <w:numPr>
          <w:ilvl w:val="0"/>
          <w:numId w:val="673"/>
        </w:numPr>
        <w:rPr>
          <w:rFonts w:ascii="Arial" w:cs="Arial" w:eastAsia="Arial" w:hAnsi="Arial"/>
          <w:sz w:val="15"/>
          <w:szCs w:val="15"/>
          <w:color w:val="auto"/>
        </w:rPr>
      </w:pPr>
      <w:r>
        <w:rPr>
          <w:rFonts w:ascii="Arial" w:cs="Arial" w:eastAsia="Arial" w:hAnsi="Arial"/>
          <w:sz w:val="15"/>
          <w:szCs w:val="15"/>
          <w:color w:val="auto"/>
        </w:rPr>
        <w:t>In its Arbitration Notice, the Initiating Party shall specify the name and address of the person to act as the arbitrator on Initiating Party’s behalf. The arbitrator shall be a commercial real estate appraiser with the M.A.I. designation from the American Institute of Real Estate Advisors, with at least 10 years full-time commercial real estate appraisal experience who is familiar with the Fair Market Value of first-class laboratory, research and development, and office space in the Seaport/South Boston, Massachusetts area. Within ten (10) Business Days after receipt of the Arbitration Notice, the Receiving Party shall give notice to the Initiating Party specifying the name and address of the person designated by the Receiving Party to act as arbitrator on its behalf, which arbitrator shall be similarly qualified. If the Receiving Party fails to notify the Initiating Party of the appointment of its arbitrator within such ten (10) Business Day period, and such failure continues for five (5) Business Days after the Initiating Party delivers a second notice to the Receiving Party, then the arbitrator appointed by the Initiating Party shall be the arbitrator to determine the Fair Market Value for the Premises.</w:t>
      </w:r>
    </w:p>
    <w:p>
      <w:pPr>
        <w:spacing w:after="0" w:line="274" w:lineRule="exact"/>
        <w:rPr>
          <w:rFonts w:ascii="Arial" w:cs="Arial" w:eastAsia="Arial" w:hAnsi="Arial"/>
          <w:sz w:val="15"/>
          <w:szCs w:val="15"/>
          <w:color w:val="auto"/>
        </w:rPr>
      </w:pPr>
    </w:p>
    <w:p>
      <w:pPr>
        <w:jc w:val="both"/>
        <w:ind w:left="1720" w:right="1239" w:firstLine="513"/>
        <w:spacing w:after="0" w:line="236" w:lineRule="auto"/>
        <w:tabs>
          <w:tab w:leader="none" w:pos="2588" w:val="left"/>
        </w:tabs>
        <w:numPr>
          <w:ilvl w:val="0"/>
          <w:numId w:val="673"/>
        </w:numPr>
        <w:rPr>
          <w:rFonts w:ascii="Arial" w:cs="Arial" w:eastAsia="Arial" w:hAnsi="Arial"/>
          <w:sz w:val="15"/>
          <w:szCs w:val="15"/>
          <w:color w:val="auto"/>
        </w:rPr>
      </w:pPr>
      <w:r>
        <w:rPr>
          <w:rFonts w:ascii="Arial" w:cs="Arial" w:eastAsia="Arial" w:hAnsi="Arial"/>
          <w:sz w:val="15"/>
          <w:szCs w:val="15"/>
          <w:color w:val="auto"/>
        </w:rPr>
        <w:t xml:space="preserve">If two arbitrators are chosen pursuant to </w:t>
      </w:r>
      <w:r>
        <w:rPr>
          <w:rFonts w:ascii="Arial" w:cs="Arial" w:eastAsia="Arial" w:hAnsi="Arial"/>
          <w:sz w:val="15"/>
          <w:szCs w:val="15"/>
          <w:b w:val="1"/>
          <w:bCs w:val="1"/>
          <w:color w:val="auto"/>
        </w:rPr>
        <w:t>Subsection 29.3(1)</w:t>
      </w:r>
      <w:r>
        <w:rPr>
          <w:rFonts w:ascii="Arial" w:cs="Arial" w:eastAsia="Arial" w:hAnsi="Arial"/>
          <w:sz w:val="15"/>
          <w:szCs w:val="15"/>
          <w:color w:val="auto"/>
        </w:rPr>
        <w:t xml:space="preserve">, the arbitrators so chosen shall meet within ten (10) Business Days after the second arbitrator is appointed and shall seek to reach agreement on Fair Market Value. If within twenty (20) Business Days after the second arbitrator is appointed the two arbitrators are unable to reach agreement on Fair Market Value then the two arbitrators shall appoint a third arbitrator, who shall be a competent and impartial person with qualifications similar to those required of the first two arbitrators pursuant to </w:t>
      </w:r>
      <w:r>
        <w:rPr>
          <w:rFonts w:ascii="Arial" w:cs="Arial" w:eastAsia="Arial" w:hAnsi="Arial"/>
          <w:sz w:val="15"/>
          <w:szCs w:val="15"/>
          <w:b w:val="1"/>
          <w:bCs w:val="1"/>
          <w:color w:val="auto"/>
        </w:rPr>
        <w:t>Subsection 29.3(1)</w:t>
      </w:r>
      <w:r>
        <w:rPr>
          <w:rFonts w:ascii="Arial" w:cs="Arial" w:eastAsia="Arial" w:hAnsi="Arial"/>
          <w:sz w:val="15"/>
          <w:szCs w:val="15"/>
          <w:color w:val="auto"/>
        </w:rPr>
        <w:t xml:space="preserve">. If they are unable to agree upon such appointment within five (5) Business Days after expiration of such twenty (20) Business Day period, the third arbitrator shall be selected by the parties themselves. If the parties do not agree on the third arbitrator within five (5) Business Days after expiration of the foregoing five (5) Business Day period, then either party, on behalf of both, may request appointment of such a qualified person by the Boston Office of the American Arbitration Association. The third arbitrator shall decide the dispute, if it has not been previously resolved, by following the procedures set forth in </w:t>
      </w:r>
      <w:r>
        <w:rPr>
          <w:rFonts w:ascii="Arial" w:cs="Arial" w:eastAsia="Arial" w:hAnsi="Arial"/>
          <w:sz w:val="15"/>
          <w:szCs w:val="15"/>
          <w:b w:val="1"/>
          <w:bCs w:val="1"/>
          <w:color w:val="auto"/>
        </w:rPr>
        <w:t>Subsection</w:t>
      </w:r>
      <w:r>
        <w:rPr>
          <w:rFonts w:ascii="Arial" w:cs="Arial" w:eastAsia="Arial" w:hAnsi="Arial"/>
          <w:sz w:val="15"/>
          <w:szCs w:val="15"/>
          <w:color w:val="auto"/>
        </w:rPr>
        <w:t xml:space="preserve"> </w:t>
      </w:r>
      <w:r>
        <w:rPr>
          <w:rFonts w:ascii="Arial" w:cs="Arial" w:eastAsia="Arial" w:hAnsi="Arial"/>
          <w:sz w:val="15"/>
          <w:szCs w:val="15"/>
          <w:b w:val="1"/>
          <w:bCs w:val="1"/>
          <w:color w:val="auto"/>
        </w:rPr>
        <w:t>29.3(3)</w:t>
      </w:r>
      <w:r>
        <w:rPr>
          <w:rFonts w:ascii="Arial" w:cs="Arial" w:eastAsia="Arial" w:hAnsi="Arial"/>
          <w:sz w:val="15"/>
          <w:szCs w:val="15"/>
          <w:color w:val="auto"/>
        </w:rPr>
        <w:t>. Each party shall pay the fees and expenses of its respective arbitrator and both</w:t>
      </w:r>
      <w:r>
        <w:rPr>
          <w:rFonts w:ascii="Arial" w:cs="Arial" w:eastAsia="Arial" w:hAnsi="Arial"/>
          <w:sz w:val="15"/>
          <w:szCs w:val="15"/>
          <w:b w:val="1"/>
          <w:bCs w:val="1"/>
          <w:color w:val="auto"/>
        </w:rPr>
        <w:t xml:space="preserve"> </w:t>
      </w:r>
      <w:r>
        <w:rPr>
          <w:rFonts w:ascii="Arial" w:cs="Arial" w:eastAsia="Arial" w:hAnsi="Arial"/>
          <w:sz w:val="15"/>
          <w:szCs w:val="15"/>
          <w:color w:val="auto"/>
        </w:rPr>
        <w:t>shall share the fees and expenses of the third arbitrator. Attorneys’ fees and expenses of counsel and of witnesses for the respective parties shall be paid by the respective party engaging such counsel or calling such witnesses.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40" w:name="page741"/>
    <w:bookmarkEnd w:id="740"/>
    <w:p>
      <w:pPr>
        <w:jc w:val="both"/>
        <w:ind w:left="1720" w:right="1239" w:firstLine="513"/>
        <w:spacing w:after="0"/>
        <w:tabs>
          <w:tab w:leader="none" w:pos="2588" w:val="left"/>
        </w:tabs>
        <w:numPr>
          <w:ilvl w:val="0"/>
          <w:numId w:val="674"/>
        </w:numPr>
        <w:rPr>
          <w:rFonts w:ascii="Arial" w:cs="Arial" w:eastAsia="Arial" w:hAnsi="Arial"/>
          <w:sz w:val="15"/>
          <w:szCs w:val="15"/>
          <w:color w:val="auto"/>
        </w:rPr>
      </w:pPr>
      <w:r>
        <w:rPr>
          <w:rFonts w:ascii="Arial" w:cs="Arial" w:eastAsia="Arial" w:hAnsi="Arial"/>
          <w:sz w:val="15"/>
          <w:szCs w:val="15"/>
          <w:color w:val="auto"/>
        </w:rPr>
        <w:t>Fair Market Value shall be fixed by the third arbitrator in accordance with the following procedures. Concurrently with the appointment of the third arbitrator, each of the arbitrators selected by the parties shall state, in writing, his or her determination of the Fair Market Value supported by the reasons therefor. The third arbitrator shall have the right to consult experts and competent authorities for factual information or evidence pertaining to a determination of Fair Market Value, but any such determination shall be made in the presence of both parties with full right on their part to cross-examine. The third arbitrator shall conduct such hearings and investigations as he or she deem appropriate and shall, within ten (10) Business Days after being appointed, select which of the two proposed determinations most closely approximates his or her determination of Fair Market Value. The third arbitrator shall have no right to propose a middle ground or any modification of either of the two proposed determinations. The determination he or she chooses as that most closely approximating his or her determination of the Fair Market Value shall constitute the decision of the third arbitrator and shall be final and binding upon the parties. The third arbitrator shall render the decision in writing with counterpart copies to each party. The third arbitrator shall have no power to add to or modify the provisions of this Lease. Promptly following receipt of the third arbitrator’s decision, the parties shall enter into an amendment to this Lease evidencing the extension of the Term for the Extension Term and confirming the Fixed Rent for the Extension Term, but the failure of the parties to do so shall not affect the effectiveness of the third arbitrator’s determination.</w:t>
      </w:r>
    </w:p>
    <w:p>
      <w:pPr>
        <w:spacing w:after="0" w:line="250" w:lineRule="exact"/>
        <w:rPr>
          <w:rFonts w:ascii="Arial" w:cs="Arial" w:eastAsia="Arial" w:hAnsi="Arial"/>
          <w:sz w:val="15"/>
          <w:szCs w:val="15"/>
          <w:color w:val="auto"/>
        </w:rPr>
      </w:pPr>
    </w:p>
    <w:p>
      <w:pPr>
        <w:jc w:val="both"/>
        <w:ind w:left="1720" w:right="1239" w:firstLine="513"/>
        <w:spacing w:after="0" w:line="247" w:lineRule="auto"/>
        <w:tabs>
          <w:tab w:leader="none" w:pos="2588" w:val="left"/>
        </w:tabs>
        <w:numPr>
          <w:ilvl w:val="0"/>
          <w:numId w:val="674"/>
        </w:numPr>
        <w:rPr>
          <w:rFonts w:ascii="Arial" w:cs="Arial" w:eastAsia="Arial" w:hAnsi="Arial"/>
          <w:sz w:val="15"/>
          <w:szCs w:val="15"/>
          <w:color w:val="auto"/>
        </w:rPr>
      </w:pPr>
      <w:r>
        <w:rPr>
          <w:rFonts w:ascii="Arial" w:cs="Arial" w:eastAsia="Arial" w:hAnsi="Arial"/>
          <w:sz w:val="15"/>
          <w:szCs w:val="15"/>
          <w:color w:val="auto"/>
        </w:rPr>
        <w:t>In the event of a failure, refusal or inability of any arbitrator to act, his or her successor shall be appointed by him or her, but in the case of the third arbitrator, his or her successor shall be appointed in the same manner as that set forth herein with respect to the appointment of the original third arbitrator.</w:t>
      </w:r>
    </w:p>
    <w:p>
      <w:pPr>
        <w:spacing w:after="0" w:line="129"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ARTICLE 30</w:t>
      </w:r>
    </w:p>
    <w:p>
      <w:pPr>
        <w:spacing w:after="0" w:line="164" w:lineRule="exact"/>
        <w:rPr>
          <w:sz w:val="20"/>
          <w:szCs w:val="20"/>
          <w:color w:val="auto"/>
        </w:rPr>
      </w:pPr>
    </w:p>
    <w:p>
      <w:pPr>
        <w:ind w:left="4140"/>
        <w:spacing w:after="0"/>
        <w:rPr>
          <w:sz w:val="20"/>
          <w:szCs w:val="20"/>
          <w:color w:val="auto"/>
        </w:rPr>
      </w:pPr>
      <w:r>
        <w:rPr>
          <w:rFonts w:ascii="Arial" w:cs="Arial" w:eastAsia="Arial" w:hAnsi="Arial"/>
          <w:sz w:val="15"/>
          <w:szCs w:val="15"/>
          <w:b w:val="1"/>
          <w:bCs w:val="1"/>
          <w:color w:val="auto"/>
        </w:rPr>
        <w:t>PARKING</w:t>
      </w:r>
    </w:p>
    <w:p>
      <w:pPr>
        <w:spacing w:after="0" w:line="16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30.1. </w:t>
      </w:r>
      <w:r>
        <w:rPr>
          <w:rFonts w:ascii="Arial" w:cs="Arial" w:eastAsia="Arial" w:hAnsi="Arial"/>
          <w:sz w:val="15"/>
          <w:szCs w:val="15"/>
          <w:b w:val="1"/>
          <w:bCs w:val="1"/>
          <w:u w:val="single" w:color="auto"/>
          <w:color w:val="auto"/>
        </w:rPr>
        <w:t>Parking Passes</w:t>
      </w:r>
      <w:r>
        <w:rPr>
          <w:rFonts w:ascii="Arial" w:cs="Arial" w:eastAsia="Arial" w:hAnsi="Arial"/>
          <w:sz w:val="15"/>
          <w:szCs w:val="15"/>
          <w:b w:val="1"/>
          <w:bCs w:val="1"/>
          <w:color w:val="auto"/>
        </w:rPr>
        <w:t xml:space="preserve">. </w:t>
      </w:r>
      <w:r>
        <w:rPr>
          <w:rFonts w:ascii="Arial" w:cs="Arial" w:eastAsia="Arial" w:hAnsi="Arial"/>
          <w:sz w:val="15"/>
          <w:szCs w:val="15"/>
          <w:color w:val="auto"/>
        </w:rPr>
        <w:t>During the Term of this Lease, (i) Landlord will provide</w:t>
      </w:r>
      <w:r>
        <w:rPr>
          <w:rFonts w:ascii="Arial" w:cs="Arial" w:eastAsia="Arial" w:hAnsi="Arial"/>
          <w:sz w:val="15"/>
          <w:szCs w:val="15"/>
          <w:b w:val="1"/>
          <w:bCs w:val="1"/>
          <w:color w:val="auto"/>
        </w:rPr>
        <w:t xml:space="preserve"> </w:t>
      </w:r>
      <w:r>
        <w:rPr>
          <w:rFonts w:ascii="Arial" w:cs="Arial" w:eastAsia="Arial" w:hAnsi="Arial"/>
          <w:sz w:val="15"/>
          <w:szCs w:val="15"/>
          <w:color w:val="auto"/>
        </w:rPr>
        <w:t>(or will cause the operator of the Garage to provide) thirty-five (35) parking passes (the “</w:t>
      </w:r>
      <w:r>
        <w:rPr>
          <w:rFonts w:ascii="Arial" w:cs="Arial" w:eastAsia="Arial" w:hAnsi="Arial"/>
          <w:sz w:val="15"/>
          <w:szCs w:val="15"/>
          <w:b w:val="1"/>
          <w:bCs w:val="1"/>
          <w:color w:val="auto"/>
        </w:rPr>
        <w:t>Garage</w:t>
      </w:r>
      <w:r>
        <w:rPr>
          <w:rFonts w:ascii="Arial" w:cs="Arial" w:eastAsia="Arial" w:hAnsi="Arial"/>
          <w:sz w:val="15"/>
          <w:szCs w:val="15"/>
          <w:color w:val="auto"/>
        </w:rPr>
        <w:t xml:space="preserve"> </w:t>
      </w:r>
      <w:r>
        <w:rPr>
          <w:rFonts w:ascii="Arial" w:cs="Arial" w:eastAsia="Arial" w:hAnsi="Arial"/>
          <w:sz w:val="15"/>
          <w:szCs w:val="15"/>
          <w:b w:val="1"/>
          <w:bCs w:val="1"/>
          <w:color w:val="auto"/>
        </w:rPr>
        <w:t>Parking Passes</w:t>
      </w:r>
      <w:r>
        <w:rPr>
          <w:rFonts w:ascii="Arial" w:cs="Arial" w:eastAsia="Arial" w:hAnsi="Arial"/>
          <w:sz w:val="15"/>
          <w:szCs w:val="15"/>
          <w:color w:val="auto"/>
        </w:rPr>
        <w:t>”) for use in the Garage, and (ii) Landlord will provide Tenant (or cause to be</w:t>
      </w:r>
      <w:r>
        <w:rPr>
          <w:rFonts w:ascii="Arial" w:cs="Arial" w:eastAsia="Arial" w:hAnsi="Arial"/>
          <w:sz w:val="15"/>
          <w:szCs w:val="15"/>
          <w:b w:val="1"/>
          <w:bCs w:val="1"/>
          <w:color w:val="auto"/>
        </w:rPr>
        <w:t xml:space="preserve"> </w:t>
      </w:r>
      <w:r>
        <w:rPr>
          <w:rFonts w:ascii="Arial" w:cs="Arial" w:eastAsia="Arial" w:hAnsi="Arial"/>
          <w:sz w:val="15"/>
          <w:szCs w:val="15"/>
          <w:color w:val="auto"/>
        </w:rPr>
        <w:t>provided to Tenant) the Offsite Parking Pass Allotment (as hereinafter defined) of parking passes (the “</w:t>
      </w:r>
      <w:r>
        <w:rPr>
          <w:rFonts w:ascii="Arial" w:cs="Arial" w:eastAsia="Arial" w:hAnsi="Arial"/>
          <w:sz w:val="15"/>
          <w:szCs w:val="15"/>
          <w:b w:val="1"/>
          <w:bCs w:val="1"/>
          <w:color w:val="auto"/>
        </w:rPr>
        <w:t>Offsite Parking Passes</w:t>
      </w:r>
      <w:r>
        <w:rPr>
          <w:rFonts w:ascii="Arial" w:cs="Arial" w:eastAsia="Arial" w:hAnsi="Arial"/>
          <w:sz w:val="15"/>
          <w:szCs w:val="15"/>
          <w:color w:val="auto"/>
        </w:rPr>
        <w:t>”) for use in a nearby off-site parking facility. The “</w:t>
      </w:r>
      <w:r>
        <w:rPr>
          <w:rFonts w:ascii="Arial" w:cs="Arial" w:eastAsia="Arial" w:hAnsi="Arial"/>
          <w:sz w:val="15"/>
          <w:szCs w:val="15"/>
          <w:b w:val="1"/>
          <w:bCs w:val="1"/>
          <w:color w:val="auto"/>
        </w:rPr>
        <w:t>Offsite</w:t>
      </w:r>
      <w:r>
        <w:rPr>
          <w:rFonts w:ascii="Arial" w:cs="Arial" w:eastAsia="Arial" w:hAnsi="Arial"/>
          <w:sz w:val="15"/>
          <w:szCs w:val="15"/>
          <w:color w:val="auto"/>
        </w:rPr>
        <w:t xml:space="preserve"> </w:t>
      </w:r>
      <w:r>
        <w:rPr>
          <w:rFonts w:ascii="Arial" w:cs="Arial" w:eastAsia="Arial" w:hAnsi="Arial"/>
          <w:sz w:val="15"/>
          <w:szCs w:val="15"/>
          <w:b w:val="1"/>
          <w:bCs w:val="1"/>
          <w:color w:val="auto"/>
        </w:rPr>
        <w:t>Parking Pass Allotment</w:t>
      </w:r>
      <w:r>
        <w:rPr>
          <w:rFonts w:ascii="Arial" w:cs="Arial" w:eastAsia="Arial" w:hAnsi="Arial"/>
          <w:sz w:val="15"/>
          <w:szCs w:val="15"/>
          <w:color w:val="auto"/>
        </w:rPr>
        <w:t>” shall be a number of parking passes which is not less than one</w:t>
      </w:r>
      <w:r>
        <w:rPr>
          <w:rFonts w:ascii="Arial" w:cs="Arial" w:eastAsia="Arial" w:hAnsi="Arial"/>
          <w:sz w:val="15"/>
          <w:szCs w:val="15"/>
          <w:b w:val="1"/>
          <w:bCs w:val="1"/>
          <w:color w:val="auto"/>
        </w:rPr>
        <w:t xml:space="preserve"> </w:t>
      </w:r>
      <w:r>
        <w:rPr>
          <w:rFonts w:ascii="Arial" w:cs="Arial" w:eastAsia="Arial" w:hAnsi="Arial"/>
          <w:sz w:val="15"/>
          <w:szCs w:val="15"/>
          <w:color w:val="auto"/>
        </w:rPr>
        <w:t>hundred fifty (150) parking passes (the “</w:t>
      </w:r>
      <w:r>
        <w:rPr>
          <w:rFonts w:ascii="Arial" w:cs="Arial" w:eastAsia="Arial" w:hAnsi="Arial"/>
          <w:sz w:val="15"/>
          <w:szCs w:val="15"/>
          <w:b w:val="1"/>
          <w:bCs w:val="1"/>
          <w:color w:val="auto"/>
        </w:rPr>
        <w:t>Minimum Offsite Parking Pass Allotment</w:t>
      </w:r>
      <w:r>
        <w:rPr>
          <w:rFonts w:ascii="Arial" w:cs="Arial" w:eastAsia="Arial" w:hAnsi="Arial"/>
          <w:sz w:val="15"/>
          <w:szCs w:val="15"/>
          <w:color w:val="auto"/>
        </w:rPr>
        <w:t>”) and not more than two hundred fifty (250) parking passes (the “</w:t>
      </w:r>
      <w:r>
        <w:rPr>
          <w:rFonts w:ascii="Arial" w:cs="Arial" w:eastAsia="Arial" w:hAnsi="Arial"/>
          <w:sz w:val="15"/>
          <w:szCs w:val="15"/>
          <w:b w:val="1"/>
          <w:bCs w:val="1"/>
          <w:color w:val="auto"/>
        </w:rPr>
        <w:t>Maximum Offsite Parking Pass</w:t>
      </w:r>
      <w:r>
        <w:rPr>
          <w:rFonts w:ascii="Arial" w:cs="Arial" w:eastAsia="Arial" w:hAnsi="Arial"/>
          <w:sz w:val="15"/>
          <w:szCs w:val="15"/>
          <w:color w:val="auto"/>
        </w:rPr>
        <w:t xml:space="preserve"> </w:t>
      </w:r>
      <w:r>
        <w:rPr>
          <w:rFonts w:ascii="Arial" w:cs="Arial" w:eastAsia="Arial" w:hAnsi="Arial"/>
          <w:sz w:val="15"/>
          <w:szCs w:val="15"/>
          <w:b w:val="1"/>
          <w:bCs w:val="1"/>
          <w:color w:val="auto"/>
        </w:rPr>
        <w:t>Allotment</w:t>
      </w:r>
      <w:r>
        <w:rPr>
          <w:rFonts w:ascii="Arial" w:cs="Arial" w:eastAsia="Arial" w:hAnsi="Arial"/>
          <w:sz w:val="15"/>
          <w:szCs w:val="15"/>
          <w:color w:val="auto"/>
        </w:rPr>
        <w:t>”), as elected by Tenant. Prior to the Commencement Date, Tenant shall notify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Landlord and the owner and/or operator of the respective garage facility as to how many Offsite Parking Passes (but in no event less the Minimum Offsite Parking Pass Allotment or more than the Maximum Offsite Parking Pass Allotment) Tenant elects to receive. Thereafter, from time-to-time during the Term, Tenant may elect to increase or reduce the number of Offsite Parking Passes received by it (but in no event to less the Minimum Offsite Parking Pass Allotment, in the aggregate, or more than the Maximum Offsite Parking Pass Allotment, in the aggregate) by providing not less than ninety (90) days prior notice of such increase or reduction to Landlord and the owner and/or operator of the respective garage facility. The provisions of this </w:t>
      </w:r>
      <w:r>
        <w:rPr>
          <w:rFonts w:ascii="Arial" w:cs="Arial" w:eastAsia="Arial" w:hAnsi="Arial"/>
          <w:sz w:val="15"/>
          <w:szCs w:val="15"/>
          <w:b w:val="1"/>
          <w:bCs w:val="1"/>
          <w:color w:val="auto"/>
        </w:rPr>
        <w:t>Section</w:t>
      </w:r>
      <w:r>
        <w:rPr>
          <w:rFonts w:ascii="Arial" w:cs="Arial" w:eastAsia="Arial" w:hAnsi="Arial"/>
          <w:sz w:val="15"/>
          <w:szCs w:val="15"/>
          <w:color w:val="auto"/>
        </w:rPr>
        <w:t xml:space="preserve"> </w:t>
      </w:r>
      <w:r>
        <w:rPr>
          <w:rFonts w:ascii="Arial" w:cs="Arial" w:eastAsia="Arial" w:hAnsi="Arial"/>
          <w:sz w:val="15"/>
          <w:szCs w:val="15"/>
          <w:b w:val="1"/>
          <w:bCs w:val="1"/>
          <w:color w:val="auto"/>
        </w:rPr>
        <w:t xml:space="preserve">30.1 </w:t>
      </w:r>
      <w:r>
        <w:rPr>
          <w:rFonts w:ascii="Arial" w:cs="Arial" w:eastAsia="Arial" w:hAnsi="Arial"/>
          <w:sz w:val="15"/>
          <w:szCs w:val="15"/>
          <w:color w:val="auto"/>
        </w:rPr>
        <w:t>are subject to the provisions of</w:t>
      </w:r>
      <w:r>
        <w:rPr>
          <w:rFonts w:ascii="Arial" w:cs="Arial" w:eastAsia="Arial" w:hAnsi="Arial"/>
          <w:sz w:val="15"/>
          <w:szCs w:val="15"/>
          <w:b w:val="1"/>
          <w:bCs w:val="1"/>
          <w:color w:val="auto"/>
        </w:rPr>
        <w:t xml:space="preserve"> Section 29.1(c)</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41" w:name="page742"/>
    <w:bookmarkEnd w:id="741"/>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30.2. </w:t>
      </w:r>
      <w:r>
        <w:rPr>
          <w:rFonts w:ascii="Arial" w:cs="Arial" w:eastAsia="Arial" w:hAnsi="Arial"/>
          <w:sz w:val="15"/>
          <w:szCs w:val="15"/>
          <w:b w:val="1"/>
          <w:bCs w:val="1"/>
          <w:u w:val="single" w:color="auto"/>
          <w:color w:val="auto"/>
        </w:rPr>
        <w:t>Offsite Parking Passes</w:t>
      </w:r>
      <w:r>
        <w:rPr>
          <w:rFonts w:ascii="Arial" w:cs="Arial" w:eastAsia="Arial" w:hAnsi="Arial"/>
          <w:sz w:val="15"/>
          <w:szCs w:val="15"/>
          <w:color w:val="auto"/>
        </w:rPr>
        <w:t>. In satisfaction of the obligation to provide the</w:t>
      </w:r>
      <w:r>
        <w:rPr>
          <w:rFonts w:ascii="Arial" w:cs="Arial" w:eastAsia="Arial" w:hAnsi="Arial"/>
          <w:sz w:val="15"/>
          <w:szCs w:val="15"/>
          <w:b w:val="1"/>
          <w:bCs w:val="1"/>
          <w:color w:val="auto"/>
        </w:rPr>
        <w:t xml:space="preserve"> </w:t>
      </w:r>
      <w:r>
        <w:rPr>
          <w:rFonts w:ascii="Arial" w:cs="Arial" w:eastAsia="Arial" w:hAnsi="Arial"/>
          <w:sz w:val="15"/>
          <w:szCs w:val="15"/>
          <w:color w:val="auto"/>
        </w:rPr>
        <w:t>Offsite Parking Passes, concurrent with the execution of this Lease, Tenant has entered into an agreement granting Tenant the rights to Offsite Parking Passes at the nearby parking facility commonly known as the Channel Center Garage (the “</w:t>
      </w:r>
      <w:r>
        <w:rPr>
          <w:rFonts w:ascii="Arial" w:cs="Arial" w:eastAsia="Arial" w:hAnsi="Arial"/>
          <w:sz w:val="15"/>
          <w:szCs w:val="15"/>
          <w:b w:val="1"/>
          <w:bCs w:val="1"/>
          <w:color w:val="auto"/>
        </w:rPr>
        <w:t>Channel Center Garage</w:t>
      </w:r>
      <w:r>
        <w:rPr>
          <w:rFonts w:ascii="Arial" w:cs="Arial" w:eastAsia="Arial" w:hAnsi="Arial"/>
          <w:sz w:val="15"/>
          <w:szCs w:val="15"/>
          <w:color w:val="auto"/>
        </w:rPr>
        <w:t>”) located at 116 West First Street in Boston, Massachusetts; provided, however, (x) if at any time during the Term of this Lease, the Offsite Parking Passes are not provided to Tenant for use in the Channel Center Garage (whether in connection with the demolition of the Channel Center Garage, or as a result of a breach or default by the owner or representative of the Channel Center Garage, or otherwise), excepting only if as a result of a breach or default by Tenant, then in lieu of providing the Offsite Parking Passes for use in the Channel Center Garage, commencing on the date on which such Offsite Parking Passes for use in the Channel Center Garage are no longer provided to Tenant, Landlord shall provide Tenant (or cause to be provided to Tenant), Offsite Parking Passes (in the amount of the Maximum Offsite Parking Pass Allotment) for use in a substitute parking facility (or substitute parking facilities) located within a one-half (1/2) mile radius of the Building. The Offsite Parking Passes provided to Tenant for use in said substitute parking facility (or substitute parking facilities) are referred to herein as the “</w:t>
      </w:r>
      <w:r>
        <w:rPr>
          <w:rFonts w:ascii="Arial" w:cs="Arial" w:eastAsia="Arial" w:hAnsi="Arial"/>
          <w:sz w:val="15"/>
          <w:szCs w:val="15"/>
          <w:b w:val="1"/>
          <w:bCs w:val="1"/>
          <w:color w:val="auto"/>
        </w:rPr>
        <w:t>Substitute Offsite Parking Passes</w:t>
      </w:r>
      <w:r>
        <w:rPr>
          <w:rFonts w:ascii="Arial" w:cs="Arial" w:eastAsia="Arial" w:hAnsi="Arial"/>
          <w:sz w:val="15"/>
          <w:szCs w:val="15"/>
          <w:color w:val="auto"/>
        </w:rPr>
        <w:t>.” In such event, if Landlord fails to provide Substitute Offsite Parking Passes in the amount of the Maximum Offsite Parking Pass Allotment, then Tenant shall be entitled to an Offsite Parking Pass Abatement (as hereinafter defined) on a per diem basis for the period of time commencing on the day on which Tenant no longer is provided with Substitute Offsite Parking Passes in the amount of the Maximum Offsite Parking Pass and expiring on the date Tenant is provided with Substitute Offsite Parking Passes in the amount of the Maximum Offsite Parking Pass Allotment. The “</w:t>
      </w:r>
      <w:r>
        <w:rPr>
          <w:rFonts w:ascii="Arial" w:cs="Arial" w:eastAsia="Arial" w:hAnsi="Arial"/>
          <w:sz w:val="15"/>
          <w:szCs w:val="15"/>
          <w:b w:val="1"/>
          <w:bCs w:val="1"/>
          <w:color w:val="auto"/>
        </w:rPr>
        <w:t>Offsite Parking</w:t>
      </w:r>
      <w:r>
        <w:rPr>
          <w:rFonts w:ascii="Arial" w:cs="Arial" w:eastAsia="Arial" w:hAnsi="Arial"/>
          <w:sz w:val="15"/>
          <w:szCs w:val="15"/>
          <w:color w:val="auto"/>
        </w:rPr>
        <w:t xml:space="preserve"> </w:t>
      </w:r>
      <w:r>
        <w:rPr>
          <w:rFonts w:ascii="Arial" w:cs="Arial" w:eastAsia="Arial" w:hAnsi="Arial"/>
          <w:sz w:val="15"/>
          <w:szCs w:val="15"/>
          <w:b w:val="1"/>
          <w:bCs w:val="1"/>
          <w:color w:val="auto"/>
        </w:rPr>
        <w:t>Pass Abatement</w:t>
      </w:r>
      <w:r>
        <w:rPr>
          <w:rFonts w:ascii="Arial" w:cs="Arial" w:eastAsia="Arial" w:hAnsi="Arial"/>
          <w:sz w:val="15"/>
          <w:szCs w:val="15"/>
          <w:color w:val="auto"/>
        </w:rPr>
        <w:t>” shall be an abatement of the the Fixed Rent payable by Tenant under this</w:t>
      </w:r>
      <w:r>
        <w:rPr>
          <w:rFonts w:ascii="Arial" w:cs="Arial" w:eastAsia="Arial" w:hAnsi="Arial"/>
          <w:sz w:val="15"/>
          <w:szCs w:val="15"/>
          <w:b w:val="1"/>
          <w:bCs w:val="1"/>
          <w:color w:val="auto"/>
        </w:rPr>
        <w:t xml:space="preserve"> </w:t>
      </w:r>
      <w:r>
        <w:rPr>
          <w:rFonts w:ascii="Arial" w:cs="Arial" w:eastAsia="Arial" w:hAnsi="Arial"/>
          <w:sz w:val="15"/>
          <w:szCs w:val="15"/>
          <w:color w:val="auto"/>
        </w:rPr>
        <w:t>Lease, which abatement shall be in an amount equal to (x) ten percent (10%) of the then-current monthly Fixed Rent payable by Tenant under this Lease, multiplied by a fraction (y) the numerator of which is (i) the Maximum Offsite Parking Pass Allotment minus the number of Substitute Offsite Parking Passes actually provided to Tenant, and (z) the denominator of which is the Maximum Offsite Parking Pass Allotment. The foregoing rent abatement shall be the sole and exclusive remedy of Tenant on account of such failure or inability to provide (or cause to be provided) the Substitute Offsite Parking Passes and Landlord shall have no further liabilities or obligations to Tenant on account thereof.</w:t>
      </w:r>
    </w:p>
    <w:p>
      <w:pPr>
        <w:spacing w:after="0" w:line="204" w:lineRule="exact"/>
        <w:rPr>
          <w:sz w:val="20"/>
          <w:szCs w:val="20"/>
          <w:color w:val="auto"/>
        </w:rPr>
      </w:pPr>
    </w:p>
    <w:p>
      <w:pPr>
        <w:jc w:val="both"/>
        <w:ind w:left="1220" w:right="1239" w:firstLine="505"/>
        <w:spacing w:after="0" w:line="238" w:lineRule="auto"/>
        <w:rPr>
          <w:sz w:val="20"/>
          <w:szCs w:val="20"/>
          <w:color w:val="auto"/>
        </w:rPr>
      </w:pPr>
      <w:r>
        <w:rPr>
          <w:rFonts w:ascii="Arial" w:cs="Arial" w:eastAsia="Arial" w:hAnsi="Arial"/>
          <w:sz w:val="15"/>
          <w:szCs w:val="15"/>
          <w:b w:val="1"/>
          <w:bCs w:val="1"/>
          <w:color w:val="auto"/>
        </w:rPr>
        <w:t xml:space="preserve">Section 30.3. </w:t>
      </w:r>
      <w:r>
        <w:rPr>
          <w:rFonts w:ascii="Arial" w:cs="Arial" w:eastAsia="Arial" w:hAnsi="Arial"/>
          <w:sz w:val="15"/>
          <w:szCs w:val="15"/>
          <w:b w:val="1"/>
          <w:bCs w:val="1"/>
          <w:u w:val="single" w:color="auto"/>
          <w:color w:val="auto"/>
        </w:rPr>
        <w:t>Charges for Parking Passes</w:t>
      </w:r>
      <w:r>
        <w:rPr>
          <w:rFonts w:ascii="Arial" w:cs="Arial" w:eastAsia="Arial" w:hAnsi="Arial"/>
          <w:sz w:val="15"/>
          <w:szCs w:val="15"/>
          <w:color w:val="auto"/>
        </w:rPr>
        <w:t>. Tenant shall be responsible for payment of</w:t>
      </w:r>
      <w:r>
        <w:rPr>
          <w:rFonts w:ascii="Arial" w:cs="Arial" w:eastAsia="Arial" w:hAnsi="Arial"/>
          <w:sz w:val="15"/>
          <w:szCs w:val="15"/>
          <w:b w:val="1"/>
          <w:bCs w:val="1"/>
          <w:color w:val="auto"/>
        </w:rPr>
        <w:t xml:space="preserve"> </w:t>
      </w:r>
      <w:r>
        <w:rPr>
          <w:rFonts w:ascii="Arial" w:cs="Arial" w:eastAsia="Arial" w:hAnsi="Arial"/>
          <w:sz w:val="15"/>
          <w:szCs w:val="15"/>
          <w:color w:val="auto"/>
        </w:rPr>
        <w:t>all fees, charges, and expenses payable for all such parking passes, including both the Garage Parking Passes and the Offsite Parking Passes, and Landlord shall have no liabilities or obligations with respect to such fees, charges and expenses. Tenant shall pay to Landlord, as Additional Rent, a monthly charge for all of the Garage Parking Passes, which charge shall be at the prevailing fair market rate for parking passes in parking facilities in Comparable Buildings, as reasonably determined by the operator of the Garage from time to time. Said rate payable for the Garage Parking Passes shall be subject to adjustment not more frequently than once in each calendar year. Tenant shall be responsible for payment of all fees, charges and expenses payable to the owner or operator of the Channel Center Garage or substitute parking facility (or substitute parking facilities), in accordance with the respective agreements between Tenant and such owner or operator.</w:t>
      </w:r>
    </w:p>
    <w:p>
      <w:pPr>
        <w:spacing w:after="0" w:line="132" w:lineRule="exact"/>
        <w:rPr>
          <w:sz w:val="20"/>
          <w:szCs w:val="20"/>
          <w:color w:val="auto"/>
        </w:rPr>
      </w:pPr>
    </w:p>
    <w:p>
      <w:pPr>
        <w:jc w:val="both"/>
        <w:ind w:left="1220" w:right="1239" w:firstLine="505"/>
        <w:spacing w:after="0" w:line="243" w:lineRule="auto"/>
        <w:rPr>
          <w:sz w:val="20"/>
          <w:szCs w:val="20"/>
          <w:color w:val="auto"/>
        </w:rPr>
      </w:pPr>
      <w:r>
        <w:rPr>
          <w:rFonts w:ascii="Arial" w:cs="Arial" w:eastAsia="Arial" w:hAnsi="Arial"/>
          <w:sz w:val="15"/>
          <w:szCs w:val="15"/>
          <w:b w:val="1"/>
          <w:bCs w:val="1"/>
          <w:color w:val="auto"/>
        </w:rPr>
        <w:t xml:space="preserve">Section 30.4. </w:t>
      </w:r>
      <w:r>
        <w:rPr>
          <w:rFonts w:ascii="Arial" w:cs="Arial" w:eastAsia="Arial" w:hAnsi="Arial"/>
          <w:sz w:val="16"/>
          <w:szCs w:val="16"/>
          <w:b w:val="1"/>
          <w:bCs w:val="1"/>
          <w:u w:val="single" w:color="auto"/>
          <w:color w:val="auto"/>
        </w:rPr>
        <w:t>Risk of Loss, Damage</w:t>
      </w:r>
      <w:r>
        <w:rPr>
          <w:rFonts w:ascii="Arial" w:cs="Arial" w:eastAsia="Arial" w:hAnsi="Arial"/>
          <w:sz w:val="15"/>
          <w:szCs w:val="15"/>
          <w:b w:val="1"/>
          <w:bCs w:val="1"/>
          <w:color w:val="auto"/>
        </w:rPr>
        <w:t xml:space="preserve">. </w:t>
      </w:r>
      <w:r>
        <w:rPr>
          <w:rFonts w:ascii="Arial" w:cs="Arial" w:eastAsia="Arial" w:hAnsi="Arial"/>
          <w:sz w:val="15"/>
          <w:szCs w:val="15"/>
          <w:color w:val="auto"/>
        </w:rPr>
        <w:t>The parking passes shall be used only for</w:t>
      </w:r>
      <w:r>
        <w:rPr>
          <w:rFonts w:ascii="Arial" w:cs="Arial" w:eastAsia="Arial" w:hAnsi="Arial"/>
          <w:sz w:val="15"/>
          <w:szCs w:val="15"/>
          <w:b w:val="1"/>
          <w:bCs w:val="1"/>
          <w:color w:val="auto"/>
        </w:rPr>
        <w:t xml:space="preserve"> </w:t>
      </w:r>
      <w:r>
        <w:rPr>
          <w:rFonts w:ascii="Arial" w:cs="Arial" w:eastAsia="Arial" w:hAnsi="Arial"/>
          <w:sz w:val="15"/>
          <w:szCs w:val="15"/>
          <w:color w:val="auto"/>
        </w:rPr>
        <w:t>parking duly registered and operating private passenger motor vehicles owned and operated by Tenant or its employees, or any permitted occupant of the Premises. The parking passes shall not be transferable, except in connection with a permitted sublease or other occupancy agreement of the Premises or an assignment or other transfer of this Lease. Except to the extent otherwise provided in M.G.L. Chapter 186, Section 15, or to the extent caused by the negligence</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42" w:name="page743"/>
    <w:bookmarkEnd w:id="742"/>
    <w:p>
      <w:pPr>
        <w:jc w:val="both"/>
        <w:ind w:left="1220" w:right="1239"/>
        <w:spacing w:after="0" w:line="238" w:lineRule="auto"/>
        <w:rPr>
          <w:sz w:val="20"/>
          <w:szCs w:val="20"/>
          <w:color w:val="auto"/>
        </w:rPr>
      </w:pPr>
      <w:r>
        <w:rPr>
          <w:rFonts w:ascii="Arial" w:cs="Arial" w:eastAsia="Arial" w:hAnsi="Arial"/>
          <w:sz w:val="15"/>
          <w:szCs w:val="15"/>
          <w:color w:val="auto"/>
        </w:rPr>
        <w:t>or willful misconduct of the operator of the Garage, the Channel Center Garage, or the substitute parking facility (or facilities), as applicable, neither the operator of the respective facility nor Landlord shall be liable for any loss, injury or damage to persons using the Garage or motor vehicles or other property therein, and, to the fullest extent permitted by law, the use of the respective facility shall be at the sole risk of Tenant and its employees. Without limitation, neither the operator of the respective facility nor Landlord shall not be responsible for money, jewelry, motor vehicles or other personal property lost in or stolen from the Garage regardless of whether such loss or theft occurs when the respective facility or other areas therein are locked or otherwise secured against entry, except to the extent caused by the negligence or willful misconduct of Landlord or the operator of the respective facility, as applicable.</w:t>
      </w:r>
    </w:p>
    <w:p>
      <w:pPr>
        <w:spacing w:after="0" w:line="135"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30.5. </w:t>
      </w:r>
      <w:r>
        <w:rPr>
          <w:rFonts w:ascii="Arial" w:cs="Arial" w:eastAsia="Arial" w:hAnsi="Arial"/>
          <w:sz w:val="16"/>
          <w:szCs w:val="16"/>
          <w:b w:val="1"/>
          <w:bCs w:val="1"/>
          <w:u w:val="single" w:color="auto"/>
          <w:color w:val="auto"/>
        </w:rPr>
        <w:t>Rules and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or the operator of the Respective</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facility, as applicable, may from time to time, in accordance with the terms and conditions of </w:t>
      </w:r>
      <w:r>
        <w:rPr>
          <w:rFonts w:ascii="Arial" w:cs="Arial" w:eastAsia="Arial" w:hAnsi="Arial"/>
          <w:sz w:val="15"/>
          <w:szCs w:val="15"/>
          <w:b w:val="1"/>
          <w:bCs w:val="1"/>
          <w:color w:val="auto"/>
        </w:rPr>
        <w:t>Article 23</w:t>
      </w:r>
      <w:r>
        <w:rPr>
          <w:rFonts w:ascii="Arial" w:cs="Arial" w:eastAsia="Arial" w:hAnsi="Arial"/>
          <w:sz w:val="15"/>
          <w:szCs w:val="15"/>
          <w:color w:val="auto"/>
        </w:rPr>
        <w:t>, promulgate rules and regulations regarding the respective parking facility, the</w:t>
      </w:r>
      <w:r>
        <w:rPr>
          <w:rFonts w:ascii="Arial" w:cs="Arial" w:eastAsia="Arial" w:hAnsi="Arial"/>
          <w:sz w:val="15"/>
          <w:szCs w:val="15"/>
          <w:b w:val="1"/>
          <w:bCs w:val="1"/>
          <w:color w:val="auto"/>
        </w:rPr>
        <w:t xml:space="preserve"> </w:t>
      </w:r>
      <w:r>
        <w:rPr>
          <w:rFonts w:ascii="Arial" w:cs="Arial" w:eastAsia="Arial" w:hAnsi="Arial"/>
          <w:sz w:val="15"/>
          <w:szCs w:val="15"/>
          <w:color w:val="auto"/>
        </w:rPr>
        <w:t>parking passes and the use thereof, including rules and regulations controlling the flow of traffic to and from various parking areas, the angle and direction of parking and the like. Tenant shall comply with and cause its employees to comply with all such rules and regulations. If Tenant’s employees fail to comply with such rules and regulations, and such failure continues for more than thirty (30) days after notice thereof from Landlord or the operator of the respective parking facility, as applicable, then Landlord or the operator of the respective parking facility, as applicable, may elect to revoke the rights of the subject employee to use respective parking passes.</w:t>
      </w:r>
    </w:p>
    <w:p>
      <w:pPr>
        <w:spacing w:after="0" w:line="303"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Section 30.6. </w:t>
      </w:r>
      <w:r>
        <w:rPr>
          <w:rFonts w:ascii="Arial" w:cs="Arial" w:eastAsia="Arial" w:hAnsi="Arial"/>
          <w:sz w:val="16"/>
          <w:szCs w:val="16"/>
          <w:b w:val="1"/>
          <w:bCs w:val="1"/>
          <w:u w:val="single" w:color="auto"/>
          <w:color w:val="auto"/>
        </w:rPr>
        <w:t>Storage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shall not store or permit its employees to store any</w:t>
      </w:r>
      <w:r>
        <w:rPr>
          <w:rFonts w:ascii="Arial" w:cs="Arial" w:eastAsia="Arial" w:hAnsi="Arial"/>
          <w:sz w:val="15"/>
          <w:szCs w:val="15"/>
          <w:b w:val="1"/>
          <w:bCs w:val="1"/>
          <w:color w:val="auto"/>
        </w:rPr>
        <w:t xml:space="preserve"> </w:t>
      </w:r>
      <w:r>
        <w:rPr>
          <w:rFonts w:ascii="Arial" w:cs="Arial" w:eastAsia="Arial" w:hAnsi="Arial"/>
          <w:sz w:val="15"/>
          <w:szCs w:val="15"/>
          <w:color w:val="auto"/>
        </w:rPr>
        <w:t>motor vehicles in the respective parking facility without the prior written consent of Landlord and the operator of the respective parking facility. Except for emergency repairs, Tenant and its employees shall not perform any repair work on any motor vehicles while located in the respective parking facility.</w:t>
      </w:r>
    </w:p>
    <w:p>
      <w:pPr>
        <w:spacing w:after="0" w:line="127" w:lineRule="exact"/>
        <w:rPr>
          <w:sz w:val="20"/>
          <w:szCs w:val="20"/>
          <w:color w:val="auto"/>
        </w:rPr>
      </w:pPr>
    </w:p>
    <w:p>
      <w:pPr>
        <w:jc w:val="both"/>
        <w:ind w:left="1220" w:right="1239" w:firstLine="505"/>
        <w:spacing w:after="0" w:line="245" w:lineRule="auto"/>
        <w:rPr>
          <w:sz w:val="20"/>
          <w:szCs w:val="20"/>
          <w:color w:val="auto"/>
        </w:rPr>
      </w:pPr>
      <w:r>
        <w:rPr>
          <w:rFonts w:ascii="Arial" w:cs="Arial" w:eastAsia="Arial" w:hAnsi="Arial"/>
          <w:sz w:val="15"/>
          <w:szCs w:val="15"/>
          <w:b w:val="1"/>
          <w:bCs w:val="1"/>
          <w:color w:val="auto"/>
        </w:rPr>
        <w:t xml:space="preserve">Section 30.7. </w:t>
      </w:r>
      <w:r>
        <w:rPr>
          <w:rFonts w:ascii="Arial" w:cs="Arial" w:eastAsia="Arial" w:hAnsi="Arial"/>
          <w:sz w:val="16"/>
          <w:szCs w:val="16"/>
          <w:b w:val="1"/>
          <w:bCs w:val="1"/>
          <w:u w:val="single" w:color="auto"/>
          <w:color w:val="auto"/>
        </w:rPr>
        <w:t>Closure</w:t>
      </w:r>
      <w:r>
        <w:rPr>
          <w:rFonts w:ascii="Arial" w:cs="Arial" w:eastAsia="Arial" w:hAnsi="Arial"/>
          <w:sz w:val="15"/>
          <w:szCs w:val="15"/>
          <w:b w:val="1"/>
          <w:bCs w:val="1"/>
          <w:color w:val="auto"/>
        </w:rPr>
        <w:t xml:space="preserve">. </w:t>
      </w:r>
      <w:r>
        <w:rPr>
          <w:rFonts w:ascii="Arial" w:cs="Arial" w:eastAsia="Arial" w:hAnsi="Arial"/>
          <w:sz w:val="15"/>
          <w:szCs w:val="15"/>
          <w:color w:val="auto"/>
        </w:rPr>
        <w:t>Landlord and the operator of the respective parking facility shall</w:t>
      </w:r>
      <w:r>
        <w:rPr>
          <w:rFonts w:ascii="Arial" w:cs="Arial" w:eastAsia="Arial" w:hAnsi="Arial"/>
          <w:sz w:val="15"/>
          <w:szCs w:val="15"/>
          <w:b w:val="1"/>
          <w:bCs w:val="1"/>
          <w:color w:val="auto"/>
        </w:rPr>
        <w:t xml:space="preserve"> </w:t>
      </w:r>
      <w:r>
        <w:rPr>
          <w:rFonts w:ascii="Arial" w:cs="Arial" w:eastAsia="Arial" w:hAnsi="Arial"/>
          <w:sz w:val="15"/>
          <w:szCs w:val="15"/>
          <w:color w:val="auto"/>
        </w:rPr>
        <w:t>have the right to temporarily close the respective parking facility or certain areas therein in order to perform repairs, maintenance and improvements in and to the respective parking facility. In connection with any such closure of the respective parking facility, Landlord will, except in the case of emergency, provide reasonable advance notice of any such closure of the respective parking facility.</w:t>
      </w:r>
    </w:p>
    <w:p>
      <w:pPr>
        <w:spacing w:after="0" w:line="132" w:lineRule="exact"/>
        <w:rPr>
          <w:sz w:val="20"/>
          <w:szCs w:val="20"/>
          <w:color w:val="auto"/>
        </w:rPr>
      </w:pPr>
    </w:p>
    <w:p>
      <w:pPr>
        <w:ind w:left="4040"/>
        <w:spacing w:after="0"/>
        <w:rPr>
          <w:sz w:val="20"/>
          <w:szCs w:val="20"/>
          <w:color w:val="auto"/>
        </w:rPr>
      </w:pPr>
      <w:r>
        <w:rPr>
          <w:rFonts w:ascii="Arial" w:cs="Arial" w:eastAsia="Arial" w:hAnsi="Arial"/>
          <w:sz w:val="15"/>
          <w:szCs w:val="15"/>
          <w:b w:val="1"/>
          <w:bCs w:val="1"/>
          <w:color w:val="auto"/>
        </w:rPr>
        <w:t>ARTICLE 31</w:t>
      </w:r>
    </w:p>
    <w:p>
      <w:pPr>
        <w:spacing w:after="0" w:line="164"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PATRIOT ACT</w:t>
      </w:r>
    </w:p>
    <w:p>
      <w:pPr>
        <w:spacing w:after="0" w:line="162"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Section 31.1. </w:t>
      </w:r>
      <w:r>
        <w:rPr>
          <w:rFonts w:ascii="Arial" w:cs="Arial" w:eastAsia="Arial" w:hAnsi="Arial"/>
          <w:sz w:val="16"/>
          <w:szCs w:val="16"/>
          <w:b w:val="1"/>
          <w:bCs w:val="1"/>
          <w:u w:val="single" w:color="auto"/>
          <w:color w:val="auto"/>
        </w:rPr>
        <w:t>Patriot Act</w:t>
      </w:r>
      <w:r>
        <w:rPr>
          <w:rFonts w:ascii="Arial" w:cs="Arial" w:eastAsia="Arial" w:hAnsi="Arial"/>
          <w:sz w:val="15"/>
          <w:szCs w:val="15"/>
          <w:b w:val="1"/>
          <w:bCs w:val="1"/>
          <w:color w:val="auto"/>
        </w:rPr>
        <w:t xml:space="preserve">. </w:t>
      </w:r>
      <w:r>
        <w:rPr>
          <w:rFonts w:ascii="Arial" w:cs="Arial" w:eastAsia="Arial" w:hAnsi="Arial"/>
          <w:sz w:val="15"/>
          <w:szCs w:val="15"/>
          <w:color w:val="auto"/>
        </w:rPr>
        <w:t>As an inducement to Landlord to enter into this Lease,</w:t>
      </w:r>
      <w:r>
        <w:rPr>
          <w:rFonts w:ascii="Arial" w:cs="Arial" w:eastAsia="Arial" w:hAnsi="Arial"/>
          <w:sz w:val="15"/>
          <w:szCs w:val="15"/>
          <w:b w:val="1"/>
          <w:bCs w:val="1"/>
          <w:color w:val="auto"/>
        </w:rPr>
        <w:t xml:space="preserve"> </w:t>
      </w:r>
      <w:r>
        <w:rPr>
          <w:rFonts w:ascii="Arial" w:cs="Arial" w:eastAsia="Arial" w:hAnsi="Arial"/>
          <w:sz w:val="15"/>
          <w:szCs w:val="15"/>
          <w:color w:val="auto"/>
        </w:rPr>
        <w:t>Tenant hereby represents and warrants that: (i) Tenant is not, nor is it owned or Controlled directly or indirectly by, any person, group, entity or nation named on any list issued by the Office of Foreign Assets Control of the United States Department of the Treasury (“</w:t>
      </w:r>
      <w:r>
        <w:rPr>
          <w:rFonts w:ascii="Arial" w:cs="Arial" w:eastAsia="Arial" w:hAnsi="Arial"/>
          <w:sz w:val="15"/>
          <w:szCs w:val="15"/>
          <w:b w:val="1"/>
          <w:bCs w:val="1"/>
          <w:color w:val="auto"/>
        </w:rPr>
        <w:t>OFAC</w:t>
      </w:r>
      <w:r>
        <w:rPr>
          <w:rFonts w:ascii="Arial" w:cs="Arial" w:eastAsia="Arial" w:hAnsi="Arial"/>
          <w:sz w:val="15"/>
          <w:szCs w:val="15"/>
          <w:color w:val="auto"/>
        </w:rPr>
        <w:t>”) pursuant to Executive Order 13224, the Uniting and Strengthening America by Providing Appropriate Tools Required to Intercept and Obstruct Terrorism Act of 2001 (Public Law No. 107-56, 115 Stat. 272), as the same may be amended, modified or supplemented from time-to-time, or any similar list or any Requirement any Executive Order of the President of the United States as a terrorist, “Specially Designated National and Blocked Person” or other banned or blocked person (any such person, group, entity or nation being hereinafter referred to as a “</w:t>
      </w:r>
      <w:r>
        <w:rPr>
          <w:rFonts w:ascii="Arial" w:cs="Arial" w:eastAsia="Arial" w:hAnsi="Arial"/>
          <w:sz w:val="15"/>
          <w:szCs w:val="15"/>
          <w:b w:val="1"/>
          <w:bCs w:val="1"/>
          <w:color w:val="auto"/>
        </w:rPr>
        <w:t>Prohibited Person</w:t>
      </w:r>
      <w:r>
        <w:rPr>
          <w:rFonts w:ascii="Arial" w:cs="Arial" w:eastAsia="Arial" w:hAnsi="Arial"/>
          <w:sz w:val="15"/>
          <w:szCs w:val="15"/>
          <w:color w:val="auto"/>
        </w:rPr>
        <w:t>”); (ii) Tenant is not (nor is it owned, Controlled, directly or indirectly, by any person, group, entity or nation which is) acting directly or indirectly for or on behalf of any Prohibited Person; and (iii) neither Tenant (nor</w:t>
      </w: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43" w:name="page744"/>
    <w:bookmarkEnd w:id="743"/>
    <w:p>
      <w:pPr>
        <w:jc w:val="both"/>
        <w:ind w:left="1220" w:right="1239"/>
        <w:spacing w:after="0" w:line="239" w:lineRule="auto"/>
        <w:rPr>
          <w:sz w:val="20"/>
          <w:szCs w:val="20"/>
          <w:color w:val="auto"/>
        </w:rPr>
      </w:pPr>
      <w:r>
        <w:rPr>
          <w:rFonts w:ascii="Arial" w:cs="Arial" w:eastAsia="Arial" w:hAnsi="Arial"/>
          <w:sz w:val="15"/>
          <w:szCs w:val="15"/>
          <w:color w:val="auto"/>
        </w:rPr>
        <w:t xml:space="preserve">any person, group, entity or nation which owns or Controls Tenant, directly or indirectly) has conducted or will conduct business or has engaged or will engage in any transaction or dealing with any Prohibited Person, including any assignment of this Lease or any subletting of all or any portion of the Premises or the making or receiving of any contribution or funds, goods or services to or for the benefit of a Prohibited Person. In connection with the foregoing, it is expressly understood and agreed that (x) any breach by Tenant of the foregoing representations and warranties shall be an Event of Default, and (y) the representations and warranties contained in this </w:t>
      </w:r>
      <w:r>
        <w:rPr>
          <w:rFonts w:ascii="Arial" w:cs="Arial" w:eastAsia="Arial" w:hAnsi="Arial"/>
          <w:sz w:val="15"/>
          <w:szCs w:val="15"/>
          <w:b w:val="1"/>
          <w:bCs w:val="1"/>
          <w:color w:val="auto"/>
        </w:rPr>
        <w:t>Article 31</w:t>
      </w:r>
      <w:r>
        <w:rPr>
          <w:rFonts w:ascii="Arial" w:cs="Arial" w:eastAsia="Arial" w:hAnsi="Arial"/>
          <w:sz w:val="15"/>
          <w:szCs w:val="15"/>
          <w:color w:val="auto"/>
        </w:rPr>
        <w:t xml:space="preserve"> shall be continuing in nature and shall survive the expiration or earlier termination of this Lease.</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ARTICLE 32</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EXTERIOR BUILDING SIGNS</w:t>
      </w:r>
    </w:p>
    <w:p>
      <w:pPr>
        <w:spacing w:after="0" w:line="166"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color w:val="auto"/>
        </w:rPr>
        <w:t xml:space="preserve">As an appurtenance to the Premises, in accordance with and subject to the provisions of this </w:t>
      </w:r>
      <w:r>
        <w:rPr>
          <w:rFonts w:ascii="Arial" w:cs="Arial" w:eastAsia="Arial" w:hAnsi="Arial"/>
          <w:sz w:val="15"/>
          <w:szCs w:val="15"/>
          <w:b w:val="1"/>
          <w:bCs w:val="1"/>
          <w:color w:val="auto"/>
        </w:rPr>
        <w:t>Article 32</w:t>
      </w:r>
      <w:r>
        <w:rPr>
          <w:rFonts w:ascii="Arial" w:cs="Arial" w:eastAsia="Arial" w:hAnsi="Arial"/>
          <w:sz w:val="15"/>
          <w:szCs w:val="15"/>
          <w:color w:val="auto"/>
        </w:rPr>
        <w:t xml:space="preserve">, subject to approval by all applicable Governmental Authorities, so long as (i) this Lease is in full force and effect, (ii) no Event of Default then exists, and (iii) the original Tenant named in this Lease leases not less than 140,000 square feet of rentable area in the Building, then Tenant may elect, at Tenant’s sole cost and expense, to construct, erect, and maintain an exterior sign (the “Exterior Building Sign”) on the exterior façade of the Building, identifying Tenant as an occupant of the Building. The approved locations of Tenant’s Exterior Building Signage are depicted on the plan attached hereto as </w:t>
      </w:r>
      <w:r>
        <w:rPr>
          <w:rFonts w:ascii="Arial" w:cs="Arial" w:eastAsia="Arial" w:hAnsi="Arial"/>
          <w:sz w:val="15"/>
          <w:szCs w:val="15"/>
          <w:b w:val="1"/>
          <w:bCs w:val="1"/>
          <w:color w:val="auto"/>
        </w:rPr>
        <w:t>Exhibit K</w:t>
      </w:r>
      <w:r>
        <w:rPr>
          <w:rFonts w:ascii="Arial" w:cs="Arial" w:eastAsia="Arial" w:hAnsi="Arial"/>
          <w:sz w:val="15"/>
          <w:szCs w:val="15"/>
          <w:color w:val="auto"/>
        </w:rPr>
        <w:t>. Said Exterior Building Sign (including the size, location, design, materials, colors and appearance thereof) shall be subject to the prior review and commercially reasonable approval of Landlord in all respects. Tenant shall, at its sole cost and expense, prepare all plans and specifications relating to the Exterior Building Sign installed by Tenant, obtain all permits and approvals from all applicable Governmental Authorities required in connection with the Exterior Building Sign, if any, and pay all costs and expenses of constructing, installing, maintaining, repairing, replacing, and removing the Exterior Building Sign. The Exterior Building Sign shall be removed by Tenant concurrent with the expiration or earlier termination of the Term of this Lease, and Tenant shall restore the areas where the Exterior Building Sign had been installed to their condition prior to the installation of such signs, subject to commercially reasonable wear and tear. Landlord shall have no obligations or liabilities with respect to the design of the Exterior Building Sign, the obtaining of any required permits or approvals with respect thereto, or the construction, installation, maintenance, repair or replacement thereof, all of which shall be at the sole risk, and sole cost and expense of Tenant. Tenant shall maintain and repair the Exterior Building Sign installed by Tenant in first-class order, condition and repair, at its sole cost and expense, in accordance with all applicable Laws.</w:t>
      </w:r>
    </w:p>
    <w:p>
      <w:pPr>
        <w:spacing w:after="0" w:line="238" w:lineRule="exact"/>
        <w:rPr>
          <w:sz w:val="20"/>
          <w:szCs w:val="20"/>
          <w:color w:val="auto"/>
        </w:rPr>
      </w:pPr>
    </w:p>
    <w:p>
      <w:pPr>
        <w:jc w:val="both"/>
        <w:ind w:left="1220" w:right="1239" w:firstLine="505"/>
        <w:spacing w:after="0" w:line="233" w:lineRule="auto"/>
        <w:rPr>
          <w:sz w:val="20"/>
          <w:szCs w:val="20"/>
          <w:color w:val="auto"/>
        </w:rPr>
      </w:pPr>
      <w:r>
        <w:rPr>
          <w:rFonts w:ascii="Arial" w:cs="Arial" w:eastAsia="Arial" w:hAnsi="Arial"/>
          <w:sz w:val="15"/>
          <w:szCs w:val="15"/>
          <w:color w:val="auto"/>
        </w:rPr>
        <w:t xml:space="preserve">As an appurtenance to the Premises, in accordance with and subject to the provisions of this </w:t>
      </w:r>
      <w:r>
        <w:rPr>
          <w:rFonts w:ascii="Arial" w:cs="Arial" w:eastAsia="Arial" w:hAnsi="Arial"/>
          <w:sz w:val="15"/>
          <w:szCs w:val="15"/>
          <w:b w:val="1"/>
          <w:bCs w:val="1"/>
          <w:color w:val="auto"/>
        </w:rPr>
        <w:t>Article 32</w:t>
      </w:r>
      <w:r>
        <w:rPr>
          <w:rFonts w:ascii="Arial" w:cs="Arial" w:eastAsia="Arial" w:hAnsi="Arial"/>
          <w:sz w:val="15"/>
          <w:szCs w:val="15"/>
          <w:color w:val="auto"/>
        </w:rPr>
        <w:t>, subject to approval by all applicable Governmental Authorities, so long as (i) this Lease is in full force and effect, and (ii) no Event of Default then exists, then Landlord will install signs identifying Tenant at the entrances to the Building and on the primary feature wall of the lobby on the first (1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floor of the Building. Renderings of said entrance signs and feature wall signs are depicted on the Plan of Tenant’s Entrance/Lobby Feature Wall signage attached hereto as </w:t>
      </w:r>
      <w:r>
        <w:rPr>
          <w:rFonts w:ascii="Arial" w:cs="Arial" w:eastAsia="Arial" w:hAnsi="Arial"/>
          <w:sz w:val="15"/>
          <w:szCs w:val="15"/>
          <w:b w:val="1"/>
          <w:bCs w:val="1"/>
          <w:color w:val="auto"/>
        </w:rPr>
        <w:t>Exhibit L</w:t>
      </w:r>
      <w:r>
        <w:rPr>
          <w:rFonts w:ascii="Arial" w:cs="Arial" w:eastAsia="Arial" w:hAnsi="Arial"/>
          <w:sz w:val="15"/>
          <w:szCs w:val="15"/>
          <w:color w:val="auto"/>
        </w:rPr>
        <w:t>.</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44" w:name="page745"/>
    <w:bookmarkEnd w:id="744"/>
    <w:p>
      <w:pPr>
        <w:ind w:left="4040"/>
        <w:spacing w:after="0"/>
        <w:rPr>
          <w:sz w:val="20"/>
          <w:szCs w:val="20"/>
          <w:color w:val="auto"/>
        </w:rPr>
      </w:pPr>
      <w:r>
        <w:rPr>
          <w:rFonts w:ascii="Arial" w:cs="Arial" w:eastAsia="Arial" w:hAnsi="Arial"/>
          <w:sz w:val="15"/>
          <w:szCs w:val="15"/>
          <w:b w:val="1"/>
          <w:bCs w:val="1"/>
          <w:color w:val="auto"/>
        </w:rPr>
        <w:t>ARTICLE 33</w:t>
      </w:r>
    </w:p>
    <w:p>
      <w:pPr>
        <w:spacing w:after="0" w:line="164" w:lineRule="exact"/>
        <w:rPr>
          <w:sz w:val="20"/>
          <w:szCs w:val="20"/>
          <w:color w:val="auto"/>
        </w:rPr>
      </w:pPr>
    </w:p>
    <w:p>
      <w:pPr>
        <w:ind w:left="3740"/>
        <w:spacing w:after="0"/>
        <w:rPr>
          <w:sz w:val="20"/>
          <w:szCs w:val="20"/>
          <w:color w:val="auto"/>
        </w:rPr>
      </w:pPr>
      <w:r>
        <w:rPr>
          <w:rFonts w:ascii="Arial" w:cs="Arial" w:eastAsia="Arial" w:hAnsi="Arial"/>
          <w:sz w:val="15"/>
          <w:szCs w:val="15"/>
          <w:b w:val="1"/>
          <w:bCs w:val="1"/>
          <w:color w:val="auto"/>
        </w:rPr>
        <w:t>TENANT SELF-HELP</w:t>
      </w:r>
    </w:p>
    <w:p>
      <w:pPr>
        <w:spacing w:after="0" w:line="162" w:lineRule="exact"/>
        <w:rPr>
          <w:sz w:val="20"/>
          <w:szCs w:val="20"/>
          <w:color w:val="auto"/>
        </w:rPr>
      </w:pPr>
    </w:p>
    <w:p>
      <w:pPr>
        <w:jc w:val="both"/>
        <w:ind w:left="1220" w:right="1239" w:firstLine="505"/>
        <w:spacing w:after="0" w:line="243" w:lineRule="auto"/>
        <w:rPr>
          <w:sz w:val="20"/>
          <w:szCs w:val="20"/>
          <w:color w:val="auto"/>
        </w:rPr>
      </w:pPr>
      <w:r>
        <w:rPr>
          <w:rFonts w:ascii="Arial" w:cs="Arial" w:eastAsia="Arial" w:hAnsi="Arial"/>
          <w:sz w:val="15"/>
          <w:szCs w:val="15"/>
          <w:b w:val="1"/>
          <w:bCs w:val="1"/>
          <w:color w:val="auto"/>
        </w:rPr>
        <w:t xml:space="preserve">Section 33.1. </w:t>
      </w:r>
      <w:r>
        <w:rPr>
          <w:rFonts w:ascii="Arial" w:cs="Arial" w:eastAsia="Arial" w:hAnsi="Arial"/>
          <w:sz w:val="16"/>
          <w:szCs w:val="16"/>
          <w:b w:val="1"/>
          <w:bCs w:val="1"/>
          <w:u w:val="single" w:color="auto"/>
          <w:color w:val="auto"/>
        </w:rPr>
        <w:t>Repair Notice</w:t>
      </w:r>
      <w:r>
        <w:rPr>
          <w:rFonts w:ascii="Arial" w:cs="Arial" w:eastAsia="Arial" w:hAnsi="Arial"/>
          <w:sz w:val="16"/>
          <w:szCs w:val="16"/>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If Landlord fails to perform any of its maintenance or</w:t>
      </w:r>
      <w:r>
        <w:rPr>
          <w:rFonts w:ascii="Arial" w:cs="Arial" w:eastAsia="Arial" w:hAnsi="Arial"/>
          <w:sz w:val="15"/>
          <w:szCs w:val="15"/>
          <w:b w:val="1"/>
          <w:bCs w:val="1"/>
          <w:color w:val="auto"/>
        </w:rPr>
        <w:t xml:space="preserve"> </w:t>
      </w:r>
      <w:r>
        <w:rPr>
          <w:rFonts w:ascii="Arial" w:cs="Arial" w:eastAsia="Arial" w:hAnsi="Arial"/>
          <w:sz w:val="15"/>
          <w:szCs w:val="15"/>
          <w:color w:val="auto"/>
        </w:rPr>
        <w:t>repair obligations under this Lease and said failure materially and adversely impacts the occupancy of the Premises by Tenant, then Tenant shall have the right to notify Landlord thereof (a “</w:t>
      </w:r>
      <w:r>
        <w:rPr>
          <w:rFonts w:ascii="Arial" w:cs="Arial" w:eastAsia="Arial" w:hAnsi="Arial"/>
          <w:sz w:val="15"/>
          <w:szCs w:val="15"/>
          <w:b w:val="1"/>
          <w:bCs w:val="1"/>
          <w:color w:val="auto"/>
        </w:rPr>
        <w:t>Repair Notice</w:t>
      </w:r>
      <w:r>
        <w:rPr>
          <w:rFonts w:ascii="Arial" w:cs="Arial" w:eastAsia="Arial" w:hAnsi="Arial"/>
          <w:sz w:val="15"/>
          <w:szCs w:val="15"/>
          <w:color w:val="auto"/>
        </w:rPr>
        <w:t>”), in which event Landlord shall perform such maintenance or repair</w:t>
      </w:r>
    </w:p>
    <w:p>
      <w:pPr>
        <w:spacing w:after="0" w:line="2" w:lineRule="exact"/>
        <w:rPr>
          <w:sz w:val="20"/>
          <w:szCs w:val="20"/>
          <w:color w:val="auto"/>
        </w:rPr>
      </w:pPr>
    </w:p>
    <w:p>
      <w:pPr>
        <w:jc w:val="both"/>
        <w:ind w:left="1220" w:right="1239" w:firstLine="4"/>
        <w:spacing w:after="0"/>
        <w:tabs>
          <w:tab w:leader="none" w:pos="1404" w:val="left"/>
        </w:tabs>
        <w:numPr>
          <w:ilvl w:val="0"/>
          <w:numId w:val="675"/>
        </w:numPr>
        <w:rPr>
          <w:rFonts w:ascii="Arial" w:cs="Arial" w:eastAsia="Arial" w:hAnsi="Arial"/>
          <w:sz w:val="15"/>
          <w:szCs w:val="15"/>
          <w:color w:val="auto"/>
        </w:rPr>
      </w:pPr>
      <w:r>
        <w:rPr>
          <w:rFonts w:ascii="Arial" w:cs="Arial" w:eastAsia="Arial" w:hAnsi="Arial"/>
          <w:sz w:val="15"/>
          <w:szCs w:val="15"/>
          <w:color w:val="auto"/>
        </w:rPr>
        <w:t>within five (5) Business Days following Landlord’s receipt of the Repair Notice with respect to any Emergency Repair (defined below), and (ii) within thirty (30) days following Landlord’s receipt of the Repair Notice with respect to any Adverse Condition Repair (defined below); provided, however, that if such Repairs cannot despite commercially reasonably efforts be completed within the foregoing time periods, Landlord shall have an additional commercially reasonable period of time within which to perform such Repairs, provided that Landlord has commenced such repairs within the applicable periods of time set forth above and thereafter diligently and continuously pursues the completion of such Repairs. For purposes hereof, “</w:t>
      </w:r>
      <w:r>
        <w:rPr>
          <w:rFonts w:ascii="Arial" w:cs="Arial" w:eastAsia="Arial" w:hAnsi="Arial"/>
          <w:sz w:val="15"/>
          <w:szCs w:val="15"/>
          <w:b w:val="1"/>
          <w:bCs w:val="1"/>
          <w:color w:val="auto"/>
        </w:rPr>
        <w:t>Emergency Repairs</w:t>
      </w:r>
      <w:r>
        <w:rPr>
          <w:rFonts w:ascii="Arial" w:cs="Arial" w:eastAsia="Arial" w:hAnsi="Arial"/>
          <w:sz w:val="15"/>
          <w:szCs w:val="15"/>
          <w:color w:val="auto"/>
        </w:rPr>
        <w:t>” shall mean any repairs which Landlord is obligated to perform under this Lease and which are necessary to relieve a situation which threatens the physical well-being of persons or damage to property in the Premises or materially and adversely affects the research or experiments conducted by Tenant in the Premises. For purposes hereof, “</w:t>
      </w:r>
      <w:r>
        <w:rPr>
          <w:rFonts w:ascii="Arial" w:cs="Arial" w:eastAsia="Arial" w:hAnsi="Arial"/>
          <w:sz w:val="15"/>
          <w:szCs w:val="15"/>
          <w:b w:val="1"/>
          <w:bCs w:val="1"/>
          <w:color w:val="auto"/>
        </w:rPr>
        <w:t>Adverse</w:t>
      </w:r>
      <w:r>
        <w:rPr>
          <w:rFonts w:ascii="Arial" w:cs="Arial" w:eastAsia="Arial" w:hAnsi="Arial"/>
          <w:sz w:val="15"/>
          <w:szCs w:val="15"/>
          <w:color w:val="auto"/>
        </w:rPr>
        <w:t xml:space="preserve"> </w:t>
      </w:r>
      <w:r>
        <w:rPr>
          <w:rFonts w:ascii="Arial" w:cs="Arial" w:eastAsia="Arial" w:hAnsi="Arial"/>
          <w:sz w:val="15"/>
          <w:szCs w:val="15"/>
          <w:b w:val="1"/>
          <w:bCs w:val="1"/>
          <w:color w:val="auto"/>
        </w:rPr>
        <w:t>Condition Repairs</w:t>
      </w:r>
      <w:r>
        <w:rPr>
          <w:rFonts w:ascii="Arial" w:cs="Arial" w:eastAsia="Arial" w:hAnsi="Arial"/>
          <w:sz w:val="15"/>
          <w:szCs w:val="15"/>
          <w:color w:val="auto"/>
        </w:rPr>
        <w:t>” shall mean any repairs (other than Emergency Repairs) which Landlord is</w:t>
      </w:r>
      <w:r>
        <w:rPr>
          <w:rFonts w:ascii="Arial" w:cs="Arial" w:eastAsia="Arial" w:hAnsi="Arial"/>
          <w:sz w:val="15"/>
          <w:szCs w:val="15"/>
          <w:b w:val="1"/>
          <w:bCs w:val="1"/>
          <w:color w:val="auto"/>
        </w:rPr>
        <w:t xml:space="preserve"> </w:t>
      </w:r>
      <w:r>
        <w:rPr>
          <w:rFonts w:ascii="Arial" w:cs="Arial" w:eastAsia="Arial" w:hAnsi="Arial"/>
          <w:sz w:val="15"/>
          <w:szCs w:val="15"/>
          <w:color w:val="auto"/>
        </w:rPr>
        <w:t>obligated to perform under this Lease and which are necessary to relieve a situation which adversely and materially impairs Tenant’s use or occupancy of the Premises. Emergency Repairs and Adverse Condition Repairs sometimes are referred to herein collectively as “</w:t>
      </w:r>
      <w:r>
        <w:rPr>
          <w:rFonts w:ascii="Arial" w:cs="Arial" w:eastAsia="Arial" w:hAnsi="Arial"/>
          <w:sz w:val="15"/>
          <w:szCs w:val="15"/>
          <w:b w:val="1"/>
          <w:bCs w:val="1"/>
          <w:color w:val="auto"/>
        </w:rPr>
        <w:t>Repairs</w:t>
      </w:r>
      <w:r>
        <w:rPr>
          <w:rFonts w:ascii="Arial" w:cs="Arial" w:eastAsia="Arial" w:hAnsi="Arial"/>
          <w:sz w:val="15"/>
          <w:szCs w:val="15"/>
          <w:color w:val="auto"/>
        </w:rPr>
        <w:t>.”</w:t>
      </w:r>
    </w:p>
    <w:p>
      <w:pPr>
        <w:spacing w:after="0" w:line="252" w:lineRule="exact"/>
        <w:rPr>
          <w:sz w:val="20"/>
          <w:szCs w:val="20"/>
          <w:color w:val="auto"/>
        </w:rPr>
      </w:pPr>
    </w:p>
    <w:p>
      <w:pPr>
        <w:jc w:val="both"/>
        <w:ind w:left="1220" w:right="1239" w:firstLine="505"/>
        <w:spacing w:after="0" w:line="235" w:lineRule="auto"/>
        <w:rPr>
          <w:sz w:val="20"/>
          <w:szCs w:val="20"/>
          <w:color w:val="auto"/>
        </w:rPr>
      </w:pPr>
      <w:r>
        <w:rPr>
          <w:rFonts w:ascii="Arial" w:cs="Arial" w:eastAsia="Arial" w:hAnsi="Arial"/>
          <w:sz w:val="15"/>
          <w:szCs w:val="15"/>
          <w:b w:val="1"/>
          <w:bCs w:val="1"/>
          <w:color w:val="auto"/>
        </w:rPr>
        <w:t xml:space="preserve">Section 33.2. </w:t>
      </w:r>
      <w:r>
        <w:rPr>
          <w:rFonts w:ascii="Arial" w:cs="Arial" w:eastAsia="Arial" w:hAnsi="Arial"/>
          <w:sz w:val="15"/>
          <w:szCs w:val="15"/>
          <w:b w:val="1"/>
          <w:bCs w:val="1"/>
          <w:u w:val="single" w:color="auto"/>
          <w:color w:val="auto"/>
        </w:rPr>
        <w:t>Repair Dispute Notice</w:t>
      </w:r>
      <w:r>
        <w:rPr>
          <w:rFonts w:ascii="Arial" w:cs="Arial" w:eastAsia="Arial" w:hAnsi="Arial"/>
          <w:sz w:val="15"/>
          <w:szCs w:val="15"/>
          <w:color w:val="auto"/>
        </w:rPr>
        <w:t>. If Landlord reasonably and in good faith disputes</w:t>
      </w:r>
      <w:r>
        <w:rPr>
          <w:rFonts w:ascii="Arial" w:cs="Arial" w:eastAsia="Arial" w:hAnsi="Arial"/>
          <w:sz w:val="15"/>
          <w:szCs w:val="15"/>
          <w:b w:val="1"/>
          <w:bCs w:val="1"/>
          <w:color w:val="auto"/>
        </w:rPr>
        <w:t xml:space="preserve"> </w:t>
      </w:r>
      <w:r>
        <w:rPr>
          <w:rFonts w:ascii="Arial" w:cs="Arial" w:eastAsia="Arial" w:hAnsi="Arial"/>
          <w:sz w:val="15"/>
          <w:szCs w:val="15"/>
          <w:color w:val="auto"/>
        </w:rPr>
        <w:t>that Landlord is obligated under the terms of this Lease to perform any such requested Repairs, then Landlord shall deliver written notice thereof to Tenant (a “</w:t>
      </w:r>
      <w:r>
        <w:rPr>
          <w:rFonts w:ascii="Arial" w:cs="Arial" w:eastAsia="Arial" w:hAnsi="Arial"/>
          <w:sz w:val="15"/>
          <w:szCs w:val="15"/>
          <w:b w:val="1"/>
          <w:bCs w:val="1"/>
          <w:color w:val="auto"/>
        </w:rPr>
        <w:t>Repair Dispute Notice</w:t>
      </w:r>
      <w:r>
        <w:rPr>
          <w:rFonts w:ascii="Arial" w:cs="Arial" w:eastAsia="Arial" w:hAnsi="Arial"/>
          <w:sz w:val="15"/>
          <w:szCs w:val="15"/>
          <w:color w:val="auto"/>
        </w:rPr>
        <w:t>”) within three (3) Business Days after receipt of the Repair Notice, in which event Tenant may not exercise its Self-Help Right (defined below). In lieu thereof, either Landlord or Tenant may elect to submit such dispute to resolution in accordance with the Dispute Resolution Procedure. If Landlord or Tenant elects to submit such dispute to resolution in accordance with the Dispute Resolution Procedure and it is determined upon final completion of such proceeding that Landlord is obligated under this Lease to perform such Repairs, then Landlord (a) shall reimburse Tenant for all costs and expenses incurred by Tenant in connection with said Dispute Resolution Procedure, and (b) shall (i) within two (2) Business Days following the determination of such Dispute Resolution Procedure with respect to an Emergency Repair and (ii) within five</w:t>
      </w:r>
    </w:p>
    <w:p>
      <w:pPr>
        <w:spacing w:after="0" w:line="8" w:lineRule="exact"/>
        <w:rPr>
          <w:sz w:val="20"/>
          <w:szCs w:val="20"/>
          <w:color w:val="auto"/>
        </w:rPr>
      </w:pPr>
    </w:p>
    <w:p>
      <w:pPr>
        <w:jc w:val="both"/>
        <w:ind w:left="1220" w:right="1239" w:firstLine="4"/>
        <w:spacing w:after="0"/>
        <w:tabs>
          <w:tab w:leader="none" w:pos="1495" w:val="left"/>
        </w:tabs>
        <w:numPr>
          <w:ilvl w:val="0"/>
          <w:numId w:val="676"/>
        </w:numPr>
        <w:rPr>
          <w:rFonts w:ascii="Arial" w:cs="Arial" w:eastAsia="Arial" w:hAnsi="Arial"/>
          <w:sz w:val="15"/>
          <w:szCs w:val="15"/>
          <w:color w:val="auto"/>
        </w:rPr>
      </w:pPr>
      <w:r>
        <w:rPr>
          <w:rFonts w:ascii="Arial" w:cs="Arial" w:eastAsia="Arial" w:hAnsi="Arial"/>
          <w:sz w:val="15"/>
          <w:szCs w:val="15"/>
          <w:color w:val="auto"/>
        </w:rPr>
        <w:t>Business Days following the determination of such Dispute Resolution Procedure with respect to an Adverse Condition Repair, commence such Repair and thereafter diligently pursue such Repair to completion. If it is determined upon final completion of such arbitration that Landlord is not obligated to perform such Repairs, then Tenant shall reimburse Landlord, as Additional Rent, for all costs and expenses incurred by Landlord in connection with said arbitration proceeding.</w:t>
      </w:r>
    </w:p>
    <w:p>
      <w:pPr>
        <w:spacing w:after="0" w:line="299"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Section 33.3. </w:t>
      </w:r>
      <w:r>
        <w:rPr>
          <w:rFonts w:ascii="Arial" w:cs="Arial" w:eastAsia="Arial" w:hAnsi="Arial"/>
          <w:sz w:val="15"/>
          <w:szCs w:val="15"/>
          <w:b w:val="1"/>
          <w:bCs w:val="1"/>
          <w:u w:val="single" w:color="auto"/>
          <w:color w:val="auto"/>
        </w:rPr>
        <w:t>Self-Help Right</w:t>
      </w:r>
      <w:r>
        <w:rPr>
          <w:rFonts w:ascii="Arial" w:cs="Arial" w:eastAsia="Arial" w:hAnsi="Arial"/>
          <w:sz w:val="15"/>
          <w:szCs w:val="15"/>
          <w:b w:val="1"/>
          <w:bCs w:val="1"/>
          <w:color w:val="auto"/>
        </w:rPr>
        <w:t xml:space="preserve">. </w:t>
      </w:r>
      <w:r>
        <w:rPr>
          <w:rFonts w:ascii="Arial" w:cs="Arial" w:eastAsia="Arial" w:hAnsi="Arial"/>
          <w:sz w:val="15"/>
          <w:szCs w:val="15"/>
          <w:color w:val="auto"/>
        </w:rPr>
        <w:t>If either (x) Landlord has not commenced (and thereafter</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diligently pursued completion thereof) any such requested Repair within the applicable time period set forth in </w:t>
      </w:r>
      <w:r>
        <w:rPr>
          <w:rFonts w:ascii="Arial" w:cs="Arial" w:eastAsia="Arial" w:hAnsi="Arial"/>
          <w:sz w:val="15"/>
          <w:szCs w:val="15"/>
          <w:b w:val="1"/>
          <w:bCs w:val="1"/>
          <w:color w:val="auto"/>
        </w:rPr>
        <w:t>Section 33.1</w:t>
      </w:r>
      <w:r>
        <w:rPr>
          <w:rFonts w:ascii="Arial" w:cs="Arial" w:eastAsia="Arial" w:hAnsi="Arial"/>
          <w:sz w:val="15"/>
          <w:szCs w:val="15"/>
          <w:color w:val="auto"/>
        </w:rPr>
        <w:t xml:space="preserve">, unless Landlord has submitted a Repair Dispute Notice as aforesaid, or (y) if Landlord timely submits a Repair Dispute Notice and it is determined upon the final completion of the Dispute Resolution Procedure that Landlord is obligated under this Lease to perform such Repairs, and thereafter Landlord has not commenced (and thereafter diligently pursued completion thereof) any such requested Repair within the applicable time period set forth in </w:t>
      </w:r>
      <w:r>
        <w:rPr>
          <w:rFonts w:ascii="Arial" w:cs="Arial" w:eastAsia="Arial" w:hAnsi="Arial"/>
          <w:sz w:val="15"/>
          <w:szCs w:val="15"/>
          <w:b w:val="1"/>
          <w:bCs w:val="1"/>
          <w:color w:val="auto"/>
        </w:rPr>
        <w:t>Section 33.2</w:t>
      </w:r>
      <w:r>
        <w:rPr>
          <w:rFonts w:ascii="Arial" w:cs="Arial" w:eastAsia="Arial" w:hAnsi="Arial"/>
          <w:sz w:val="15"/>
          <w:szCs w:val="15"/>
          <w:color w:val="auto"/>
        </w:rPr>
        <w:t>, then at any time thereafter prior to the commencement of such Repair by</w:t>
      </w: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45" w:name="page746"/>
    <w:bookmarkEnd w:id="745"/>
    <w:p>
      <w:pPr>
        <w:jc w:val="both"/>
        <w:ind w:left="1220" w:right="1239"/>
        <w:spacing w:after="0" w:line="235" w:lineRule="auto"/>
        <w:rPr>
          <w:sz w:val="20"/>
          <w:szCs w:val="20"/>
          <w:color w:val="auto"/>
        </w:rPr>
      </w:pPr>
      <w:r>
        <w:rPr>
          <w:rFonts w:ascii="Arial" w:cs="Arial" w:eastAsia="Arial" w:hAnsi="Arial"/>
          <w:sz w:val="15"/>
          <w:szCs w:val="15"/>
          <w:color w:val="auto"/>
        </w:rPr>
        <w:t>Landlord, Tenant shall have the right (the “</w:t>
      </w:r>
      <w:r>
        <w:rPr>
          <w:rFonts w:ascii="Arial" w:cs="Arial" w:eastAsia="Arial" w:hAnsi="Arial"/>
          <w:sz w:val="15"/>
          <w:szCs w:val="15"/>
          <w:b w:val="1"/>
          <w:bCs w:val="1"/>
          <w:color w:val="auto"/>
        </w:rPr>
        <w:t>Self-Help Right</w:t>
      </w:r>
      <w:r>
        <w:rPr>
          <w:rFonts w:ascii="Arial" w:cs="Arial" w:eastAsia="Arial" w:hAnsi="Arial"/>
          <w:sz w:val="15"/>
          <w:szCs w:val="15"/>
          <w:color w:val="auto"/>
        </w:rPr>
        <w:t xml:space="preserve">”) to undertake such actions as may be reasonably necessary to perform such Repairs; provided, however, (a) in no event shall any Repairs performed by Tenant adversely affect the structure of the Building or any Building Systems; (b) the insurance and indemnity provisions set forth in </w:t>
      </w:r>
      <w:r>
        <w:rPr>
          <w:rFonts w:ascii="Arial" w:cs="Arial" w:eastAsia="Arial" w:hAnsi="Arial"/>
          <w:sz w:val="15"/>
          <w:szCs w:val="15"/>
          <w:b w:val="1"/>
          <w:bCs w:val="1"/>
          <w:color w:val="auto"/>
        </w:rPr>
        <w:t>Article 11 and Article 25</w:t>
      </w:r>
      <w:r>
        <w:rPr>
          <w:rFonts w:ascii="Arial" w:cs="Arial" w:eastAsia="Arial" w:hAnsi="Arial"/>
          <w:sz w:val="15"/>
          <w:szCs w:val="15"/>
          <w:color w:val="auto"/>
        </w:rPr>
        <w:t xml:space="preserve"> shall apply to Tenant’s performance of such Repairs; (c) Tenant shall perform all such Repairs in accordance with all applicable Requirements; (d) Tenant shall retain to effect such Repairs only reputable and qualified contractors and suppliers as are duly licensed and, with respect to Repairs to the Building Systems and/or the structural elements of the Building (including the roof), only those contractors approved by Landlord in the Building for such work (without limitation, Landlord will provide Tenant with the names of the then-approved contractors for the roof and/or applicable Building System upon after request therefor); (e) Tenant shall effect such Repairs in good and workmanlike manner, consistent with the standards of the Building; (f) Tenant shall use new or like new materials; and (g) Tenant shall use diligent efforts to minimize interference with or impact on other occupants of the Building. Promptly following completion of any Repairs undertaken by Tenant pursuant to the provisions of this </w:t>
      </w:r>
      <w:r>
        <w:rPr>
          <w:rFonts w:ascii="Arial" w:cs="Arial" w:eastAsia="Arial" w:hAnsi="Arial"/>
          <w:sz w:val="15"/>
          <w:szCs w:val="15"/>
          <w:b w:val="1"/>
          <w:bCs w:val="1"/>
          <w:color w:val="auto"/>
        </w:rPr>
        <w:t>Section 33.3</w:t>
      </w:r>
      <w:r>
        <w:rPr>
          <w:rFonts w:ascii="Arial" w:cs="Arial" w:eastAsia="Arial" w:hAnsi="Arial"/>
          <w:sz w:val="15"/>
          <w:szCs w:val="15"/>
          <w:color w:val="auto"/>
        </w:rPr>
        <w:t>, Tenant shall deliver a detailed invoice of the work completed, the materials used and the costs and expenses thereof. Upon completion of such Repairs and the delivery of said invoice by Tenant, Landlord shall promptly reimburse Tenant for all reasonable actual out-of-pocket costs incurred by Tenant in connection with the performance of such Repairs, or (B) afford Tenant a credit against the next installment payment(s) of Fixed Rent payable under this Lease in amount equal to the reasonable actual out-of-pocket costs incurred by Tenant in connection with the performance of such Repairs. If Tenant submits a valid and proper invoice for the reasonable actual out-of-pocket expenses incurred in performing such Repairs, and all of the conditions thereto as set forth above have been timely, fully and completely satisfied in full, and Landlord has not delivered a written objection thereto as aforesaid, and Landlord shall fail timely to pay or provide a rent credit for the uncontested amount and such failure shall continue for thirty (30) days after Tenant provides a written notice to Landlord which expressly and specifically identifies such failure to pay the amount requested, then Tenant shall have the right to set-off such unpaid amount against the next monthly installments of Fixed Rent payable under this Lease.</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34</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DISPUTE RESOLUTION PROCEDURE</w:t>
      </w:r>
    </w:p>
    <w:p>
      <w:pPr>
        <w:spacing w:after="0" w:line="166"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color w:val="auto"/>
        </w:rPr>
        <w:t>Wherever this Lease provides for a dispute to be resolved by the procedure (the “</w:t>
      </w:r>
      <w:r>
        <w:rPr>
          <w:rFonts w:ascii="Arial" w:cs="Arial" w:eastAsia="Arial" w:hAnsi="Arial"/>
          <w:sz w:val="15"/>
          <w:szCs w:val="15"/>
          <w:b w:val="1"/>
          <w:bCs w:val="1"/>
          <w:color w:val="auto"/>
        </w:rPr>
        <w:t>Dispute Resolution Procedure</w:t>
      </w:r>
      <w:r>
        <w:rPr>
          <w:rFonts w:ascii="Arial" w:cs="Arial" w:eastAsia="Arial" w:hAnsi="Arial"/>
          <w:sz w:val="15"/>
          <w:szCs w:val="15"/>
          <w:color w:val="auto"/>
        </w:rPr>
        <w:t xml:space="preserve">”) provided for in this </w:t>
      </w:r>
      <w:r>
        <w:rPr>
          <w:rFonts w:ascii="Arial" w:cs="Arial" w:eastAsia="Arial" w:hAnsi="Arial"/>
          <w:sz w:val="15"/>
          <w:szCs w:val="15"/>
          <w:b w:val="1"/>
          <w:bCs w:val="1"/>
          <w:color w:val="auto"/>
        </w:rPr>
        <w:t>Article 34</w:t>
      </w:r>
      <w:r>
        <w:rPr>
          <w:rFonts w:ascii="Arial" w:cs="Arial" w:eastAsia="Arial" w:hAnsi="Arial"/>
          <w:sz w:val="15"/>
          <w:szCs w:val="15"/>
          <w:color w:val="auto"/>
        </w:rPr>
        <w:t xml:space="preserve">, such dispute shall, at either party’s option, be settled and finally determined by arbitration in the City of Boston, Massachusetts in accordance with the following provisions of this </w:t>
      </w:r>
      <w:r>
        <w:rPr>
          <w:rFonts w:ascii="Arial" w:cs="Arial" w:eastAsia="Arial" w:hAnsi="Arial"/>
          <w:sz w:val="15"/>
          <w:szCs w:val="15"/>
          <w:b w:val="1"/>
          <w:bCs w:val="1"/>
          <w:color w:val="auto"/>
        </w:rPr>
        <w:t>Article 34</w:t>
      </w:r>
      <w:r>
        <w:rPr>
          <w:rFonts w:ascii="Arial" w:cs="Arial" w:eastAsia="Arial" w:hAnsi="Arial"/>
          <w:sz w:val="15"/>
          <w:szCs w:val="15"/>
          <w:color w:val="auto"/>
        </w:rPr>
        <w:t>. Within ten (10) Business Days next following the giving of any notice by Landlord or Tenant stating that it wishes such dispute to be so determined, Landlord and Tenant shall each give notice to the other setting forth the name and address of an arbitrator designated by the party giving such notice. If either party shall fail to give notice of such designation within said ten (10) Business Days, then the arbitrator chosen by the other side shall make the determination alone. The two arbitrators shall designate a third arbitrator within five (5) Business Days after the designation of the second arbitrator. If the two arbitrators shall fail to agree upon the designation of a third arbitrator within such five (5) Business Day period, then either party may apply to the office of the American Arbitration Association located in the City of Boston for the designation of such third arbitrator in accordance with the Commercial Arbitration Rules of such Association. If such office is unable or refuses to act within 10 Business Days, then either party may apply to any court having jurisdiction for the designation of such third arbitrator. Each arbitrator shall (i) be an independent third party and not affiliated with either party, (ii) shall not have worked for or have been employed by either party within the immediately preceding</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0" w:right="1440" w:bottom="1440" w:gutter="0" w:footer="0" w:header="0"/>
        </w:sectPr>
      </w:pPr>
    </w:p>
    <w:bookmarkStart w:id="746" w:name="page747"/>
    <w:bookmarkEnd w:id="746"/>
    <w:p>
      <w:pPr>
        <w:ind w:left="1220" w:right="1239"/>
        <w:spacing w:after="0" w:line="243" w:lineRule="auto"/>
        <w:rPr>
          <w:sz w:val="20"/>
          <w:szCs w:val="20"/>
          <w:color w:val="auto"/>
        </w:rPr>
      </w:pPr>
      <w:r>
        <w:rPr>
          <w:rFonts w:ascii="Arial" w:cs="Arial" w:eastAsia="Arial" w:hAnsi="Arial"/>
          <w:sz w:val="15"/>
          <w:szCs w:val="15"/>
          <w:color w:val="auto"/>
        </w:rPr>
        <w:t>three (3) years, and (iii) have appropriate (and not less than ten (10) years) experience in the Boston area in a calling relating to the matter as to which arbitration is being sought. The three</w:t>
      </w:r>
    </w:p>
    <w:p>
      <w:pPr>
        <w:spacing w:after="0" w:line="1" w:lineRule="exact"/>
        <w:rPr>
          <w:sz w:val="20"/>
          <w:szCs w:val="20"/>
          <w:color w:val="auto"/>
        </w:rPr>
      </w:pPr>
    </w:p>
    <w:p>
      <w:pPr>
        <w:jc w:val="both"/>
        <w:ind w:left="1220" w:right="1239" w:firstLine="4"/>
        <w:spacing w:after="0" w:line="236" w:lineRule="auto"/>
        <w:tabs>
          <w:tab w:leader="none" w:pos="1451" w:val="left"/>
        </w:tabs>
        <w:numPr>
          <w:ilvl w:val="0"/>
          <w:numId w:val="677"/>
        </w:numPr>
        <w:rPr>
          <w:rFonts w:ascii="Arial" w:cs="Arial" w:eastAsia="Arial" w:hAnsi="Arial"/>
          <w:sz w:val="15"/>
          <w:szCs w:val="15"/>
          <w:color w:val="auto"/>
        </w:rPr>
      </w:pPr>
      <w:r>
        <w:rPr>
          <w:rFonts w:ascii="Arial" w:cs="Arial" w:eastAsia="Arial" w:hAnsi="Arial"/>
          <w:sz w:val="15"/>
          <w:szCs w:val="15"/>
          <w:color w:val="auto"/>
        </w:rPr>
        <w:t xml:space="preserve">arbitrators shall conduct such hearings as they deem appropriate, making their determination in writing and giving notice to Landlord and Tenant of their determination as soon as practicable, and if possible, within five (5) Business Days after the designation of the third arbitrator; the concurrence of or, in the event no two of the arbitrators shall render a concurrent determination, then the determination of the third arbitrator designated shall be binding upon Landlord and Tenant, subject only to the applicable provisions of the Massachusetts Uniform Arbitration Act (M.G.L. c. 251). Each party shall pay its own counsel fees and expenses, if any, in connection with any arbitration under this </w:t>
      </w:r>
      <w:r>
        <w:rPr>
          <w:rFonts w:ascii="Arial" w:cs="Arial" w:eastAsia="Arial" w:hAnsi="Arial"/>
          <w:sz w:val="15"/>
          <w:szCs w:val="15"/>
          <w:b w:val="1"/>
          <w:bCs w:val="1"/>
          <w:color w:val="auto"/>
        </w:rPr>
        <w:t>Article 34</w:t>
      </w:r>
      <w:r>
        <w:rPr>
          <w:rFonts w:ascii="Arial" w:cs="Arial" w:eastAsia="Arial" w:hAnsi="Arial"/>
          <w:sz w:val="15"/>
          <w:szCs w:val="15"/>
          <w:color w:val="auto"/>
        </w:rPr>
        <w:t xml:space="preserve"> (unless the arbitrators shall have awarded counsel fees and expenses to the prevailing party upon a finding of bad faith by the other party), including the expenses and fees of any arbitrator selected by it in accordance with the provisions of this </w:t>
      </w:r>
      <w:r>
        <w:rPr>
          <w:rFonts w:ascii="Arial" w:cs="Arial" w:eastAsia="Arial" w:hAnsi="Arial"/>
          <w:sz w:val="15"/>
          <w:szCs w:val="15"/>
          <w:b w:val="1"/>
          <w:bCs w:val="1"/>
          <w:color w:val="auto"/>
        </w:rPr>
        <w:t>Article 34</w:t>
      </w:r>
      <w:r>
        <w:rPr>
          <w:rFonts w:ascii="Arial" w:cs="Arial" w:eastAsia="Arial" w:hAnsi="Arial"/>
          <w:sz w:val="15"/>
          <w:szCs w:val="15"/>
          <w:color w:val="auto"/>
        </w:rPr>
        <w:t>, and the parties shall share all other expenses and fees of any such arbitration. The arbitrators shall be bound by the provisions of this Lease, and shall not add to, subtract from or otherwise modify such provisions</w:t>
      </w:r>
    </w:p>
    <w:p>
      <w:pPr>
        <w:spacing w:after="0" w:line="134" w:lineRule="exact"/>
        <w:rPr>
          <w:sz w:val="20"/>
          <w:szCs w:val="20"/>
          <w:color w:val="auto"/>
        </w:rPr>
      </w:pPr>
    </w:p>
    <w:p>
      <w:pPr>
        <w:jc w:val="center"/>
        <w:ind w:right="59"/>
        <w:spacing w:after="0"/>
        <w:rPr>
          <w:sz w:val="20"/>
          <w:szCs w:val="20"/>
          <w:color w:val="auto"/>
        </w:rPr>
      </w:pPr>
      <w:r>
        <w:rPr>
          <w:rFonts w:ascii="Arial" w:cs="Arial" w:eastAsia="Arial" w:hAnsi="Arial"/>
          <w:sz w:val="15"/>
          <w:szCs w:val="15"/>
          <w:b w:val="1"/>
          <w:bCs w:val="1"/>
          <w:color w:val="auto"/>
        </w:rPr>
        <w:t>ARTICLE 35</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ELECTRONIC SIGNATURES</w:t>
      </w:r>
    </w:p>
    <w:p>
      <w:pPr>
        <w:spacing w:after="0" w:line="166"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color w:val="auto"/>
        </w:rPr>
        <w:t>This Lease may be executed by electronic signature, which shall be considered as an original signature for all purposes and shall have the same force and effect as an original signature. Without limitation, in addition to electronically produced signatures, “electronic signature” shall include electronically scanned and transmitted versions (e.g., via PDF and/or DocuSign) of an original signature. This Lease may be executed in multiple counterparts (which counterparts may be executed and delivered by PDF, DocuSign, or another file sent by email) which shall together constitute a single document. Any executed counterpart of this Lease delivered by PDF, DocuSign or another file sent by email shall be equally effective as an original counterpart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(signatures on following page)</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1" w:right="1440" w:bottom="1440" w:gutter="0" w:footer="0" w:header="0"/>
        </w:sectPr>
      </w:pPr>
    </w:p>
    <w:bookmarkStart w:id="747" w:name="page748"/>
    <w:bookmarkEnd w:id="747"/>
    <w:p>
      <w:pPr>
        <w:ind w:left="1220" w:right="1339" w:firstLine="505"/>
        <w:spacing w:after="0" w:line="274" w:lineRule="auto"/>
        <w:rPr>
          <w:sz w:val="20"/>
          <w:szCs w:val="20"/>
          <w:color w:val="auto"/>
        </w:rPr>
      </w:pPr>
      <w:r>
        <w:rPr>
          <w:rFonts w:ascii="Arial" w:cs="Arial" w:eastAsia="Arial" w:hAnsi="Arial"/>
          <w:sz w:val="15"/>
          <w:szCs w:val="15"/>
          <w:color w:val="auto"/>
        </w:rPr>
        <w:t>IN WITNESS WHEREOF, Landlord and Tenant have executed this Lease as of the day and year first above written.</w:t>
      </w:r>
    </w:p>
    <w:p>
      <w:pPr>
        <w:spacing w:after="0" w:line="319"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LANDLORD:</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105 W FIRST STREET OWNER, L.L.C.,</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a Delaware limited liability company</w:t>
      </w:r>
    </w:p>
    <w:p>
      <w:pPr>
        <w:spacing w:after="0" w:line="150"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By:  /s/ Dan Belldegrun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8255</wp:posOffset>
            </wp:positionV>
            <wp:extent cx="1769110" cy="698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769110" cy="698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5"/>
          <w:szCs w:val="15"/>
          <w:color w:val="auto"/>
        </w:rPr>
        <w:t>Name: Dan Belldegrun</w:t>
      </w:r>
    </w:p>
    <w:p>
      <w:pPr>
        <w:ind w:left="4840"/>
        <w:spacing w:after="0"/>
        <w:rPr>
          <w:sz w:val="20"/>
          <w:szCs w:val="20"/>
          <w:color w:val="auto"/>
        </w:rPr>
      </w:pPr>
      <w:r>
        <w:rPr>
          <w:rFonts w:ascii="Arial" w:cs="Arial" w:eastAsia="Arial" w:hAnsi="Arial"/>
          <w:sz w:val="15"/>
          <w:szCs w:val="15"/>
          <w:color w:val="auto"/>
        </w:rPr>
        <w:t>Its: CEO</w:t>
      </w:r>
    </w:p>
    <w:p>
      <w:pPr>
        <w:spacing w:after="0" w:line="316"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TENANT:</w:t>
      </w:r>
    </w:p>
    <w:p>
      <w:pPr>
        <w:spacing w:after="0" w:line="164" w:lineRule="exact"/>
        <w:rPr>
          <w:sz w:val="20"/>
          <w:szCs w:val="20"/>
          <w:color w:val="auto"/>
        </w:rPr>
      </w:pPr>
    </w:p>
    <w:p>
      <w:pPr>
        <w:ind w:left="4500"/>
        <w:spacing w:after="0"/>
        <w:rPr>
          <w:sz w:val="20"/>
          <w:szCs w:val="20"/>
          <w:color w:val="auto"/>
        </w:rPr>
      </w:pPr>
      <w:r>
        <w:rPr>
          <w:rFonts w:ascii="Arial" w:cs="Arial" w:eastAsia="Arial" w:hAnsi="Arial"/>
          <w:sz w:val="15"/>
          <w:szCs w:val="15"/>
          <w:b w:val="1"/>
          <w:bCs w:val="1"/>
          <w:color w:val="auto"/>
        </w:rPr>
        <w:t>CRISPR THERAPEUTICS, INC.,</w:t>
      </w:r>
    </w:p>
    <w:p>
      <w:pPr>
        <w:spacing w:after="0" w:line="12"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a Delaware corporation</w:t>
      </w:r>
    </w:p>
    <w:p>
      <w:pPr>
        <w:spacing w:after="0" w:line="150" w:lineRule="exact"/>
        <w:rPr>
          <w:sz w:val="20"/>
          <w:szCs w:val="20"/>
          <w:color w:val="auto"/>
        </w:rPr>
      </w:pPr>
    </w:p>
    <w:p>
      <w:pPr>
        <w:ind w:left="4500"/>
        <w:spacing w:after="0"/>
        <w:rPr>
          <w:sz w:val="20"/>
          <w:szCs w:val="20"/>
          <w:color w:val="auto"/>
        </w:rPr>
      </w:pPr>
      <w:r>
        <w:rPr>
          <w:rFonts w:ascii="Arial" w:cs="Arial" w:eastAsia="Arial" w:hAnsi="Arial"/>
          <w:sz w:val="15"/>
          <w:szCs w:val="15"/>
          <w:color w:val="auto"/>
        </w:rPr>
        <w:t>By:  /s/ Samarth Kulkarni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3077210</wp:posOffset>
            </wp:positionH>
            <wp:positionV relativeFrom="paragraph">
              <wp:posOffset>8255</wp:posOffset>
            </wp:positionV>
            <wp:extent cx="1769110" cy="698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769110" cy="6985"/>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5"/>
          <w:szCs w:val="15"/>
          <w:color w:val="auto"/>
        </w:rPr>
        <w:t>Name: Samarth Kulkarni</w:t>
      </w:r>
    </w:p>
    <w:p>
      <w:pPr>
        <w:ind w:left="4840"/>
        <w:spacing w:after="0"/>
        <w:rPr>
          <w:sz w:val="20"/>
          <w:szCs w:val="20"/>
          <w:color w:val="auto"/>
        </w:rPr>
      </w:pPr>
      <w:r>
        <w:rPr>
          <w:rFonts w:ascii="Arial" w:cs="Arial" w:eastAsia="Arial" w:hAnsi="Arial"/>
          <w:sz w:val="15"/>
          <w:szCs w:val="15"/>
          <w:color w:val="auto"/>
        </w:rPr>
        <w:t>Its: CEO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CRISPR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2" w:right="1440" w:bottom="1440" w:gutter="0" w:footer="0" w:header="0"/>
        </w:sectPr>
      </w:pPr>
    </w:p>
    <w:bookmarkStart w:id="748" w:name="page749"/>
    <w:bookmarkEnd w:id="748"/>
    <w:p>
      <w:pPr>
        <w:jc w:val="center"/>
        <w:ind w:right="19"/>
        <w:spacing w:after="0"/>
        <w:rPr>
          <w:sz w:val="20"/>
          <w:szCs w:val="20"/>
          <w:color w:val="auto"/>
        </w:rPr>
      </w:pPr>
      <w:r>
        <w:rPr>
          <w:rFonts w:ascii="Arial" w:cs="Arial" w:eastAsia="Arial" w:hAnsi="Arial"/>
          <w:sz w:val="15"/>
          <w:szCs w:val="15"/>
          <w:b w:val="1"/>
          <w:bCs w:val="1"/>
          <w:color w:val="auto"/>
        </w:rPr>
        <w:t>EXHIBIT A</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FLOOR PLANS OF THE PREMISES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19" w:right="1440" w:bottom="1440" w:gutter="0" w:footer="0" w:header="0"/>
        </w:sectPr>
      </w:pPr>
    </w:p>
    <w:bookmarkStart w:id="749" w:name="page750"/>
    <w:bookmarkEnd w:id="749"/>
    <w:p>
      <w:pPr>
        <w:jc w:val="center"/>
        <w:ind w:right="19"/>
        <w:spacing w:after="0"/>
        <w:rPr>
          <w:sz w:val="20"/>
          <w:szCs w:val="20"/>
          <w:color w:val="auto"/>
        </w:rPr>
      </w:pPr>
      <w:r>
        <w:rPr>
          <w:rFonts w:ascii="Arial" w:cs="Arial" w:eastAsia="Arial" w:hAnsi="Arial"/>
          <w:sz w:val="15"/>
          <w:szCs w:val="15"/>
          <w:b w:val="1"/>
          <w:bCs w:val="1"/>
          <w:color w:val="auto"/>
        </w:rPr>
        <w:t>EXHIBIT B</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DEFINITIONS</w:t>
      </w:r>
    </w:p>
    <w:p>
      <w:pPr>
        <w:spacing w:after="0" w:line="16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ADA: </w:t>
      </w:r>
      <w:r>
        <w:rPr>
          <w:rFonts w:ascii="Arial" w:cs="Arial" w:eastAsia="Arial" w:hAnsi="Arial"/>
          <w:sz w:val="15"/>
          <w:szCs w:val="15"/>
          <w:color w:val="auto"/>
        </w:rPr>
        <w:t>Collectively, the Americans with Disabilities Act (42 U.S.C. § 12101</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et seq</w:t>
      </w:r>
      <w:r>
        <w:rPr>
          <w:rFonts w:ascii="Arial" w:cs="Arial" w:eastAsia="Arial" w:hAnsi="Arial"/>
          <w:sz w:val="15"/>
          <w:szCs w:val="15"/>
          <w:color w:val="auto"/>
        </w:rPr>
        <w:t>.) and</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the regulations and guidelines promulgated thereunder, as the same may be amended, modified, and supplemented from time-to-time; and, the rules and regulations of the Massachusetts Architectural Access Board (M.G.L. c. 22, § 13A, </w:t>
      </w:r>
      <w:r>
        <w:rPr>
          <w:rFonts w:ascii="Arial" w:cs="Arial" w:eastAsia="Arial" w:hAnsi="Arial"/>
          <w:sz w:val="15"/>
          <w:szCs w:val="15"/>
          <w:u w:val="single" w:color="auto"/>
          <w:color w:val="auto"/>
        </w:rPr>
        <w:t>et seq.</w:t>
      </w:r>
      <w:r>
        <w:rPr>
          <w:rFonts w:ascii="Arial" w:cs="Arial" w:eastAsia="Arial" w:hAnsi="Arial"/>
          <w:sz w:val="15"/>
          <w:szCs w:val="15"/>
          <w:color w:val="auto"/>
        </w:rPr>
        <w:t xml:space="preserve">; 521 C.M.R. 1.00 </w:t>
      </w:r>
      <w:r>
        <w:rPr>
          <w:rFonts w:ascii="Arial" w:cs="Arial" w:eastAsia="Arial" w:hAnsi="Arial"/>
          <w:sz w:val="15"/>
          <w:szCs w:val="15"/>
          <w:u w:val="single" w:color="auto"/>
          <w:color w:val="auto"/>
        </w:rPr>
        <w:t>et</w:t>
      </w:r>
      <w:r>
        <w:rPr>
          <w:rFonts w:ascii="Arial" w:cs="Arial" w:eastAsia="Arial" w:hAnsi="Arial"/>
          <w:sz w:val="15"/>
          <w:szCs w:val="15"/>
          <w:color w:val="auto"/>
        </w:rPr>
        <w:t xml:space="preserve"> </w:t>
      </w:r>
      <w:r>
        <w:rPr>
          <w:rFonts w:ascii="Arial" w:cs="Arial" w:eastAsia="Arial" w:hAnsi="Arial"/>
          <w:sz w:val="15"/>
          <w:szCs w:val="15"/>
          <w:u w:val="single" w:color="auto"/>
          <w:color w:val="auto"/>
        </w:rPr>
        <w:t>seq.</w:t>
      </w:r>
      <w:r>
        <w:rPr>
          <w:rFonts w:ascii="Arial" w:cs="Arial" w:eastAsia="Arial" w:hAnsi="Arial"/>
          <w:sz w:val="15"/>
          <w:szCs w:val="15"/>
          <w:color w:val="auto"/>
        </w:rPr>
        <w:t>), as the same may be amended, modified, and supplemented from time-to-time; and, any law, code or regulation promulgated by a Governmental Authority of similar import.</w:t>
      </w:r>
    </w:p>
    <w:p>
      <w:pPr>
        <w:spacing w:after="0" w:line="134" w:lineRule="exact"/>
        <w:rPr>
          <w:sz w:val="20"/>
          <w:szCs w:val="20"/>
          <w:color w:val="auto"/>
        </w:rPr>
      </w:pPr>
    </w:p>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Affiliate: </w:t>
      </w:r>
      <w:r>
        <w:rPr>
          <w:rFonts w:ascii="Arial" w:cs="Arial" w:eastAsia="Arial" w:hAnsi="Arial"/>
          <w:sz w:val="15"/>
          <w:szCs w:val="15"/>
          <w:color w:val="auto"/>
        </w:rPr>
        <w:t>With respect to any person or entity, any other person or entity that, directly or</w:t>
      </w:r>
      <w:r>
        <w:rPr>
          <w:rFonts w:ascii="Arial" w:cs="Arial" w:eastAsia="Arial" w:hAnsi="Arial"/>
          <w:sz w:val="15"/>
          <w:szCs w:val="15"/>
          <w:b w:val="1"/>
          <w:bCs w:val="1"/>
          <w:color w:val="auto"/>
        </w:rPr>
        <w:t xml:space="preserve"> </w:t>
      </w:r>
      <w:r>
        <w:rPr>
          <w:rFonts w:ascii="Arial" w:cs="Arial" w:eastAsia="Arial" w:hAnsi="Arial"/>
          <w:sz w:val="15"/>
          <w:szCs w:val="15"/>
          <w:color w:val="auto"/>
        </w:rPr>
        <w:t>indirectly (through one of more intermediaries), Controls, is Controlled by, or is under common Control with, such first person or entity.</w:t>
      </w:r>
    </w:p>
    <w:p>
      <w:pPr>
        <w:spacing w:after="0" w:line="123" w:lineRule="exact"/>
        <w:rPr>
          <w:sz w:val="20"/>
          <w:szCs w:val="20"/>
          <w:color w:val="auto"/>
        </w:rPr>
      </w:pPr>
    </w:p>
    <w:p>
      <w:pPr>
        <w:jc w:val="both"/>
        <w:ind w:left="1220" w:right="1239" w:firstLine="505"/>
        <w:spacing w:after="0" w:line="252" w:lineRule="auto"/>
        <w:rPr>
          <w:sz w:val="20"/>
          <w:szCs w:val="20"/>
          <w:color w:val="auto"/>
        </w:rPr>
      </w:pPr>
      <w:r>
        <w:rPr>
          <w:rFonts w:ascii="Arial" w:cs="Arial" w:eastAsia="Arial" w:hAnsi="Arial"/>
          <w:sz w:val="15"/>
          <w:szCs w:val="15"/>
          <w:b w:val="1"/>
          <w:bCs w:val="1"/>
          <w:color w:val="auto"/>
        </w:rPr>
        <w:t xml:space="preserve">Base Rate: </w:t>
      </w:r>
      <w:r>
        <w:rPr>
          <w:rFonts w:ascii="Arial" w:cs="Arial" w:eastAsia="Arial" w:hAnsi="Arial"/>
          <w:sz w:val="15"/>
          <w:szCs w:val="15"/>
          <w:color w:val="auto"/>
        </w:rPr>
        <w:t>The annual rate of interest publicly announced from time to time by Bank of</w:t>
      </w:r>
      <w:r>
        <w:rPr>
          <w:rFonts w:ascii="Arial" w:cs="Arial" w:eastAsia="Arial" w:hAnsi="Arial"/>
          <w:sz w:val="15"/>
          <w:szCs w:val="15"/>
          <w:b w:val="1"/>
          <w:bCs w:val="1"/>
          <w:color w:val="auto"/>
        </w:rPr>
        <w:t xml:space="preserve"> </w:t>
      </w:r>
      <w:r>
        <w:rPr>
          <w:rFonts w:ascii="Arial" w:cs="Arial" w:eastAsia="Arial" w:hAnsi="Arial"/>
          <w:sz w:val="15"/>
          <w:szCs w:val="15"/>
          <w:color w:val="auto"/>
        </w:rPr>
        <w:t>America, N.A., or its successor, in New York, New York as its “</w:t>
      </w:r>
      <w:r>
        <w:rPr>
          <w:rFonts w:ascii="Arial" w:cs="Arial" w:eastAsia="Arial" w:hAnsi="Arial"/>
          <w:sz w:val="15"/>
          <w:szCs w:val="15"/>
          <w:b w:val="1"/>
          <w:bCs w:val="1"/>
          <w:color w:val="auto"/>
        </w:rPr>
        <w:t>base rate</w:t>
      </w:r>
      <w:r>
        <w:rPr>
          <w:rFonts w:ascii="Arial" w:cs="Arial" w:eastAsia="Arial" w:hAnsi="Arial"/>
          <w:sz w:val="15"/>
          <w:szCs w:val="15"/>
          <w:color w:val="auto"/>
        </w:rPr>
        <w:t>” (or such other term as may be used by Bank of America, N.A., from time to time, for the rate presently referred to as its “</w:t>
      </w:r>
      <w:r>
        <w:rPr>
          <w:rFonts w:ascii="Arial" w:cs="Arial" w:eastAsia="Arial" w:hAnsi="Arial"/>
          <w:sz w:val="15"/>
          <w:szCs w:val="15"/>
          <w:b w:val="1"/>
          <w:bCs w:val="1"/>
          <w:color w:val="auto"/>
        </w:rPr>
        <w:t>base rate</w:t>
      </w:r>
      <w:r>
        <w:rPr>
          <w:rFonts w:ascii="Arial" w:cs="Arial" w:eastAsia="Arial" w:hAnsi="Arial"/>
          <w:sz w:val="15"/>
          <w:szCs w:val="15"/>
          <w:color w:val="auto"/>
        </w:rPr>
        <w:t>”).</w:t>
      </w:r>
    </w:p>
    <w:p>
      <w:pPr>
        <w:spacing w:after="0" w:line="117"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Building Systems: </w:t>
      </w:r>
      <w:r>
        <w:rPr>
          <w:rFonts w:ascii="Arial" w:cs="Arial" w:eastAsia="Arial" w:hAnsi="Arial"/>
          <w:sz w:val="15"/>
          <w:szCs w:val="15"/>
          <w:color w:val="auto"/>
        </w:rPr>
        <w:t>The PH neutralization system installed by Landlord in the Building,</w:t>
      </w:r>
      <w:r>
        <w:rPr>
          <w:rFonts w:ascii="Arial" w:cs="Arial" w:eastAsia="Arial" w:hAnsi="Arial"/>
          <w:sz w:val="15"/>
          <w:szCs w:val="15"/>
          <w:b w:val="1"/>
          <w:bCs w:val="1"/>
          <w:color w:val="auto"/>
        </w:rPr>
        <w:t xml:space="preserve"> </w:t>
      </w:r>
      <w:r>
        <w:rPr>
          <w:rFonts w:ascii="Arial" w:cs="Arial" w:eastAsia="Arial" w:hAnsi="Arial"/>
          <w:sz w:val="15"/>
          <w:szCs w:val="15"/>
          <w:color w:val="auto"/>
        </w:rPr>
        <w:t>the Generator, the mechanical, electrical, plumbing, sanitary, sprinkler, heating, ventilation and air conditioning, security, life-safety, elevator and other service systems or facilities of the Building up to the point of connection of localized distribution to the Premises (excluding, however, supplemental HVAC systems of tenants, sprinklers and the horizontal distribution systems within and servicing the Premises and by which mechanical, electrical, plumbing, sanitary, heating, ventilating and air conditioning, security, life-safety and other service systems are distributed from the base Building risers, feeders, panelboards, etc. for provision of such services to the Premises).</w:t>
      </w:r>
    </w:p>
    <w:p>
      <w:pPr>
        <w:spacing w:after="0" w:line="302"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Business Days: </w:t>
      </w:r>
      <w:r>
        <w:rPr>
          <w:rFonts w:ascii="Arial" w:cs="Arial" w:eastAsia="Arial" w:hAnsi="Arial"/>
          <w:sz w:val="15"/>
          <w:szCs w:val="15"/>
          <w:color w:val="auto"/>
        </w:rPr>
        <w:t>All days, excluding Saturdays, Sundays and Observed Holidays.</w:t>
      </w:r>
    </w:p>
    <w:p>
      <w:pPr>
        <w:spacing w:after="0" w:line="164"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Code: </w:t>
      </w:r>
      <w:r>
        <w:rPr>
          <w:rFonts w:ascii="Arial" w:cs="Arial" w:eastAsia="Arial" w:hAnsi="Arial"/>
          <w:sz w:val="15"/>
          <w:szCs w:val="15"/>
          <w:color w:val="auto"/>
        </w:rPr>
        <w:t>The Internal Revenue Code of 1986, as amended, and the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promulgated thereunder, as amended.</w:t>
      </w:r>
    </w:p>
    <w:p>
      <w:pPr>
        <w:spacing w:after="0" w:line="106"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Common Areas: </w:t>
      </w:r>
      <w:r>
        <w:rPr>
          <w:rFonts w:ascii="Arial" w:cs="Arial" w:eastAsia="Arial" w:hAnsi="Arial"/>
          <w:sz w:val="15"/>
          <w:szCs w:val="15"/>
          <w:color w:val="auto"/>
        </w:rPr>
        <w:t>The lobby areas of the Building, the Lobby Café, the Convenor Space,</w:t>
      </w:r>
      <w:r>
        <w:rPr>
          <w:rFonts w:ascii="Arial" w:cs="Arial" w:eastAsia="Arial" w:hAnsi="Arial"/>
          <w:sz w:val="15"/>
          <w:szCs w:val="15"/>
          <w:b w:val="1"/>
          <w:bCs w:val="1"/>
          <w:color w:val="auto"/>
        </w:rPr>
        <w:t xml:space="preserve"> </w:t>
      </w:r>
      <w:r>
        <w:rPr>
          <w:rFonts w:ascii="Arial" w:cs="Arial" w:eastAsia="Arial" w:hAnsi="Arial"/>
          <w:sz w:val="15"/>
          <w:szCs w:val="15"/>
          <w:color w:val="auto"/>
        </w:rPr>
        <w:t>plaza and sidewalk areas located on the Real Property, and other similar areas of general access, the Garage, elevator lobbies, restrooms, and other similar facilities located on the Real Property and serving the Building.</w:t>
      </w:r>
    </w:p>
    <w:p>
      <w:pPr>
        <w:spacing w:after="0" w:line="12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Common Facilities: </w:t>
      </w:r>
      <w:r>
        <w:rPr>
          <w:rFonts w:ascii="Arial" w:cs="Arial" w:eastAsia="Arial" w:hAnsi="Arial"/>
          <w:sz w:val="15"/>
          <w:szCs w:val="15"/>
          <w:color w:val="auto"/>
        </w:rPr>
        <w:t>All common areas and facilities serving the Building, including all</w:t>
      </w:r>
      <w:r>
        <w:rPr>
          <w:rFonts w:ascii="Arial" w:cs="Arial" w:eastAsia="Arial" w:hAnsi="Arial"/>
          <w:sz w:val="15"/>
          <w:szCs w:val="15"/>
          <w:b w:val="1"/>
          <w:bCs w:val="1"/>
          <w:color w:val="auto"/>
        </w:rPr>
        <w:t xml:space="preserve"> </w:t>
      </w:r>
      <w:r>
        <w:rPr>
          <w:rFonts w:ascii="Arial" w:cs="Arial" w:eastAsia="Arial" w:hAnsi="Arial"/>
          <w:sz w:val="15"/>
          <w:szCs w:val="15"/>
          <w:color w:val="auto"/>
        </w:rPr>
        <w:t>air-conditioning and mechanical areas, the central plant and systems (including ventilating fans and fan rooms) furnishing heating, ventilating and air conditioning to the Building, all areas containing equipment or enclosing pipes, ducts or shafts, utility distribution systems and electrical transformers, closets, equipment rooms and switchgear, emergency generators and oil tanks therefor, the common corridors, lobbies and stairways, loading docks, the PH neutralization system, the air intake and exhaust systems, the Garage, the interior publicly accessible space included as part of the Building (such as the lobby areas), management offices for the Building, turn-around areas, mechanical and electrical areas and facilities, the area of the covered space located along the perimeter of the Building, and the other public sidewalks, stairways and plazas.</w:t>
      </w: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50" w:name="page751"/>
    <w:bookmarkEnd w:id="750"/>
    <w:p>
      <w:pPr>
        <w:spacing w:after="0" w:line="28" w:lineRule="exact"/>
        <w:rPr>
          <w:sz w:val="20"/>
          <w:szCs w:val="20"/>
          <w:color w:val="auto"/>
        </w:rPr>
      </w:pPr>
    </w:p>
    <w:p>
      <w:pPr>
        <w:ind w:left="1220" w:right="1459" w:firstLine="505"/>
        <w:spacing w:after="0" w:line="277" w:lineRule="auto"/>
        <w:rPr>
          <w:sz w:val="20"/>
          <w:szCs w:val="20"/>
          <w:color w:val="auto"/>
        </w:rPr>
      </w:pPr>
      <w:r>
        <w:rPr>
          <w:rFonts w:ascii="Arial" w:cs="Arial" w:eastAsia="Arial" w:hAnsi="Arial"/>
          <w:sz w:val="15"/>
          <w:szCs w:val="15"/>
          <w:b w:val="1"/>
          <w:bCs w:val="1"/>
          <w:color w:val="auto"/>
        </w:rPr>
        <w:t xml:space="preserve">Comparable Buildings: </w:t>
      </w:r>
      <w:r>
        <w:rPr>
          <w:rFonts w:ascii="Arial" w:cs="Arial" w:eastAsia="Arial" w:hAnsi="Arial"/>
          <w:sz w:val="15"/>
          <w:szCs w:val="15"/>
          <w:color w:val="auto"/>
        </w:rPr>
        <w:t>First-class laboratory, research and development, and office</w:t>
      </w:r>
      <w:r>
        <w:rPr>
          <w:rFonts w:ascii="Arial" w:cs="Arial" w:eastAsia="Arial" w:hAnsi="Arial"/>
          <w:sz w:val="15"/>
          <w:szCs w:val="15"/>
          <w:b w:val="1"/>
          <w:bCs w:val="1"/>
          <w:color w:val="auto"/>
        </w:rPr>
        <w:t xml:space="preserve"> </w:t>
      </w:r>
      <w:r>
        <w:rPr>
          <w:rFonts w:ascii="Arial" w:cs="Arial" w:eastAsia="Arial" w:hAnsi="Arial"/>
          <w:sz w:val="15"/>
          <w:szCs w:val="15"/>
          <w:color w:val="auto"/>
        </w:rPr>
        <w:t>buildings of comparable age and quality in the Boston, Massachusetts area.</w:t>
      </w:r>
    </w:p>
    <w:p>
      <w:pPr>
        <w:spacing w:after="0" w:line="106"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Control, Controlled By, or Under Common Control With: </w:t>
      </w:r>
      <w:r>
        <w:rPr>
          <w:rFonts w:ascii="Arial" w:cs="Arial" w:eastAsia="Arial" w:hAnsi="Arial"/>
          <w:sz w:val="15"/>
          <w:szCs w:val="15"/>
          <w:color w:val="auto"/>
        </w:rPr>
        <w:t>(i)(a) The ownership,</w:t>
      </w:r>
      <w:r>
        <w:rPr>
          <w:rFonts w:ascii="Arial" w:cs="Arial" w:eastAsia="Arial" w:hAnsi="Arial"/>
          <w:sz w:val="15"/>
          <w:szCs w:val="15"/>
          <w:b w:val="1"/>
          <w:bCs w:val="1"/>
          <w:color w:val="auto"/>
        </w:rPr>
        <w:t xml:space="preserve"> </w:t>
      </w:r>
      <w:r>
        <w:rPr>
          <w:rFonts w:ascii="Arial" w:cs="Arial" w:eastAsia="Arial" w:hAnsi="Arial"/>
          <w:sz w:val="15"/>
          <w:szCs w:val="15"/>
          <w:color w:val="auto"/>
        </w:rPr>
        <w:t>directly or indirectly, of more than 50% of the voting stock of a corporation, or (b) in the case of any person or entity which is not a corporation, the ownership, directly or indirectly, of more than 50% of the beneficial ownership interest in such person or entity, or (ii) in the case of any such person or entity, the possession, directly or indirectly, of the power to direct or cause the direction of the management and policies of such corporation, person or entity.</w:t>
      </w:r>
    </w:p>
    <w:p>
      <w:pPr>
        <w:spacing w:after="0" w:line="134"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COVID-19 Delays: </w:t>
      </w:r>
      <w:r>
        <w:rPr>
          <w:rFonts w:ascii="Arial" w:cs="Arial" w:eastAsia="Arial" w:hAnsi="Arial"/>
          <w:sz w:val="15"/>
          <w:szCs w:val="15"/>
          <w:color w:val="auto"/>
        </w:rPr>
        <w:t>Delays arising out of or resulting from the COVID-19 pandemic,</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without limitation, federal, state and locally-declared states of emergency and government mandated closures of, and limitations and restrictions on, businesses and/or construction activities, quarantines, travel bans, and supply chain interruptions. COVID-19 Delays shall not be considered to be Unavoidable Delays.</w:t>
      </w:r>
    </w:p>
    <w:p>
      <w:pPr>
        <w:spacing w:after="0" w:line="132"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Decorative Alterations</w:t>
      </w:r>
      <w:r>
        <w:rPr>
          <w:rFonts w:ascii="Arial" w:cs="Arial" w:eastAsia="Arial" w:hAnsi="Arial"/>
          <w:sz w:val="15"/>
          <w:szCs w:val="15"/>
          <w:color w:val="auto"/>
        </w:rPr>
        <w:t>: Decorative alterations such as painting, wall coverings and</w:t>
      </w:r>
      <w:r>
        <w:rPr>
          <w:rFonts w:ascii="Arial" w:cs="Arial" w:eastAsia="Arial" w:hAnsi="Arial"/>
          <w:sz w:val="15"/>
          <w:szCs w:val="15"/>
          <w:b w:val="1"/>
          <w:bCs w:val="1"/>
          <w:color w:val="auto"/>
        </w:rPr>
        <w:t xml:space="preserve"> </w:t>
      </w:r>
      <w:r>
        <w:rPr>
          <w:rFonts w:ascii="Arial" w:cs="Arial" w:eastAsia="Arial" w:hAnsi="Arial"/>
          <w:sz w:val="15"/>
          <w:szCs w:val="15"/>
          <w:color w:val="auto"/>
        </w:rPr>
        <w:t>floor coverings which (i) are non-structural and do not affect any Building Systems, (ii) affect only the Premises and are not visible from outside of the Premises or the Building, (iii) do not require a conditional use permit, variance, waiver or other relief from any applicable Requirement, (iv) do not affect the fixed laboratory benches or fume hoods in the Premises, and (v) comply in all respects with all applicable Requirements.</w:t>
      </w:r>
    </w:p>
    <w:p>
      <w:pPr>
        <w:spacing w:after="0" w:line="134"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Deficiency: </w:t>
      </w:r>
      <w:r>
        <w:rPr>
          <w:rFonts w:ascii="Arial" w:cs="Arial" w:eastAsia="Arial" w:hAnsi="Arial"/>
          <w:sz w:val="15"/>
          <w:szCs w:val="15"/>
          <w:color w:val="auto"/>
        </w:rPr>
        <w:t>The difference between (a) the Fixed Rent and Additional Rent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period which otherwise would have constituted the unexpired portion of the Term (assuming the Additional Rent for each year thereof to be the same as was payable for the year immediately preceding such termination or re-entry), and (b) the net amount, if any, of rents collected under any reletting effected pursuant to the provisions of this Lease for any part of such period (after first deducting from such rents all expenses incurred by Landlord in connection with the termination of this Lease, Landlord’s re-entry upon the Premises and such reletting, including repossession costs, brokerage commissions, attorneys’ fees and disbursements, and alteration costs).</w:t>
      </w:r>
    </w:p>
    <w:p>
      <w:pPr>
        <w:spacing w:after="0" w:line="302" w:lineRule="exact"/>
        <w:rPr>
          <w:sz w:val="20"/>
          <w:szCs w:val="20"/>
          <w:color w:val="auto"/>
        </w:rPr>
      </w:pPr>
    </w:p>
    <w:p>
      <w:pPr>
        <w:jc w:val="both"/>
        <w:ind w:left="1220" w:right="1239" w:firstLine="505"/>
        <w:spacing w:after="0" w:line="237" w:lineRule="auto"/>
        <w:rPr>
          <w:sz w:val="20"/>
          <w:szCs w:val="20"/>
          <w:color w:val="auto"/>
        </w:rPr>
      </w:pPr>
      <w:r>
        <w:rPr>
          <w:rFonts w:ascii="Arial" w:cs="Arial" w:eastAsia="Arial" w:hAnsi="Arial"/>
          <w:sz w:val="15"/>
          <w:szCs w:val="15"/>
          <w:b w:val="1"/>
          <w:bCs w:val="1"/>
          <w:color w:val="auto"/>
        </w:rPr>
        <w:t xml:space="preserve">Environmental Laws: </w:t>
      </w:r>
      <w:r>
        <w:rPr>
          <w:rFonts w:ascii="Arial" w:cs="Arial" w:eastAsia="Arial" w:hAnsi="Arial"/>
          <w:sz w:val="15"/>
          <w:szCs w:val="15"/>
          <w:color w:val="auto"/>
        </w:rPr>
        <w:t>All laws, statutes, ordinances, rules and regulations of any local,</w:t>
      </w:r>
      <w:r>
        <w:rPr>
          <w:rFonts w:ascii="Arial" w:cs="Arial" w:eastAsia="Arial" w:hAnsi="Arial"/>
          <w:sz w:val="15"/>
          <w:szCs w:val="15"/>
          <w:b w:val="1"/>
          <w:bCs w:val="1"/>
          <w:color w:val="auto"/>
        </w:rPr>
        <w:t xml:space="preserve"> </w:t>
      </w:r>
      <w:r>
        <w:rPr>
          <w:rFonts w:ascii="Arial" w:cs="Arial" w:eastAsia="Arial" w:hAnsi="Arial"/>
          <w:sz w:val="15"/>
          <w:szCs w:val="15"/>
          <w:color w:val="auto"/>
        </w:rPr>
        <w:t>state or federal governmental authority having jurisdiction concerning environmental, health and safety matters, including the following: the Comprehensive Environmental Response, Compensation and Liability Act of 1980, as amended, 42 U.S.C. §9601, et seq.; the Hazardous Materials Transportation Act, as amended, 49 U.S.C. §1801, et seq.; the Federal Water Pollution Control Act, as amended, 33 U.S.C. §1251, et seq.; the Federal Resource Conservation and Recovery Act, as amended, 42 U.S.C. §6901, et seq.; the Safe Drinking Water Act, as amended, 42 U.S.C. §300, et seq.; the Toxic Substances Control Act, as amended, 15 U.S.C. §2601, et seq.; the Federal Hazardous Substances Control Act, as amended, 15 U.S.C. §1261, et seq.; the Occupational Safety and Health Act, as amended, 29 U.S.C. §651, et seq.; Massachusetts General Laws, Chapters 21C, 21D and 21E; all rules, codes and requirements of the Massachusetts Department of Environmental Protection; and the rules and regulations promulgated under any of the foregoing, as such laws, rules and regulations may be amended from time to time.</w:t>
      </w:r>
    </w:p>
    <w:p>
      <w:pPr>
        <w:spacing w:after="0" w:line="13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Excluded Expenses: </w:t>
      </w:r>
      <w:r>
        <w:rPr>
          <w:rFonts w:ascii="Arial" w:cs="Arial" w:eastAsia="Arial" w:hAnsi="Arial"/>
          <w:sz w:val="15"/>
          <w:szCs w:val="15"/>
          <w:color w:val="auto"/>
        </w:rPr>
        <w:t>(a) Taxes; (b) franchise or income taxes imposed upon Landlord;</w:t>
      </w:r>
    </w:p>
    <w:p>
      <w:pPr>
        <w:spacing w:after="0" w:line="12" w:lineRule="exact"/>
        <w:rPr>
          <w:sz w:val="20"/>
          <w:szCs w:val="20"/>
          <w:color w:val="auto"/>
        </w:rPr>
      </w:pPr>
    </w:p>
    <w:p>
      <w:pPr>
        <w:ind w:left="1220" w:right="1239" w:firstLine="4"/>
        <w:spacing w:after="0" w:line="247" w:lineRule="auto"/>
        <w:tabs>
          <w:tab w:leader="none" w:pos="1462" w:val="left"/>
        </w:tabs>
        <w:numPr>
          <w:ilvl w:val="0"/>
          <w:numId w:val="678"/>
        </w:numPr>
        <w:rPr>
          <w:rFonts w:ascii="Arial" w:cs="Arial" w:eastAsia="Arial" w:hAnsi="Arial"/>
          <w:sz w:val="15"/>
          <w:szCs w:val="15"/>
          <w:color w:val="auto"/>
        </w:rPr>
      </w:pPr>
      <w:r>
        <w:rPr>
          <w:rFonts w:ascii="Arial" w:cs="Arial" w:eastAsia="Arial" w:hAnsi="Arial"/>
          <w:sz w:val="15"/>
          <w:szCs w:val="15"/>
          <w:color w:val="auto"/>
        </w:rPr>
        <w:t>principal, interest, or any other financing or refinancing costs on any mortgages, deeds of trust,</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1" w:name="page752"/>
    <w:bookmarkEnd w:id="751"/>
    <w:p>
      <w:pPr>
        <w:spacing w:after="0" w:line="29" w:lineRule="exact"/>
        <w:rPr>
          <w:sz w:val="20"/>
          <w:szCs w:val="20"/>
          <w:color w:val="auto"/>
        </w:rPr>
      </w:pPr>
    </w:p>
    <w:p>
      <w:pPr>
        <w:jc w:val="both"/>
        <w:ind w:left="1220" w:right="1239"/>
        <w:spacing w:after="0" w:line="234" w:lineRule="auto"/>
        <w:rPr>
          <w:sz w:val="20"/>
          <w:szCs w:val="20"/>
          <w:color w:val="auto"/>
        </w:rPr>
      </w:pPr>
      <w:r>
        <w:rPr>
          <w:rFonts w:ascii="Arial" w:cs="Arial" w:eastAsia="Arial" w:hAnsi="Arial"/>
          <w:sz w:val="15"/>
          <w:szCs w:val="15"/>
          <w:color w:val="auto"/>
        </w:rPr>
        <w:t>or any penalties or late charges relating thereto; (d) leasing commissions; (e) the cost of tenant installations and decorations incurred in connection with preparing space for any Building tenant, including workletters and concessions; (f) rent under Superior Leases, excepting items included in Operating Expenses, Taxes and/or Insurance Expenses; (g) management fees to the extent in excess of 3% of the gross rentals and other revenues collected for the Real Property (excluding management fees and utilities paid by Tenant); (h) wages, salaries and benefits paid to any persons above the grade of Building Manager and their immediate supervisor; (i) legal and accounting fees relating to (A) disputes with tenants, prospective tenants or other occupants of the Building, (B) disputes with purchasers, prospective purchasers, mortgagees or prospective mortgagees of the Building or the Real Property or any part of either, or (C) negotiations of leases, contracts of sale or mortgages; (j) costs that are reimbursed out of insurance, warranty or condemnation proceeds, or which are reimbursable by Tenant or other tenants of the Building other than pursuant to an expense escalation clause; (k) costs in the nature of penalties or fines; (l) costs for services, supplies or repairs (other than management fees) paid to any Affiliate of Landlord in excess of costs that would be payable in an “arm’s length” or unrelated situation for comparable services, supplies or repairs; (m) allowances, concessions or other costs and expenses of improving or decorating any demised or demisable space in the Building; (n) appraisal, advertising and promotional expenses in connection with leasing of the Building; (o) any costs or expenses (including fines, interest, penalties and legal fees) arising out of Landlord’s failure to timely pay Operating Expenses or Taxes; (p) costs incurred in connection with the removal, encapsulation or other treatment of asbestos or any other Hazardous Materials (classified as such on the Effective Date) existing at the Real Property as of the date hereof; (q) capital expenditures which are not Permitted Capital Expenditures; (r) costs relating to the repair, maintenance and operation of the Garage; (s) Taxes; (t) reserves; (u) all costs associated with Landlord’s political contributions, voluntary civic contributions or voluntary charitable contributions and/or membership fees; (v) dues payable to industry associations or organizations to the extent in excess of $2,500.00 per calendar year;</w:t>
      </w:r>
    </w:p>
    <w:p>
      <w:pPr>
        <w:spacing w:after="0" w:line="15" w:lineRule="exact"/>
        <w:rPr>
          <w:sz w:val="20"/>
          <w:szCs w:val="20"/>
          <w:color w:val="auto"/>
        </w:rPr>
      </w:pPr>
    </w:p>
    <w:p>
      <w:pPr>
        <w:jc w:val="both"/>
        <w:ind w:left="1220" w:right="1239" w:firstLine="4"/>
        <w:spacing w:after="0" w:line="236" w:lineRule="auto"/>
        <w:tabs>
          <w:tab w:leader="none" w:pos="1503" w:val="left"/>
        </w:tabs>
        <w:numPr>
          <w:ilvl w:val="0"/>
          <w:numId w:val="679"/>
        </w:numPr>
        <w:rPr>
          <w:rFonts w:ascii="Arial" w:cs="Arial" w:eastAsia="Arial" w:hAnsi="Arial"/>
          <w:sz w:val="15"/>
          <w:szCs w:val="15"/>
          <w:color w:val="auto"/>
        </w:rPr>
      </w:pPr>
      <w:r>
        <w:rPr>
          <w:rFonts w:ascii="Arial" w:cs="Arial" w:eastAsia="Arial" w:hAnsi="Arial"/>
          <w:sz w:val="15"/>
          <w:szCs w:val="15"/>
          <w:color w:val="auto"/>
        </w:rPr>
        <w:t>costs and expenses incurred to comply with any violation of Requirements in effect and applicable to the Building on the Commencement Date; (x) depreciation; (y) cost of any work or services performed for any facility other than the Building or Real Property; (z) cost of initial cleaning and rubbish removal from the Building or the Real Property to be performed before final completion of the Building or tenant space; (aa) cost of initial landscaping of the Building or the Real Property; (bb) cost of the initial stock of tools and equipment for operation, repair and maintenance of the Building or the Real Property; (cc) cost of acquiring sculptures, paintings and other works of art; (dd) costs related to public transportation, transit or vanpools, except to the extent that Tenant shall elect to participate in the service to which such costs relate; (ee) asset management fees; (ff) costs and expenses of operating the Lobby Café; (gg) Insurance Expenses; or (hh) costs and expenses of organizing and maintaining the Landlord entity.</w:t>
      </w:r>
    </w:p>
    <w:p>
      <w:pPr>
        <w:spacing w:after="0" w:line="137" w:lineRule="exact"/>
        <w:rPr>
          <w:sz w:val="20"/>
          <w:szCs w:val="20"/>
          <w:color w:val="auto"/>
        </w:rPr>
      </w:pPr>
    </w:p>
    <w:p>
      <w:pPr>
        <w:jc w:val="both"/>
        <w:ind w:left="1220" w:right="1239" w:firstLine="505"/>
        <w:spacing w:after="0" w:line="288" w:lineRule="auto"/>
        <w:rPr>
          <w:sz w:val="20"/>
          <w:szCs w:val="20"/>
          <w:color w:val="auto"/>
        </w:rPr>
      </w:pPr>
      <w:r>
        <w:rPr>
          <w:rFonts w:ascii="Arial" w:cs="Arial" w:eastAsia="Arial" w:hAnsi="Arial"/>
          <w:sz w:val="15"/>
          <w:szCs w:val="15"/>
          <w:b w:val="1"/>
          <w:bCs w:val="1"/>
          <w:color w:val="auto"/>
        </w:rPr>
        <w:t>Flex Areas</w:t>
      </w:r>
      <w:r>
        <w:rPr>
          <w:rFonts w:ascii="Arial" w:cs="Arial" w:eastAsia="Arial" w:hAnsi="Arial"/>
          <w:sz w:val="15"/>
          <w:szCs w:val="15"/>
          <w:color w:val="auto"/>
        </w:rPr>
        <w:t>: The areas of the Premises shown as “lab flex” on the floor plans attached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Lease as </w:t>
      </w:r>
      <w:r>
        <w:rPr>
          <w:rFonts w:ascii="Arial" w:cs="Arial" w:eastAsia="Arial" w:hAnsi="Arial"/>
          <w:sz w:val="15"/>
          <w:szCs w:val="15"/>
          <w:b w:val="1"/>
          <w:bCs w:val="1"/>
          <w:color w:val="auto"/>
        </w:rPr>
        <w:t>Exhibit C</w:t>
      </w:r>
      <w:r>
        <w:rPr>
          <w:rFonts w:ascii="Arial" w:cs="Arial" w:eastAsia="Arial" w:hAnsi="Arial"/>
          <w:sz w:val="15"/>
          <w:szCs w:val="15"/>
          <w:color w:val="auto"/>
        </w:rPr>
        <w:t>.</w:t>
      </w:r>
    </w:p>
    <w:p>
      <w:pPr>
        <w:spacing w:after="0" w:line="91"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Garage: </w:t>
      </w:r>
      <w:r>
        <w:rPr>
          <w:rFonts w:ascii="Arial" w:cs="Arial" w:eastAsia="Arial" w:hAnsi="Arial"/>
          <w:sz w:val="15"/>
          <w:szCs w:val="15"/>
          <w:color w:val="auto"/>
        </w:rPr>
        <w:t>The parking garage located beneath and comprising a part of the Building.</w:t>
      </w:r>
    </w:p>
    <w:p>
      <w:pPr>
        <w:spacing w:after="0" w:line="164"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Governmental Authority: </w:t>
      </w:r>
      <w:r>
        <w:rPr>
          <w:rFonts w:ascii="Arial" w:cs="Arial" w:eastAsia="Arial" w:hAnsi="Arial"/>
          <w:sz w:val="15"/>
          <w:szCs w:val="15"/>
          <w:color w:val="auto"/>
        </w:rPr>
        <w:t>The United States of America, the City of Boston, the</w:t>
      </w:r>
      <w:r>
        <w:rPr>
          <w:rFonts w:ascii="Arial" w:cs="Arial" w:eastAsia="Arial" w:hAnsi="Arial"/>
          <w:sz w:val="15"/>
          <w:szCs w:val="15"/>
          <w:b w:val="1"/>
          <w:bCs w:val="1"/>
          <w:color w:val="auto"/>
        </w:rPr>
        <w:t xml:space="preserve"> </w:t>
      </w:r>
      <w:r>
        <w:rPr>
          <w:rFonts w:ascii="Arial" w:cs="Arial" w:eastAsia="Arial" w:hAnsi="Arial"/>
          <w:sz w:val="15"/>
          <w:szCs w:val="15"/>
          <w:color w:val="auto"/>
        </w:rPr>
        <w:t>Commonwealth of Massachusetts, ISD, or any political subdivision, agency, department, commission, board, bureau or instrumentality of any of the foregoing, now existing or hereafter created, having jurisdiction over the Real Property.</w:t>
      </w: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2" w:name="page753"/>
    <w:bookmarkEnd w:id="752"/>
    <w:p>
      <w:pPr>
        <w:spacing w:after="0" w:line="28" w:lineRule="exact"/>
        <w:rPr>
          <w:sz w:val="20"/>
          <w:szCs w:val="20"/>
          <w:color w:val="auto"/>
        </w:rPr>
      </w:pPr>
    </w:p>
    <w:p>
      <w:pPr>
        <w:jc w:val="both"/>
        <w:ind w:left="1220" w:right="1239" w:firstLine="505"/>
        <w:spacing w:after="0" w:line="241" w:lineRule="auto"/>
        <w:rPr>
          <w:sz w:val="20"/>
          <w:szCs w:val="20"/>
          <w:color w:val="auto"/>
        </w:rPr>
      </w:pPr>
      <w:r>
        <w:rPr>
          <w:rFonts w:ascii="Arial" w:cs="Arial" w:eastAsia="Arial" w:hAnsi="Arial"/>
          <w:sz w:val="15"/>
          <w:szCs w:val="15"/>
          <w:b w:val="1"/>
          <w:bCs w:val="1"/>
          <w:color w:val="auto"/>
        </w:rPr>
        <w:t xml:space="preserve">Hazardous Materials: </w:t>
      </w:r>
      <w:r>
        <w:rPr>
          <w:rFonts w:ascii="Arial" w:cs="Arial" w:eastAsia="Arial" w:hAnsi="Arial"/>
          <w:sz w:val="15"/>
          <w:szCs w:val="15"/>
          <w:color w:val="auto"/>
        </w:rPr>
        <w:t>Any substances or materials considered or defined as</w:t>
      </w:r>
      <w:r>
        <w:rPr>
          <w:rFonts w:ascii="Arial" w:cs="Arial" w:eastAsia="Arial" w:hAnsi="Arial"/>
          <w:sz w:val="15"/>
          <w:szCs w:val="15"/>
          <w:b w:val="1"/>
          <w:bCs w:val="1"/>
          <w:color w:val="auto"/>
        </w:rPr>
        <w:t xml:space="preserve"> </w:t>
      </w:r>
      <w:r>
        <w:rPr>
          <w:rFonts w:ascii="Arial" w:cs="Arial" w:eastAsia="Arial" w:hAnsi="Arial"/>
          <w:sz w:val="15"/>
          <w:szCs w:val="15"/>
          <w:color w:val="auto"/>
        </w:rPr>
        <w:t>“hazardous”, “toxic”, “contaminant” or “pollutant” or words or phrases of similar import under any Environmental Law, including asbestos, oil or any hazardous, radioactive or toxic substance, material or waste or petroleum derivative which is or becomes regulated by any Environmental Law, including live organisms, viruses and fungi, medical waste and any so-called “biohazard” materials”; and any materials on the right to know list of the Occupational Safety and Health Administration.</w:t>
      </w:r>
    </w:p>
    <w:p>
      <w:pPr>
        <w:spacing w:after="0" w:line="306"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HVAC System: </w:t>
      </w:r>
      <w:r>
        <w:rPr>
          <w:rFonts w:ascii="Arial" w:cs="Arial" w:eastAsia="Arial" w:hAnsi="Arial"/>
          <w:sz w:val="15"/>
          <w:szCs w:val="15"/>
          <w:color w:val="auto"/>
        </w:rPr>
        <w:t>The Building System designed to provide heating, ventilation and air</w:t>
      </w:r>
      <w:r>
        <w:rPr>
          <w:rFonts w:ascii="Arial" w:cs="Arial" w:eastAsia="Arial" w:hAnsi="Arial"/>
          <w:sz w:val="15"/>
          <w:szCs w:val="15"/>
          <w:b w:val="1"/>
          <w:bCs w:val="1"/>
          <w:color w:val="auto"/>
        </w:rPr>
        <w:t xml:space="preserve"> </w:t>
      </w:r>
      <w:r>
        <w:rPr>
          <w:rFonts w:ascii="Arial" w:cs="Arial" w:eastAsia="Arial" w:hAnsi="Arial"/>
          <w:sz w:val="15"/>
          <w:szCs w:val="15"/>
          <w:color w:val="auto"/>
        </w:rPr>
        <w:t>conditioning.</w:t>
      </w:r>
    </w:p>
    <w:p>
      <w:pPr>
        <w:spacing w:after="0" w:line="106" w:lineRule="exact"/>
        <w:rPr>
          <w:sz w:val="20"/>
          <w:szCs w:val="20"/>
          <w:color w:val="auto"/>
        </w:rPr>
      </w:pPr>
    </w:p>
    <w:p>
      <w:pPr>
        <w:jc w:val="both"/>
        <w:ind w:left="1220" w:right="1239" w:firstLine="505"/>
        <w:spacing w:after="0" w:line="249" w:lineRule="auto"/>
        <w:rPr>
          <w:sz w:val="20"/>
          <w:szCs w:val="20"/>
          <w:color w:val="auto"/>
        </w:rPr>
      </w:pPr>
      <w:r>
        <w:rPr>
          <w:rFonts w:ascii="Arial" w:cs="Arial" w:eastAsia="Arial" w:hAnsi="Arial"/>
          <w:sz w:val="15"/>
          <w:szCs w:val="15"/>
          <w:b w:val="1"/>
          <w:bCs w:val="1"/>
          <w:color w:val="auto"/>
        </w:rPr>
        <w:t xml:space="preserve">Indemnitees: </w:t>
      </w:r>
      <w:r>
        <w:rPr>
          <w:rFonts w:ascii="Arial" w:cs="Arial" w:eastAsia="Arial" w:hAnsi="Arial"/>
          <w:sz w:val="15"/>
          <w:szCs w:val="15"/>
          <w:color w:val="auto"/>
        </w:rPr>
        <w:t>Landlord, Landlord’s Agent, each Mortgagee and Lessor, and each of</w:t>
      </w:r>
      <w:r>
        <w:rPr>
          <w:rFonts w:ascii="Arial" w:cs="Arial" w:eastAsia="Arial" w:hAnsi="Arial"/>
          <w:sz w:val="15"/>
          <w:szCs w:val="15"/>
          <w:b w:val="1"/>
          <w:bCs w:val="1"/>
          <w:color w:val="auto"/>
        </w:rPr>
        <w:t xml:space="preserve"> </w:t>
      </w:r>
      <w:r>
        <w:rPr>
          <w:rFonts w:ascii="Arial" w:cs="Arial" w:eastAsia="Arial" w:hAnsi="Arial"/>
          <w:sz w:val="15"/>
          <w:szCs w:val="15"/>
          <w:color w:val="auto"/>
        </w:rPr>
        <w:t>their respective direct and indirect partners, officers, shareholders, directors, members, managers, trustees, beneficiaries, employees, principals, contractors, servants, agents, and representatives.</w:t>
      </w:r>
    </w:p>
    <w:p>
      <w:pPr>
        <w:spacing w:after="0" w:line="304"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Initial Term: </w:t>
      </w:r>
      <w:r>
        <w:rPr>
          <w:rFonts w:ascii="Arial" w:cs="Arial" w:eastAsia="Arial" w:hAnsi="Arial"/>
          <w:sz w:val="15"/>
          <w:szCs w:val="15"/>
          <w:color w:val="auto"/>
        </w:rPr>
        <w:t>The period of time commencing on the Commencement Date and expiring</w:t>
      </w:r>
      <w:r>
        <w:rPr>
          <w:rFonts w:ascii="Arial" w:cs="Arial" w:eastAsia="Arial" w:hAnsi="Arial"/>
          <w:sz w:val="15"/>
          <w:szCs w:val="15"/>
          <w:b w:val="1"/>
          <w:bCs w:val="1"/>
          <w:color w:val="auto"/>
        </w:rPr>
        <w:t xml:space="preserve"> </w:t>
      </w:r>
      <w:r>
        <w:rPr>
          <w:rFonts w:ascii="Arial" w:cs="Arial" w:eastAsia="Arial" w:hAnsi="Arial"/>
          <w:sz w:val="15"/>
          <w:szCs w:val="15"/>
          <w:color w:val="auto"/>
        </w:rPr>
        <w:t>on the Expiration Date (without giving effect to any Renewal Term).</w:t>
      </w:r>
    </w:p>
    <w:p>
      <w:pPr>
        <w:spacing w:after="0" w:line="106"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ISD: </w:t>
      </w:r>
      <w:r>
        <w:rPr>
          <w:rFonts w:ascii="Arial" w:cs="Arial" w:eastAsia="Arial" w:hAnsi="Arial"/>
          <w:sz w:val="15"/>
          <w:szCs w:val="15"/>
          <w:color w:val="auto"/>
        </w:rPr>
        <w:t>The City of Boston Inspectional Services Department.</w:t>
      </w:r>
    </w:p>
    <w:p>
      <w:pPr>
        <w:spacing w:after="0" w:line="164"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Insured Parties: </w:t>
      </w:r>
      <w:r>
        <w:rPr>
          <w:rFonts w:ascii="Arial" w:cs="Arial" w:eastAsia="Arial" w:hAnsi="Arial"/>
          <w:sz w:val="15"/>
          <w:szCs w:val="15"/>
          <w:color w:val="auto"/>
        </w:rPr>
        <w:t>Landlord, Landlord’s Agent, and any Lessors and Mortgagees whose</w:t>
      </w:r>
      <w:r>
        <w:rPr>
          <w:rFonts w:ascii="Arial" w:cs="Arial" w:eastAsia="Arial" w:hAnsi="Arial"/>
          <w:sz w:val="15"/>
          <w:szCs w:val="15"/>
          <w:b w:val="1"/>
          <w:bCs w:val="1"/>
          <w:color w:val="auto"/>
        </w:rPr>
        <w:t xml:space="preserve"> </w:t>
      </w:r>
      <w:r>
        <w:rPr>
          <w:rFonts w:ascii="Arial" w:cs="Arial" w:eastAsia="Arial" w:hAnsi="Arial"/>
          <w:sz w:val="15"/>
          <w:szCs w:val="15"/>
          <w:color w:val="auto"/>
        </w:rPr>
        <w:t>names have been furnished to Tenant.</w:t>
      </w:r>
    </w:p>
    <w:p>
      <w:pPr>
        <w:spacing w:after="0" w:line="106" w:lineRule="exact"/>
        <w:rPr>
          <w:sz w:val="20"/>
          <w:szCs w:val="20"/>
          <w:color w:val="auto"/>
        </w:rPr>
      </w:pPr>
    </w:p>
    <w:p>
      <w:pPr>
        <w:jc w:val="both"/>
        <w:ind w:left="1220" w:right="1239" w:firstLine="505"/>
        <w:spacing w:after="0" w:line="288" w:lineRule="auto"/>
        <w:rPr>
          <w:sz w:val="20"/>
          <w:szCs w:val="20"/>
          <w:color w:val="auto"/>
        </w:rPr>
      </w:pPr>
      <w:r>
        <w:rPr>
          <w:rFonts w:ascii="Arial" w:cs="Arial" w:eastAsia="Arial" w:hAnsi="Arial"/>
          <w:sz w:val="15"/>
          <w:szCs w:val="15"/>
          <w:b w:val="1"/>
          <w:bCs w:val="1"/>
          <w:color w:val="auto"/>
        </w:rPr>
        <w:t>Lab Areas</w:t>
      </w:r>
      <w:r>
        <w:rPr>
          <w:rFonts w:ascii="Arial" w:cs="Arial" w:eastAsia="Arial" w:hAnsi="Arial"/>
          <w:sz w:val="15"/>
          <w:szCs w:val="15"/>
          <w:color w:val="auto"/>
        </w:rPr>
        <w:t>: The areas of the Premises shown as “lab” on the floor plans attached to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Lease as </w:t>
      </w:r>
      <w:r>
        <w:rPr>
          <w:rFonts w:ascii="Arial" w:cs="Arial" w:eastAsia="Arial" w:hAnsi="Arial"/>
          <w:sz w:val="15"/>
          <w:szCs w:val="15"/>
          <w:b w:val="1"/>
          <w:bCs w:val="1"/>
          <w:color w:val="auto"/>
        </w:rPr>
        <w:t>Exhibit C</w:t>
      </w:r>
      <w:r>
        <w:rPr>
          <w:rFonts w:ascii="Arial" w:cs="Arial" w:eastAsia="Arial" w:hAnsi="Arial"/>
          <w:sz w:val="15"/>
          <w:szCs w:val="15"/>
          <w:color w:val="auto"/>
        </w:rPr>
        <w:t>.</w:t>
      </w:r>
    </w:p>
    <w:p>
      <w:pPr>
        <w:spacing w:after="0" w:line="91"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Latent Defects</w:t>
      </w:r>
      <w:r>
        <w:rPr>
          <w:rFonts w:ascii="Arial" w:cs="Arial" w:eastAsia="Arial" w:hAnsi="Arial"/>
          <w:sz w:val="15"/>
          <w:szCs w:val="15"/>
          <w:color w:val="auto"/>
        </w:rPr>
        <w:t>: Material defects in the Landlord’s Work or the Base Building Work (as</w:t>
      </w:r>
      <w:r>
        <w:rPr>
          <w:rFonts w:ascii="Arial" w:cs="Arial" w:eastAsia="Arial" w:hAnsi="Arial"/>
          <w:sz w:val="15"/>
          <w:szCs w:val="15"/>
          <w:b w:val="1"/>
          <w:bCs w:val="1"/>
          <w:color w:val="auto"/>
        </w:rPr>
        <w:t xml:space="preserve"> </w:t>
      </w:r>
      <w:r>
        <w:rPr>
          <w:rFonts w:ascii="Arial" w:cs="Arial" w:eastAsia="Arial" w:hAnsi="Arial"/>
          <w:sz w:val="15"/>
          <w:szCs w:val="15"/>
          <w:color w:val="auto"/>
        </w:rPr>
        <w:t>applicable) which defects are not, despite the exercise of commercially reasonable efforts by Tenant, susceptible of being detected (and are not detected) at the time of delivery of the Premises to Tenant.</w:t>
      </w:r>
    </w:p>
    <w:p>
      <w:pPr>
        <w:spacing w:after="0" w:line="128"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Lease Year: </w:t>
      </w:r>
      <w:r>
        <w:rPr>
          <w:rFonts w:ascii="Arial" w:cs="Arial" w:eastAsia="Arial" w:hAnsi="Arial"/>
          <w:sz w:val="15"/>
          <w:szCs w:val="15"/>
          <w:color w:val="auto"/>
        </w:rPr>
        <w:t>The first Lease Year shall commence on the Rent Commencement Date</w:t>
      </w:r>
      <w:r>
        <w:rPr>
          <w:rFonts w:ascii="Arial" w:cs="Arial" w:eastAsia="Arial" w:hAnsi="Arial"/>
          <w:sz w:val="15"/>
          <w:szCs w:val="15"/>
          <w:b w:val="1"/>
          <w:bCs w:val="1"/>
          <w:color w:val="auto"/>
        </w:rPr>
        <w:t xml:space="preserve"> </w:t>
      </w:r>
      <w:r>
        <w:rPr>
          <w:rFonts w:ascii="Arial" w:cs="Arial" w:eastAsia="Arial" w:hAnsi="Arial"/>
          <w:sz w:val="15"/>
          <w:szCs w:val="15"/>
          <w:color w:val="auto"/>
        </w:rPr>
        <w:t>and shall end on the last day of the calendar month preceding the month in which the first anniversary of the Rent Commencement Date occurs. Each succeeding Lease Year shall commence on the day following the end of the preceding Lease Year and shall extend for twelve (12) consecutive months; provided, however, that the last Lease Year shall expire on the Expiration Date.</w:t>
      </w:r>
    </w:p>
    <w:p>
      <w:pPr>
        <w:spacing w:after="0" w:line="308"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Lessor: </w:t>
      </w:r>
      <w:r>
        <w:rPr>
          <w:rFonts w:ascii="Arial" w:cs="Arial" w:eastAsia="Arial" w:hAnsi="Arial"/>
          <w:sz w:val="15"/>
          <w:szCs w:val="15"/>
          <w:color w:val="auto"/>
        </w:rPr>
        <w:t>A lessor under a Superior Lease.</w:t>
      </w:r>
    </w:p>
    <w:p>
      <w:pPr>
        <w:spacing w:after="0" w:line="164" w:lineRule="exact"/>
        <w:rPr>
          <w:sz w:val="20"/>
          <w:szCs w:val="20"/>
          <w:color w:val="auto"/>
        </w:rPr>
      </w:pPr>
    </w:p>
    <w:p>
      <w:pPr>
        <w:jc w:val="both"/>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Losses: </w:t>
      </w:r>
      <w:r>
        <w:rPr>
          <w:rFonts w:ascii="Arial" w:cs="Arial" w:eastAsia="Arial" w:hAnsi="Arial"/>
          <w:sz w:val="15"/>
          <w:szCs w:val="15"/>
          <w:color w:val="auto"/>
        </w:rPr>
        <w:t>Any and all losses, liabilities, damages, claims, judgments, fines, suits,</w:t>
      </w:r>
      <w:r>
        <w:rPr>
          <w:rFonts w:ascii="Arial" w:cs="Arial" w:eastAsia="Arial" w:hAnsi="Arial"/>
          <w:sz w:val="15"/>
          <w:szCs w:val="15"/>
          <w:b w:val="1"/>
          <w:bCs w:val="1"/>
          <w:color w:val="auto"/>
        </w:rPr>
        <w:t xml:space="preserve"> </w:t>
      </w:r>
      <w:r>
        <w:rPr>
          <w:rFonts w:ascii="Arial" w:cs="Arial" w:eastAsia="Arial" w:hAnsi="Arial"/>
          <w:sz w:val="15"/>
          <w:szCs w:val="15"/>
          <w:color w:val="auto"/>
        </w:rPr>
        <w:t>demands, costs, interest and expenses of any kind or nature (including reasonable attorneys’ fees and disbursements) incurred in connection with any claim, proceeding or judgment and the defense thereof, and including all costs of repairing any damage to the Premises or the Building or the appurtenances of any of the foregoing to which a particular indemnity and hold harmless agreement applies.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3" w:name="page754"/>
    <w:bookmarkEnd w:id="753"/>
    <w:p>
      <w:pPr>
        <w:spacing w:after="0" w:line="28" w:lineRule="exact"/>
        <w:rPr>
          <w:sz w:val="20"/>
          <w:szCs w:val="20"/>
          <w:color w:val="auto"/>
        </w:rPr>
      </w:pPr>
    </w:p>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Market Capitalization: </w:t>
      </w:r>
      <w:r>
        <w:rPr>
          <w:rFonts w:ascii="Arial" w:cs="Arial" w:eastAsia="Arial" w:hAnsi="Arial"/>
          <w:sz w:val="15"/>
          <w:szCs w:val="15"/>
          <w:color w:val="auto"/>
        </w:rPr>
        <w:t>The</w:t>
      </w:r>
      <w:r>
        <w:rPr>
          <w:rFonts w:ascii="Arial" w:cs="Arial" w:eastAsia="Arial" w:hAnsi="Arial"/>
          <w:sz w:val="15"/>
          <w:szCs w:val="15"/>
          <w:b w:val="1"/>
          <w:bCs w:val="1"/>
          <w:color w:val="auto"/>
        </w:rPr>
        <w:t xml:space="preserve"> </w:t>
      </w:r>
      <w:r>
        <w:rPr>
          <w:rFonts w:ascii="Arial" w:cs="Arial" w:eastAsia="Arial" w:hAnsi="Arial"/>
          <w:sz w:val="15"/>
          <w:szCs w:val="15"/>
          <w:color w:val="212121"/>
        </w:rPr>
        <w:t>total dollar market value of a publicly traded company's</w:t>
      </w:r>
      <w:r>
        <w:rPr>
          <w:rFonts w:ascii="Arial" w:cs="Arial" w:eastAsia="Arial" w:hAnsi="Arial"/>
          <w:sz w:val="15"/>
          <w:szCs w:val="15"/>
          <w:b w:val="1"/>
          <w:bCs w:val="1"/>
          <w:color w:val="auto"/>
        </w:rPr>
        <w:t xml:space="preserve"> </w:t>
      </w:r>
      <w:r>
        <w:rPr>
          <w:rFonts w:ascii="Arial" w:cs="Arial" w:eastAsia="Arial" w:hAnsi="Arial"/>
          <w:sz w:val="15"/>
          <w:szCs w:val="15"/>
          <w:color w:val="212121"/>
        </w:rPr>
        <w:t>outstanding shares of stock, calculated by multiplying the total number of such company's outstanding shares by the current market price of one (1) share.</w:t>
      </w:r>
    </w:p>
    <w:p>
      <w:pPr>
        <w:spacing w:after="0" w:line="123"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Measurement Method: </w:t>
      </w:r>
      <w:r>
        <w:rPr>
          <w:rFonts w:ascii="Arial" w:cs="Arial" w:eastAsia="Arial" w:hAnsi="Arial"/>
          <w:sz w:val="15"/>
          <w:szCs w:val="15"/>
          <w:color w:val="auto"/>
        </w:rPr>
        <w:t>A modified BOMA International Standard Method for Measuring</w:t>
      </w:r>
      <w:r>
        <w:rPr>
          <w:rFonts w:ascii="Arial" w:cs="Arial" w:eastAsia="Arial" w:hAnsi="Arial"/>
          <w:sz w:val="15"/>
          <w:szCs w:val="15"/>
          <w:b w:val="1"/>
          <w:bCs w:val="1"/>
          <w:color w:val="auto"/>
        </w:rPr>
        <w:t xml:space="preserve"> </w:t>
      </w:r>
      <w:r>
        <w:rPr>
          <w:rFonts w:ascii="Arial" w:cs="Arial" w:eastAsia="Arial" w:hAnsi="Arial"/>
          <w:sz w:val="15"/>
          <w:szCs w:val="15"/>
          <w:color w:val="auto"/>
        </w:rPr>
        <w:t>Floor Area in Office Buildings 2017 which aligns with the Boston/Cambridge market standard for lab building measurement, calculated in accordance with the Modified BOMA measurement dated July 10, 2020 for the Building which has been prepared by Landlord and provided to Tenant prior to the Effective Date.</w:t>
      </w:r>
    </w:p>
    <w:p>
      <w:pPr>
        <w:spacing w:after="0" w:line="132" w:lineRule="exact"/>
        <w:rPr>
          <w:sz w:val="20"/>
          <w:szCs w:val="20"/>
          <w:color w:val="auto"/>
        </w:rPr>
      </w:pPr>
    </w:p>
    <w:p>
      <w:pPr>
        <w:jc w:val="both"/>
        <w:ind w:left="1220" w:right="1239" w:firstLine="505"/>
        <w:spacing w:after="0" w:line="239" w:lineRule="auto"/>
        <w:rPr>
          <w:sz w:val="20"/>
          <w:szCs w:val="20"/>
          <w:color w:val="auto"/>
        </w:rPr>
      </w:pPr>
      <w:r>
        <w:rPr>
          <w:rFonts w:ascii="Arial" w:cs="Arial" w:eastAsia="Arial" w:hAnsi="Arial"/>
          <w:sz w:val="15"/>
          <w:szCs w:val="15"/>
          <w:b w:val="1"/>
          <w:bCs w:val="1"/>
          <w:color w:val="auto"/>
        </w:rPr>
        <w:t>Minor Alterations</w:t>
      </w:r>
      <w:r>
        <w:rPr>
          <w:rFonts w:ascii="Arial" w:cs="Arial" w:eastAsia="Arial" w:hAnsi="Arial"/>
          <w:sz w:val="15"/>
          <w:szCs w:val="15"/>
          <w:color w:val="auto"/>
        </w:rPr>
        <w:t>: Alterations in the Premises which (i) cost less than $ 100,000.00 in</w:t>
      </w:r>
      <w:r>
        <w:rPr>
          <w:rFonts w:ascii="Arial" w:cs="Arial" w:eastAsia="Arial" w:hAnsi="Arial"/>
          <w:sz w:val="15"/>
          <w:szCs w:val="15"/>
          <w:b w:val="1"/>
          <w:bCs w:val="1"/>
          <w:color w:val="auto"/>
        </w:rPr>
        <w:t xml:space="preserve"> </w:t>
      </w:r>
      <w:r>
        <w:rPr>
          <w:rFonts w:ascii="Arial" w:cs="Arial" w:eastAsia="Arial" w:hAnsi="Arial"/>
          <w:sz w:val="15"/>
          <w:szCs w:val="15"/>
          <w:color w:val="auto"/>
        </w:rPr>
        <w:t>the aggregate, (ii) are non-structural and do not adversely impact any Building Systems, (iii) affect only the Premises and are not visible from outside of the Building, (iv) are not visible from the first (1st) floor Common Areas, unless they are consistent with the standards of appearance and presentation of similar premises in Comparable Buildings; (v) do not require a conditional use permit, variance, waiver or other relief from any applicable Requirement (excepting only a conditional use permit for the construction and operation of the Vivarium), (vi) do not increase or decrease the rentable area of the Premises, and (vii) comply in all respects with all applicable Requirements</w:t>
      </w:r>
    </w:p>
    <w:p>
      <w:pPr>
        <w:spacing w:after="0" w:line="136"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 xml:space="preserve">Mortgage(s): </w:t>
      </w:r>
      <w:r>
        <w:rPr>
          <w:rFonts w:ascii="Arial" w:cs="Arial" w:eastAsia="Arial" w:hAnsi="Arial"/>
          <w:sz w:val="15"/>
          <w:szCs w:val="15"/>
          <w:color w:val="auto"/>
        </w:rPr>
        <w:t>Any mortgage, trust indenture or other financing document which may now</w:t>
      </w:r>
      <w:r>
        <w:rPr>
          <w:rFonts w:ascii="Arial" w:cs="Arial" w:eastAsia="Arial" w:hAnsi="Arial"/>
          <w:sz w:val="15"/>
          <w:szCs w:val="15"/>
          <w:b w:val="1"/>
          <w:bCs w:val="1"/>
          <w:color w:val="auto"/>
        </w:rPr>
        <w:t xml:space="preserve"> </w:t>
      </w:r>
      <w:r>
        <w:rPr>
          <w:rFonts w:ascii="Arial" w:cs="Arial" w:eastAsia="Arial" w:hAnsi="Arial"/>
          <w:sz w:val="15"/>
          <w:szCs w:val="15"/>
          <w:color w:val="auto"/>
        </w:rPr>
        <w:t>or hereafter encumber or otherwise affect the Premises, the Real Property and/or the Building or any Superior Lease and the leasehold interest created thereby, and all renewals, extensions, supplements, amendments, modifications, consolidations and replacements thereof or thereto, substitutions therefor, and advances made thereunder.</w:t>
      </w:r>
    </w:p>
    <w:p>
      <w:pPr>
        <w:spacing w:after="0" w:line="132"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Mortgagee(s): </w:t>
      </w:r>
      <w:r>
        <w:rPr>
          <w:rFonts w:ascii="Arial" w:cs="Arial" w:eastAsia="Arial" w:hAnsi="Arial"/>
          <w:sz w:val="15"/>
          <w:szCs w:val="15"/>
          <w:color w:val="auto"/>
        </w:rPr>
        <w:t>Any mortgagee, trustee or other holder of a Mortgage.</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5"/>
          <w:szCs w:val="15"/>
          <w:b w:val="1"/>
          <w:bCs w:val="1"/>
          <w:color w:val="auto"/>
        </w:rPr>
        <w:t xml:space="preserve">MWRA: </w:t>
      </w:r>
      <w:r>
        <w:rPr>
          <w:rFonts w:ascii="Arial" w:cs="Arial" w:eastAsia="Arial" w:hAnsi="Arial"/>
          <w:sz w:val="15"/>
          <w:szCs w:val="15"/>
          <w:color w:val="auto"/>
        </w:rPr>
        <w:t>The Massachusetts Water Resources Authority.</w:t>
      </w:r>
    </w:p>
    <w:p>
      <w:pPr>
        <w:spacing w:after="0" w:line="164"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MWRA Permit: </w:t>
      </w:r>
      <w:r>
        <w:rPr>
          <w:rFonts w:ascii="Arial" w:cs="Arial" w:eastAsia="Arial" w:hAnsi="Arial"/>
          <w:sz w:val="15"/>
          <w:szCs w:val="15"/>
          <w:color w:val="auto"/>
        </w:rPr>
        <w:t>A wastewater treatment operator permit issued by the MWRA for the</w:t>
      </w:r>
      <w:r>
        <w:rPr>
          <w:rFonts w:ascii="Arial" w:cs="Arial" w:eastAsia="Arial" w:hAnsi="Arial"/>
          <w:sz w:val="15"/>
          <w:szCs w:val="15"/>
          <w:b w:val="1"/>
          <w:bCs w:val="1"/>
          <w:color w:val="auto"/>
        </w:rPr>
        <w:t xml:space="preserve"> </w:t>
      </w:r>
      <w:r>
        <w:rPr>
          <w:rFonts w:ascii="Arial" w:cs="Arial" w:eastAsia="Arial" w:hAnsi="Arial"/>
          <w:sz w:val="15"/>
          <w:szCs w:val="15"/>
          <w:color w:val="auto"/>
        </w:rPr>
        <w:t>operation of the PH neutralization system for the Building.</w:t>
      </w:r>
    </w:p>
    <w:p>
      <w:pPr>
        <w:spacing w:after="0" w:line="106" w:lineRule="exact"/>
        <w:rPr>
          <w:sz w:val="20"/>
          <w:szCs w:val="20"/>
          <w:color w:val="auto"/>
        </w:rPr>
      </w:pPr>
    </w:p>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Observed Holidays: </w:t>
      </w:r>
      <w:r>
        <w:rPr>
          <w:rFonts w:ascii="Arial" w:cs="Arial" w:eastAsia="Arial" w:hAnsi="Arial"/>
          <w:sz w:val="15"/>
          <w:szCs w:val="15"/>
          <w:color w:val="auto"/>
        </w:rPr>
        <w:t>New Years’ Day, Memorial Day, Independence Day, Labor Day,</w:t>
      </w:r>
      <w:r>
        <w:rPr>
          <w:rFonts w:ascii="Arial" w:cs="Arial" w:eastAsia="Arial" w:hAnsi="Arial"/>
          <w:sz w:val="15"/>
          <w:szCs w:val="15"/>
          <w:b w:val="1"/>
          <w:bCs w:val="1"/>
          <w:color w:val="auto"/>
        </w:rPr>
        <w:t xml:space="preserve"> </w:t>
      </w:r>
      <w:r>
        <w:rPr>
          <w:rFonts w:ascii="Arial" w:cs="Arial" w:eastAsia="Arial" w:hAnsi="Arial"/>
          <w:sz w:val="15"/>
          <w:szCs w:val="15"/>
          <w:color w:val="auto"/>
        </w:rPr>
        <w:t>Thanksgiving Day and Christmas Day plus days observed by the Commonwealth of Massachusetts, the City of Boston, and the labor unions servicing the Building as holidays.</w:t>
      </w:r>
    </w:p>
    <w:p>
      <w:pPr>
        <w:spacing w:after="0" w:line="123" w:lineRule="exact"/>
        <w:rPr>
          <w:sz w:val="20"/>
          <w:szCs w:val="20"/>
          <w:color w:val="auto"/>
        </w:rPr>
      </w:pPr>
    </w:p>
    <w:p>
      <w:pPr>
        <w:jc w:val="both"/>
        <w:ind w:left="1220" w:right="1239" w:firstLine="505"/>
        <w:spacing w:after="0" w:line="288" w:lineRule="auto"/>
        <w:rPr>
          <w:sz w:val="20"/>
          <w:szCs w:val="20"/>
          <w:color w:val="auto"/>
        </w:rPr>
      </w:pPr>
      <w:r>
        <w:rPr>
          <w:rFonts w:ascii="Arial" w:cs="Arial" w:eastAsia="Arial" w:hAnsi="Arial"/>
          <w:sz w:val="15"/>
          <w:szCs w:val="15"/>
          <w:b w:val="1"/>
          <w:bCs w:val="1"/>
          <w:color w:val="auto"/>
        </w:rPr>
        <w:t>Office Areas</w:t>
      </w:r>
      <w:r>
        <w:rPr>
          <w:rFonts w:ascii="Arial" w:cs="Arial" w:eastAsia="Arial" w:hAnsi="Arial"/>
          <w:sz w:val="15"/>
          <w:szCs w:val="15"/>
          <w:color w:val="auto"/>
        </w:rPr>
        <w:t>: The areas of the Premises shown as “office” on the floor plans attached to</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this Lease as </w:t>
      </w:r>
      <w:r>
        <w:rPr>
          <w:rFonts w:ascii="Arial" w:cs="Arial" w:eastAsia="Arial" w:hAnsi="Arial"/>
          <w:sz w:val="15"/>
          <w:szCs w:val="15"/>
          <w:b w:val="1"/>
          <w:bCs w:val="1"/>
          <w:color w:val="auto"/>
        </w:rPr>
        <w:t>Exhibit C</w:t>
      </w:r>
      <w:r>
        <w:rPr>
          <w:rFonts w:ascii="Arial" w:cs="Arial" w:eastAsia="Arial" w:hAnsi="Arial"/>
          <w:sz w:val="15"/>
          <w:szCs w:val="15"/>
          <w:color w:val="auto"/>
        </w:rPr>
        <w:t>.</w:t>
      </w:r>
    </w:p>
    <w:p>
      <w:pPr>
        <w:spacing w:after="0" w:line="91" w:lineRule="exact"/>
        <w:rPr>
          <w:sz w:val="20"/>
          <w:szCs w:val="20"/>
          <w:color w:val="auto"/>
        </w:rPr>
      </w:pPr>
    </w:p>
    <w:p>
      <w:pPr>
        <w:jc w:val="both"/>
        <w:ind w:left="1220" w:right="1239" w:firstLine="505"/>
        <w:spacing w:after="0" w:line="244" w:lineRule="auto"/>
        <w:rPr>
          <w:sz w:val="20"/>
          <w:szCs w:val="20"/>
          <w:color w:val="auto"/>
        </w:rPr>
      </w:pPr>
      <w:r>
        <w:rPr>
          <w:rFonts w:ascii="Arial" w:cs="Arial" w:eastAsia="Arial" w:hAnsi="Arial"/>
          <w:sz w:val="15"/>
          <w:szCs w:val="15"/>
          <w:b w:val="1"/>
          <w:bCs w:val="1"/>
          <w:color w:val="auto"/>
        </w:rPr>
        <w:t>Permitted Internal Staircases</w:t>
      </w:r>
      <w:r>
        <w:rPr>
          <w:rFonts w:ascii="Arial" w:cs="Arial" w:eastAsia="Arial" w:hAnsi="Arial"/>
          <w:sz w:val="15"/>
          <w:szCs w:val="15"/>
          <w:color w:val="auto"/>
        </w:rPr>
        <w:t>: Internal staircases within the Premises which (i) do not</w:t>
      </w:r>
      <w:r>
        <w:rPr>
          <w:rFonts w:ascii="Arial" w:cs="Arial" w:eastAsia="Arial" w:hAnsi="Arial"/>
          <w:sz w:val="15"/>
          <w:szCs w:val="15"/>
          <w:b w:val="1"/>
          <w:bCs w:val="1"/>
          <w:color w:val="auto"/>
        </w:rPr>
        <w:t xml:space="preserve"> </w:t>
      </w:r>
      <w:r>
        <w:rPr>
          <w:rFonts w:ascii="Arial" w:cs="Arial" w:eastAsia="Arial" w:hAnsi="Arial"/>
          <w:sz w:val="15"/>
          <w:szCs w:val="15"/>
          <w:color w:val="auto"/>
        </w:rPr>
        <w:t>adversely impact the structural elements of the Building, (ii) do not require a conditional use permit, variance, waiver or other relief from any applicable Requirement, (iii) do not materially decrease the rentable area of the Premises, and (iv) comply in all respects with all applicable Requirements.</w:t>
      </w:r>
    </w:p>
    <w:p>
      <w:pPr>
        <w:spacing w:after="0" w:line="132" w:lineRule="exact"/>
        <w:rPr>
          <w:sz w:val="20"/>
          <w:szCs w:val="20"/>
          <w:color w:val="auto"/>
        </w:rPr>
      </w:pPr>
    </w:p>
    <w:p>
      <w:pPr>
        <w:jc w:val="both"/>
        <w:ind w:left="1220" w:right="1239" w:firstLine="505"/>
        <w:spacing w:after="0" w:line="252" w:lineRule="auto"/>
        <w:rPr>
          <w:sz w:val="20"/>
          <w:szCs w:val="20"/>
          <w:color w:val="auto"/>
        </w:rPr>
      </w:pPr>
      <w:r>
        <w:rPr>
          <w:rFonts w:ascii="Arial" w:cs="Arial" w:eastAsia="Arial" w:hAnsi="Arial"/>
          <w:sz w:val="15"/>
          <w:szCs w:val="15"/>
          <w:b w:val="1"/>
          <w:bCs w:val="1"/>
          <w:color w:val="auto"/>
        </w:rPr>
        <w:t>Permitted Transferee</w:t>
      </w:r>
      <w:r>
        <w:rPr>
          <w:rFonts w:ascii="Arial" w:cs="Arial" w:eastAsia="Arial" w:hAnsi="Arial"/>
          <w:sz w:val="15"/>
          <w:szCs w:val="15"/>
          <w:color w:val="auto"/>
        </w:rPr>
        <w:t>: An assignee of the interest of Tenant under this Lease which</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acquires said interest either (i) pursuant to an assignment approved by Landlord in accordance with the provisions of </w:t>
      </w:r>
      <w:r>
        <w:rPr>
          <w:rFonts w:ascii="Arial" w:cs="Arial" w:eastAsia="Arial" w:hAnsi="Arial"/>
          <w:sz w:val="15"/>
          <w:szCs w:val="15"/>
          <w:b w:val="1"/>
          <w:bCs w:val="1"/>
          <w:color w:val="auto"/>
        </w:rPr>
        <w:t>Article 13</w:t>
      </w:r>
      <w:r>
        <w:rPr>
          <w:rFonts w:ascii="Arial" w:cs="Arial" w:eastAsia="Arial" w:hAnsi="Arial"/>
          <w:sz w:val="15"/>
          <w:szCs w:val="15"/>
          <w:color w:val="auto"/>
        </w:rPr>
        <w:t xml:space="preserve">, or (ii) pursuant to an assignment for which the consent of Landlord is not required pursuant to the provisions of </w:t>
      </w:r>
      <w:r>
        <w:rPr>
          <w:rFonts w:ascii="Arial" w:cs="Arial" w:eastAsia="Arial" w:hAnsi="Arial"/>
          <w:sz w:val="15"/>
          <w:szCs w:val="15"/>
          <w:b w:val="1"/>
          <w:bCs w:val="1"/>
          <w:color w:val="auto"/>
        </w:rPr>
        <w:t>Section 13.6</w:t>
      </w:r>
      <w:r>
        <w:rPr>
          <w:rFonts w:ascii="Arial" w:cs="Arial" w:eastAsia="Arial" w:hAnsi="Arial"/>
          <w:sz w:val="15"/>
          <w:szCs w:val="15"/>
          <w:color w:val="auto"/>
        </w:rPr>
        <w:t>.</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4" w:name="page755"/>
    <w:bookmarkEnd w:id="754"/>
    <w:p>
      <w:pPr>
        <w:spacing w:after="0" w:line="27"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Prohibited Innovation Area Use</w:t>
      </w:r>
      <w:r>
        <w:rPr>
          <w:rFonts w:ascii="Arial" w:cs="Arial" w:eastAsia="Arial" w:hAnsi="Arial"/>
          <w:sz w:val="15"/>
          <w:szCs w:val="15"/>
          <w:color w:val="auto"/>
        </w:rPr>
        <w:t>: Any of the following: (i) use of the Innovation Area</w:t>
      </w:r>
      <w:r>
        <w:rPr>
          <w:rFonts w:ascii="Arial" w:cs="Arial" w:eastAsia="Arial" w:hAnsi="Arial"/>
          <w:sz w:val="15"/>
          <w:szCs w:val="15"/>
          <w:b w:val="1"/>
          <w:bCs w:val="1"/>
          <w:color w:val="auto"/>
        </w:rPr>
        <w:t xml:space="preserve"> </w:t>
      </w:r>
      <w:r>
        <w:rPr>
          <w:rFonts w:ascii="Arial" w:cs="Arial" w:eastAsia="Arial" w:hAnsi="Arial"/>
          <w:sz w:val="15"/>
          <w:szCs w:val="15"/>
          <w:color w:val="auto"/>
        </w:rPr>
        <w:t>principally and/or primarily for accounting and administrative offices; (ii) use of the Innovation Area principally and/or primarily for conference center and/or meeting room facilities; (iii) use of the Innovation Area principally and/or primarily as a data center or computer room; (iv) use of the Innovation Area principally and/or primarily for classrooms or training rooms; (v) use of the Innovation Area principally and/or primarily for storage; (vi) use of the Innovation Area principally and/or primarily for retail uses; or (vii) use of the Innovation Area principally and/or primarily for uses that are open to the general public.</w:t>
      </w:r>
    </w:p>
    <w:p>
      <w:pPr>
        <w:spacing w:after="0" w:line="134" w:lineRule="exact"/>
        <w:rPr>
          <w:sz w:val="20"/>
          <w:szCs w:val="20"/>
          <w:color w:val="auto"/>
        </w:rPr>
      </w:pPr>
    </w:p>
    <w:p>
      <w:pPr>
        <w:jc w:val="both"/>
        <w:ind w:left="1220" w:right="1239" w:firstLine="505"/>
        <w:spacing w:after="0" w:line="235" w:lineRule="auto"/>
        <w:rPr>
          <w:sz w:val="20"/>
          <w:szCs w:val="20"/>
          <w:color w:val="auto"/>
        </w:rPr>
      </w:pPr>
      <w:r>
        <w:rPr>
          <w:rFonts w:ascii="Arial" w:cs="Arial" w:eastAsia="Arial" w:hAnsi="Arial"/>
          <w:sz w:val="15"/>
          <w:szCs w:val="15"/>
          <w:b w:val="1"/>
          <w:bCs w:val="1"/>
          <w:color w:val="auto"/>
        </w:rPr>
        <w:t xml:space="preserve">Prohibited Use: </w:t>
      </w:r>
      <w:r>
        <w:rPr>
          <w:rFonts w:ascii="Arial" w:cs="Arial" w:eastAsia="Arial" w:hAnsi="Arial"/>
          <w:sz w:val="15"/>
          <w:szCs w:val="15"/>
          <w:color w:val="auto"/>
        </w:rPr>
        <w:t>Any use or occupancy of the Premises that in Landlord’s reasonable</w:t>
      </w:r>
      <w:r>
        <w:rPr>
          <w:rFonts w:ascii="Arial" w:cs="Arial" w:eastAsia="Arial" w:hAnsi="Arial"/>
          <w:sz w:val="15"/>
          <w:szCs w:val="15"/>
          <w:b w:val="1"/>
          <w:bCs w:val="1"/>
          <w:color w:val="auto"/>
        </w:rPr>
        <w:t xml:space="preserve"> </w:t>
      </w:r>
      <w:r>
        <w:rPr>
          <w:rFonts w:ascii="Arial" w:cs="Arial" w:eastAsia="Arial" w:hAnsi="Arial"/>
          <w:sz w:val="15"/>
          <w:szCs w:val="15"/>
          <w:color w:val="auto"/>
        </w:rPr>
        <w:t>judgment would: (a) cause damage to the Building or any equipment, facilities or other systems therein; (b) impair the appearance of the Building; (c) interfere with the efficient and economical maintenance, operation and repair of the Premises or the Building or the equipment, facilities or systems thereof; (d) adversely affect any service provided to, and/or the use and occupancy by, any Building tenant or occupants; (e) not comply with applicable Requirements; or (f) constitute a nuisance or cause harmful air emissions, laboratory odors or noises. Prohibited Use also includes the use of any part of the Premises for: (i) the manufacturing of biotechnology or pharmaceutical products, (ii) the use of any radioactive materials, of any kind whatsoever, (iii) a restaurant or bar; (iv) the preparation, consumption, storage, manufacture or sale of food or beverages (except in connection with vending machines and/or warming kitchens installed for the use of Tenant’s employees only; (v) the business of printing; (vi) a school or classroom (excepting only for employees, customers and consultants of Tenant); (vii) lodging or sleeping;</w:t>
      </w:r>
    </w:p>
    <w:p>
      <w:pPr>
        <w:spacing w:after="0" w:line="7" w:lineRule="exact"/>
        <w:rPr>
          <w:sz w:val="20"/>
          <w:szCs w:val="20"/>
          <w:color w:val="auto"/>
        </w:rPr>
      </w:pPr>
    </w:p>
    <w:p>
      <w:pPr>
        <w:jc w:val="both"/>
        <w:ind w:left="1220" w:right="1239" w:firstLine="4"/>
        <w:spacing w:after="0" w:line="236" w:lineRule="auto"/>
        <w:tabs>
          <w:tab w:leader="none" w:pos="1556" w:val="left"/>
        </w:tabs>
        <w:numPr>
          <w:ilvl w:val="0"/>
          <w:numId w:val="680"/>
        </w:numPr>
        <w:rPr>
          <w:rFonts w:ascii="Arial" w:cs="Arial" w:eastAsia="Arial" w:hAnsi="Arial"/>
          <w:sz w:val="15"/>
          <w:szCs w:val="15"/>
          <w:color w:val="auto"/>
        </w:rPr>
      </w:pPr>
      <w:r>
        <w:rPr>
          <w:rFonts w:ascii="Arial" w:cs="Arial" w:eastAsia="Arial" w:hAnsi="Arial"/>
          <w:sz w:val="15"/>
          <w:szCs w:val="15"/>
          <w:color w:val="auto"/>
        </w:rPr>
        <w:t>the operation of retail facilities (meaning a business whose primary patronage arises from the generalized solicitation of the general public to visit Tenant’s offices in person without a prior appointment) of a savings and loan association or retail facilities of any financial, lending, securities brokerage or investment activity; (ix) a payroll office; (x) a barber, beauty or manicure shop; (xi) an employment agency or similar enterprise; (xii) offices of any Governmental Authority, any foreign government, or any agency or department of the foregoing; (xiii) the manufacture, retail sale, storage of merchandise or auction of merchandise, goods or property of any kind to the general public which could reasonably be expected to create a volume of pedestrian traffic substantially in excess of that normally encountered in first-class laboratory, research and development and office buildings; (xiv) the rendering of patient on-site medical, dental or other therapeutic or diagnostic services; or (xv) any illegal purposes or any activity constituting a nuisance.</w:t>
      </w:r>
    </w:p>
    <w:p>
      <w:pPr>
        <w:spacing w:after="0" w:line="135"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Related Entity: </w:t>
      </w:r>
      <w:r>
        <w:rPr>
          <w:rFonts w:ascii="Arial" w:cs="Arial" w:eastAsia="Arial" w:hAnsi="Arial"/>
          <w:sz w:val="15"/>
          <w:szCs w:val="15"/>
          <w:color w:val="auto"/>
        </w:rPr>
        <w:t>A business entity which Controls, is Controlled by, or is under Common</w:t>
      </w:r>
      <w:r>
        <w:rPr>
          <w:rFonts w:ascii="Arial" w:cs="Arial" w:eastAsia="Arial" w:hAnsi="Arial"/>
          <w:sz w:val="15"/>
          <w:szCs w:val="15"/>
          <w:b w:val="1"/>
          <w:bCs w:val="1"/>
          <w:color w:val="auto"/>
        </w:rPr>
        <w:t xml:space="preserve"> </w:t>
      </w:r>
      <w:r>
        <w:rPr>
          <w:rFonts w:ascii="Arial" w:cs="Arial" w:eastAsia="Arial" w:hAnsi="Arial"/>
          <w:sz w:val="15"/>
          <w:szCs w:val="15"/>
          <w:color w:val="auto"/>
        </w:rPr>
        <w:t>Control with, the original tenant named herein.</w:t>
      </w:r>
    </w:p>
    <w:p>
      <w:pPr>
        <w:spacing w:after="0" w:line="106"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Requirements: </w:t>
      </w:r>
      <w:r>
        <w:rPr>
          <w:rFonts w:ascii="Arial" w:cs="Arial" w:eastAsia="Arial" w:hAnsi="Arial"/>
          <w:sz w:val="15"/>
          <w:szCs w:val="15"/>
          <w:color w:val="auto"/>
        </w:rPr>
        <w:t>All present and future laws, rules, orders, ordinances, regulations,</w:t>
      </w:r>
      <w:r>
        <w:rPr>
          <w:rFonts w:ascii="Arial" w:cs="Arial" w:eastAsia="Arial" w:hAnsi="Arial"/>
          <w:sz w:val="15"/>
          <w:szCs w:val="15"/>
          <w:b w:val="1"/>
          <w:bCs w:val="1"/>
          <w:color w:val="auto"/>
        </w:rPr>
        <w:t xml:space="preserve"> </w:t>
      </w:r>
      <w:r>
        <w:rPr>
          <w:rFonts w:ascii="Arial" w:cs="Arial" w:eastAsia="Arial" w:hAnsi="Arial"/>
          <w:sz w:val="15"/>
          <w:szCs w:val="15"/>
          <w:color w:val="auto"/>
        </w:rPr>
        <w:t>statutes, requirements, codes and executive orders, extraordinary and ordinary of (i) all Governmental Authorities, including the Zoning Code of the City of Boston; the ADA and any law of like import, and all rules, regulations and government orders with respect thereto, and any of the foregoing relating to Hazardous Materials, environmental matters, public health and safety matters, and landmarks protection, and (ii) any applicable fire rating bureau or other body exercising similar functions, affecting the Real Property or the maintenance, use or occupation thereof, or any street, avenue or sidewalk comprising a part of or in front thereof or any vault in or under the same.</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5" w:name="page756"/>
    <w:bookmarkEnd w:id="755"/>
    <w:p>
      <w:pPr>
        <w:spacing w:after="0" w:line="28" w:lineRule="exact"/>
        <w:rPr>
          <w:sz w:val="20"/>
          <w:szCs w:val="20"/>
          <w:color w:val="auto"/>
        </w:rPr>
      </w:pPr>
    </w:p>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Rules and Regulations: </w:t>
      </w:r>
      <w:r>
        <w:rPr>
          <w:rFonts w:ascii="Arial" w:cs="Arial" w:eastAsia="Arial" w:hAnsi="Arial"/>
          <w:sz w:val="15"/>
          <w:szCs w:val="15"/>
          <w:color w:val="auto"/>
        </w:rPr>
        <w:t>The rules and regulations annexed to and made a part of this</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Lease as </w:t>
      </w:r>
      <w:r>
        <w:rPr>
          <w:rFonts w:ascii="Arial" w:cs="Arial" w:eastAsia="Arial" w:hAnsi="Arial"/>
          <w:sz w:val="15"/>
          <w:szCs w:val="15"/>
          <w:b w:val="1"/>
          <w:bCs w:val="1"/>
          <w:color w:val="auto"/>
        </w:rPr>
        <w:t>Exhibit F</w:t>
      </w:r>
      <w:r>
        <w:rPr>
          <w:rFonts w:ascii="Arial" w:cs="Arial" w:eastAsia="Arial" w:hAnsi="Arial"/>
          <w:sz w:val="15"/>
          <w:szCs w:val="15"/>
          <w:color w:val="auto"/>
        </w:rPr>
        <w:t>, as they may be modified from time to time by Landlord, in accordance with the provisions of this Lease.</w:t>
      </w:r>
    </w:p>
    <w:p>
      <w:pPr>
        <w:spacing w:after="0" w:line="123" w:lineRule="exact"/>
        <w:rPr>
          <w:sz w:val="20"/>
          <w:szCs w:val="20"/>
          <w:color w:val="auto"/>
        </w:rPr>
      </w:pPr>
    </w:p>
    <w:p>
      <w:pPr>
        <w:ind w:left="1220" w:right="1239" w:firstLine="505"/>
        <w:spacing w:after="0" w:line="242" w:lineRule="auto"/>
        <w:rPr>
          <w:sz w:val="20"/>
          <w:szCs w:val="20"/>
          <w:color w:val="auto"/>
        </w:rPr>
      </w:pPr>
      <w:r>
        <w:rPr>
          <w:rFonts w:ascii="Arial" w:cs="Arial" w:eastAsia="Arial" w:hAnsi="Arial"/>
          <w:sz w:val="15"/>
          <w:szCs w:val="15"/>
          <w:b w:val="1"/>
          <w:bCs w:val="1"/>
          <w:color w:val="auto"/>
        </w:rPr>
        <w:t xml:space="preserve">Specialty Alterations: </w:t>
      </w:r>
      <w:r>
        <w:rPr>
          <w:rFonts w:ascii="Arial" w:cs="Arial" w:eastAsia="Arial" w:hAnsi="Arial"/>
          <w:sz w:val="15"/>
          <w:szCs w:val="15"/>
          <w:color w:val="auto"/>
        </w:rPr>
        <w:t>Alterations which are reasonably determined by Landlord to be</w:t>
      </w:r>
      <w:r>
        <w:rPr>
          <w:rFonts w:ascii="Arial" w:cs="Arial" w:eastAsia="Arial" w:hAnsi="Arial"/>
          <w:sz w:val="15"/>
          <w:szCs w:val="15"/>
          <w:b w:val="1"/>
          <w:bCs w:val="1"/>
          <w:color w:val="auto"/>
        </w:rPr>
        <w:t xml:space="preserve"> </w:t>
      </w:r>
      <w:r>
        <w:rPr>
          <w:rFonts w:ascii="Arial" w:cs="Arial" w:eastAsia="Arial" w:hAnsi="Arial"/>
          <w:sz w:val="15"/>
          <w:szCs w:val="15"/>
          <w:color w:val="auto"/>
        </w:rPr>
        <w:t>inconsistent with the standards of customary first-class research, laboratory and animal science facilities in the Boston, Massachusetts area, such as kitchens, executive bathrooms, raised computer floors, vaults, staircases which are not Permitted Internal Staircases, slab penetrations, conveyors, and other Alterations of a similar character. Without limitation, laboratory equipment shall not automatically constitute Specialty Alterations.</w:t>
      </w:r>
    </w:p>
    <w:p>
      <w:pPr>
        <w:spacing w:after="0" w:line="134" w:lineRule="exact"/>
        <w:rPr>
          <w:sz w:val="20"/>
          <w:szCs w:val="20"/>
          <w:color w:val="auto"/>
        </w:rPr>
      </w:pPr>
    </w:p>
    <w:p>
      <w:pPr>
        <w:jc w:val="both"/>
        <w:ind w:left="1220" w:right="1239" w:firstLine="505"/>
        <w:spacing w:after="0" w:line="255" w:lineRule="auto"/>
        <w:rPr>
          <w:sz w:val="20"/>
          <w:szCs w:val="20"/>
          <w:color w:val="auto"/>
        </w:rPr>
      </w:pPr>
      <w:r>
        <w:rPr>
          <w:rFonts w:ascii="Arial" w:cs="Arial" w:eastAsia="Arial" w:hAnsi="Arial"/>
          <w:sz w:val="15"/>
          <w:szCs w:val="15"/>
          <w:b w:val="1"/>
          <w:bCs w:val="1"/>
          <w:color w:val="auto"/>
        </w:rPr>
        <w:t xml:space="preserve">Superior Lease(s): </w:t>
      </w:r>
      <w:r>
        <w:rPr>
          <w:rFonts w:ascii="Arial" w:cs="Arial" w:eastAsia="Arial" w:hAnsi="Arial"/>
          <w:sz w:val="15"/>
          <w:szCs w:val="15"/>
          <w:color w:val="auto"/>
        </w:rPr>
        <w:t>Any ground or underlying lease of the Real Property or any part</w:t>
      </w:r>
      <w:r>
        <w:rPr>
          <w:rFonts w:ascii="Arial" w:cs="Arial" w:eastAsia="Arial" w:hAnsi="Arial"/>
          <w:sz w:val="15"/>
          <w:szCs w:val="15"/>
          <w:b w:val="1"/>
          <w:bCs w:val="1"/>
          <w:color w:val="auto"/>
        </w:rPr>
        <w:t xml:space="preserve"> </w:t>
      </w:r>
      <w:r>
        <w:rPr>
          <w:rFonts w:ascii="Arial" w:cs="Arial" w:eastAsia="Arial" w:hAnsi="Arial"/>
          <w:sz w:val="15"/>
          <w:szCs w:val="15"/>
          <w:color w:val="auto"/>
        </w:rPr>
        <w:t>thereof heretofore or hereafter made by Landlord and all renewals, extensions, supplements, amendments, modifications, consolidations, and replacements thereof.</w:t>
      </w:r>
    </w:p>
    <w:p>
      <w:pPr>
        <w:spacing w:after="0" w:line="123"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Tenant Delay: </w:t>
      </w:r>
      <w:r>
        <w:rPr>
          <w:rFonts w:ascii="Arial" w:cs="Arial" w:eastAsia="Arial" w:hAnsi="Arial"/>
          <w:sz w:val="15"/>
          <w:szCs w:val="15"/>
          <w:color w:val="auto"/>
        </w:rPr>
        <w:t>Any delay which results from any act or omission of any Tenant Party,</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delays due to changes in or additions to, or interference with any work to be done by Landlord, or delays by Tenant in submission of information approving working drawings or plans or estimates or giving authorizations or approvals.</w:t>
      </w:r>
    </w:p>
    <w:p>
      <w:pPr>
        <w:spacing w:after="0" w:line="128" w:lineRule="exact"/>
        <w:rPr>
          <w:sz w:val="20"/>
          <w:szCs w:val="20"/>
          <w:color w:val="auto"/>
        </w:rPr>
      </w:pPr>
    </w:p>
    <w:p>
      <w:pPr>
        <w:jc w:val="both"/>
        <w:ind w:left="1220" w:right="1239" w:firstLine="505"/>
        <w:spacing w:after="0" w:line="277" w:lineRule="auto"/>
        <w:rPr>
          <w:sz w:val="20"/>
          <w:szCs w:val="20"/>
          <w:color w:val="auto"/>
        </w:rPr>
      </w:pPr>
      <w:r>
        <w:rPr>
          <w:rFonts w:ascii="Arial" w:cs="Arial" w:eastAsia="Arial" w:hAnsi="Arial"/>
          <w:sz w:val="15"/>
          <w:szCs w:val="15"/>
          <w:b w:val="1"/>
          <w:bCs w:val="1"/>
          <w:color w:val="auto"/>
        </w:rPr>
        <w:t xml:space="preserve">Tenant Party: </w:t>
      </w:r>
      <w:r>
        <w:rPr>
          <w:rFonts w:ascii="Arial" w:cs="Arial" w:eastAsia="Arial" w:hAnsi="Arial"/>
          <w:sz w:val="15"/>
          <w:szCs w:val="15"/>
          <w:color w:val="auto"/>
        </w:rPr>
        <w:t>Tenant and any subtenants or occupants of the Premises and their</w:t>
      </w:r>
      <w:r>
        <w:rPr>
          <w:rFonts w:ascii="Arial" w:cs="Arial" w:eastAsia="Arial" w:hAnsi="Arial"/>
          <w:sz w:val="15"/>
          <w:szCs w:val="15"/>
          <w:b w:val="1"/>
          <w:bCs w:val="1"/>
          <w:color w:val="auto"/>
        </w:rPr>
        <w:t xml:space="preserve"> </w:t>
      </w:r>
      <w:r>
        <w:rPr>
          <w:rFonts w:ascii="Arial" w:cs="Arial" w:eastAsia="Arial" w:hAnsi="Arial"/>
          <w:sz w:val="15"/>
          <w:szCs w:val="15"/>
          <w:color w:val="auto"/>
        </w:rPr>
        <w:t>respective agents, contractors, subcontractors, employees, invitees or licensees.</w:t>
      </w:r>
    </w:p>
    <w:p>
      <w:pPr>
        <w:spacing w:after="0" w:line="106" w:lineRule="exact"/>
        <w:rPr>
          <w:sz w:val="20"/>
          <w:szCs w:val="20"/>
          <w:color w:val="auto"/>
        </w:rPr>
      </w:pPr>
    </w:p>
    <w:p>
      <w:pPr>
        <w:jc w:val="both"/>
        <w:ind w:left="1220" w:right="1239" w:firstLine="505"/>
        <w:spacing w:after="0" w:line="248" w:lineRule="auto"/>
        <w:rPr>
          <w:sz w:val="20"/>
          <w:szCs w:val="20"/>
          <w:color w:val="auto"/>
        </w:rPr>
      </w:pPr>
      <w:r>
        <w:rPr>
          <w:rFonts w:ascii="Arial" w:cs="Arial" w:eastAsia="Arial" w:hAnsi="Arial"/>
          <w:sz w:val="15"/>
          <w:szCs w:val="15"/>
          <w:b w:val="1"/>
          <w:bCs w:val="1"/>
          <w:color w:val="auto"/>
        </w:rPr>
        <w:t xml:space="preserve">Tenant’s Property: </w:t>
      </w:r>
      <w:r>
        <w:rPr>
          <w:rFonts w:ascii="Arial" w:cs="Arial" w:eastAsia="Arial" w:hAnsi="Arial"/>
          <w:sz w:val="15"/>
          <w:szCs w:val="15"/>
          <w:color w:val="auto"/>
        </w:rPr>
        <w:t>Tenant’s moveable fixtures and moveable partitions, telephone and</w:t>
      </w:r>
      <w:r>
        <w:rPr>
          <w:rFonts w:ascii="Arial" w:cs="Arial" w:eastAsia="Arial" w:hAnsi="Arial"/>
          <w:sz w:val="15"/>
          <w:szCs w:val="15"/>
          <w:b w:val="1"/>
          <w:bCs w:val="1"/>
          <w:color w:val="auto"/>
        </w:rPr>
        <w:t xml:space="preserve"> </w:t>
      </w:r>
      <w:r>
        <w:rPr>
          <w:rFonts w:ascii="Arial" w:cs="Arial" w:eastAsia="Arial" w:hAnsi="Arial"/>
          <w:sz w:val="15"/>
          <w:szCs w:val="15"/>
          <w:color w:val="auto"/>
        </w:rPr>
        <w:t>other equipment, telecommunications data and other cabling, computer systems, trade fixtures, furniture, modular furniture, partitions, furnishings, Rooftop Equipment, animals, and other items of personal property which are removable without material damage to the Building.</w:t>
      </w:r>
    </w:p>
    <w:p>
      <w:pPr>
        <w:spacing w:after="0" w:line="128" w:lineRule="exact"/>
        <w:rPr>
          <w:sz w:val="20"/>
          <w:szCs w:val="20"/>
          <w:color w:val="auto"/>
        </w:rPr>
      </w:pPr>
    </w:p>
    <w:p>
      <w:pPr>
        <w:jc w:val="both"/>
        <w:ind w:left="1220" w:right="1239" w:firstLine="505"/>
        <w:spacing w:after="0"/>
        <w:rPr>
          <w:sz w:val="20"/>
          <w:szCs w:val="20"/>
          <w:color w:val="auto"/>
        </w:rPr>
      </w:pPr>
      <w:r>
        <w:rPr>
          <w:rFonts w:ascii="Arial" w:cs="Arial" w:eastAsia="Arial" w:hAnsi="Arial"/>
          <w:sz w:val="15"/>
          <w:szCs w:val="15"/>
          <w:b w:val="1"/>
          <w:bCs w:val="1"/>
          <w:color w:val="auto"/>
        </w:rPr>
        <w:t xml:space="preserve">Unavoidable Delays: </w:t>
      </w:r>
      <w:r>
        <w:rPr>
          <w:rFonts w:ascii="Arial" w:cs="Arial" w:eastAsia="Arial" w:hAnsi="Arial"/>
          <w:sz w:val="15"/>
          <w:szCs w:val="15"/>
          <w:color w:val="auto"/>
        </w:rPr>
        <w:t>Either party’s inability to fulfill or delay in fulfilling any of its</w:t>
      </w:r>
      <w:r>
        <w:rPr>
          <w:rFonts w:ascii="Arial" w:cs="Arial" w:eastAsia="Arial" w:hAnsi="Arial"/>
          <w:sz w:val="15"/>
          <w:szCs w:val="15"/>
          <w:b w:val="1"/>
          <w:bCs w:val="1"/>
          <w:color w:val="auto"/>
        </w:rPr>
        <w:t xml:space="preserve"> </w:t>
      </w:r>
      <w:r>
        <w:rPr>
          <w:rFonts w:ascii="Arial" w:cs="Arial" w:eastAsia="Arial" w:hAnsi="Arial"/>
          <w:sz w:val="15"/>
          <w:szCs w:val="15"/>
          <w:color w:val="auto"/>
        </w:rPr>
        <w:t>obligations under this Lease expressly or impliedly to be performed by such party or such party’s inability to make or delay in making any repairs, additions, alterations, improvements or decorations or such party’s inability to supply or delay in supplying any equipment or fixtures, if such party’s inability or delay arises out of or results from any cause beyond such party’s reasonable control, including, without limitation, any of the following: (a) acts of God; (b) flood, tsunami, fire, earthquake, explosion, hurricane and other natural disaster and weather event; (c) disease, pestilence, epidemic, pandemic, quarantine or other public health emergency; (d) war, invasion, hostilities (whether war is declared or not), terrorist threat or act, riot or other civil unrest; (e) order of a governmental authority or law; (f) embargo or blockade; (g) action by any Governmental Authority; (h) national or regional emergency; (i) strike, labor stoppage or slowdown or other labor disturbance; (j) shortage of adequate power or transportation services or facilities; and (k) shortage of labor, materials or fuel, or a disruption of a supply chain; provided, however (i) in no event shall financial inability be deemed to be or be a cause of an Unavoidable Delay, and (ii) in no event shall any Unavoidable Delay in any way affect, reduce or abate the obligation of Tenant timely to pay all Rent and other charges payable by Tenant pursuant to the terms of this Lease. Notice of the occurrence of any such Unavoidable Delay shall be given by the claiming party to the other party not more than five (5) days after the party acquires actual knowledge of the Unavoidable Delay or the circumstances giving rise to the Unavoidable Delay.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756" w:name="page757"/>
    <w:bookmarkEnd w:id="756"/>
    <w:p>
      <w:pPr>
        <w:jc w:val="center"/>
        <w:ind w:right="19"/>
        <w:spacing w:after="0"/>
        <w:rPr>
          <w:sz w:val="20"/>
          <w:szCs w:val="20"/>
          <w:color w:val="auto"/>
        </w:rPr>
      </w:pPr>
      <w:r>
        <w:rPr>
          <w:rFonts w:ascii="Arial" w:cs="Arial" w:eastAsia="Arial" w:hAnsi="Arial"/>
          <w:sz w:val="15"/>
          <w:szCs w:val="15"/>
          <w:b w:val="1"/>
          <w:bCs w:val="1"/>
          <w:color w:val="000001"/>
        </w:rPr>
        <w:t>EXHIBIT C</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PLANS SHOWING OFFICE AREAS, LAB AREAS, AND FLEX AREAS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57" w:name="page758"/>
    <w:bookmarkEnd w:id="757"/>
    <w:p>
      <w:pPr>
        <w:jc w:val="center"/>
        <w:ind w:right="39"/>
        <w:spacing w:after="0"/>
        <w:rPr>
          <w:sz w:val="20"/>
          <w:szCs w:val="20"/>
          <w:color w:val="auto"/>
        </w:rPr>
      </w:pPr>
      <w:r>
        <w:rPr>
          <w:rFonts w:ascii="Arial" w:cs="Arial" w:eastAsia="Arial" w:hAnsi="Arial"/>
          <w:sz w:val="15"/>
          <w:szCs w:val="15"/>
          <w:b w:val="1"/>
          <w:bCs w:val="1"/>
          <w:color w:val="auto"/>
        </w:rPr>
        <w:t>EXHIBIT D-1</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SCHEDULE OF BASE BUILDING WORK PLANS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758" w:name="page759"/>
    <w:bookmarkEnd w:id="758"/>
    <w:p>
      <w:pPr>
        <w:jc w:val="center"/>
        <w:spacing w:after="0"/>
        <w:rPr>
          <w:sz w:val="20"/>
          <w:szCs w:val="20"/>
          <w:color w:val="auto"/>
        </w:rPr>
      </w:pPr>
      <w:r>
        <w:rPr>
          <w:rFonts w:ascii="Arial" w:cs="Arial" w:eastAsia="Arial" w:hAnsi="Arial"/>
          <w:sz w:val="15"/>
          <w:szCs w:val="15"/>
          <w:b w:val="1"/>
          <w:bCs w:val="1"/>
          <w:color w:val="000001"/>
        </w:rPr>
        <w:t>EXHIBIT D-2</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BASE BUILDING WORK MATRIX</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59" w:name="page760"/>
    <w:bookmarkEnd w:id="759"/>
    <w:p>
      <w:pPr>
        <w:jc w:val="center"/>
        <w:ind w:right="19"/>
        <w:spacing w:after="0"/>
        <w:rPr>
          <w:sz w:val="20"/>
          <w:szCs w:val="20"/>
          <w:color w:val="auto"/>
        </w:rPr>
      </w:pPr>
      <w:r>
        <w:rPr>
          <w:rFonts w:ascii="Arial" w:cs="Arial" w:eastAsia="Arial" w:hAnsi="Arial"/>
          <w:sz w:val="15"/>
          <w:szCs w:val="15"/>
          <w:b w:val="1"/>
          <w:bCs w:val="1"/>
          <w:color w:val="auto"/>
        </w:rPr>
        <w:t>EXHIBIT D-3</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LANDLORD’S WORK- DESIGN NARRATIVE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D-3-1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309" w:right="1440" w:bottom="1440" w:gutter="0" w:footer="0" w:header="0"/>
        </w:sectPr>
      </w:pPr>
    </w:p>
    <w:bookmarkStart w:id="760" w:name="page761"/>
    <w:bookmarkEnd w:id="760"/>
    <w:p>
      <w:pPr>
        <w:jc w:val="center"/>
        <w:ind w:right="19"/>
        <w:spacing w:after="0"/>
        <w:rPr>
          <w:sz w:val="20"/>
          <w:szCs w:val="20"/>
          <w:color w:val="auto"/>
        </w:rPr>
      </w:pPr>
      <w:r>
        <w:rPr>
          <w:rFonts w:ascii="Arial" w:cs="Arial" w:eastAsia="Arial" w:hAnsi="Arial"/>
          <w:sz w:val="15"/>
          <w:szCs w:val="15"/>
          <w:b w:val="1"/>
          <w:bCs w:val="1"/>
          <w:color w:val="000001"/>
        </w:rPr>
        <w:t>EXHIBIT 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SCHEDULE OF TENANT'S HAZARDOUS MATERIALS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79415" cy="38735"/>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547941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61" w:name="page762"/>
    <w:bookmarkEnd w:id="761"/>
    <w:p>
      <w:pPr>
        <w:jc w:val="center"/>
        <w:spacing w:after="0"/>
        <w:rPr>
          <w:sz w:val="20"/>
          <w:szCs w:val="20"/>
          <w:color w:val="auto"/>
        </w:rPr>
      </w:pPr>
      <w:r>
        <w:rPr>
          <w:rFonts w:ascii="Arial" w:cs="Arial" w:eastAsia="Arial" w:hAnsi="Arial"/>
          <w:sz w:val="15"/>
          <w:szCs w:val="15"/>
          <w:b w:val="1"/>
          <w:bCs w:val="1"/>
          <w:color w:val="auto"/>
        </w:rPr>
        <w:t>EXHIBIT F</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RULES AND REGULATIONS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762" w:name="page763"/>
    <w:bookmarkEnd w:id="762"/>
    <w:p>
      <w:pPr>
        <w:jc w:val="center"/>
        <w:ind w:right="19"/>
        <w:spacing w:after="0"/>
        <w:rPr>
          <w:sz w:val="20"/>
          <w:szCs w:val="20"/>
          <w:color w:val="auto"/>
        </w:rPr>
      </w:pPr>
      <w:r>
        <w:rPr>
          <w:rFonts w:ascii="Arial" w:cs="Arial" w:eastAsia="Arial" w:hAnsi="Arial"/>
          <w:sz w:val="15"/>
          <w:szCs w:val="15"/>
          <w:b w:val="1"/>
          <w:bCs w:val="1"/>
          <w:color w:val="auto"/>
        </w:rPr>
        <w:t>EXHIBIT G</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FORM OF COMMENCEMENT DATE AGREEMENT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u w:val="single" w:color="auto"/>
          <w:color w:val="auto"/>
        </w:rPr>
        <w:t>Lease Commencement Date Agreement</w:t>
      </w:r>
    </w:p>
    <w:p>
      <w:pPr>
        <w:spacing w:after="0" w:line="164" w:lineRule="exact"/>
        <w:rPr>
          <w:sz w:val="20"/>
          <w:szCs w:val="20"/>
          <w:color w:val="auto"/>
        </w:rPr>
      </w:pPr>
    </w:p>
    <w:p>
      <w:pPr>
        <w:ind w:left="1220"/>
        <w:spacing w:after="0"/>
        <w:tabs>
          <w:tab w:leader="none" w:pos="6740" w:val="left"/>
          <w:tab w:leader="none" w:pos="7720" w:val="left"/>
        </w:tabs>
        <w:rPr>
          <w:sz w:val="20"/>
          <w:szCs w:val="20"/>
          <w:color w:val="auto"/>
        </w:rPr>
      </w:pPr>
      <w:r>
        <w:rPr>
          <w:rFonts w:ascii="Arial" w:cs="Arial" w:eastAsia="Arial" w:hAnsi="Arial"/>
          <w:sz w:val="15"/>
          <w:szCs w:val="15"/>
          <w:color w:val="auto"/>
        </w:rPr>
        <w:t>THIS LEASE COMMENCEMENT DATE AGREEMENT, made as of this</w:t>
      </w:r>
      <w:r>
        <w:rPr>
          <w:sz w:val="20"/>
          <w:szCs w:val="20"/>
          <w:color w:val="auto"/>
        </w:rPr>
        <w:tab/>
      </w:r>
      <w:r>
        <w:rPr>
          <w:rFonts w:ascii="Arial" w:cs="Arial" w:eastAsia="Arial" w:hAnsi="Arial"/>
          <w:sz w:val="15"/>
          <w:szCs w:val="15"/>
          <w:color w:val="auto"/>
        </w:rPr>
        <w:t>day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-4445</wp:posOffset>
            </wp:positionV>
            <wp:extent cx="277495" cy="698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277495" cy="6985"/>
                    </a:xfrm>
                    <a:prstGeom prst="rect">
                      <a:avLst/>
                    </a:prstGeom>
                    <a:noFill/>
                  </pic:spPr>
                </pic:pic>
              </a:graphicData>
            </a:graphic>
          </wp:anchor>
        </w:drawing>
        <w:drawing>
          <wp:anchor simplePos="0" relativeHeight="251657728" behindDoc="1" locked="0" layoutInCell="0" allowOverlap="1">
            <wp:simplePos x="0" y="0"/>
            <wp:positionH relativeFrom="column">
              <wp:posOffset>4593590</wp:posOffset>
            </wp:positionH>
            <wp:positionV relativeFrom="paragraph">
              <wp:posOffset>-4445</wp:posOffset>
            </wp:positionV>
            <wp:extent cx="318135" cy="698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318135" cy="6985"/>
                    </a:xfrm>
                    <a:prstGeom prst="rect">
                      <a:avLst/>
                    </a:prstGeom>
                    <a:noFill/>
                  </pic:spPr>
                </pic:pic>
              </a:graphicData>
            </a:graphic>
          </wp:anchor>
        </w:drawing>
      </w:r>
    </w:p>
    <w:p>
      <w:pPr>
        <w:ind w:left="1220"/>
        <w:spacing w:after="0"/>
        <w:rPr>
          <w:sz w:val="20"/>
          <w:szCs w:val="20"/>
          <w:color w:val="auto"/>
        </w:rPr>
      </w:pPr>
      <w:r>
        <w:rPr>
          <w:rFonts w:ascii="Arial" w:cs="Arial" w:eastAsia="Arial" w:hAnsi="Arial"/>
          <w:sz w:val="15"/>
          <w:szCs w:val="15"/>
          <w:color w:val="auto"/>
        </w:rPr>
        <w:t>202_, by and between 105 W FIRST STREET OWNER, L.L.C., a Delaware limited liability</w:t>
      </w:r>
    </w:p>
    <w:p>
      <w:pPr>
        <w:ind w:left="1220"/>
        <w:spacing w:after="0"/>
        <w:tabs>
          <w:tab w:leader="none" w:pos="5680" w:val="left"/>
        </w:tabs>
        <w:rPr>
          <w:sz w:val="20"/>
          <w:szCs w:val="20"/>
          <w:color w:val="auto"/>
        </w:rPr>
      </w:pPr>
      <w:r>
        <w:rPr>
          <w:rFonts w:ascii="Arial" w:cs="Arial" w:eastAsia="Arial" w:hAnsi="Arial"/>
          <w:sz w:val="15"/>
          <w:szCs w:val="15"/>
          <w:color w:val="auto"/>
        </w:rPr>
        <w:t>company (“Landlord”), and</w:t>
      </w:r>
      <w:r>
        <w:rPr>
          <w:sz w:val="20"/>
          <w:szCs w:val="20"/>
          <w:color w:val="auto"/>
        </w:rPr>
        <w:tab/>
      </w:r>
      <w:r>
        <w:rPr>
          <w:rFonts w:ascii="Arial" w:cs="Arial" w:eastAsia="Arial" w:hAnsi="Arial"/>
          <w:sz w:val="15"/>
          <w:szCs w:val="15"/>
          <w:color w:val="auto"/>
        </w:rPr>
        <w:t>(“Tenant”).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1957070</wp:posOffset>
            </wp:positionH>
            <wp:positionV relativeFrom="paragraph">
              <wp:posOffset>-13970</wp:posOffset>
            </wp:positionV>
            <wp:extent cx="1630680" cy="698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630680" cy="6985"/>
                    </a:xfrm>
                    <a:prstGeom prst="rect">
                      <a:avLst/>
                    </a:prstGeom>
                    <a:noFill/>
                  </pic:spPr>
                </pic:pic>
              </a:graphicData>
            </a:graphic>
          </wp:anchor>
        </w:drawing>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WITNESSETH:</w:t>
      </w:r>
    </w:p>
    <w:p>
      <w:pPr>
        <w:spacing w:after="0" w:line="164" w:lineRule="exact"/>
        <w:rPr>
          <w:sz w:val="20"/>
          <w:szCs w:val="20"/>
          <w:color w:val="auto"/>
        </w:rPr>
      </w:pPr>
    </w:p>
    <w:p>
      <w:pPr>
        <w:ind w:left="1720"/>
        <w:spacing w:after="0"/>
        <w:rPr>
          <w:sz w:val="20"/>
          <w:szCs w:val="20"/>
          <w:color w:val="auto"/>
        </w:rPr>
      </w:pPr>
      <w:r>
        <w:rPr>
          <w:rFonts w:ascii="Arial" w:cs="Arial" w:eastAsia="Arial" w:hAnsi="Arial"/>
          <w:sz w:val="15"/>
          <w:szCs w:val="15"/>
          <w:color w:val="auto"/>
        </w:rPr>
        <w:t>THAT, WHEREAS, Landlord and Tenant have entered into that certain Lease (the</w:t>
      </w:r>
    </w:p>
    <w:p>
      <w:pPr>
        <w:spacing w:after="0" w:line="10" w:lineRule="exact"/>
        <w:rPr>
          <w:sz w:val="20"/>
          <w:szCs w:val="20"/>
          <w:color w:val="auto"/>
        </w:rPr>
      </w:pPr>
    </w:p>
    <w:p>
      <w:pPr>
        <w:jc w:val="both"/>
        <w:ind w:left="1220" w:right="1239"/>
        <w:spacing w:after="0" w:line="254" w:lineRule="auto"/>
        <w:rPr>
          <w:sz w:val="20"/>
          <w:szCs w:val="20"/>
          <w:color w:val="auto"/>
        </w:rPr>
      </w:pPr>
      <w:r>
        <w:rPr>
          <w:rFonts w:ascii="Arial" w:cs="Arial" w:eastAsia="Arial" w:hAnsi="Arial"/>
          <w:sz w:val="15"/>
          <w:szCs w:val="15"/>
          <w:color w:val="auto"/>
        </w:rPr>
        <w:t>“Lease”) dated as of , 202_, for certain premises located at 105 West First Street in Boston, Massachusetts;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1680210</wp:posOffset>
            </wp:positionH>
            <wp:positionV relativeFrom="paragraph">
              <wp:posOffset>-135890</wp:posOffset>
            </wp:positionV>
            <wp:extent cx="658495" cy="698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658495" cy="6985"/>
                    </a:xfrm>
                    <a:prstGeom prst="rect">
                      <a:avLst/>
                    </a:prstGeom>
                    <a:noFill/>
                  </pic:spPr>
                </pic:pic>
              </a:graphicData>
            </a:graphic>
          </wp:anchor>
        </w:drawing>
      </w:r>
    </w:p>
    <w:p>
      <w:pPr>
        <w:spacing w:after="0" w:line="106" w:lineRule="exact"/>
        <w:rPr>
          <w:sz w:val="20"/>
          <w:szCs w:val="20"/>
          <w:color w:val="auto"/>
        </w:rPr>
      </w:pPr>
    </w:p>
    <w:p>
      <w:pPr>
        <w:jc w:val="both"/>
        <w:ind w:left="1220" w:right="1239" w:firstLine="505"/>
        <w:spacing w:after="0" w:line="274" w:lineRule="auto"/>
        <w:rPr>
          <w:sz w:val="20"/>
          <w:szCs w:val="20"/>
          <w:color w:val="auto"/>
        </w:rPr>
      </w:pPr>
      <w:r>
        <w:rPr>
          <w:rFonts w:ascii="Arial" w:cs="Arial" w:eastAsia="Arial" w:hAnsi="Arial"/>
          <w:sz w:val="15"/>
          <w:szCs w:val="15"/>
          <w:color w:val="auto"/>
        </w:rPr>
        <w:t>WHEREAS, all capitalized words and phrases used in this Agreement and not otherwise defined herein shall have the meanings described to them in the Lease; and</w:t>
      </w:r>
    </w:p>
    <w:p>
      <w:pPr>
        <w:spacing w:after="0" w:line="111" w:lineRule="exact"/>
        <w:rPr>
          <w:sz w:val="20"/>
          <w:szCs w:val="20"/>
          <w:color w:val="auto"/>
        </w:rPr>
      </w:pPr>
    </w:p>
    <w:p>
      <w:pPr>
        <w:jc w:val="both"/>
        <w:ind w:left="1220" w:right="1239" w:firstLine="505"/>
        <w:spacing w:after="0" w:line="259" w:lineRule="auto"/>
        <w:rPr>
          <w:sz w:val="20"/>
          <w:szCs w:val="20"/>
          <w:color w:val="auto"/>
        </w:rPr>
      </w:pPr>
      <w:r>
        <w:rPr>
          <w:rFonts w:ascii="Arial" w:cs="Arial" w:eastAsia="Arial" w:hAnsi="Arial"/>
          <w:sz w:val="15"/>
          <w:szCs w:val="15"/>
          <w:color w:val="auto"/>
        </w:rPr>
        <w:t xml:space="preserve">WHEREAS, Landlord and Tenant have agreed to confirm the Commencement Date, Rent Commencement Date and Expiration Date of the Lease, pursuant to and in accordance with </w:t>
      </w:r>
      <w:r>
        <w:rPr>
          <w:rFonts w:ascii="Arial" w:cs="Arial" w:eastAsia="Arial" w:hAnsi="Arial"/>
          <w:sz w:val="15"/>
          <w:szCs w:val="15"/>
          <w:b w:val="1"/>
          <w:bCs w:val="1"/>
          <w:color w:val="auto"/>
        </w:rPr>
        <w:t>Section 2.2</w:t>
      </w:r>
      <w:r>
        <w:rPr>
          <w:rFonts w:ascii="Arial" w:cs="Arial" w:eastAsia="Arial" w:hAnsi="Arial"/>
          <w:sz w:val="15"/>
          <w:szCs w:val="15"/>
          <w:color w:val="auto"/>
        </w:rPr>
        <w:t xml:space="preserve"> thereof;</w:t>
      </w:r>
    </w:p>
    <w:p>
      <w:pPr>
        <w:spacing w:after="0" w:line="114" w:lineRule="exact"/>
        <w:rPr>
          <w:sz w:val="20"/>
          <w:szCs w:val="20"/>
          <w:color w:val="auto"/>
        </w:rPr>
      </w:pPr>
    </w:p>
    <w:p>
      <w:pPr>
        <w:jc w:val="both"/>
        <w:ind w:left="1220" w:right="1239" w:firstLine="505"/>
        <w:spacing w:after="0" w:line="243" w:lineRule="auto"/>
        <w:rPr>
          <w:sz w:val="20"/>
          <w:szCs w:val="20"/>
          <w:color w:val="auto"/>
        </w:rPr>
      </w:pPr>
      <w:r>
        <w:rPr>
          <w:rFonts w:ascii="Arial" w:cs="Arial" w:eastAsia="Arial" w:hAnsi="Arial"/>
          <w:sz w:val="15"/>
          <w:szCs w:val="15"/>
          <w:color w:val="auto"/>
        </w:rPr>
        <w:t>NOW, THEREFORE, for $10.00 and other good and valuable consideration, the receipt and sufficiency of which are hereby acknowledged, Landlord and Tenant hereby agree that the</w:t>
      </w:r>
    </w:p>
    <w:tbl>
      <w:tblPr>
        <w:tblLayout w:type="fixed"/>
        <w:tblInd w:w="1220" w:type="dxa"/>
        <w:tblCellMar>
          <w:top w:w="0" w:type="dxa"/>
          <w:left w:w="0" w:type="dxa"/>
          <w:bottom w:w="0" w:type="dxa"/>
          <w:right w:w="0" w:type="dxa"/>
        </w:tblCellMar>
      </w:tblPr>
      <w:tr>
        <w:trPr>
          <w:trHeight w:val="151"/>
        </w:trPr>
        <w:tc>
          <w:tcPr>
            <w:tcW w:w="4020" w:type="dxa"/>
            <w:vAlign w:val="bottom"/>
            <w:gridSpan w:val="3"/>
          </w:tcPr>
          <w:p>
            <w:pPr>
              <w:spacing w:after="0" w:line="151" w:lineRule="exact"/>
              <w:rPr>
                <w:sz w:val="20"/>
                <w:szCs w:val="20"/>
                <w:color w:val="auto"/>
              </w:rPr>
            </w:pPr>
            <w:r>
              <w:rPr>
                <w:rFonts w:ascii="Arial" w:cs="Arial" w:eastAsia="Arial" w:hAnsi="Arial"/>
                <w:sz w:val="15"/>
                <w:szCs w:val="15"/>
                <w:color w:val="auto"/>
              </w:rPr>
              <w:t>Commencement Date of the Term of the Lease shall be</w:t>
            </w:r>
          </w:p>
        </w:tc>
        <w:tc>
          <w:tcPr>
            <w:tcW w:w="1380" w:type="dxa"/>
            <w:vAlign w:val="bottom"/>
            <w:tcBorders>
              <w:bottom w:val="single" w:sz="8" w:color="auto"/>
            </w:tcBorders>
          </w:tcPr>
          <w:p>
            <w:pPr>
              <w:spacing w:after="0"/>
              <w:rPr>
                <w:sz w:val="13"/>
                <w:szCs w:val="13"/>
                <w:color w:val="auto"/>
              </w:rPr>
            </w:pPr>
          </w:p>
        </w:tc>
        <w:tc>
          <w:tcPr>
            <w:tcW w:w="1160" w:type="dxa"/>
            <w:vAlign w:val="bottom"/>
            <w:gridSpan w:val="3"/>
          </w:tcPr>
          <w:p>
            <w:pPr>
              <w:jc w:val="right"/>
              <w:spacing w:after="0" w:line="151" w:lineRule="exact"/>
              <w:rPr>
                <w:sz w:val="20"/>
                <w:szCs w:val="20"/>
                <w:color w:val="auto"/>
              </w:rPr>
            </w:pPr>
            <w:r>
              <w:rPr>
                <w:rFonts w:ascii="Arial" w:cs="Arial" w:eastAsia="Arial" w:hAnsi="Arial"/>
                <w:sz w:val="15"/>
                <w:szCs w:val="15"/>
                <w:color w:val="auto"/>
              </w:rPr>
              <w:t>, 202_, the Rent</w:t>
            </w:r>
          </w:p>
        </w:tc>
      </w:tr>
      <w:tr>
        <w:trPr>
          <w:trHeight w:val="148"/>
        </w:trPr>
        <w:tc>
          <w:tcPr>
            <w:tcW w:w="2120" w:type="dxa"/>
            <w:vAlign w:val="bottom"/>
          </w:tcPr>
          <w:p>
            <w:pPr>
              <w:spacing w:after="0" w:line="149" w:lineRule="exact"/>
              <w:rPr>
                <w:sz w:val="20"/>
                <w:szCs w:val="20"/>
                <w:color w:val="auto"/>
              </w:rPr>
            </w:pPr>
            <w:r>
              <w:rPr>
                <w:rFonts w:ascii="Arial" w:cs="Arial" w:eastAsia="Arial" w:hAnsi="Arial"/>
                <w:sz w:val="15"/>
                <w:szCs w:val="15"/>
                <w:color w:val="auto"/>
              </w:rPr>
              <w:t>Commencement Date shall be</w:t>
            </w:r>
          </w:p>
        </w:tc>
        <w:tc>
          <w:tcPr>
            <w:tcW w:w="1900" w:type="dxa"/>
            <w:vAlign w:val="bottom"/>
            <w:gridSpan w:val="2"/>
          </w:tcPr>
          <w:p>
            <w:pPr>
              <w:ind w:left="820"/>
              <w:spacing w:after="0" w:line="149" w:lineRule="exact"/>
              <w:rPr>
                <w:sz w:val="20"/>
                <w:szCs w:val="20"/>
                <w:color w:val="auto"/>
              </w:rPr>
            </w:pPr>
            <w:r>
              <w:rPr>
                <w:rFonts w:ascii="Arial" w:cs="Arial" w:eastAsia="Arial" w:hAnsi="Arial"/>
                <w:sz w:val="15"/>
                <w:szCs w:val="15"/>
                <w:color w:val="auto"/>
              </w:rPr>
              <w:t>, 202_, and the</w:t>
            </w:r>
          </w:p>
        </w:tc>
        <w:tc>
          <w:tcPr>
            <w:tcW w:w="1380" w:type="dxa"/>
            <w:vAlign w:val="bottom"/>
          </w:tcPr>
          <w:p>
            <w:pPr>
              <w:spacing w:after="0" w:line="149" w:lineRule="exact"/>
              <w:rPr>
                <w:sz w:val="20"/>
                <w:szCs w:val="20"/>
                <w:color w:val="auto"/>
              </w:rPr>
            </w:pPr>
            <w:r>
              <w:rPr>
                <w:rFonts w:ascii="Arial" w:cs="Arial" w:eastAsia="Arial" w:hAnsi="Arial"/>
                <w:sz w:val="15"/>
                <w:szCs w:val="15"/>
                <w:color w:val="auto"/>
                <w:w w:val="98"/>
              </w:rPr>
              <w:t>Expiration Date shall</w:t>
            </w:r>
          </w:p>
        </w:tc>
        <w:tc>
          <w:tcPr>
            <w:tcW w:w="280" w:type="dxa"/>
            <w:vAlign w:val="bottom"/>
          </w:tcPr>
          <w:p>
            <w:pPr>
              <w:ind w:left="60"/>
              <w:spacing w:after="0" w:line="149" w:lineRule="exact"/>
              <w:rPr>
                <w:sz w:val="20"/>
                <w:szCs w:val="20"/>
                <w:color w:val="auto"/>
              </w:rPr>
            </w:pPr>
            <w:r>
              <w:rPr>
                <w:rFonts w:ascii="Arial" w:cs="Arial" w:eastAsia="Arial" w:hAnsi="Arial"/>
                <w:sz w:val="15"/>
                <w:szCs w:val="15"/>
                <w:color w:val="auto"/>
              </w:rPr>
              <w:t>be</w:t>
            </w:r>
          </w:p>
        </w:tc>
        <w:tc>
          <w:tcPr>
            <w:tcW w:w="880" w:type="dxa"/>
            <w:vAlign w:val="bottom"/>
            <w:gridSpan w:val="2"/>
          </w:tcPr>
          <w:p>
            <w:pPr>
              <w:jc w:val="right"/>
              <w:spacing w:after="0" w:line="149" w:lineRule="exact"/>
              <w:rPr>
                <w:sz w:val="20"/>
                <w:szCs w:val="20"/>
                <w:color w:val="auto"/>
              </w:rPr>
            </w:pPr>
            <w:r>
              <w:rPr>
                <w:rFonts w:ascii="Arial" w:cs="Arial" w:eastAsia="Arial" w:hAnsi="Arial"/>
                <w:sz w:val="15"/>
                <w:szCs w:val="15"/>
                <w:color w:val="auto"/>
              </w:rPr>
              <w:t>,</w:t>
            </w:r>
          </w:p>
        </w:tc>
      </w:tr>
      <w:tr>
        <w:trPr>
          <w:trHeight w:val="186"/>
        </w:trPr>
        <w:tc>
          <w:tcPr>
            <w:tcW w:w="2120" w:type="dxa"/>
            <w:vAlign w:val="bottom"/>
          </w:tcPr>
          <w:p>
            <w:pPr>
              <w:spacing w:after="0"/>
              <w:rPr>
                <w:sz w:val="20"/>
                <w:szCs w:val="20"/>
                <w:color w:val="auto"/>
              </w:rPr>
            </w:pPr>
            <w:r>
              <w:rPr>
                <w:rFonts w:ascii="Arial" w:cs="Arial" w:eastAsia="Arial" w:hAnsi="Arial"/>
                <w:sz w:val="15"/>
                <w:szCs w:val="15"/>
                <w:color w:val="auto"/>
              </w:rPr>
              <w:t>202_.</w:t>
            </w:r>
          </w:p>
        </w:tc>
        <w:tc>
          <w:tcPr>
            <w:tcW w:w="820" w:type="dxa"/>
            <w:vAlign w:val="bottom"/>
            <w:tcBorders>
              <w:top w:val="single" w:sz="8" w:color="auto"/>
            </w:tcBorders>
          </w:tcPr>
          <w:p>
            <w:pPr>
              <w:spacing w:after="0"/>
              <w:rPr>
                <w:sz w:val="16"/>
                <w:szCs w:val="16"/>
                <w:color w:val="auto"/>
              </w:rPr>
            </w:pPr>
          </w:p>
        </w:tc>
        <w:tc>
          <w:tcPr>
            <w:tcW w:w="10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r>
    </w:tbl>
    <w:p>
      <w:pPr>
        <w:spacing w:after="0" w:line="135" w:lineRule="exact"/>
        <w:rPr>
          <w:sz w:val="20"/>
          <w:szCs w:val="20"/>
          <w:color w:val="auto"/>
        </w:rPr>
      </w:pPr>
    </w:p>
    <w:p>
      <w:pPr>
        <w:jc w:val="both"/>
        <w:ind w:left="1220" w:right="1239" w:firstLine="505"/>
        <w:spacing w:after="0" w:line="258" w:lineRule="auto"/>
        <w:rPr>
          <w:sz w:val="20"/>
          <w:szCs w:val="20"/>
          <w:color w:val="auto"/>
        </w:rPr>
      </w:pPr>
      <w:r>
        <w:rPr>
          <w:rFonts w:ascii="Arial" w:cs="Arial" w:eastAsia="Arial" w:hAnsi="Arial"/>
          <w:sz w:val="15"/>
          <w:szCs w:val="15"/>
          <w:color w:val="auto"/>
        </w:rPr>
        <w:t>IN WITNESS WHEREOF, Landlord and Tenant have executed this Lease Commencement Date Agreement as a sealed instrument as of the day and year first above written.</w:t>
      </w:r>
    </w:p>
    <w:p>
      <w:pPr>
        <w:spacing w:after="0" w:line="323"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LANDLORD:</w:t>
      </w:r>
    </w:p>
    <w:p>
      <w:pPr>
        <w:spacing w:after="0" w:line="122"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105 W FIRST STREET OWNER, L.L.C.,</w:t>
      </w:r>
    </w:p>
    <w:p>
      <w:pPr>
        <w:spacing w:after="0" w:line="1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 Delaware limited liability company</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8255</wp:posOffset>
            </wp:positionV>
            <wp:extent cx="1915795" cy="698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5"/>
          <w:szCs w:val="15"/>
          <w:color w:val="auto"/>
        </w:rPr>
        <w:t>Name:</w:t>
      </w:r>
    </w:p>
    <w:p>
      <w:pPr>
        <w:ind w:left="4760"/>
        <w:spacing w:after="0"/>
        <w:rPr>
          <w:sz w:val="20"/>
          <w:szCs w:val="20"/>
          <w:color w:val="auto"/>
        </w:rPr>
      </w:pPr>
      <w:r>
        <w:rPr>
          <w:rFonts w:ascii="Arial" w:cs="Arial" w:eastAsia="Arial" w:hAnsi="Arial"/>
          <w:sz w:val="15"/>
          <w:szCs w:val="15"/>
          <w:color w:val="auto"/>
        </w:rPr>
        <w:t>Its:</w:t>
      </w:r>
    </w:p>
    <w:p>
      <w:pPr>
        <w:spacing w:after="0" w:line="255"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TENANT:</w:t>
      </w:r>
    </w:p>
    <w:p>
      <w:pPr>
        <w:spacing w:after="0" w:line="301" w:lineRule="exact"/>
        <w:rPr>
          <w:sz w:val="20"/>
          <w:szCs w:val="20"/>
          <w:color w:val="auto"/>
        </w:rPr>
      </w:pPr>
    </w:p>
    <w:p>
      <w:pPr>
        <w:ind w:left="772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8255</wp:posOffset>
            </wp:positionV>
            <wp:extent cx="2035810" cy="698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2035810" cy="698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5"/>
          <w:szCs w:val="15"/>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2990215</wp:posOffset>
            </wp:positionH>
            <wp:positionV relativeFrom="paragraph">
              <wp:posOffset>0</wp:posOffset>
            </wp:positionV>
            <wp:extent cx="1955800" cy="6985"/>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955800" cy="6985"/>
                    </a:xfrm>
                    <a:prstGeom prst="rect">
                      <a:avLst/>
                    </a:prstGeom>
                    <a:noFill/>
                  </pic:spPr>
                </pic:pic>
              </a:graphicData>
            </a:graphic>
          </wp:anchor>
        </w:drawing>
      </w:r>
    </w:p>
    <w:p>
      <w:pPr>
        <w:spacing w:after="0" w:line="161" w:lineRule="exact"/>
        <w:rPr>
          <w:sz w:val="20"/>
          <w:szCs w:val="20"/>
          <w:color w:val="auto"/>
        </w:rPr>
      </w:pPr>
    </w:p>
    <w:p>
      <w:pPr>
        <w:jc w:val="center"/>
        <w:ind w:right="-2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3030220</wp:posOffset>
            </wp:positionH>
            <wp:positionV relativeFrom="paragraph">
              <wp:posOffset>8255</wp:posOffset>
            </wp:positionV>
            <wp:extent cx="1915795" cy="698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915795" cy="6985"/>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5"/>
          <w:szCs w:val="15"/>
          <w:color w:val="auto"/>
        </w:rPr>
        <w:t>Name:</w:t>
      </w:r>
    </w:p>
    <w:p>
      <w:pPr>
        <w:ind w:left="4760"/>
        <w:spacing w:after="0"/>
        <w:rPr>
          <w:sz w:val="20"/>
          <w:szCs w:val="20"/>
          <w:color w:val="auto"/>
        </w:rPr>
      </w:pPr>
      <w:r>
        <w:rPr>
          <w:rFonts w:ascii="Arial" w:cs="Arial" w:eastAsia="Arial" w:hAnsi="Arial"/>
          <w:sz w:val="15"/>
          <w:szCs w:val="15"/>
          <w:color w:val="auto"/>
        </w:rPr>
        <w:t>Its: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G-1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63" w:name="page764"/>
    <w:bookmarkEnd w:id="763"/>
    <w:p>
      <w:pPr>
        <w:jc w:val="center"/>
        <w:spacing w:after="0"/>
        <w:rPr>
          <w:sz w:val="20"/>
          <w:szCs w:val="20"/>
          <w:color w:val="auto"/>
        </w:rPr>
      </w:pPr>
      <w:r>
        <w:rPr>
          <w:rFonts w:ascii="Arial" w:cs="Arial" w:eastAsia="Arial" w:hAnsi="Arial"/>
          <w:sz w:val="15"/>
          <w:szCs w:val="15"/>
          <w:b w:val="1"/>
          <w:bCs w:val="1"/>
          <w:color w:val="auto"/>
        </w:rPr>
        <w:t>EXHIBIT H</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ENVIRONMENTAL QUESTIONNAIRE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H-1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764" w:name="page765"/>
    <w:bookmarkEnd w:id="764"/>
    <w:p>
      <w:pPr>
        <w:jc w:val="center"/>
        <w:spacing w:after="0"/>
        <w:rPr>
          <w:sz w:val="20"/>
          <w:szCs w:val="20"/>
          <w:color w:val="auto"/>
        </w:rPr>
      </w:pPr>
      <w:r>
        <w:rPr>
          <w:rFonts w:ascii="Arial" w:cs="Arial" w:eastAsia="Arial" w:hAnsi="Arial"/>
          <w:sz w:val="15"/>
          <w:szCs w:val="15"/>
          <w:b w:val="1"/>
          <w:bCs w:val="1"/>
          <w:color w:val="auto"/>
        </w:rPr>
        <w:t>EXHIBIT I</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CLEANING SPECIFICATIONS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65" w:name="page766"/>
    <w:bookmarkEnd w:id="765"/>
    <w:p>
      <w:pPr>
        <w:jc w:val="center"/>
        <w:ind w:right="19"/>
        <w:spacing w:after="0"/>
        <w:rPr>
          <w:sz w:val="20"/>
          <w:szCs w:val="20"/>
          <w:color w:val="auto"/>
        </w:rPr>
      </w:pPr>
      <w:r>
        <w:rPr>
          <w:rFonts w:ascii="Arial" w:cs="Arial" w:eastAsia="Arial" w:hAnsi="Arial"/>
          <w:sz w:val="15"/>
          <w:szCs w:val="15"/>
          <w:b w:val="1"/>
          <w:bCs w:val="1"/>
          <w:color w:val="auto"/>
        </w:rPr>
        <w:t>EXHIBIT J</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OF ROOFTOP/PENTHOUSE ROOFTOP AREAS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J-1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89" w:right="1440" w:bottom="1440" w:gutter="0" w:footer="0" w:header="0"/>
        </w:sectPr>
      </w:pPr>
    </w:p>
    <w:bookmarkStart w:id="766" w:name="page767"/>
    <w:bookmarkEnd w:id="766"/>
    <w:p>
      <w:pPr>
        <w:jc w:val="center"/>
        <w:spacing w:after="0"/>
        <w:rPr>
          <w:sz w:val="20"/>
          <w:szCs w:val="20"/>
          <w:color w:val="auto"/>
        </w:rPr>
      </w:pPr>
      <w:r>
        <w:rPr>
          <w:rFonts w:ascii="Arial" w:cs="Arial" w:eastAsia="Arial" w:hAnsi="Arial"/>
          <w:sz w:val="15"/>
          <w:szCs w:val="15"/>
          <w:b w:val="1"/>
          <w:bCs w:val="1"/>
          <w:color w:val="auto"/>
        </w:rPr>
        <w:t>EXHIBIT K</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PLAN OF APPROVED LOCATIONS OF TENANT’S EXTERIOR BUILDING SIGNAGE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K-1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767" w:name="page768"/>
    <w:bookmarkEnd w:id="767"/>
    <w:p>
      <w:pPr>
        <w:jc w:val="center"/>
        <w:ind w:right="19"/>
        <w:spacing w:after="0"/>
        <w:rPr>
          <w:sz w:val="20"/>
          <w:szCs w:val="20"/>
          <w:color w:val="auto"/>
        </w:rPr>
      </w:pPr>
      <w:r>
        <w:rPr>
          <w:rFonts w:ascii="Arial" w:cs="Arial" w:eastAsia="Arial" w:hAnsi="Arial"/>
          <w:sz w:val="15"/>
          <w:szCs w:val="15"/>
          <w:b w:val="1"/>
          <w:bCs w:val="1"/>
          <w:color w:val="auto"/>
        </w:rPr>
        <w:t>EXHIBIT L</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PLAN OF TENANT’S ENTRANCE/LOBBY FEATURE WALL SIGNS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L-1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9" w:right="1440" w:bottom="1440" w:gutter="0" w:footer="0" w:header="0"/>
        </w:sectPr>
      </w:pPr>
    </w:p>
    <w:bookmarkStart w:id="768" w:name="page769"/>
    <w:bookmarkEnd w:id="768"/>
    <w:p>
      <w:pPr>
        <w:jc w:val="center"/>
        <w:ind w:right="19"/>
        <w:spacing w:after="0"/>
        <w:rPr>
          <w:sz w:val="20"/>
          <w:szCs w:val="20"/>
          <w:color w:val="auto"/>
        </w:rPr>
      </w:pPr>
      <w:r>
        <w:rPr>
          <w:rFonts w:ascii="Arial" w:cs="Arial" w:eastAsia="Arial" w:hAnsi="Arial"/>
          <w:sz w:val="15"/>
          <w:szCs w:val="15"/>
          <w:b w:val="1"/>
          <w:bCs w:val="1"/>
          <w:color w:val="auto"/>
        </w:rPr>
        <w:t>EXHIBIT M</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CONSTRUCTION SCHEDULE FOR LANDLORD’S WORK</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M-1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69" w:name="page770"/>
    <w:bookmarkEnd w:id="769"/>
    <w:p>
      <w:pPr>
        <w:jc w:val="center"/>
        <w:spacing w:after="0"/>
        <w:rPr>
          <w:sz w:val="20"/>
          <w:szCs w:val="20"/>
          <w:color w:val="auto"/>
        </w:rPr>
      </w:pPr>
      <w:r>
        <w:rPr>
          <w:rFonts w:ascii="Arial" w:cs="Arial" w:eastAsia="Arial" w:hAnsi="Arial"/>
          <w:sz w:val="15"/>
          <w:szCs w:val="15"/>
          <w:b w:val="1"/>
          <w:bCs w:val="1"/>
          <w:color w:val="auto"/>
        </w:rPr>
        <w:t>EXHIBIT 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FORM OF GUARANTY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N-1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361950</wp:posOffset>
            </wp:positionV>
            <wp:extent cx="5485765" cy="3873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70" w:name="page771"/>
    <w:bookmarkEnd w:id="770"/>
    <w:p>
      <w:pPr>
        <w:jc w:val="center"/>
        <w:ind w:right="19"/>
        <w:spacing w:after="0"/>
        <w:rPr>
          <w:sz w:val="20"/>
          <w:szCs w:val="20"/>
          <w:color w:val="auto"/>
        </w:rPr>
      </w:pPr>
      <w:r>
        <w:rPr>
          <w:rFonts w:ascii="Arial" w:cs="Arial" w:eastAsia="Arial" w:hAnsi="Arial"/>
          <w:sz w:val="15"/>
          <w:szCs w:val="15"/>
          <w:b w:val="1"/>
          <w:bCs w:val="1"/>
          <w:color w:val="auto"/>
        </w:rPr>
        <w:t>EXHIBIT O</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HVAC DESIGN STANDARDS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O-1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0" w:right="1440" w:bottom="1440" w:gutter="0" w:footer="0" w:header="0"/>
        </w:sectPr>
      </w:pPr>
    </w:p>
    <w:bookmarkStart w:id="771" w:name="page772"/>
    <w:bookmarkEnd w:id="771"/>
    <w:p>
      <w:pPr>
        <w:jc w:val="center"/>
        <w:ind w:right="19"/>
        <w:spacing w:after="0"/>
        <w:rPr>
          <w:sz w:val="20"/>
          <w:szCs w:val="20"/>
          <w:color w:val="auto"/>
        </w:rPr>
      </w:pPr>
      <w:r>
        <w:rPr>
          <w:rFonts w:ascii="Arial" w:cs="Arial" w:eastAsia="Arial" w:hAnsi="Arial"/>
          <w:sz w:val="15"/>
          <w:szCs w:val="15"/>
          <w:b w:val="1"/>
          <w:bCs w:val="1"/>
          <w:color w:val="auto"/>
        </w:rPr>
        <w:t>Exhibit C</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“Inventory of Furniture”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72" w:name="page773"/>
    <w:bookmarkEnd w:id="772"/>
    <w:p>
      <w:pPr>
        <w:jc w:val="center"/>
        <w:spacing w:after="0"/>
        <w:rPr>
          <w:sz w:val="20"/>
          <w:szCs w:val="20"/>
          <w:color w:val="auto"/>
        </w:rPr>
      </w:pPr>
      <w:r>
        <w:rPr>
          <w:rFonts w:ascii="Arial" w:cs="Arial" w:eastAsia="Arial" w:hAnsi="Arial"/>
          <w:sz w:val="15"/>
          <w:szCs w:val="15"/>
          <w:b w:val="1"/>
          <w:bCs w:val="1"/>
          <w:color w:val="auto"/>
        </w:rPr>
        <w:t>Exhibit 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5"/>
          <w:szCs w:val="15"/>
          <w:color w:val="212121"/>
        </w:rPr>
        <w:t xml:space="preserve">“Channel </w:t>
      </w:r>
      <w:r>
        <w:rPr>
          <w:rFonts w:ascii="Arial" w:cs="Arial" w:eastAsia="Arial" w:hAnsi="Arial"/>
          <w:sz w:val="15"/>
          <w:szCs w:val="15"/>
          <w:color w:val="0A0A0A"/>
        </w:rPr>
        <w:t>Center Garage Agreement”</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31" w:right="1440" w:bottom="1440" w:gutter="0" w:footer="0" w:header="0"/>
        </w:sectPr>
      </w:pPr>
    </w:p>
    <w:bookmarkStart w:id="773" w:name="page774"/>
    <w:bookmarkEnd w:id="77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(Channel Center Garage)</w:t>
      </w:r>
    </w:p>
    <w:p>
      <w:pPr>
        <w:spacing w:after="0" w:line="140"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THIS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entered into as of the 24th day of July, 2020 (the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xml:space="preserve">”) by and between </w:t>
      </w:r>
      <w:r>
        <w:rPr>
          <w:rFonts w:ascii="Times New Roman" w:cs="Times New Roman" w:eastAsia="Times New Roman" w:hAnsi="Times New Roman"/>
          <w:sz w:val="17"/>
          <w:szCs w:val="17"/>
          <w:b w:val="1"/>
          <w:bCs w:val="1"/>
          <w:color w:val="auto"/>
        </w:rPr>
        <w:t>ONE CHANNEL CENTER TRS, L.L.C.</w:t>
      </w:r>
      <w:r>
        <w:rPr>
          <w:rFonts w:ascii="Times New Roman" w:cs="Times New Roman" w:eastAsia="Times New Roman" w:hAnsi="Times New Roman"/>
          <w:sz w:val="17"/>
          <w:szCs w:val="17"/>
          <w:color w:val="auto"/>
        </w:rPr>
        <w:t>, a Delaware limited liability company (“</w:t>
      </w:r>
      <w:r>
        <w:rPr>
          <w:rFonts w:ascii="Times New Roman" w:cs="Times New Roman" w:eastAsia="Times New Roman" w:hAnsi="Times New Roman"/>
          <w:sz w:val="17"/>
          <w:szCs w:val="17"/>
          <w:b w:val="1"/>
          <w:bCs w:val="1"/>
          <w:color w:val="auto"/>
        </w:rPr>
        <w:t>OCC</w:t>
      </w:r>
      <w:r>
        <w:rPr>
          <w:rFonts w:ascii="Times New Roman" w:cs="Times New Roman" w:eastAsia="Times New Roman" w:hAnsi="Times New Roman"/>
          <w:sz w:val="17"/>
          <w:szCs w:val="17"/>
          <w:color w:val="auto"/>
        </w:rPr>
        <w:t xml:space="preserve">”), with a business address of c/o Tishman Speyer, 45 Rockefeller Plaza, New York, New York 10111, and </w:t>
      </w:r>
      <w:r>
        <w:rPr>
          <w:rFonts w:ascii="Times New Roman" w:cs="Times New Roman" w:eastAsia="Times New Roman" w:hAnsi="Times New Roman"/>
          <w:sz w:val="17"/>
          <w:szCs w:val="17"/>
          <w:b w:val="1"/>
          <w:bCs w:val="1"/>
          <w:color w:val="auto"/>
        </w:rPr>
        <w:t>CRISPR THERAPEUTICS, INC.</w:t>
      </w:r>
      <w:r>
        <w:rPr>
          <w:rFonts w:ascii="Times New Roman" w:cs="Times New Roman" w:eastAsia="Times New Roman" w:hAnsi="Times New Roman"/>
          <w:sz w:val="17"/>
          <w:szCs w:val="17"/>
          <w:color w:val="auto"/>
        </w:rPr>
        <w:t>, a Delaware corporation (“</w:t>
      </w:r>
      <w:r>
        <w:rPr>
          <w:rFonts w:ascii="Times New Roman" w:cs="Times New Roman" w:eastAsia="Times New Roman" w:hAnsi="Times New Roman"/>
          <w:sz w:val="17"/>
          <w:szCs w:val="17"/>
          <w:b w:val="1"/>
          <w:bCs w:val="1"/>
          <w:color w:val="auto"/>
        </w:rPr>
        <w:t>CRISPR</w:t>
      </w:r>
      <w:r>
        <w:rPr>
          <w:rFonts w:ascii="Times New Roman" w:cs="Times New Roman" w:eastAsia="Times New Roman" w:hAnsi="Times New Roman"/>
          <w:sz w:val="17"/>
          <w:szCs w:val="17"/>
          <w:color w:val="auto"/>
        </w:rPr>
        <w:t>”), with a business address of 610 Main Street North, Cambridge, Massachusetts 02139.</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WITNESSETH</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jc w:val="both"/>
        <w:ind w:left="1220" w:right="1239" w:firstLine="505"/>
        <w:spacing w:after="0" w:line="248" w:lineRule="auto"/>
        <w:rPr>
          <w:sz w:val="20"/>
          <w:szCs w:val="20"/>
          <w:color w:val="auto"/>
        </w:rPr>
      </w:pPr>
      <w:r>
        <w:rPr>
          <w:rFonts w:ascii="Times New Roman" w:cs="Times New Roman" w:eastAsia="Times New Roman" w:hAnsi="Times New Roman"/>
          <w:sz w:val="17"/>
          <w:szCs w:val="17"/>
          <w:color w:val="auto"/>
        </w:rPr>
        <w:t>WHEREAS, One Channel Center Parking, L.L.C. (the “</w:t>
      </w:r>
      <w:r>
        <w:rPr>
          <w:rFonts w:ascii="Times New Roman" w:cs="Times New Roman" w:eastAsia="Times New Roman" w:hAnsi="Times New Roman"/>
          <w:sz w:val="17"/>
          <w:szCs w:val="17"/>
          <w:b w:val="1"/>
          <w:bCs w:val="1"/>
          <w:color w:val="auto"/>
        </w:rPr>
        <w:t>Garage Owner</w:t>
      </w:r>
      <w:r>
        <w:rPr>
          <w:rFonts w:ascii="Times New Roman" w:cs="Times New Roman" w:eastAsia="Times New Roman" w:hAnsi="Times New Roman"/>
          <w:sz w:val="17"/>
          <w:szCs w:val="17"/>
          <w:color w:val="auto"/>
        </w:rPr>
        <w:t>”) is the owner of that certain parking garage facility (the “</w:t>
      </w:r>
      <w:r>
        <w:rPr>
          <w:rFonts w:ascii="Times New Roman" w:cs="Times New Roman" w:eastAsia="Times New Roman" w:hAnsi="Times New Roman"/>
          <w:sz w:val="17"/>
          <w:szCs w:val="17"/>
          <w:b w:val="1"/>
          <w:bCs w:val="1"/>
          <w:color w:val="auto"/>
        </w:rPr>
        <w:t>Parking Facility</w:t>
      </w:r>
      <w:r>
        <w:rPr>
          <w:rFonts w:ascii="Times New Roman" w:cs="Times New Roman" w:eastAsia="Times New Roman" w:hAnsi="Times New Roman"/>
          <w:sz w:val="17"/>
          <w:szCs w:val="17"/>
          <w:color w:val="auto"/>
        </w:rPr>
        <w:t>”) located at 116 West First Street, Boston, Massachusetts;</w:t>
      </w:r>
    </w:p>
    <w:p>
      <w:pPr>
        <w:spacing w:after="0" w:line="13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WHEREAS, Garage Owner has engaged OCC to enter into this Agreement;</w:t>
      </w:r>
    </w:p>
    <w:p>
      <w:pPr>
        <w:spacing w:after="0" w:line="162" w:lineRule="exact"/>
        <w:rPr>
          <w:sz w:val="20"/>
          <w:szCs w:val="20"/>
          <w:color w:val="auto"/>
        </w:rPr>
      </w:pPr>
    </w:p>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WHEREAS, concurrent with the execution of this Agreement, CRISPR has entered into a Lease (the “</w:t>
      </w:r>
      <w:r>
        <w:rPr>
          <w:rFonts w:ascii="Times New Roman" w:cs="Times New Roman" w:eastAsia="Times New Roman" w:hAnsi="Times New Roman"/>
          <w:sz w:val="17"/>
          <w:szCs w:val="17"/>
          <w:b w:val="1"/>
          <w:bCs w:val="1"/>
          <w:color w:val="auto"/>
        </w:rPr>
        <w:t>Lease</w:t>
      </w:r>
      <w:r>
        <w:rPr>
          <w:rFonts w:ascii="Times New Roman" w:cs="Times New Roman" w:eastAsia="Times New Roman" w:hAnsi="Times New Roman"/>
          <w:sz w:val="17"/>
          <w:szCs w:val="17"/>
          <w:color w:val="auto"/>
        </w:rPr>
        <w:t>”) for certain premises (the “</w:t>
      </w:r>
      <w:r>
        <w:rPr>
          <w:rFonts w:ascii="Times New Roman" w:cs="Times New Roman" w:eastAsia="Times New Roman" w:hAnsi="Times New Roman"/>
          <w:sz w:val="17"/>
          <w:szCs w:val="17"/>
          <w:b w:val="1"/>
          <w:bCs w:val="1"/>
          <w:color w:val="auto"/>
        </w:rPr>
        <w:t>Leased Premises</w:t>
      </w:r>
      <w:r>
        <w:rPr>
          <w:rFonts w:ascii="Times New Roman" w:cs="Times New Roman" w:eastAsia="Times New Roman" w:hAnsi="Times New Roman"/>
          <w:sz w:val="17"/>
          <w:szCs w:val="17"/>
          <w:color w:val="auto"/>
        </w:rPr>
        <w:t>”) in that certain building to be constructed and located at 105 West First Street, Boston, Massachusetts; and</w:t>
      </w:r>
    </w:p>
    <w:p>
      <w:pPr>
        <w:spacing w:after="0" w:line="135" w:lineRule="exact"/>
        <w:rPr>
          <w:sz w:val="20"/>
          <w:szCs w:val="20"/>
          <w:color w:val="auto"/>
        </w:rPr>
      </w:pPr>
    </w:p>
    <w:p>
      <w:pPr>
        <w:jc w:val="both"/>
        <w:ind w:left="1220" w:right="1239" w:firstLine="505"/>
        <w:spacing w:after="0" w:line="239" w:lineRule="auto"/>
        <w:rPr>
          <w:sz w:val="20"/>
          <w:szCs w:val="20"/>
          <w:color w:val="auto"/>
        </w:rPr>
      </w:pPr>
      <w:r>
        <w:rPr>
          <w:rFonts w:ascii="Times New Roman" w:cs="Times New Roman" w:eastAsia="Times New Roman" w:hAnsi="Times New Roman"/>
          <w:sz w:val="17"/>
          <w:szCs w:val="17"/>
          <w:color w:val="auto"/>
        </w:rPr>
        <w:t>WHEREAS, OCC and CRISPR desire to enter into an agreement granting CRISPR the rights to not less than one hundred fifty (150) parking passes (the “</w:t>
      </w:r>
      <w:r>
        <w:rPr>
          <w:rFonts w:ascii="Times New Roman" w:cs="Times New Roman" w:eastAsia="Times New Roman" w:hAnsi="Times New Roman"/>
          <w:sz w:val="17"/>
          <w:szCs w:val="17"/>
          <w:b w:val="1"/>
          <w:bCs w:val="1"/>
          <w:color w:val="auto"/>
        </w:rPr>
        <w:t>Minimum Parking Pass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Allotment</w:t>
      </w:r>
      <w:r>
        <w:rPr>
          <w:rFonts w:ascii="Times New Roman" w:cs="Times New Roman" w:eastAsia="Times New Roman" w:hAnsi="Times New Roman"/>
          <w:sz w:val="17"/>
          <w:szCs w:val="17"/>
          <w:color w:val="auto"/>
        </w:rPr>
        <w:t>”) and not more than two hundred fifty (250) parking passes (the “</w:t>
      </w:r>
      <w:r>
        <w:rPr>
          <w:rFonts w:ascii="Times New Roman" w:cs="Times New Roman" w:eastAsia="Times New Roman" w:hAnsi="Times New Roman"/>
          <w:sz w:val="17"/>
          <w:szCs w:val="17"/>
          <w:b w:val="1"/>
          <w:bCs w:val="1"/>
          <w:color w:val="auto"/>
        </w:rPr>
        <w:t>Maximum Parking Pass Allotment</w:t>
      </w:r>
      <w:r>
        <w:rPr>
          <w:rFonts w:ascii="Times New Roman" w:cs="Times New Roman" w:eastAsia="Times New Roman" w:hAnsi="Times New Roman"/>
          <w:sz w:val="17"/>
          <w:szCs w:val="17"/>
          <w:color w:val="auto"/>
        </w:rPr>
        <w:t>”) for use in the Parking Facility, upon and subject to the terms and conditions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set forth in this Agreement.</w:t>
      </w:r>
    </w:p>
    <w:p>
      <w:pPr>
        <w:spacing w:after="0" w:line="141" w:lineRule="exact"/>
        <w:rPr>
          <w:sz w:val="20"/>
          <w:szCs w:val="20"/>
          <w:color w:val="auto"/>
        </w:rPr>
      </w:pPr>
    </w:p>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NOW, THEREFORE, in consideration of $10.00, the mutual covenants and agreements hereinafter contained, and other good and valuable consideration, the receipt, sufficiency and delivery of which are hereby acknowledged, the parties hereby agree as follows:</w:t>
      </w:r>
    </w:p>
    <w:p>
      <w:pPr>
        <w:spacing w:after="0" w:line="131" w:lineRule="exact"/>
        <w:rPr>
          <w:sz w:val="20"/>
          <w:szCs w:val="20"/>
          <w:color w:val="auto"/>
        </w:rPr>
      </w:pPr>
    </w:p>
    <w:p>
      <w:pPr>
        <w:jc w:val="both"/>
        <w:ind w:left="1220" w:right="1239" w:firstLine="4"/>
        <w:spacing w:after="0" w:line="234" w:lineRule="auto"/>
        <w:tabs>
          <w:tab w:leader="none" w:pos="1563" w:val="left"/>
        </w:tabs>
        <w:numPr>
          <w:ilvl w:val="0"/>
          <w:numId w:val="6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Operation of the Parking Facility</w:t>
      </w:r>
      <w:r>
        <w:rPr>
          <w:rFonts w:ascii="Times New Roman" w:cs="Times New Roman" w:eastAsia="Times New Roman" w:hAnsi="Times New Roman"/>
          <w:sz w:val="17"/>
          <w:szCs w:val="17"/>
          <w:color w:val="auto"/>
        </w:rPr>
        <w:t>. As of the Effective Date, VPNE Parking Solutions,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LLC (“</w:t>
      </w:r>
      <w:r>
        <w:rPr>
          <w:rFonts w:ascii="Times New Roman" w:cs="Times New Roman" w:eastAsia="Times New Roman" w:hAnsi="Times New Roman"/>
          <w:sz w:val="17"/>
          <w:szCs w:val="17"/>
          <w:b w:val="1"/>
          <w:bCs w:val="1"/>
          <w:color w:val="auto"/>
        </w:rPr>
        <w:t>VPNE</w:t>
      </w:r>
      <w:r>
        <w:rPr>
          <w:rFonts w:ascii="Times New Roman" w:cs="Times New Roman" w:eastAsia="Times New Roman" w:hAnsi="Times New Roman"/>
          <w:sz w:val="17"/>
          <w:szCs w:val="17"/>
          <w:color w:val="auto"/>
        </w:rPr>
        <w:t>”) is the tenant and operator of the Parking Facility. During the term of this Agreement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the Parking Facility may from time to time be leased to and/or operated by VPNE or another independent garage operator (collectively, together with VPNE, the “</w:t>
      </w:r>
      <w:r>
        <w:rPr>
          <w:rFonts w:ascii="Times New Roman" w:cs="Times New Roman" w:eastAsia="Times New Roman" w:hAnsi="Times New Roman"/>
          <w:sz w:val="17"/>
          <w:szCs w:val="17"/>
          <w:b w:val="1"/>
          <w:bCs w:val="1"/>
          <w:color w:val="auto"/>
        </w:rPr>
        <w:t>Garage Operator</w:t>
      </w:r>
      <w:r>
        <w:rPr>
          <w:rFonts w:ascii="Times New Roman" w:cs="Times New Roman" w:eastAsia="Times New Roman" w:hAnsi="Times New Roman"/>
          <w:sz w:val="17"/>
          <w:szCs w:val="17"/>
          <w:color w:val="auto"/>
        </w:rPr>
        <w:t>”). During any such period of operation by a Garage Operator, the obligations of OCC pursuant to this Agreement may be performed by said Garage Operator. The Parking Facility shall be open and operated at all times, 24 hours a day, 7 days a week, subject to casualties, eminent domain events, Unavoidable Delays (as hereinafter defined), and the terms and conditions of this Agreement. During the Term, OCC and the Garage Operator will provide, to the extent then applicable, to CRISPR and Permitted Passholders (as hereinafter defined) (i) any preferential parking locations as are offered to other users of the Parking Facility (including an allocation of reserved spaces, adjusted on an equitable basis if such preferential parking locations are unable to accommodate the Maximum Parking Pass Allotment (as hereinafter defined)); and (ii) comparable additional services and amenities as are offered to other users of the Parking Facility at prices not to exceed the then lowest rate paid by another non-transient user of the Parking Facility (receiving comparable access to, and usage rights of, the Parking Facility) for such additional services and amenities, taking into account deductions, credits and incentives offered to such other users from time to time.</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CRISPR Parking Agreement (Channel Center Garage)]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4" w:right="1440" w:bottom="1440" w:gutter="0" w:footer="0" w:header="0"/>
        </w:sectPr>
      </w:pPr>
    </w:p>
    <w:bookmarkStart w:id="774" w:name="page775"/>
    <w:bookmarkEnd w:id="774"/>
    <w:p>
      <w:pPr>
        <w:jc w:val="both"/>
        <w:ind w:left="1220" w:right="1239" w:firstLine="4"/>
        <w:spacing w:after="0" w:line="235" w:lineRule="auto"/>
        <w:tabs>
          <w:tab w:leader="none" w:pos="1563" w:val="left"/>
        </w:tabs>
        <w:numPr>
          <w:ilvl w:val="0"/>
          <w:numId w:val="6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 of Agreement, Parking Passes</w:t>
      </w:r>
      <w:r>
        <w:rPr>
          <w:rFonts w:ascii="Times New Roman" w:cs="Times New Roman" w:eastAsia="Times New Roman" w:hAnsi="Times New Roman"/>
          <w:sz w:val="17"/>
          <w:szCs w:val="17"/>
          <w:color w:val="auto"/>
        </w:rPr>
        <w:t>. The Term shall commence on the Commencement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(as defined in the Lease) and shall expire on the Expiration Date (as defined in the Lease), unless sooner terminated in accordance with the terms hereof. During the Term, OCC shall provide (or shall cause the Garage Operator to provide) to CRISPR not less than the Minimum Parking Pass Allotment of Parking Passes (as hereinafter defined) and not more than the Maximum Parking Pass Allotment of Parking Passes. A “</w:t>
      </w:r>
      <w:r>
        <w:rPr>
          <w:rFonts w:ascii="Times New Roman" w:cs="Times New Roman" w:eastAsia="Times New Roman" w:hAnsi="Times New Roman"/>
          <w:sz w:val="17"/>
          <w:szCs w:val="17"/>
          <w:b w:val="1"/>
          <w:bCs w:val="1"/>
          <w:color w:val="auto"/>
        </w:rPr>
        <w:t>Parking Pass</w:t>
      </w:r>
      <w:r>
        <w:rPr>
          <w:rFonts w:ascii="Times New Roman" w:cs="Times New Roman" w:eastAsia="Times New Roman" w:hAnsi="Times New Roman"/>
          <w:sz w:val="17"/>
          <w:szCs w:val="17"/>
          <w:color w:val="auto"/>
        </w:rPr>
        <w:t>” shall mean a pass providing for access to and use of a parking space in the Parking Facility, on an unreserved basis, in the locations within the Parking Facility designated for the parking of appropriately-sized passenger motor vehicles (each a “</w:t>
      </w:r>
      <w:r>
        <w:rPr>
          <w:rFonts w:ascii="Times New Roman" w:cs="Times New Roman" w:eastAsia="Times New Roman" w:hAnsi="Times New Roman"/>
          <w:sz w:val="17"/>
          <w:szCs w:val="17"/>
          <w:b w:val="1"/>
          <w:bCs w:val="1"/>
          <w:color w:val="auto"/>
        </w:rPr>
        <w:t>Permitted Vehicle</w:t>
      </w:r>
      <w:r>
        <w:rPr>
          <w:rFonts w:ascii="Times New Roman" w:cs="Times New Roman" w:eastAsia="Times New Roman" w:hAnsi="Times New Roman"/>
          <w:sz w:val="17"/>
          <w:szCs w:val="17"/>
          <w:color w:val="auto"/>
        </w:rPr>
        <w:t>”). A “</w:t>
      </w:r>
      <w:r>
        <w:rPr>
          <w:rFonts w:ascii="Times New Roman" w:cs="Times New Roman" w:eastAsia="Times New Roman" w:hAnsi="Times New Roman"/>
          <w:sz w:val="17"/>
          <w:szCs w:val="17"/>
          <w:b w:val="1"/>
          <w:bCs w:val="1"/>
          <w:color w:val="auto"/>
        </w:rPr>
        <w:t>Permitted Passholder</w:t>
      </w:r>
      <w:r>
        <w:rPr>
          <w:rFonts w:ascii="Times New Roman" w:cs="Times New Roman" w:eastAsia="Times New Roman" w:hAnsi="Times New Roman"/>
          <w:sz w:val="17"/>
          <w:szCs w:val="17"/>
          <w:color w:val="auto"/>
        </w:rPr>
        <w:t>” shall mean any of the following to whom CRISPR provides a Parking Pass: an employee of CRISPR; any subtenant or licensee of CRISPR; or, a vendor, consultant or independent contractor providing service to such parties in the Leased Premises.</w:t>
      </w:r>
    </w:p>
    <w:p>
      <w:pPr>
        <w:spacing w:after="0" w:line="141" w:lineRule="exact"/>
        <w:rPr>
          <w:rFonts w:ascii="Times New Roman" w:cs="Times New Roman" w:eastAsia="Times New Roman" w:hAnsi="Times New Roman"/>
          <w:sz w:val="17"/>
          <w:szCs w:val="17"/>
          <w:color w:val="auto"/>
        </w:rPr>
      </w:pPr>
    </w:p>
    <w:p>
      <w:pPr>
        <w:jc w:val="both"/>
        <w:ind w:left="1220" w:right="1239" w:firstLine="4"/>
        <w:spacing w:after="0" w:line="236" w:lineRule="auto"/>
        <w:tabs>
          <w:tab w:leader="none" w:pos="1563" w:val="left"/>
        </w:tabs>
        <w:numPr>
          <w:ilvl w:val="0"/>
          <w:numId w:val="6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Minimum and Maximum Number of Parking Passes</w:t>
      </w:r>
      <w:r>
        <w:rPr>
          <w:rFonts w:ascii="Times New Roman" w:cs="Times New Roman" w:eastAsia="Times New Roman" w:hAnsi="Times New Roman"/>
          <w:sz w:val="17"/>
          <w:szCs w:val="17"/>
          <w:color w:val="auto"/>
        </w:rPr>
        <w:t>. Prior to the Commencement Date,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CRISPR shall notify OCC and the Garage Operator as to how many Parking Passes (but in no event less than the Minimum Parking Pass Allotment or more than the Maximum Parking Pass Allotment) CRISPR elects to receive. Thereafter, not more frequently than once during each consecutive six (6) month period of time during the Term, CRISPR may elect to increase or reduce the number of Parking Passes received by it (but in no event to less than the Minimum Parking Pass Allotment, in the aggregate, or more than the Maximum Parking Pass Allotment, in the aggregate) by providing not less than ninety (90) days prior notice of such increase or reduction to OCC and the Garage Operator.</w:t>
      </w:r>
    </w:p>
    <w:p>
      <w:pPr>
        <w:spacing w:after="0" w:line="141" w:lineRule="exact"/>
        <w:rPr>
          <w:rFonts w:ascii="Times New Roman" w:cs="Times New Roman" w:eastAsia="Times New Roman" w:hAnsi="Times New Roman"/>
          <w:sz w:val="17"/>
          <w:szCs w:val="17"/>
          <w:color w:val="auto"/>
        </w:rPr>
      </w:pPr>
    </w:p>
    <w:p>
      <w:pPr>
        <w:jc w:val="both"/>
        <w:ind w:left="1220" w:right="1239" w:firstLine="4"/>
        <w:spacing w:after="0" w:line="249" w:lineRule="auto"/>
        <w:tabs>
          <w:tab w:leader="none" w:pos="1563" w:val="left"/>
        </w:tabs>
        <w:numPr>
          <w:ilvl w:val="0"/>
          <w:numId w:val="6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Parking Pass Fee.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CRISPR shall pay a monthly parking charge (the “</w:t>
      </w:r>
      <w:r>
        <w:rPr>
          <w:rFonts w:ascii="Times New Roman" w:cs="Times New Roman" w:eastAsia="Times New Roman" w:hAnsi="Times New Roman"/>
          <w:sz w:val="16"/>
          <w:szCs w:val="16"/>
          <w:b w:val="1"/>
          <w:bCs w:val="1"/>
          <w:color w:val="auto"/>
        </w:rPr>
        <w:t>Parking Pass Fee</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to OCC (as agent for the Garage Operator) or the Garage Operator for each Parking Pass, which charge shall be at the prevailing rate for parking passes established by OCC or the Garage Operator from time to time with respect to the Parking Facility, which Parking Pass Fee shall not exceed the rates then charged by operators of comparable parking facilities in the Seaport/South Boston area of Boston. Said rate may be adjusted by OCC or the Garage Operator once in each calendar year during the Term. Notwithstanding anything to the contrary herein, the Parking Pass Fee paid by CRISPR from time to time under this Agreement shall not exceed the then lowest rate paid by another non-transient user of the Parking Facility receiving comparable access to, and usage rights of, the Parking Facility, (a) taking into account deductions, credits and incentives offered to such user from time to time, all of which shall also be deemed available to CRISPR, and (b) excluding fees and rates payable by holders of easement rights for access to and use of parking spaces in the Garage Facility. The Parking Pass Fee shall be payable without offset, set-off, or deduction to OCC (as agent for the Garage Operator) or the Garage Operator, in advance, on the first day of each calendar month during the Term. Any payments on account of the Parking Pass Fee which are not paid within five (5) business days of the date when due under this Agreement shall bear interest until paid in full, at an interest rate equal to the lesser of</w:t>
      </w:r>
    </w:p>
    <w:p>
      <w:pPr>
        <w:spacing w:after="0" w:line="144" w:lineRule="exact"/>
        <w:rPr>
          <w:sz w:val="20"/>
          <w:szCs w:val="20"/>
          <w:color w:val="auto"/>
        </w:rPr>
      </w:pPr>
    </w:p>
    <w:p>
      <w:pPr>
        <w:jc w:val="both"/>
        <w:ind w:left="1220" w:right="1239" w:firstLine="4"/>
        <w:spacing w:after="0" w:line="246" w:lineRule="auto"/>
        <w:tabs>
          <w:tab w:leader="none" w:pos="1425" w:val="left"/>
        </w:tabs>
        <w:numPr>
          <w:ilvl w:val="0"/>
          <w:numId w:val="6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 per annum above the then-current annual rate of interest publicly announced from time to time by Bank of America, N.A., or its successor, as its “base rate” (or such other term as may be used by said bank from time to time), and (ii) the maximum rate permitted by applicable law.</w:t>
      </w: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775" w:name="page776"/>
    <w:bookmarkEnd w:id="775"/>
    <w:p>
      <w:pPr>
        <w:ind w:left="1560" w:hanging="336"/>
        <w:spacing w:after="0"/>
        <w:tabs>
          <w:tab w:leader="none" w:pos="1560" w:val="left"/>
        </w:tabs>
        <w:numPr>
          <w:ilvl w:val="0"/>
          <w:numId w:val="6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Use of Parking Passes</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color w:val="auto"/>
        </w:rPr>
      </w:pPr>
    </w:p>
    <w:p>
      <w:pPr>
        <w:jc w:val="both"/>
        <w:ind w:left="2480" w:right="1239" w:hanging="247"/>
        <w:spacing w:after="0" w:line="246" w:lineRule="auto"/>
        <w:tabs>
          <w:tab w:leader="none" w:pos="2480" w:val="left"/>
        </w:tabs>
        <w:numPr>
          <w:ilvl w:val="1"/>
          <w:numId w:val="6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Parking Passes shall be used only for parking duly registered and properly insured Permitted Vehicles owned and operated by a Permitted Passholder. The Parking Passes shall not be transferable to third parties. Except to the extent caused by the negligence or willful misconduct of the Garage Operator, OCC, or the Garage Owner (as applicable), or of their respective employees or agents, none of the Garage Operator, OCC, or the Garage Owner shall be liable for any loss, injury or damage to persons using the Parking Facility, or to any motor vehicles or other property therein, and, to the fullest extent permitted by law, the use of the Parking Facility shall be at the sole risk of CRISPR and its employees. Without limitation, none of the Garage Operator, OCC, or the Garage Owner shall be responsible for motor vehicles, money, jewelry, or other personal property lost in or stolen from the Parking Facility, except to the extent caused by the negligence or willful misconduct of OCC, the Garage Operator, or the Garage Owner, as applicable. The Garage Owner and the Garage Operator shall have the right from time to time, (i) upon not less than thirty (30) days prior notice to temporarily close the entire Parking Facility, or (ii) upon not less than five (5) days prior notice to temporarily close certain areas of the Parking Facility, in each instance in order to perform repairs, maintenance and improvements in and to the Parking Facility or said areas of the Parking Facility. If such closure continues for more than five (5) consecutive Business Days and as result of such closure CRISPR is prevented from using all or a portion of the Parking Passes then being provided to it, then CRISPR shall receive an equitable proportionate abatement of the Parking Pass Fee for those Parking Passes which CRISPR is prevented from using and does not use, for the period of time commencing on the sixth (6</w:t>
      </w:r>
      <w:r>
        <w:rPr>
          <w:rFonts w:ascii="Times New Roman" w:cs="Times New Roman" w:eastAsia="Times New Roman" w:hAnsi="Times New Roman"/>
          <w:sz w:val="21"/>
          <w:szCs w:val="21"/>
          <w:color w:val="auto"/>
          <w:vertAlign w:val="superscript"/>
        </w:rPr>
        <w:t>th</w:t>
      </w:r>
      <w:r>
        <w:rPr>
          <w:rFonts w:ascii="Times New Roman" w:cs="Times New Roman" w:eastAsia="Times New Roman" w:hAnsi="Times New Roman"/>
          <w:sz w:val="16"/>
          <w:szCs w:val="16"/>
          <w:color w:val="auto"/>
        </w:rPr>
        <w:t>) Business Day of said closure and expiring when such closure ceases.</w:t>
      </w:r>
    </w:p>
    <w:p>
      <w:pPr>
        <w:spacing w:after="0" w:line="335" w:lineRule="exact"/>
        <w:rPr>
          <w:rFonts w:ascii="Times New Roman" w:cs="Times New Roman" w:eastAsia="Times New Roman" w:hAnsi="Times New Roman"/>
          <w:sz w:val="16"/>
          <w:szCs w:val="16"/>
          <w:color w:val="auto"/>
        </w:rPr>
      </w:pPr>
    </w:p>
    <w:p>
      <w:pPr>
        <w:jc w:val="both"/>
        <w:ind w:left="2480" w:right="1239" w:hanging="247"/>
        <w:spacing w:after="0" w:line="246" w:lineRule="auto"/>
        <w:tabs>
          <w:tab w:leader="none" w:pos="2480" w:val="left"/>
        </w:tabs>
        <w:numPr>
          <w:ilvl w:val="1"/>
          <w:numId w:val="6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CRISPR nor any Permitted Passholder shall bring onto or use or dispose of any hazardous or toxic materials or substances in the Parking Facility.</w:t>
      </w:r>
    </w:p>
    <w:p>
      <w:pPr>
        <w:spacing w:after="0" w:line="134" w:lineRule="exact"/>
        <w:rPr>
          <w:rFonts w:ascii="Times New Roman" w:cs="Times New Roman" w:eastAsia="Times New Roman" w:hAnsi="Times New Roman"/>
          <w:sz w:val="17"/>
          <w:szCs w:val="17"/>
          <w:color w:val="auto"/>
        </w:rPr>
      </w:pPr>
    </w:p>
    <w:p>
      <w:pPr>
        <w:jc w:val="both"/>
        <w:ind w:left="2480" w:right="1239" w:hanging="247"/>
        <w:spacing w:after="0" w:line="235" w:lineRule="auto"/>
        <w:tabs>
          <w:tab w:leader="none" w:pos="2480" w:val="left"/>
        </w:tabs>
        <w:numPr>
          <w:ilvl w:val="1"/>
          <w:numId w:val="6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CRISPR’s use of the Parking Facility shall be subject to all applicable laws, rules and regulations, the provisions of this Agreement, as well as such customary rules and regulations as may be adopted by the Garage Owner or the Garage Operator from time to time. The Garage Owner or the Garage Operator shall have the right to implement a valet parking system in the Parking Facility, and/or a “sticker system” or other monitoring system to administer parking within the Parking Facility. CRISPR shall not store or permit its employees to store any motor vehicles in the Parking Facility without the prior written consent of the Garage Owner and the Garage Operator. Except for emergency repairs, CRISPR and its employees shall not perform any repair work on any motor vehicles while located in the Parking Facility.</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776" w:name="page777"/>
    <w:bookmarkEnd w:id="776"/>
    <w:p>
      <w:pPr>
        <w:jc w:val="both"/>
        <w:ind w:left="1220" w:right="1239" w:firstLine="4"/>
        <w:spacing w:after="0" w:line="235" w:lineRule="auto"/>
        <w:tabs>
          <w:tab w:leader="none" w:pos="1563" w:val="left"/>
        </w:tabs>
        <w:numPr>
          <w:ilvl w:val="0"/>
          <w:numId w:val="6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 Transfer or Assignment</w:t>
      </w:r>
      <w:r>
        <w:rPr>
          <w:rFonts w:ascii="Times New Roman" w:cs="Times New Roman" w:eastAsia="Times New Roman" w:hAnsi="Times New Roman"/>
          <w:sz w:val="17"/>
          <w:szCs w:val="17"/>
          <w:color w:val="auto"/>
        </w:rPr>
        <w:t>. The Parking Passes and the rights of CRISPR under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are personal to CRISPR and shall not be assignable or transferable, by operation of law or otherwise, to any other person or entity; provided, however, the Parking Passes and the rights of CRISPR under this Agreement may be assigned to (x) an assignee of the interests of CRISPR as tenant under the Lease, by operation of law or otherwise, or (y) a subtenant or licensee of CRISPR for all or a portion of the Leased Premises. Such assignment of the Parking Passes shall occur concurrently with the effective date of said assignment of the Lease, or sublease or license of the Leased Premises. Excepting only as expressly provided in the immediately preceding sentence, CRISPR shall have no right to assign, sublicense or otherwise transfer either any of the Parking Passes or its rights under this Agreement, by operation of law or otherwise, without the prior written consent of the Garage Owner and the Garage Operator in each instance, and any purported assignment by CRISPR of the Parking Passes or any rights under this Agreement without such prior consent of the Garage Owner and the Garage Operator shall be void ab initio.</w:t>
      </w:r>
    </w:p>
    <w:p>
      <w:pPr>
        <w:spacing w:after="0" w:line="137" w:lineRule="exact"/>
        <w:rPr>
          <w:rFonts w:ascii="Times New Roman" w:cs="Times New Roman" w:eastAsia="Times New Roman" w:hAnsi="Times New Roman"/>
          <w:sz w:val="17"/>
          <w:szCs w:val="17"/>
          <w:color w:val="auto"/>
        </w:rPr>
      </w:pPr>
    </w:p>
    <w:p>
      <w:pPr>
        <w:jc w:val="both"/>
        <w:ind w:left="1220" w:right="1239" w:firstLine="4"/>
        <w:spacing w:after="0" w:line="235" w:lineRule="auto"/>
        <w:tabs>
          <w:tab w:leader="none" w:pos="1563" w:val="left"/>
        </w:tabs>
        <w:numPr>
          <w:ilvl w:val="0"/>
          <w:numId w:val="6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Waiver and Release, Indemnification</w:t>
      </w:r>
      <w:r>
        <w:rPr>
          <w:rFonts w:ascii="Times New Roman" w:cs="Times New Roman" w:eastAsia="Times New Roman" w:hAnsi="Times New Roman"/>
          <w:sz w:val="17"/>
          <w:szCs w:val="17"/>
          <w:color w:val="auto"/>
        </w:rPr>
        <w:t>. Except to the extent caused by the negligence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willful misconduct of OCC or the Garage Operator, or of their employees or agents,, CRISPR for itself and the Permitted Passholders, hereby waives releases, remises and forever discharges the Parking Facility Parties (as hereinafter defined), and agrees to exonerate, indemnify, defend (with counsel selected by the Garage Owner or the Garage Operator), and hold harmless OCC, the Garage Owner, and the Garage Operator, and each of their respective direct and indirect partners, officers, shareholders, directors, members, managers, trustees, beneficiaries, employees, principals, contractors, servants, agents, and representatives (collectively, “</w:t>
      </w:r>
      <w:r>
        <w:rPr>
          <w:rFonts w:ascii="Times New Roman" w:cs="Times New Roman" w:eastAsia="Times New Roman" w:hAnsi="Times New Roman"/>
          <w:sz w:val="17"/>
          <w:szCs w:val="17"/>
          <w:b w:val="1"/>
          <w:bCs w:val="1"/>
          <w:color w:val="auto"/>
        </w:rPr>
        <w:t>Parking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Facility Parties</w:t>
      </w:r>
      <w:r>
        <w:rPr>
          <w:rFonts w:ascii="Times New Roman" w:cs="Times New Roman" w:eastAsia="Times New Roman" w:hAnsi="Times New Roman"/>
          <w:sz w:val="17"/>
          <w:szCs w:val="17"/>
          <w:color w:val="auto"/>
        </w:rPr>
        <w:t>”) from and against any and all claims, liabilities, penalties, demands, suits,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actions arising from or related to the Parking Passes, and/or the use of the Parking Facility by CRISPR and/or the Permitted Passholders, and from and against any and every suit, action or proceeding to enforce any such claim, liability, penalty, demand and action, and from any and all loss, costs, damages and attorneys’ fees and expenses which it may at any time suffer or incur as a result thereof.</w:t>
      </w:r>
    </w:p>
    <w:p>
      <w:pPr>
        <w:spacing w:after="0" w:line="142" w:lineRule="exact"/>
        <w:rPr>
          <w:sz w:val="20"/>
          <w:szCs w:val="20"/>
          <w:color w:val="auto"/>
        </w:rPr>
      </w:pPr>
    </w:p>
    <w:p>
      <w:pPr>
        <w:jc w:val="both"/>
        <w:ind w:left="1220" w:right="1239"/>
        <w:spacing w:after="0" w:line="234" w:lineRule="auto"/>
        <w:rPr>
          <w:sz w:val="20"/>
          <w:szCs w:val="20"/>
          <w:color w:val="auto"/>
        </w:rPr>
      </w:pPr>
      <w:r>
        <w:rPr>
          <w:rFonts w:ascii="Times New Roman" w:cs="Times New Roman" w:eastAsia="Times New Roman" w:hAnsi="Times New Roman"/>
          <w:sz w:val="17"/>
          <w:szCs w:val="17"/>
          <w:color w:val="auto"/>
        </w:rPr>
        <w:t>CRISPR shall procure and maintain, or shall cause each Permitted Passholder to procure and maintain, in full force and effect during the Term of this Agreement automobile liability insurance in an amount of at least $1,000,000.00 combined single limit, bodily injury and property damage. Upon request, a certificate of insurance shall be delivered to OCC and the Garage Operator evidencing the automobile insurance coverage required hereunder. CRISPR hereby waives any and all rights of recovery and subrogation against the Parking Facility Parties for any property damage claims incurred in connection with the use of the Parking Facility and shall have all property insurance policies obtained by CRISPR appropriately endorsed with waiver of subrogation endorsements. Similarly, the Parking Facility Parties hereby waive any and all rights of recovery and subrogation against CRISPR and the Permitted Passholders for any property damage claims with respect to the Parking Facility and Garage Owner shall have all property insurance policies obtained by or on behalf of Garage Owner appropriately endorsed with waiver of subrogation endorsements. This Section 7 shall survive the expiration or earlier termination of the Term of this Agreement.</w:t>
      </w:r>
    </w:p>
    <w:p>
      <w:pPr>
        <w:spacing w:after="0" w:line="145" w:lineRule="exact"/>
        <w:rPr>
          <w:sz w:val="20"/>
          <w:szCs w:val="20"/>
          <w:color w:val="auto"/>
        </w:rPr>
      </w:pPr>
    </w:p>
    <w:p>
      <w:pPr>
        <w:jc w:val="both"/>
        <w:ind w:left="1220" w:right="1239" w:firstLine="4"/>
        <w:spacing w:after="0" w:line="243" w:lineRule="auto"/>
        <w:tabs>
          <w:tab w:leader="none" w:pos="1563" w:val="left"/>
        </w:tabs>
        <w:numPr>
          <w:ilvl w:val="0"/>
          <w:numId w:val="6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Default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(x) CRISPR shall fail to pay any payment on account of the Parking Pass Fees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such failure is not cured within five (5) business days following delivery to CRISPR of notice that such payment was not received when due, or (y) CRISPR shall fail to perform any of its other</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sectPr>
      </w:pPr>
    </w:p>
    <w:bookmarkStart w:id="777" w:name="page778"/>
    <w:bookmarkEnd w:id="777"/>
    <w:p>
      <w:pPr>
        <w:jc w:val="both"/>
        <w:ind w:left="1220" w:right="1239" w:firstLine="343"/>
        <w:spacing w:after="0" w:line="234" w:lineRule="auto"/>
        <w:rPr>
          <w:sz w:val="20"/>
          <w:szCs w:val="20"/>
          <w:color w:val="auto"/>
        </w:rPr>
      </w:pPr>
      <w:r>
        <w:rPr>
          <w:rFonts w:ascii="Times New Roman" w:cs="Times New Roman" w:eastAsia="Times New Roman" w:hAnsi="Times New Roman"/>
          <w:sz w:val="17"/>
          <w:szCs w:val="17"/>
          <w:color w:val="auto"/>
        </w:rPr>
        <w:t>obligations under this Agreement and such failure continues for more than thirty (30) days after notice by OCC or the Garage Operator to CRISPR of such default, then OCC or the Garage Operator may elect to exercise one or more of the following remedies: (i) to terminate this Agreement upon written notice to CRISPR, and to immediately revoke any and all Parking Passes; (ii) to remove any motor vehicle or other property of CRISPR or any Permitted Passholder then-remaining in the Parking Facility after the termination of this Agreement and to store the same, at the sole cost and expense of CRISPR; (iii) to commence and prosecute a collection action against CRISPR for all unpaid Parking Pass Fees and other charges and costs payable by CRISPR under this Agreement; and (iv) to exercise any and all other rights and remedies available, at law and in equity. In the event that this Agreement is terminated following a default of CRISPR hereunder, OCC or the Garage Operator may recover from CRISPR any sums or damages owing by CRISPR at the time of termination plus any costs and expenses incurred as the result of CRISPR’s default. The aforesaid remedies shall be in addition to any other rights and remedies available at law or in equity, and are intended to be cumulative and not exclusive.</w:t>
      </w:r>
    </w:p>
    <w:p>
      <w:pPr>
        <w:spacing w:after="0" w:line="144" w:lineRule="exact"/>
        <w:rPr>
          <w:sz w:val="20"/>
          <w:szCs w:val="20"/>
          <w:color w:val="auto"/>
        </w:rPr>
      </w:pPr>
    </w:p>
    <w:p>
      <w:pPr>
        <w:jc w:val="both"/>
        <w:ind w:left="1220" w:right="1239" w:firstLine="4"/>
        <w:spacing w:after="0" w:line="235" w:lineRule="auto"/>
        <w:tabs>
          <w:tab w:leader="none" w:pos="1563" w:val="left"/>
        </w:tabs>
        <w:numPr>
          <w:ilvl w:val="0"/>
          <w:numId w:val="6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Subordination and Attornment</w:t>
      </w:r>
      <w:r>
        <w:rPr>
          <w:rFonts w:ascii="Times New Roman" w:cs="Times New Roman" w:eastAsia="Times New Roman" w:hAnsi="Times New Roman"/>
          <w:sz w:val="17"/>
          <w:szCs w:val="17"/>
          <w:color w:val="auto"/>
        </w:rPr>
        <w:t>. This Agreement is and shall be subject and subordinate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to all mortgages now or hereafter encumbering the Parking Facility. CRISPR shall attorn to each such mortgagee, its successors in interest or any purchaser at a foreclosure sale. If a mortgagee, its successors in interest or any purchaser at a foreclosure sale, or its respective successor in interest, shall succeed to the rights of Garage Owner as owner of the Parking Facility, whether through possession or foreclosure action or the delivery of deed-in-lieu of foreclosure, then CRISPR shall attorn to and recognize such successor under this Agreement. The provisions of this </w:t>
      </w:r>
      <w:r>
        <w:rPr>
          <w:rFonts w:ascii="Times New Roman" w:cs="Times New Roman" w:eastAsia="Times New Roman" w:hAnsi="Times New Roman"/>
          <w:sz w:val="17"/>
          <w:szCs w:val="17"/>
          <w:b w:val="1"/>
          <w:bCs w:val="1"/>
          <w:color w:val="auto"/>
        </w:rPr>
        <w:t>Section 9</w:t>
      </w:r>
      <w:r>
        <w:rPr>
          <w:rFonts w:ascii="Times New Roman" w:cs="Times New Roman" w:eastAsia="Times New Roman" w:hAnsi="Times New Roman"/>
          <w:sz w:val="17"/>
          <w:szCs w:val="17"/>
          <w:color w:val="auto"/>
        </w:rPr>
        <w:t xml:space="preserve"> are self-operative and require no further instruments to give effect hereto; provided, however, CRISPR shall promptly execute and deliver any instrument that such successor in interest or purchaser at a foreclosure sale may reasonably request evidencing such attornment. Upon such attornment this Agreement shall continue in full force and effect as a direct Agreement between such successor in interest or purchaser at a foreclosure sale and CRISPR upon all of the terms, conditions and covenants set forth in this Agreement.</w:t>
      </w:r>
    </w:p>
    <w:p>
      <w:pPr>
        <w:spacing w:after="0" w:line="139" w:lineRule="exact"/>
        <w:rPr>
          <w:rFonts w:ascii="Times New Roman" w:cs="Times New Roman" w:eastAsia="Times New Roman" w:hAnsi="Times New Roman"/>
          <w:sz w:val="17"/>
          <w:szCs w:val="17"/>
          <w:color w:val="auto"/>
        </w:rPr>
      </w:pPr>
    </w:p>
    <w:p>
      <w:pPr>
        <w:jc w:val="both"/>
        <w:ind w:left="1220" w:right="1239" w:firstLine="4"/>
        <w:spacing w:after="0" w:line="235" w:lineRule="auto"/>
        <w:tabs>
          <w:tab w:leader="none" w:pos="1563" w:val="left"/>
        </w:tabs>
        <w:numPr>
          <w:ilvl w:val="0"/>
          <w:numId w:val="6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Estoppel Certificate</w:t>
      </w:r>
      <w:r>
        <w:rPr>
          <w:rFonts w:ascii="Times New Roman" w:cs="Times New Roman" w:eastAsia="Times New Roman" w:hAnsi="Times New Roman"/>
          <w:sz w:val="17"/>
          <w:szCs w:val="17"/>
          <w:color w:val="auto"/>
        </w:rPr>
        <w:t>. From time to time upon not less than ten (10) business days’ prior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notice by OCC, CRISPR shall execute and deliver to OCC an estoppel certificate certifying that this Agreement is unmodified and in full force and effect (or if there have been modifications, that the same is in full force and effect as modified and stating the modifications), and the dates to which the Parking Pass Fees have been paid in advance, if any, stating whether or not OCC is in breach or default in performance of any covenant, agreement, term, provision or condition contained in this Agreement and, if so, specifying each such breach or default and such other facts as the OCC may reasonably request. Any such estoppel certificate may be relied upon by any prospective purchaser of the Parking Facility or any interest therein, any mortgagee or prospective mortgagee thereof, any lessee or prospective lessee thereof, any equity investor therein or in either party. Time is of the essence in respect of the delivery of any such requested estoppel certificate.</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778" w:name="page779"/>
    <w:bookmarkEnd w:id="778"/>
    <w:p>
      <w:pPr>
        <w:jc w:val="both"/>
        <w:ind w:left="1220" w:right="1239" w:firstLine="4"/>
        <w:spacing w:after="0" w:line="236" w:lineRule="auto"/>
        <w:tabs>
          <w:tab w:leader="none" w:pos="1563" w:val="left"/>
        </w:tabs>
        <w:numPr>
          <w:ilvl w:val="0"/>
          <w:numId w:val="6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Limitation of Liability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 no event shall any partner, member, manager, shareholder,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director, officer, principal, employee, agent, or owner of Garage Owner or OCC, direct or indirect, disclosed or undisclosed, be personally liable for any debts, liabilities or obligations of Garage Owner or OCC, or for any claims against Garage Owner or OCC, arising out of or resulting from this Agreement. Any such debts, obligations, liabilities or claims shall be satisfied solely out of the interests of Garage Owner in the Parking Facility. In no event shall any personal judgment be sought or obtained against any partner, member, manager, shareholder, director, officer, principal, employee, agent, or owner of Garage Owner or OCC, direct or indirect, disclosed or undisclosed.</w:t>
      </w:r>
    </w:p>
    <w:p>
      <w:pPr>
        <w:spacing w:after="0" w:line="141" w:lineRule="exact"/>
        <w:rPr>
          <w:rFonts w:ascii="Times New Roman" w:cs="Times New Roman" w:eastAsia="Times New Roman" w:hAnsi="Times New Roman"/>
          <w:sz w:val="17"/>
          <w:szCs w:val="17"/>
          <w:color w:val="auto"/>
        </w:rPr>
      </w:pPr>
    </w:p>
    <w:p>
      <w:pPr>
        <w:jc w:val="both"/>
        <w:ind w:left="1220" w:right="1239" w:firstLine="4"/>
        <w:spacing w:after="0" w:line="238" w:lineRule="auto"/>
        <w:tabs>
          <w:tab w:leader="none" w:pos="1563" w:val="left"/>
        </w:tabs>
        <w:numPr>
          <w:ilvl w:val="0"/>
          <w:numId w:val="6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as otherwise expressly provided in this Agreement, all consents, notices,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demands, requests, approvals or other communications given under this Agreement shall be in writing and shall be deemed sufficiently given if delivered by hand (provided a signed receipt is obtained) or if sent by registered or certified mail (return receipt requested) or by a nationally recognized overnight delivery service making receipted deliveries, addressed to OCC and CRISPR, respectively, at the following addresses:</w:t>
      </w:r>
    </w:p>
    <w:p>
      <w:pPr>
        <w:spacing w:after="0" w:line="1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OCC’s Address for Notices:</w:t>
      </w:r>
    </w:p>
    <w:p>
      <w:pPr>
        <w:spacing w:after="0" w:line="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One Channel Center TRS, L.L.C.</w:t>
      </w:r>
    </w:p>
    <w:p>
      <w:pPr>
        <w:ind w:left="4260"/>
        <w:spacing w:after="0" w:line="232" w:lineRule="auto"/>
        <w:rPr>
          <w:sz w:val="20"/>
          <w:szCs w:val="20"/>
          <w:color w:val="auto"/>
        </w:rPr>
      </w:pPr>
      <w:r>
        <w:rPr>
          <w:rFonts w:ascii="Times New Roman" w:cs="Times New Roman" w:eastAsia="Times New Roman" w:hAnsi="Times New Roman"/>
          <w:sz w:val="17"/>
          <w:szCs w:val="17"/>
          <w:color w:val="auto"/>
        </w:rPr>
        <w:t>c/o Tishman Speyer</w:t>
      </w:r>
    </w:p>
    <w:p>
      <w:pPr>
        <w:ind w:left="4260"/>
        <w:spacing w:after="0" w:line="232" w:lineRule="auto"/>
        <w:rPr>
          <w:sz w:val="20"/>
          <w:szCs w:val="20"/>
          <w:color w:val="auto"/>
        </w:rPr>
      </w:pPr>
      <w:r>
        <w:rPr>
          <w:rFonts w:ascii="Times New Roman" w:cs="Times New Roman" w:eastAsia="Times New Roman" w:hAnsi="Times New Roman"/>
          <w:sz w:val="17"/>
          <w:szCs w:val="17"/>
          <w:color w:val="auto"/>
        </w:rPr>
        <w:t>45 Rockefeller Plaza</w:t>
      </w:r>
    </w:p>
    <w:p>
      <w:pPr>
        <w:ind w:left="4260"/>
        <w:spacing w:after="0" w:line="232" w:lineRule="auto"/>
        <w:rPr>
          <w:sz w:val="20"/>
          <w:szCs w:val="20"/>
          <w:color w:val="auto"/>
        </w:rPr>
      </w:pPr>
      <w:r>
        <w:rPr>
          <w:rFonts w:ascii="Times New Roman" w:cs="Times New Roman" w:eastAsia="Times New Roman" w:hAnsi="Times New Roman"/>
          <w:sz w:val="17"/>
          <w:szCs w:val="17"/>
          <w:color w:val="auto"/>
        </w:rPr>
        <w:t>New York, New York 10111</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Attn: [***]</w:t>
      </w:r>
    </w:p>
    <w:p>
      <w:pPr>
        <w:spacing w:after="0" w:line="1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and</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One Channel Center TRS, L.L.C.</w:t>
      </w:r>
    </w:p>
    <w:p>
      <w:pPr>
        <w:spacing w:after="0" w:line="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c/o Tishman Speyer</w:t>
      </w:r>
    </w:p>
    <w:p>
      <w:pPr>
        <w:ind w:left="4260"/>
        <w:spacing w:after="0" w:line="232" w:lineRule="auto"/>
        <w:rPr>
          <w:sz w:val="20"/>
          <w:szCs w:val="20"/>
          <w:color w:val="auto"/>
        </w:rPr>
      </w:pPr>
      <w:r>
        <w:rPr>
          <w:rFonts w:ascii="Times New Roman" w:cs="Times New Roman" w:eastAsia="Times New Roman" w:hAnsi="Times New Roman"/>
          <w:sz w:val="17"/>
          <w:szCs w:val="17"/>
          <w:color w:val="auto"/>
        </w:rPr>
        <w:t>45 Rockefeller Plaza</w:t>
      </w:r>
    </w:p>
    <w:p>
      <w:pPr>
        <w:ind w:left="4260"/>
        <w:spacing w:after="0" w:line="232" w:lineRule="auto"/>
        <w:rPr>
          <w:sz w:val="20"/>
          <w:szCs w:val="20"/>
          <w:color w:val="auto"/>
        </w:rPr>
      </w:pPr>
      <w:r>
        <w:rPr>
          <w:rFonts w:ascii="Times New Roman" w:cs="Times New Roman" w:eastAsia="Times New Roman" w:hAnsi="Times New Roman"/>
          <w:sz w:val="17"/>
          <w:szCs w:val="17"/>
          <w:color w:val="auto"/>
        </w:rPr>
        <w:t>New York, New York 10111</w:t>
      </w:r>
    </w:p>
    <w:p>
      <w:pPr>
        <w:spacing w:after="0" w:line="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Attn: [***]</w:t>
      </w:r>
    </w:p>
    <w:p>
      <w:pPr>
        <w:spacing w:after="0" w:line="1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and</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VPNE Parking Solutions, LLC</w:t>
      </w:r>
    </w:p>
    <w:p>
      <w:pPr>
        <w:spacing w:after="0" w:line="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343 Congress Street</w:t>
      </w:r>
    </w:p>
    <w:p>
      <w:pPr>
        <w:ind w:left="4260"/>
        <w:spacing w:after="0"/>
        <w:rPr>
          <w:sz w:val="20"/>
          <w:szCs w:val="20"/>
          <w:color w:val="auto"/>
        </w:rPr>
      </w:pPr>
      <w:r>
        <w:rPr>
          <w:rFonts w:ascii="Times New Roman" w:cs="Times New Roman" w:eastAsia="Times New Roman" w:hAnsi="Times New Roman"/>
          <w:sz w:val="17"/>
          <w:szCs w:val="17"/>
          <w:color w:val="auto"/>
        </w:rPr>
        <w:t>Boston, Massachusetts 02201</w:t>
      </w:r>
    </w:p>
    <w:p>
      <w:pPr>
        <w:spacing w:after="0" w:line="1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and</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Goulston &amp; Storrs PC</w:t>
      </w:r>
    </w:p>
    <w:p>
      <w:pPr>
        <w:spacing w:after="0" w:line="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400 Atlantic Avenue</w:t>
      </w:r>
    </w:p>
    <w:p>
      <w:pPr>
        <w:ind w:left="4260"/>
        <w:spacing w:after="0" w:line="232" w:lineRule="auto"/>
        <w:rPr>
          <w:sz w:val="20"/>
          <w:szCs w:val="20"/>
          <w:color w:val="auto"/>
        </w:rPr>
      </w:pPr>
      <w:r>
        <w:rPr>
          <w:rFonts w:ascii="Times New Roman" w:cs="Times New Roman" w:eastAsia="Times New Roman" w:hAnsi="Times New Roman"/>
          <w:sz w:val="17"/>
          <w:szCs w:val="17"/>
          <w:color w:val="auto"/>
        </w:rPr>
        <w:t>Boston, Massachusetts 02110</w:t>
      </w:r>
    </w:p>
    <w:p>
      <w:pPr>
        <w:ind w:left="4260"/>
        <w:spacing w:after="0"/>
        <w:rPr>
          <w:sz w:val="20"/>
          <w:szCs w:val="20"/>
          <w:color w:val="auto"/>
        </w:rPr>
      </w:pPr>
      <w:r>
        <w:rPr>
          <w:rFonts w:ascii="Times New Roman" w:cs="Times New Roman" w:eastAsia="Times New Roman" w:hAnsi="Times New Roman"/>
          <w:sz w:val="17"/>
          <w:szCs w:val="17"/>
          <w:color w:val="auto"/>
        </w:rPr>
        <w:t>Attn: [***]</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779" w:name="page780"/>
    <w:bookmarkEnd w:id="779"/>
    <w:p>
      <w:pPr>
        <w:ind w:left="1720"/>
        <w:spacing w:after="0"/>
        <w:tabs>
          <w:tab w:leader="none" w:pos="4060" w:val="left"/>
        </w:tabs>
        <w:rPr>
          <w:sz w:val="20"/>
          <w:szCs w:val="20"/>
          <w:color w:val="auto"/>
        </w:rPr>
      </w:pPr>
      <w:r>
        <w:rPr>
          <w:rFonts w:ascii="Times New Roman" w:cs="Times New Roman" w:eastAsia="Times New Roman" w:hAnsi="Times New Roman"/>
          <w:sz w:val="17"/>
          <w:szCs w:val="17"/>
          <w:color w:val="auto"/>
        </w:rPr>
        <w:t>CRISPR’s Address for Notices:</w:t>
      </w:r>
      <w:r>
        <w:rPr>
          <w:sz w:val="20"/>
          <w:szCs w:val="20"/>
          <w:color w:val="auto"/>
        </w:rPr>
        <w:tab/>
      </w:r>
      <w:r>
        <w:rPr>
          <w:rFonts w:ascii="Times New Roman" w:cs="Times New Roman" w:eastAsia="Times New Roman" w:hAnsi="Times New Roman"/>
          <w:sz w:val="16"/>
          <w:szCs w:val="16"/>
          <w:color w:val="auto"/>
        </w:rPr>
        <w:t>Prior to the Commencement Date:</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610 Main Street North</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Cambridge, Massachusetts 02139</w:t>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Attn: [***]</w:t>
      </w:r>
    </w:p>
    <w:p>
      <w:pPr>
        <w:spacing w:after="0" w:line="1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From and after the Commencement Date:</w:t>
      </w:r>
    </w:p>
    <w:p>
      <w:pPr>
        <w:spacing w:after="0" w:line="16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105 West First Street</w:t>
      </w:r>
    </w:p>
    <w:p>
      <w:pPr>
        <w:spacing w:after="0" w:line="5"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Boston, Massachusetts 02210</w:t>
      </w:r>
    </w:p>
    <w:p>
      <w:pPr>
        <w:ind w:left="4260"/>
        <w:spacing w:after="0"/>
        <w:rPr>
          <w:sz w:val="20"/>
          <w:szCs w:val="20"/>
          <w:color w:val="auto"/>
        </w:rPr>
      </w:pPr>
      <w:r>
        <w:rPr>
          <w:rFonts w:ascii="Times New Roman" w:cs="Times New Roman" w:eastAsia="Times New Roman" w:hAnsi="Times New Roman"/>
          <w:sz w:val="17"/>
          <w:szCs w:val="17"/>
          <w:color w:val="auto"/>
        </w:rPr>
        <w:t>Attn: [***]</w:t>
      </w:r>
    </w:p>
    <w:p>
      <w:pPr>
        <w:spacing w:after="0" w:line="1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In either case with a copy to the above address for</w:t>
      </w:r>
    </w:p>
    <w:p>
      <w:pPr>
        <w:spacing w:after="0" w:line="12"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7"/>
          <w:szCs w:val="17"/>
          <w:color w:val="auto"/>
        </w:rPr>
        <w:t>CRISPR, to the attention of the General Counsel.</w:t>
      </w:r>
    </w:p>
    <w:p>
      <w:pPr>
        <w:spacing w:after="0" w:line="144" w:lineRule="exact"/>
        <w:rPr>
          <w:sz w:val="20"/>
          <w:szCs w:val="20"/>
          <w:color w:val="auto"/>
        </w:rPr>
      </w:pPr>
    </w:p>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Notices shall also be provided to such other address(es) as OCC or CRISPR may designate as its new address(es) for such purpose by notice given to the other in accordance with the provisions of this Section 12. Any such notice, demand, request or other communication shall be deemed to have been given on the date of receipted delivery, refusal to accept delivery or when delivery is first attempted but cannot be made due to a change of address for which no notice is given or three (3) Business Days after it shall have been mailed as provided in this Section 12, whichever is earlier.</w:t>
      </w:r>
    </w:p>
    <w:p>
      <w:pPr>
        <w:spacing w:after="0" w:line="137" w:lineRule="exact"/>
        <w:rPr>
          <w:sz w:val="20"/>
          <w:szCs w:val="20"/>
          <w:color w:val="auto"/>
        </w:rPr>
      </w:pPr>
    </w:p>
    <w:p>
      <w:pPr>
        <w:jc w:val="both"/>
        <w:ind w:left="1220" w:right="1239" w:firstLine="4"/>
        <w:spacing w:after="0" w:line="236" w:lineRule="auto"/>
        <w:tabs>
          <w:tab w:leader="none" w:pos="1563" w:val="left"/>
        </w:tabs>
        <w:numPr>
          <w:ilvl w:val="0"/>
          <w:numId w:val="6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Brokerage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Each of OCC and CRISPR represents and warrants to the other that it has not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dealt with any broker or finder in connection with this Agreement, other than Newmark Real Estate of Massachusetts, LLC, d/b/a Newmark Knight Frank (“</w:t>
      </w:r>
      <w:r>
        <w:rPr>
          <w:rFonts w:ascii="Times New Roman" w:cs="Times New Roman" w:eastAsia="Times New Roman" w:hAnsi="Times New Roman"/>
          <w:sz w:val="17"/>
          <w:szCs w:val="17"/>
          <w:b w:val="1"/>
          <w:bCs w:val="1"/>
          <w:color w:val="auto"/>
        </w:rPr>
        <w:t>Newmark</w:t>
      </w:r>
      <w:r>
        <w:rPr>
          <w:rFonts w:ascii="Times New Roman" w:cs="Times New Roman" w:eastAsia="Times New Roman" w:hAnsi="Times New Roman"/>
          <w:sz w:val="17"/>
          <w:szCs w:val="17"/>
          <w:color w:val="auto"/>
        </w:rPr>
        <w:t>”) and Cushman &amp; Wakefield of Massachusetts, Inc. (“</w:t>
      </w:r>
      <w:r>
        <w:rPr>
          <w:rFonts w:ascii="Times New Roman" w:cs="Times New Roman" w:eastAsia="Times New Roman" w:hAnsi="Times New Roman"/>
          <w:sz w:val="17"/>
          <w:szCs w:val="17"/>
          <w:b w:val="1"/>
          <w:bCs w:val="1"/>
          <w:color w:val="auto"/>
        </w:rPr>
        <w:t>C&amp;W</w:t>
      </w:r>
      <w:r>
        <w:rPr>
          <w:rFonts w:ascii="Times New Roman" w:cs="Times New Roman" w:eastAsia="Times New Roman" w:hAnsi="Times New Roman"/>
          <w:sz w:val="17"/>
          <w:szCs w:val="17"/>
          <w:color w:val="auto"/>
        </w:rPr>
        <w:t>”). No commissions or fees shall be payable to either Newmark or C&amp;W in connection with this Agreement and/or the Parking Passes. Each of OCC and CRISPR shall indemnify, defend, protect and hold the other party harmless from and against any and all claims, losses, liabilities, costs and expenses which the indemnified party may incur by reason of any claim of or liability to any broker, finder or like agent arising out of any dealings claimed to have occurred between the indemnifying party and the claimant in connection with this Agreement, and/or the above representation being false.</w:t>
      </w:r>
    </w:p>
    <w:p>
      <w:pPr>
        <w:spacing w:after="0" w:line="138" w:lineRule="exact"/>
        <w:rPr>
          <w:rFonts w:ascii="Times New Roman" w:cs="Times New Roman" w:eastAsia="Times New Roman" w:hAnsi="Times New Roman"/>
          <w:sz w:val="17"/>
          <w:szCs w:val="17"/>
          <w:color w:val="auto"/>
        </w:rPr>
      </w:pPr>
    </w:p>
    <w:p>
      <w:pPr>
        <w:jc w:val="both"/>
        <w:ind w:left="1220" w:right="1239" w:firstLine="4"/>
        <w:spacing w:after="0" w:line="243" w:lineRule="auto"/>
        <w:tabs>
          <w:tab w:leader="none" w:pos="1563" w:val="left"/>
        </w:tabs>
        <w:numPr>
          <w:ilvl w:val="0"/>
          <w:numId w:val="6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End of Term</w:t>
      </w:r>
      <w:r>
        <w:rPr>
          <w:rFonts w:ascii="Times New Roman" w:cs="Times New Roman" w:eastAsia="Times New Roman" w:hAnsi="Times New Roman"/>
          <w:sz w:val="17"/>
          <w:szCs w:val="17"/>
          <w:color w:val="auto"/>
        </w:rPr>
        <w:t>. By not later than the Expiration Date, or the earlier expiration or termination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Term of this Agreement, CRISPR shall return all of the Parking Passes to OCC or the Garage Operator, and thereafter shall cease using the Parking Facility. This Section 14 shall survive the expiration or earlier termination of this Agreement.</w:t>
      </w:r>
    </w:p>
    <w:p>
      <w:pPr>
        <w:spacing w:after="0" w:line="133" w:lineRule="exact"/>
        <w:rPr>
          <w:rFonts w:ascii="Times New Roman" w:cs="Times New Roman" w:eastAsia="Times New Roman" w:hAnsi="Times New Roman"/>
          <w:sz w:val="17"/>
          <w:szCs w:val="17"/>
          <w:color w:val="auto"/>
        </w:rPr>
      </w:pPr>
    </w:p>
    <w:p>
      <w:pPr>
        <w:jc w:val="both"/>
        <w:ind w:left="1220" w:right="1239" w:firstLine="4"/>
        <w:spacing w:after="0" w:line="238" w:lineRule="auto"/>
        <w:tabs>
          <w:tab w:leader="none" w:pos="1563" w:val="left"/>
        </w:tabs>
        <w:numPr>
          <w:ilvl w:val="0"/>
          <w:numId w:val="6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Relocation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OCC elects, in its sole discretion, at any time during the Term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to pursue the demolition of the Parking Facility, then upon not less than twelve (12) months prior notice to CRISPR (a “</w:t>
      </w:r>
      <w:r>
        <w:rPr>
          <w:rFonts w:ascii="Times New Roman" w:cs="Times New Roman" w:eastAsia="Times New Roman" w:hAnsi="Times New Roman"/>
          <w:sz w:val="17"/>
          <w:szCs w:val="17"/>
          <w:b w:val="1"/>
          <w:bCs w:val="1"/>
          <w:color w:val="auto"/>
        </w:rPr>
        <w:t>Substitute Parking Notice</w:t>
      </w:r>
      <w:r>
        <w:rPr>
          <w:rFonts w:ascii="Times New Roman" w:cs="Times New Roman" w:eastAsia="Times New Roman" w:hAnsi="Times New Roman"/>
          <w:sz w:val="17"/>
          <w:szCs w:val="17"/>
          <w:color w:val="auto"/>
        </w:rPr>
        <w:t>”), provided that the demolition of the Parking Facility is proceeding and has not been suspended or abandoned, on the date specified in the Substitute Parking Notice, all of the Parking Passes shall be rescinded and revoked, CRISPR shall have no further rights or claims with respect to either the Parking Passes or the Parking Facility, and this Agreement shall be of no further force or effect.</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780" w:name="page781"/>
    <w:bookmarkEnd w:id="780"/>
    <w:p>
      <w:pPr>
        <w:ind w:left="1220" w:right="1239" w:firstLine="4"/>
        <w:spacing w:after="0" w:line="264" w:lineRule="auto"/>
        <w:tabs>
          <w:tab w:leader="none" w:pos="1563" w:val="left"/>
        </w:tabs>
        <w:numPr>
          <w:ilvl w:val="0"/>
          <w:numId w:val="6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Headings</w:t>
      </w:r>
      <w:r>
        <w:rPr>
          <w:rFonts w:ascii="Times New Roman" w:cs="Times New Roman" w:eastAsia="Times New Roman" w:hAnsi="Times New Roman"/>
          <w:sz w:val="17"/>
          <w:szCs w:val="17"/>
          <w:color w:val="auto"/>
        </w:rPr>
        <w:t>. The headings herein are for convenience and reference only and in no way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define and limit the scope and content of this Agreement or in any way affect its provisions.</w:t>
      </w:r>
    </w:p>
    <w:p>
      <w:pPr>
        <w:spacing w:after="0" w:line="116" w:lineRule="exact"/>
        <w:rPr>
          <w:rFonts w:ascii="Times New Roman" w:cs="Times New Roman" w:eastAsia="Times New Roman" w:hAnsi="Times New Roman"/>
          <w:sz w:val="17"/>
          <w:szCs w:val="17"/>
          <w:color w:val="auto"/>
        </w:rPr>
      </w:pPr>
    </w:p>
    <w:p>
      <w:pPr>
        <w:ind w:left="1220" w:right="1239" w:firstLine="4"/>
        <w:spacing w:after="0" w:line="264" w:lineRule="auto"/>
        <w:tabs>
          <w:tab w:leader="none" w:pos="1563" w:val="left"/>
        </w:tabs>
        <w:numPr>
          <w:ilvl w:val="0"/>
          <w:numId w:val="6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Successors and Assigns</w:t>
      </w:r>
      <w:r>
        <w:rPr>
          <w:rFonts w:ascii="Times New Roman" w:cs="Times New Roman" w:eastAsia="Times New Roman" w:hAnsi="Times New Roman"/>
          <w:sz w:val="17"/>
          <w:szCs w:val="17"/>
          <w:color w:val="auto"/>
        </w:rPr>
        <w:t>. Subject to Section 6 above, this Agreement shall be binding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inure to the benefit of the parties hereto and their heirs, permitted successors and assigns.</w:t>
      </w:r>
    </w:p>
    <w:p>
      <w:pPr>
        <w:spacing w:after="0" w:line="116" w:lineRule="exact"/>
        <w:rPr>
          <w:rFonts w:ascii="Times New Roman" w:cs="Times New Roman" w:eastAsia="Times New Roman" w:hAnsi="Times New Roman"/>
          <w:sz w:val="17"/>
          <w:szCs w:val="17"/>
          <w:color w:val="auto"/>
        </w:rPr>
      </w:pPr>
    </w:p>
    <w:p>
      <w:pPr>
        <w:jc w:val="both"/>
        <w:ind w:left="1220" w:right="1239" w:firstLine="4"/>
        <w:spacing w:after="0" w:line="251" w:lineRule="auto"/>
        <w:tabs>
          <w:tab w:leader="none" w:pos="1563" w:val="left"/>
        </w:tabs>
        <w:numPr>
          <w:ilvl w:val="0"/>
          <w:numId w:val="6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u w:val="single" w:color="auto"/>
          <w:color w:val="auto"/>
        </w:rPr>
        <w:t>No Waiver</w:t>
      </w:r>
      <w:r>
        <w:rPr>
          <w:rFonts w:ascii="Times New Roman" w:cs="Times New Roman" w:eastAsia="Times New Roman" w:hAnsi="Times New Roman"/>
          <w:sz w:val="16"/>
          <w:szCs w:val="16"/>
          <w:color w:val="auto"/>
        </w:rPr>
        <w:t>. The failure of any party to this Agreement in any one or more instances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insist upon compliance with any provision or covenant herein or to exercise any right or privilege herein shall not constitute or be construed as a waiver of such or any similar provision or covenant, including the right to cure a breach or default, but the same shall continue and remain in full force and effect, as if no such forbearance has occurred. For purposes of this Agreement, whenever the words “include”, “includes”, or “including” are used, they shall be deemed to be followed by the words “without limitation” and, whenever the circumstances or the context requires, the singular shall be construed as the plural, the masculine shall be construed as the feminine and/or the neuter and vice versa. This Agreement shall be interpreted and enforced without the aid of any canon, custom or rule of law requiring or suggesting construction against the party drafting or causing the drafting of the provision in question. In no event and under no circumstances shall either party be liable to the other party for consequential damages.</w:t>
      </w:r>
    </w:p>
    <w:p>
      <w:pPr>
        <w:spacing w:after="0" w:line="129" w:lineRule="exact"/>
        <w:rPr>
          <w:rFonts w:ascii="Times New Roman" w:cs="Times New Roman" w:eastAsia="Times New Roman" w:hAnsi="Times New Roman"/>
          <w:sz w:val="16"/>
          <w:szCs w:val="16"/>
          <w:color w:val="auto"/>
        </w:rPr>
      </w:pPr>
    </w:p>
    <w:p>
      <w:pPr>
        <w:jc w:val="both"/>
        <w:ind w:left="1220" w:right="1239" w:firstLine="4"/>
        <w:spacing w:after="0" w:line="238" w:lineRule="auto"/>
        <w:tabs>
          <w:tab w:leader="none" w:pos="1563" w:val="left"/>
        </w:tabs>
        <w:numPr>
          <w:ilvl w:val="0"/>
          <w:numId w:val="6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Applicable Law</w:t>
      </w:r>
      <w:r>
        <w:rPr>
          <w:rFonts w:ascii="Times New Roman" w:cs="Times New Roman" w:eastAsia="Times New Roman" w:hAnsi="Times New Roman"/>
          <w:sz w:val="17"/>
          <w:szCs w:val="17"/>
          <w:color w:val="auto"/>
        </w:rPr>
        <w:t>. This Agreement shall be governed by and construed in accordance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laws of the Commonwealth of Massachusetts without regard to principles of conflict of laws. This Agreement is not to be construed as in any way granting to Licensee any interest in the Parking Facility. This Agreement merely grants to Licensee a license to use of the Parking Passes to use the Parking Facility in accordance with the terms hereof and shall not be deemed to grant to Licensee a leasehold or other real property interest in the Parking Facility.</w:t>
      </w:r>
    </w:p>
    <w:p>
      <w:pPr>
        <w:spacing w:after="0" w:line="140" w:lineRule="exact"/>
        <w:rPr>
          <w:rFonts w:ascii="Times New Roman" w:cs="Times New Roman" w:eastAsia="Times New Roman" w:hAnsi="Times New Roman"/>
          <w:sz w:val="17"/>
          <w:szCs w:val="17"/>
          <w:color w:val="auto"/>
        </w:rPr>
      </w:pPr>
    </w:p>
    <w:p>
      <w:pPr>
        <w:jc w:val="both"/>
        <w:ind w:left="1220" w:right="1239" w:firstLine="4"/>
        <w:spacing w:after="0" w:line="234" w:lineRule="auto"/>
        <w:tabs>
          <w:tab w:leader="none" w:pos="1563" w:val="left"/>
        </w:tabs>
        <w:numPr>
          <w:ilvl w:val="0"/>
          <w:numId w:val="6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Unavoidable Delays</w:t>
      </w:r>
      <w:r>
        <w:rPr>
          <w:rFonts w:ascii="Times New Roman" w:cs="Times New Roman" w:eastAsia="Times New Roman" w:hAnsi="Times New Roman"/>
          <w:sz w:val="17"/>
          <w:szCs w:val="17"/>
          <w:color w:val="auto"/>
        </w:rPr>
        <w:t>. The obligation of CRISPR to pay Parking Pass Fees shall not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affected, impaired or excused by any Unavoidable Delays (as hereinafter defined). OCC and Garage Operator shall use reasonable efforts to promptly notify CRISPR of any Unavoidable Delay which prevents OCC and/or Garage Operator from fulfilling any of its obligations under this Agreement. “</w:t>
      </w:r>
      <w:r>
        <w:rPr>
          <w:rFonts w:ascii="Times New Roman" w:cs="Times New Roman" w:eastAsia="Times New Roman" w:hAnsi="Times New Roman"/>
          <w:sz w:val="17"/>
          <w:szCs w:val="17"/>
          <w:b w:val="1"/>
          <w:bCs w:val="1"/>
          <w:color w:val="auto"/>
        </w:rPr>
        <w:t>Unavoidable Delays</w:t>
      </w:r>
      <w:r>
        <w:rPr>
          <w:rFonts w:ascii="Times New Roman" w:cs="Times New Roman" w:eastAsia="Times New Roman" w:hAnsi="Times New Roman"/>
          <w:sz w:val="17"/>
          <w:szCs w:val="17"/>
          <w:color w:val="auto"/>
        </w:rPr>
        <w:t>” shall mean the inability of OCC and/or Garage Operator to fulfill or delay in fulfilling any of its obligations under this Agreement expressly or impliedly to be performed by OCC and/or Garage Operator, as applicable, or the inability to make or delay in making any repairs, additions, alterations, improvements or decorations, or the inability to supply or delay in supplying any equipment or fixtures, if such inability or delay arises out of or results from any cause beyond the reasonable control of OCC and/or Garage Operator, as applicable, including, without limitation, any of the following: (a) acts of God; (b) flood, tsunami, fire, earthquake, explosion, hurricane and other natural disaster and weather event; (c) disease, pestilence, epidemic, pandemic, quarantine or other public health emergency; (d) war, invasion, hostilities (whether war is declared or not), terrorist threat or act, riot or other civil unrest; (e) order of a governmental authority or law; (f) embargo or blockade; (g) action by any governmental authority; (h) national or regional emergency; (i) strike, labor stoppage or slowdown or other labor disturbance; (j) shortage of adequate power or transportation services or facilities; and (k) shortage of labor, materials or fuel, or a disruption of a supply chain.</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781" w:name="page782"/>
    <w:bookmarkEnd w:id="781"/>
    <w:p>
      <w:pPr>
        <w:jc w:val="both"/>
        <w:ind w:left="1220" w:right="1239" w:firstLine="4"/>
        <w:spacing w:after="0" w:line="236" w:lineRule="auto"/>
        <w:tabs>
          <w:tab w:leader="none" w:pos="1563" w:val="left"/>
        </w:tabs>
        <w:numPr>
          <w:ilvl w:val="0"/>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Survival</w:t>
      </w:r>
      <w:r>
        <w:rPr>
          <w:rFonts w:ascii="Times New Roman" w:cs="Times New Roman" w:eastAsia="Times New Roman" w:hAnsi="Times New Roman"/>
          <w:sz w:val="17"/>
          <w:szCs w:val="17"/>
          <w:color w:val="auto"/>
        </w:rPr>
        <w:t>. Notwithstanding any term or provision in this Agreement to the contrary,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liability or obligation of OCC or CRISPR arising or accruing during the Term shall survive the expiration or earlier termination of this Agreement, including, without limitation, obligations and liabilities relating to indemnification. Notwithstanding the foregoing, the obligations of OCC shall not be binding upon the respective entity which is the owner of the Parking Facility after the sale, conveyance, assignment or transfer by such entity in the Parking Facility, as the case may be, and in the event of any such transfer, such entity shall be released of and from all covenants, liabilities and obligations arising from and after the date of transfer, and the transferee of such entity shall be deemed to have assumed all obligations under this Agreement arising from and after the date of such transfer.</w:t>
      </w:r>
    </w:p>
    <w:p>
      <w:pPr>
        <w:spacing w:after="0" w:line="138" w:lineRule="exact"/>
        <w:rPr>
          <w:rFonts w:ascii="Times New Roman" w:cs="Times New Roman" w:eastAsia="Times New Roman" w:hAnsi="Times New Roman"/>
          <w:sz w:val="17"/>
          <w:szCs w:val="17"/>
          <w:color w:val="auto"/>
        </w:rPr>
      </w:pPr>
    </w:p>
    <w:p>
      <w:pPr>
        <w:jc w:val="both"/>
        <w:ind w:left="1220" w:right="1239" w:firstLine="4"/>
        <w:spacing w:after="0" w:line="238" w:lineRule="auto"/>
        <w:tabs>
          <w:tab w:leader="none" w:pos="1563" w:val="left"/>
        </w:tabs>
        <w:numPr>
          <w:ilvl w:val="0"/>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Counterparts; Electronic Signatures</w:t>
      </w:r>
      <w:r>
        <w:rPr>
          <w:rFonts w:ascii="Times New Roman" w:cs="Times New Roman" w:eastAsia="Times New Roman" w:hAnsi="Times New Roman"/>
          <w:sz w:val="17"/>
          <w:szCs w:val="17"/>
          <w:color w:val="auto"/>
        </w:rPr>
        <w:t>. This Agreement may be executed in multiple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counterparts, each of which shall be an original but all of which together shall constitute the same instrument. This Agreement may be executed by electronic signature, which shall be considered as an original signature for all purposes and shall have the same force and effect as an original signature. Any executed counterpart of this Agreement delivered by PDF or another file sent by email shall be equally effective as an original counterpart for all purposes.</w:t>
      </w:r>
    </w:p>
    <w:p>
      <w:pPr>
        <w:spacing w:after="0" w:line="140" w:lineRule="exact"/>
        <w:rPr>
          <w:rFonts w:ascii="Times New Roman" w:cs="Times New Roman" w:eastAsia="Times New Roman" w:hAnsi="Times New Roman"/>
          <w:sz w:val="17"/>
          <w:szCs w:val="17"/>
          <w:color w:val="auto"/>
        </w:rPr>
      </w:pPr>
    </w:p>
    <w:p>
      <w:pPr>
        <w:jc w:val="both"/>
        <w:ind w:left="1220" w:right="1239" w:firstLine="4"/>
        <w:spacing w:after="0" w:line="235" w:lineRule="auto"/>
        <w:tabs>
          <w:tab w:leader="none" w:pos="1563" w:val="left"/>
        </w:tabs>
        <w:numPr>
          <w:ilvl w:val="0"/>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Miscellaneous</w:t>
      </w:r>
      <w:r>
        <w:rPr>
          <w:rFonts w:ascii="Times New Roman" w:cs="Times New Roman" w:eastAsia="Times New Roman" w:hAnsi="Times New Roman"/>
          <w:sz w:val="17"/>
          <w:szCs w:val="17"/>
          <w:color w:val="auto"/>
        </w:rPr>
        <w:t>. This Agreement shall not be construed more strictly against one party than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against the other merely by virtue of the fact that it may have been prepared primarily by counsel for one of the parties, it being recognized that both CRISPR and OCC have contributed substantially and materially to the preparation of this Agreement. OCC and CRISPR agree that it is their specific intent that each and all of the provisions of this Agreement shall be valid and enforceable as specifically set forth herein, that if it shall be judicially determined that any provision(s) hereof shall not be valid or enforceable as specifically set forth herein, such provision(s) shall not be declared invalid but rather shall be modified in such manner so as to result in the same being valid and enforceable to the maximum extent permitted by law and that if any provision hereof, or the application thereof to any person or circumstance, shall to any extent be invalid or unenforceable, the remaining provisions herein, or the application of such provisions to persons or circumstances other than those to which it is held invalid or unenforceable, shall not be affected thereby.</w:t>
      </w:r>
    </w:p>
    <w:p>
      <w:pPr>
        <w:spacing w:after="0" w:line="139" w:lineRule="exact"/>
        <w:rPr>
          <w:rFonts w:ascii="Times New Roman" w:cs="Times New Roman" w:eastAsia="Times New Roman" w:hAnsi="Times New Roman"/>
          <w:sz w:val="17"/>
          <w:szCs w:val="17"/>
          <w:color w:val="auto"/>
        </w:rPr>
      </w:pPr>
    </w:p>
    <w:p>
      <w:pPr>
        <w:jc w:val="both"/>
        <w:ind w:left="1220" w:right="1239" w:firstLine="4"/>
        <w:spacing w:after="0" w:line="236" w:lineRule="auto"/>
        <w:tabs>
          <w:tab w:leader="none" w:pos="1563" w:val="left"/>
        </w:tabs>
        <w:numPr>
          <w:ilvl w:val="0"/>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Electronic Signatures</w:t>
      </w:r>
      <w:r>
        <w:rPr>
          <w:rFonts w:ascii="Times New Roman" w:cs="Times New Roman" w:eastAsia="Times New Roman" w:hAnsi="Times New Roman"/>
          <w:sz w:val="17"/>
          <w:szCs w:val="17"/>
          <w:color w:val="auto"/>
        </w:rPr>
        <w:t>. This Agreement may be executed by electronic signature,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considered as an original signature for all purposes and shall have the same force and effect as an original signature. Without limitation, in addition to electronically produced signatures, “electronic signature” shall include electronically scanned and transmitted versions (e.g., via PDF and/or DocuSign) of an original signature. This Agreement may be executed in multiple counterparts (which counterparts may be executed and delivered by PDF, DocuSign, or another file sent by email) which shall together constitute a single document. Any executed counterpart of this Agreement delivered by PDF, DocuSign or another file sent by email shall be equally effective as an original counterpart for all purposes</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[Remainder of Page Intentionally Left Blank]</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375285</wp:posOffset>
            </wp:positionV>
            <wp:extent cx="5485765" cy="3873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sectPr>
      </w:pPr>
    </w:p>
    <w:bookmarkStart w:id="782" w:name="page783"/>
    <w:bookmarkEnd w:id="782"/>
    <w:p>
      <w:pPr>
        <w:jc w:val="both"/>
        <w:ind w:left="1220" w:right="1239" w:firstLine="505"/>
        <w:spacing w:after="0" w:line="246" w:lineRule="auto"/>
        <w:rPr>
          <w:sz w:val="20"/>
          <w:szCs w:val="20"/>
          <w:color w:val="auto"/>
        </w:rPr>
      </w:pPr>
      <w:r>
        <w:rPr>
          <w:rFonts w:ascii="Times New Roman" w:cs="Times New Roman" w:eastAsia="Times New Roman" w:hAnsi="Times New Roman"/>
          <w:sz w:val="17"/>
          <w:szCs w:val="17"/>
          <w:color w:val="auto"/>
        </w:rPr>
        <w:t>WITNESS the execution hereof, in any number of counterpart copies, each of which counterpart copies shall be deemed an original for all purposes, as of the date and year first above written.</w:t>
      </w:r>
    </w:p>
    <w:p>
      <w:pPr>
        <w:spacing w:after="0" w:line="21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OCC:</w:t>
      </w:r>
    </w:p>
    <w:p>
      <w:pPr>
        <w:spacing w:after="0" w:line="183"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ONE CHANNEL CENTER TRS, L.L.C.,</w:t>
      </w:r>
    </w:p>
    <w:p>
      <w:pPr>
        <w:spacing w:after="0" w:line="1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color w:val="auto"/>
        </w:rPr>
        <w:t>a Delaware limited liability company</w:t>
      </w:r>
    </w:p>
    <w:p>
      <w:pPr>
        <w:spacing w:after="0" w:line="354" w:lineRule="exact"/>
        <w:rPr>
          <w:sz w:val="20"/>
          <w:szCs w:val="20"/>
          <w:color w:val="auto"/>
        </w:rPr>
      </w:pPr>
    </w:p>
    <w:tbl>
      <w:tblPr>
        <w:tblLayout w:type="fixed"/>
        <w:tblInd w:w="4520" w:type="dxa"/>
        <w:tblCellMar>
          <w:top w:w="0" w:type="dxa"/>
          <w:left w:w="0" w:type="dxa"/>
          <w:bottom w:w="0" w:type="dxa"/>
          <w:right w:w="0" w:type="dxa"/>
        </w:tblCellMar>
      </w:tblPr>
      <w:tr>
        <w:trPr>
          <w:trHeight w:val="210"/>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Joseph G.Doran</w:t>
            </w:r>
          </w:p>
        </w:tc>
      </w:tr>
      <w:tr>
        <w:trPr>
          <w:trHeight w:val="159"/>
        </w:trPr>
        <w:tc>
          <w:tcPr>
            <w:tcW w:w="580" w:type="dxa"/>
            <w:vAlign w:val="bottom"/>
          </w:tcPr>
          <w:p>
            <w:pPr>
              <w:spacing w:after="0" w:line="159" w:lineRule="exact"/>
              <w:rPr>
                <w:sz w:val="20"/>
                <w:szCs w:val="20"/>
                <w:color w:val="auto"/>
              </w:rPr>
            </w:pPr>
            <w:r>
              <w:rPr>
                <w:rFonts w:ascii="Times New Roman" w:cs="Times New Roman" w:eastAsia="Times New Roman" w:hAnsi="Times New Roman"/>
                <w:sz w:val="17"/>
                <w:szCs w:val="17"/>
                <w:color w:val="auto"/>
              </w:rPr>
              <w:t>Name:</w:t>
            </w:r>
          </w:p>
        </w:tc>
        <w:tc>
          <w:tcPr>
            <w:tcW w:w="2680" w:type="dxa"/>
            <w:vAlign w:val="bottom"/>
          </w:tcPr>
          <w:p>
            <w:pPr>
              <w:spacing w:after="0" w:line="159" w:lineRule="exact"/>
              <w:rPr>
                <w:sz w:val="20"/>
                <w:szCs w:val="20"/>
                <w:color w:val="auto"/>
              </w:rPr>
            </w:pPr>
            <w:r>
              <w:rPr>
                <w:rFonts w:ascii="Times New Roman" w:cs="Times New Roman" w:eastAsia="Times New Roman" w:hAnsi="Times New Roman"/>
                <w:sz w:val="17"/>
                <w:szCs w:val="17"/>
                <w:color w:val="auto"/>
              </w:rPr>
              <w:t>Joseph G.Doran</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Vice President and Treasurer</w:t>
            </w:r>
          </w:p>
        </w:tc>
      </w:tr>
    </w:tbl>
    <w:p>
      <w:pPr>
        <w:spacing w:after="0" w:line="15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CRISPR</w:t>
      </w:r>
      <w:r>
        <w:rPr>
          <w:rFonts w:ascii="Times New Roman" w:cs="Times New Roman" w:eastAsia="Times New Roman" w:hAnsi="Times New Roman"/>
          <w:sz w:val="17"/>
          <w:szCs w:val="17"/>
          <w:color w:val="auto"/>
        </w:rPr>
        <w:t>:</w:t>
      </w:r>
    </w:p>
    <w:p>
      <w:pPr>
        <w:spacing w:after="0" w:line="9"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7"/>
          <w:szCs w:val="17"/>
          <w:b w:val="1"/>
          <w:bCs w:val="1"/>
          <w:color w:val="auto"/>
        </w:rPr>
        <w:t>CRISPR THERAPEUTICS, INC.,</w:t>
      </w:r>
    </w:p>
    <w:p>
      <w:pPr>
        <w:ind w:left="4520"/>
        <w:spacing w:after="0" w:line="232" w:lineRule="auto"/>
        <w:rPr>
          <w:sz w:val="20"/>
          <w:szCs w:val="20"/>
          <w:color w:val="auto"/>
        </w:rPr>
      </w:pPr>
      <w:r>
        <w:rPr>
          <w:rFonts w:ascii="Times New Roman" w:cs="Times New Roman" w:eastAsia="Times New Roman" w:hAnsi="Times New Roman"/>
          <w:sz w:val="17"/>
          <w:szCs w:val="17"/>
          <w:color w:val="auto"/>
        </w:rPr>
        <w:t>a Delaware corporation</w:t>
      </w:r>
    </w:p>
    <w:tbl>
      <w:tblPr>
        <w:tblLayout w:type="fixed"/>
        <w:tblInd w:w="4520" w:type="dxa"/>
        <w:tblCellMar>
          <w:top w:w="0" w:type="dxa"/>
          <w:left w:w="0" w:type="dxa"/>
          <w:bottom w:w="0" w:type="dxa"/>
          <w:right w:w="0" w:type="dxa"/>
        </w:tblCellMar>
      </w:tblPr>
      <w:tr>
        <w:trPr>
          <w:trHeight w:val="192"/>
        </w:trPr>
        <w:tc>
          <w:tcPr>
            <w:tcW w:w="580" w:type="dxa"/>
            <w:vAlign w:val="bottom"/>
          </w:tcPr>
          <w:p>
            <w:pPr>
              <w:spacing w:after="0" w:line="192" w:lineRule="exact"/>
              <w:rPr>
                <w:sz w:val="20"/>
                <w:szCs w:val="20"/>
                <w:color w:val="auto"/>
              </w:rPr>
            </w:pPr>
            <w:r>
              <w:rPr>
                <w:rFonts w:ascii="Times New Roman" w:cs="Times New Roman" w:eastAsia="Times New Roman" w:hAnsi="Times New Roman"/>
                <w:sz w:val="17"/>
                <w:szCs w:val="17"/>
                <w:color w:val="auto"/>
              </w:rPr>
              <w:t>By:</w:t>
            </w:r>
          </w:p>
        </w:tc>
        <w:tc>
          <w:tcPr>
            <w:tcW w:w="2680" w:type="dxa"/>
            <w:vAlign w:val="bottom"/>
            <w:tcBorders>
              <w:bottom w:val="single" w:sz="8" w:color="auto"/>
            </w:tcBorders>
          </w:tcPr>
          <w:p>
            <w:pPr>
              <w:spacing w:after="0" w:line="192" w:lineRule="exact"/>
              <w:rPr>
                <w:sz w:val="20"/>
                <w:szCs w:val="20"/>
                <w:color w:val="auto"/>
              </w:rPr>
            </w:pPr>
            <w:r>
              <w:rPr>
                <w:rFonts w:ascii="Times New Roman" w:cs="Times New Roman" w:eastAsia="Times New Roman" w:hAnsi="Times New Roman"/>
                <w:sz w:val="17"/>
                <w:szCs w:val="17"/>
                <w:color w:val="auto"/>
              </w:rPr>
              <w:t>/s/ Samarth Kulkarni</w:t>
            </w:r>
          </w:p>
        </w:tc>
      </w:tr>
      <w:tr>
        <w:trPr>
          <w:trHeight w:val="159"/>
        </w:trPr>
        <w:tc>
          <w:tcPr>
            <w:tcW w:w="580" w:type="dxa"/>
            <w:vAlign w:val="bottom"/>
          </w:tcPr>
          <w:p>
            <w:pPr>
              <w:spacing w:after="0" w:line="159" w:lineRule="exact"/>
              <w:rPr>
                <w:sz w:val="20"/>
                <w:szCs w:val="20"/>
                <w:color w:val="auto"/>
              </w:rPr>
            </w:pPr>
            <w:r>
              <w:rPr>
                <w:rFonts w:ascii="Times New Roman" w:cs="Times New Roman" w:eastAsia="Times New Roman" w:hAnsi="Times New Roman"/>
                <w:sz w:val="17"/>
                <w:szCs w:val="17"/>
                <w:color w:val="auto"/>
              </w:rPr>
              <w:t>Name:</w:t>
            </w:r>
          </w:p>
        </w:tc>
        <w:tc>
          <w:tcPr>
            <w:tcW w:w="2680" w:type="dxa"/>
            <w:vAlign w:val="bottom"/>
          </w:tcPr>
          <w:p>
            <w:pPr>
              <w:spacing w:after="0" w:line="159" w:lineRule="exact"/>
              <w:rPr>
                <w:sz w:val="20"/>
                <w:szCs w:val="20"/>
                <w:color w:val="auto"/>
              </w:rPr>
            </w:pPr>
            <w:r>
              <w:rPr>
                <w:rFonts w:ascii="Times New Roman" w:cs="Times New Roman" w:eastAsia="Times New Roman" w:hAnsi="Times New Roman"/>
                <w:sz w:val="17"/>
                <w:szCs w:val="17"/>
                <w:color w:val="auto"/>
              </w:rPr>
              <w:t>Samarth Kulkarni</w:t>
            </w:r>
          </w:p>
        </w:tc>
      </w:tr>
      <w:tr>
        <w:trPr>
          <w:trHeight w:val="218"/>
        </w:trPr>
        <w:tc>
          <w:tcPr>
            <w:tcW w:w="580" w:type="dxa"/>
            <w:vAlign w:val="bottom"/>
          </w:tcPr>
          <w:p>
            <w:pPr>
              <w:spacing w:after="0"/>
              <w:rPr>
                <w:sz w:val="20"/>
                <w:szCs w:val="20"/>
                <w:color w:val="auto"/>
              </w:rPr>
            </w:pPr>
            <w:r>
              <w:rPr>
                <w:rFonts w:ascii="Times New Roman" w:cs="Times New Roman" w:eastAsia="Times New Roman" w:hAnsi="Times New Roman"/>
                <w:sz w:val="17"/>
                <w:szCs w:val="17"/>
                <w:color w:val="auto"/>
              </w:rPr>
              <w:t>Its:</w:t>
            </w:r>
          </w:p>
        </w:tc>
        <w:tc>
          <w:tcPr>
            <w:tcW w:w="2680" w:type="dxa"/>
            <w:vAlign w:val="bottom"/>
          </w:tcPr>
          <w:p>
            <w:pPr>
              <w:spacing w:after="0"/>
              <w:rPr>
                <w:sz w:val="20"/>
                <w:szCs w:val="20"/>
                <w:color w:val="auto"/>
              </w:rPr>
            </w:pPr>
            <w:r>
              <w:rPr>
                <w:rFonts w:ascii="Times New Roman" w:cs="Times New Roman" w:eastAsia="Times New Roman" w:hAnsi="Times New Roman"/>
                <w:sz w:val="17"/>
                <w:szCs w:val="17"/>
                <w:color w:val="auto"/>
              </w:rPr>
              <w:t>CEO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[Signature Page to CRISPR Parking Agreement (Channel Center Garage)]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783" w:name="page784"/>
    <w:bookmarkEnd w:id="783"/>
    <w:p>
      <w:pPr>
        <w:jc w:val="center"/>
        <w:ind w:right="19"/>
        <w:spacing w:after="0"/>
        <w:rPr>
          <w:sz w:val="20"/>
          <w:szCs w:val="20"/>
          <w:color w:val="auto"/>
        </w:rPr>
      </w:pPr>
      <w:r>
        <w:rPr>
          <w:rFonts w:ascii="Times New Roman" w:cs="Times New Roman" w:eastAsia="Times New Roman" w:hAnsi="Times New Roman"/>
          <w:sz w:val="17"/>
          <w:szCs w:val="17"/>
          <w:b w:val="1"/>
          <w:bCs w:val="1"/>
          <w:u w:val="single" w:color="auto"/>
          <w:color w:val="auto"/>
        </w:rPr>
        <w:t>CONSENT</w:t>
      </w:r>
    </w:p>
    <w:p>
      <w:pPr>
        <w:spacing w:after="0" w:line="166" w:lineRule="exact"/>
        <w:rPr>
          <w:sz w:val="20"/>
          <w:szCs w:val="20"/>
          <w:color w:val="auto"/>
        </w:rPr>
      </w:pPr>
    </w:p>
    <w:p>
      <w:pPr>
        <w:jc w:val="both"/>
        <w:ind w:left="1220" w:right="1239" w:firstLine="505"/>
        <w:spacing w:after="0" w:line="237" w:lineRule="auto"/>
        <w:rPr>
          <w:sz w:val="20"/>
          <w:szCs w:val="20"/>
          <w:color w:val="auto"/>
        </w:rPr>
      </w:pPr>
      <w:r>
        <w:rPr>
          <w:rFonts w:ascii="Times New Roman" w:cs="Times New Roman" w:eastAsia="Times New Roman" w:hAnsi="Times New Roman"/>
          <w:sz w:val="17"/>
          <w:szCs w:val="17"/>
          <w:color w:val="auto"/>
        </w:rPr>
        <w:t>Reference is made to that certain Garage Lease by and between One Channel Center Parking, L.L.C. and VPNE Parking Solutions, LLC (the “</w:t>
      </w:r>
      <w:r>
        <w:rPr>
          <w:rFonts w:ascii="Times New Roman" w:cs="Times New Roman" w:eastAsia="Times New Roman" w:hAnsi="Times New Roman"/>
          <w:sz w:val="17"/>
          <w:szCs w:val="17"/>
          <w:b w:val="1"/>
          <w:bCs w:val="1"/>
          <w:color w:val="auto"/>
        </w:rPr>
        <w:t>VPNE</w:t>
      </w:r>
      <w:r>
        <w:rPr>
          <w:rFonts w:ascii="Times New Roman" w:cs="Times New Roman" w:eastAsia="Times New Roman" w:hAnsi="Times New Roman"/>
          <w:sz w:val="17"/>
          <w:szCs w:val="17"/>
          <w:color w:val="auto"/>
        </w:rPr>
        <w:t>”), dated as of December 4, 2015, as amended by that certain First Amendment to Lease dated as of March 11, 2019 (as amended, the “</w:t>
      </w:r>
      <w:r>
        <w:rPr>
          <w:rFonts w:ascii="Times New Roman" w:cs="Times New Roman" w:eastAsia="Times New Roman" w:hAnsi="Times New Roman"/>
          <w:sz w:val="17"/>
          <w:szCs w:val="17"/>
          <w:b w:val="1"/>
          <w:bCs w:val="1"/>
          <w:color w:val="auto"/>
        </w:rPr>
        <w:t>Garage Lease</w:t>
      </w:r>
      <w:r>
        <w:rPr>
          <w:rFonts w:ascii="Times New Roman" w:cs="Times New Roman" w:eastAsia="Times New Roman" w:hAnsi="Times New Roman"/>
          <w:sz w:val="17"/>
          <w:szCs w:val="17"/>
          <w:color w:val="auto"/>
        </w:rPr>
        <w:t>”). In accordance with the provisions of the Garage Lease, VPNE hereby consents to the Agreement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between One Channel Center TRS, L.L.C. and CRISPR Therapeutics, Inc. (“CRISPR”), dated as of the date hereof, and agrees to provide to CRISPR the Parking Passes required to be provided pursuant to the Agreement.</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Date: July 24, 2020</w:t>
      </w:r>
    </w:p>
    <w:p>
      <w:pPr>
        <w:spacing w:after="0" w:line="17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VPNE:</w:t>
      </w:r>
    </w:p>
    <w:p>
      <w:pPr>
        <w:spacing w:after="0" w:line="18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b w:val="1"/>
          <w:bCs w:val="1"/>
          <w:color w:val="auto"/>
        </w:rPr>
        <w:t>VPNE PARKING SOLUTIONS LLC,</w:t>
      </w:r>
    </w:p>
    <w:p>
      <w:pPr>
        <w:spacing w:after="0" w:line="1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a Massachusetts limited liability company</w:t>
      </w:r>
    </w:p>
    <w:p>
      <w:pPr>
        <w:spacing w:after="0" w:line="165" w:lineRule="exact"/>
        <w:rPr>
          <w:sz w:val="20"/>
          <w:szCs w:val="20"/>
          <w:color w:val="auto"/>
        </w:rPr>
      </w:pPr>
    </w:p>
    <w:p>
      <w:pPr>
        <w:ind w:left="4500"/>
        <w:spacing w:after="0"/>
        <w:tabs>
          <w:tab w:leader="none" w:pos="48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6"/>
          <w:szCs w:val="16"/>
          <w:color w:val="auto"/>
        </w:rPr>
        <w:t>/s/ NICHOLAS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8890</wp:posOffset>
            </wp:positionV>
            <wp:extent cx="1828800" cy="6985"/>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1828800" cy="6985"/>
                    </a:xfrm>
                    <a:prstGeom prst="rect">
                      <a:avLst/>
                    </a:prstGeom>
                    <a:noFill/>
                  </pic:spPr>
                </pic:pic>
              </a:graphicData>
            </a:graphic>
          </wp:anchor>
        </w:drawing>
      </w:r>
    </w:p>
    <w:p>
      <w:pPr>
        <w:ind w:left="4900"/>
        <w:spacing w:after="0"/>
        <w:rPr>
          <w:sz w:val="20"/>
          <w:szCs w:val="20"/>
          <w:color w:val="auto"/>
        </w:rPr>
      </w:pPr>
      <w:r>
        <w:rPr>
          <w:rFonts w:ascii="Times New Roman" w:cs="Times New Roman" w:eastAsia="Times New Roman" w:hAnsi="Times New Roman"/>
          <w:sz w:val="17"/>
          <w:szCs w:val="17"/>
          <w:color w:val="auto"/>
        </w:rPr>
        <w:t>Name: NICHOLAS LITTON</w:t>
      </w:r>
    </w:p>
    <w:p>
      <w:pPr>
        <w:ind w:left="4900"/>
        <w:spacing w:after="0" w:line="232" w:lineRule="auto"/>
        <w:rPr>
          <w:sz w:val="20"/>
          <w:szCs w:val="20"/>
          <w:color w:val="auto"/>
        </w:rPr>
      </w:pPr>
      <w:r>
        <w:rPr>
          <w:rFonts w:ascii="Times New Roman" w:cs="Times New Roman" w:eastAsia="Times New Roman" w:hAnsi="Times New Roman"/>
          <w:sz w:val="17"/>
          <w:szCs w:val="17"/>
          <w:color w:val="auto"/>
        </w:rPr>
        <w:t>Its: PARTNER &amp; C.O.O.</w:t>
      </w:r>
    </w:p>
    <w:p>
      <w:pPr>
        <w:ind w:left="4900"/>
        <w:spacing w:after="0"/>
        <w:rPr>
          <w:sz w:val="20"/>
          <w:szCs w:val="20"/>
          <w:color w:val="auto"/>
        </w:rPr>
      </w:pPr>
      <w:r>
        <w:rPr>
          <w:rFonts w:ascii="Times New Roman" w:cs="Times New Roman" w:eastAsia="Times New Roman" w:hAnsi="Times New Roman"/>
          <w:sz w:val="17"/>
          <w:szCs w:val="17"/>
          <w:color w:val="auto"/>
        </w:rPr>
        <w: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[Consent of VPNE Parking Solution LLC to Agreement (Channel Center Garage)]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368300</wp:posOffset>
            </wp:positionV>
            <wp:extent cx="5485765" cy="3873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784" w:name="page785"/>
    <w:bookmarkEnd w:id="784"/>
    <w:p>
      <w:pPr>
        <w:jc w:val="center"/>
        <w:ind w:left="1260" w:right="1319"/>
        <w:spacing w:after="0" w:line="270" w:lineRule="auto"/>
        <w:rPr>
          <w:sz w:val="20"/>
          <w:szCs w:val="20"/>
          <w:color w:val="auto"/>
        </w:rPr>
      </w:pPr>
      <w:r>
        <w:rPr>
          <w:rFonts w:ascii="Times New Roman" w:cs="Times New Roman" w:eastAsia="Times New Roman" w:hAnsi="Times New Roman"/>
          <w:sz w:val="15"/>
          <w:szCs w:val="15"/>
          <w:b w:val="1"/>
          <w:bCs w:val="1"/>
          <w:i w:val="1"/>
          <w:iCs w:val="1"/>
          <w:color w:val="auto"/>
        </w:rPr>
        <w:t>Certain identified information has been excluded from this exhibit because it is both not material and is the type that the registrant treats as private or confidential. Information that was omitted has been noted in this document with a placeholder identified by the mark “[***]”.</w:t>
      </w:r>
    </w:p>
    <w:p>
      <w:pPr>
        <w:spacing w:after="0" w:line="118" w:lineRule="exact"/>
        <w:rPr>
          <w:sz w:val="20"/>
          <w:szCs w:val="20"/>
          <w:color w:val="auto"/>
        </w:rPr>
      </w:pPr>
    </w:p>
    <w:p>
      <w:pPr>
        <w:jc w:val="right"/>
        <w:ind w:right="1239"/>
        <w:spacing w:after="0"/>
        <w:rPr>
          <w:sz w:val="20"/>
          <w:szCs w:val="20"/>
          <w:color w:val="auto"/>
        </w:rPr>
      </w:pPr>
      <w:r>
        <w:rPr>
          <w:rFonts w:ascii="Times New Roman" w:cs="Times New Roman" w:eastAsia="Times New Roman" w:hAnsi="Times New Roman"/>
          <w:sz w:val="17"/>
          <w:szCs w:val="17"/>
          <w:b w:val="1"/>
          <w:bCs w:val="1"/>
          <w:color w:val="auto"/>
        </w:rPr>
        <w:t>Exhibit 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AVALYN PHARMA INC.</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LOAN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693420</wp:posOffset>
            </wp:positionV>
            <wp:extent cx="5485765" cy="3873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4" w:right="1440" w:bottom="1440" w:gutter="0" w:footer="0" w:header="0"/>
        </w:sectPr>
      </w:pPr>
    </w:p>
    <w:bookmarkStart w:id="785" w:name="page786"/>
    <w:bookmarkEnd w:id="785"/>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This LOAN AND SECURITY AGREEMENT (the “Agreement”) is entered into as of February 3, 2026, between BANC OF CALIFORNIA, a California state-chartered bank (“Bank”), and AVALYN PHARMA INC., a Delaware corporation (“Borrower”).</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166"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Borrower wishes to obtain credit from time to time from Bank, and Bank desires to extend credit to Borrower. This Agreement sets forth the terms on which Bank will advance credit to Borrower, and Borrower will repay the amounts owing to Bank.</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The parties agree as follows:</w:t>
      </w:r>
    </w:p>
    <w:p>
      <w:pPr>
        <w:spacing w:after="0" w:line="158" w:lineRule="exact"/>
        <w:rPr>
          <w:sz w:val="20"/>
          <w:szCs w:val="20"/>
          <w:color w:val="auto"/>
        </w:rPr>
      </w:pPr>
    </w:p>
    <w:p>
      <w:pPr>
        <w:ind w:left="2060" w:hanging="331"/>
        <w:spacing w:after="0"/>
        <w:tabs>
          <w:tab w:leader="none" w:pos="2060" w:val="left"/>
        </w:tabs>
        <w:numPr>
          <w:ilvl w:val="0"/>
          <w:numId w:val="6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DEFINITIONS AND CONSTRUCTION.</w:t>
      </w:r>
    </w:p>
    <w:p>
      <w:pPr>
        <w:spacing w:after="0" w:line="162"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1.1 Definitions </w:t>
      </w:r>
      <w:r>
        <w:rPr>
          <w:rFonts w:ascii="Times New Roman" w:cs="Times New Roman" w:eastAsia="Times New Roman" w:hAnsi="Times New Roman"/>
          <w:sz w:val="17"/>
          <w:szCs w:val="17"/>
          <w:color w:val="auto"/>
        </w:rPr>
        <w:t>. As used in this Agreement, all capitalized terms shall have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definitions set forth on Exhibit A. Any term used in the Code and not defined herein shall have the meaning given to the term in the Code.</w:t>
      </w:r>
    </w:p>
    <w:p>
      <w:pPr>
        <w:spacing w:after="0" w:line="130"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b w:val="1"/>
          <w:bCs w:val="1"/>
          <w:color w:val="auto"/>
        </w:rPr>
        <w:t>1.2 Accounting Terms</w:t>
      </w:r>
      <w:r>
        <w:rPr>
          <w:rFonts w:ascii="Times New Roman" w:cs="Times New Roman" w:eastAsia="Times New Roman" w:hAnsi="Times New Roman"/>
          <w:sz w:val="17"/>
          <w:szCs w:val="17"/>
          <w:color w:val="auto"/>
        </w:rPr>
        <w:t>. Any accounting term not specifically defined on Exhibit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 shall be construed in accordance with GAAP and all calculations shall be made in accordance with GAAP (except for non-compliance with FAS 123R in monthly reporting);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for all purposes hereunder (other than for purposes of delivery of financial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statements prepared in accordance with GAAP) any liabilities that would have been treated as operating leases in accordance with Accounting Standards Codification 840 (regardless of whether or not then in effect) shall be treated as operating leases without giving effect to Accounting Standards Codification 842 or any subsequent changes in GAAP requiring operating leases to be recharacterized or treated as capital leases. The term “financial statements” shall include the accompanying notes and schedules.</w:t>
      </w:r>
    </w:p>
    <w:p>
      <w:pPr>
        <w:spacing w:after="0" w:line="138" w:lineRule="exact"/>
        <w:rPr>
          <w:sz w:val="20"/>
          <w:szCs w:val="20"/>
          <w:color w:val="auto"/>
        </w:rPr>
      </w:pPr>
    </w:p>
    <w:p>
      <w:pPr>
        <w:ind w:left="2240" w:right="4219" w:hanging="511"/>
        <w:spacing w:after="0" w:line="438" w:lineRule="auto"/>
        <w:tabs>
          <w:tab w:leader="none" w:pos="2072" w:val="left"/>
        </w:tabs>
        <w:numPr>
          <w:ilvl w:val="0"/>
          <w:numId w:val="6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LOAN AND TERMS OF PAYMENT. 2.1 Credit Extensions</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b w:val="1"/>
          <w:bCs w:val="1"/>
          <w:color w:val="auto"/>
        </w:rPr>
      </w:pPr>
    </w:p>
    <w:p>
      <w:pPr>
        <w:jc w:val="both"/>
        <w:ind w:left="1220" w:right="1239" w:firstLine="1518"/>
        <w:spacing w:after="0" w:line="243" w:lineRule="auto"/>
        <w:tabs>
          <w:tab w:leader="none" w:pos="3070" w:val="left"/>
        </w:tabs>
        <w:numPr>
          <w:ilvl w:val="1"/>
          <w:numId w:val="6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Promise to Pay</w:t>
      </w:r>
      <w:r>
        <w:rPr>
          <w:rFonts w:ascii="Times New Roman" w:cs="Times New Roman" w:eastAsia="Times New Roman" w:hAnsi="Times New Roman"/>
          <w:sz w:val="17"/>
          <w:szCs w:val="17"/>
          <w:color w:val="auto"/>
        </w:rPr>
        <w:t>. Borrower promises to pay to Bank, in lawful money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United States of America, the aggregate unpaid principal amount of all Credit Extensions made by Bank to Borrower, together with interest on the unpaid principal amount of such Credit Extensions at rates in accordance with the terms hereof.</w:t>
      </w:r>
    </w:p>
    <w:p>
      <w:pPr>
        <w:spacing w:after="0" w:line="133" w:lineRule="exact"/>
        <w:rPr>
          <w:rFonts w:ascii="Times New Roman" w:cs="Times New Roman" w:eastAsia="Times New Roman" w:hAnsi="Times New Roman"/>
          <w:sz w:val="17"/>
          <w:szCs w:val="17"/>
          <w:b w:val="1"/>
          <w:bCs w:val="1"/>
          <w:color w:val="auto"/>
        </w:rPr>
      </w:pPr>
    </w:p>
    <w:p>
      <w:pPr>
        <w:ind w:left="3080" w:hanging="342"/>
        <w:spacing w:after="0"/>
        <w:tabs>
          <w:tab w:leader="none" w:pos="3080" w:val="left"/>
        </w:tabs>
        <w:numPr>
          <w:ilvl w:val="1"/>
          <w:numId w:val="6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w:t>
      </w:r>
    </w:p>
    <w:p>
      <w:pPr>
        <w:spacing w:after="0" w:line="165" w:lineRule="exact"/>
        <w:rPr>
          <w:rFonts w:ascii="Times New Roman" w:cs="Times New Roman" w:eastAsia="Times New Roman" w:hAnsi="Times New Roman"/>
          <w:sz w:val="17"/>
          <w:szCs w:val="17"/>
          <w:b w:val="1"/>
          <w:bCs w:val="1"/>
          <w:color w:val="auto"/>
        </w:rPr>
      </w:pPr>
    </w:p>
    <w:p>
      <w:pPr>
        <w:jc w:val="both"/>
        <w:ind w:left="1220" w:right="1239" w:firstLine="2023"/>
        <w:spacing w:after="0" w:line="237" w:lineRule="auto"/>
        <w:tabs>
          <w:tab w:leader="none" w:pos="3712" w:val="left"/>
        </w:tabs>
        <w:numPr>
          <w:ilvl w:val="2"/>
          <w:numId w:val="6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Subject to and upon the terms and conditions of this Agreement, Bank agrees to make one (1) or more term loans to Borrower in an aggregate original principal amount not to exceed $30,000,000 (each a “Term Loan” and collectively the “Term Loans”). Borrower may request Term Loans at any time from the date hereof through the Availability End Date. Each Term Loan must be in an amount equal to at least $250,000. The proceeds of the Term Loans shall be used for general working capital purposes and for capital expenditures.</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786" w:name="page787"/>
    <w:bookmarkEnd w:id="786"/>
    <w:p>
      <w:pPr>
        <w:jc w:val="both"/>
        <w:ind w:left="1220" w:right="1239" w:firstLine="2023"/>
        <w:spacing w:after="0" w:line="235" w:lineRule="auto"/>
        <w:tabs>
          <w:tab w:leader="none" w:pos="3686" w:val="left"/>
        </w:tabs>
        <w:numPr>
          <w:ilvl w:val="0"/>
          <w:numId w:val="6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Interest shall accrue from the date of each Term Loan at the rate specified in </w:t>
      </w:r>
      <w:r>
        <w:rPr>
          <w:rFonts w:ascii="Times New Roman" w:cs="Times New Roman" w:eastAsia="Times New Roman" w:hAnsi="Times New Roman"/>
          <w:sz w:val="17"/>
          <w:szCs w:val="17"/>
          <w:u w:val="single" w:color="auto"/>
          <w:color w:val="auto"/>
        </w:rPr>
        <w:t>Section 2.2(a)</w:t>
      </w:r>
      <w:r>
        <w:rPr>
          <w:rFonts w:ascii="Times New Roman" w:cs="Times New Roman" w:eastAsia="Times New Roman" w:hAnsi="Times New Roman"/>
          <w:sz w:val="17"/>
          <w:szCs w:val="17"/>
          <w:color w:val="auto"/>
        </w:rPr>
        <w:t>, and prior to the Availability End Date for the applicable Term Loan shall be payable monthly beginning on the last day of the month next following such Term Loan, and continuing on the last day of each month thereafter. Any Term Loans that are outstanding on the Availability End Date shall be payable in equal monthly installments of principal, plus all accrued interest, beginning on the Amortization Date, and continuing on the last day of each month thereafter through the Term Loan Maturity Date, at which time all amounts due in connection with the Term Loans and any other amounts due under this Agreement shall be immediately due and payable. Term Loans, once repaid, may not be reborrowed. Borrower may prepay any Term Loan without penalty or premium.</w:t>
      </w:r>
    </w:p>
    <w:p>
      <w:pPr>
        <w:spacing w:after="0" w:line="146" w:lineRule="exact"/>
        <w:rPr>
          <w:rFonts w:ascii="Times New Roman" w:cs="Times New Roman" w:eastAsia="Times New Roman" w:hAnsi="Times New Roman"/>
          <w:sz w:val="17"/>
          <w:szCs w:val="17"/>
          <w:b w:val="1"/>
          <w:bCs w:val="1"/>
          <w:color w:val="auto"/>
        </w:rPr>
      </w:pPr>
    </w:p>
    <w:p>
      <w:pPr>
        <w:jc w:val="both"/>
        <w:ind w:left="1220" w:right="1239" w:firstLine="2023"/>
        <w:spacing w:after="0" w:line="236" w:lineRule="auto"/>
        <w:tabs>
          <w:tab w:leader="none" w:pos="3732" w:val="left"/>
        </w:tabs>
        <w:numPr>
          <w:ilvl w:val="0"/>
          <w:numId w:val="69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When Borrower desires to obtain a Term Loan, Borrower shall notify Bank (which notice shall be irrevocable) by email (or, if permitted by Bank, through the use of an E-System) to be received no later than 3:30 p.m. Eastern time three Business Days before the day on which the Term Loan is to be made. Such notice shall be given by a Loan Advance/Paydown Request Form in substantially the form of Exhibit C. The notice shall be signed by an Authorized Officer. Bank shall be entitled to rely on any notice given by a person whom Bank reasonably believes to be an Authorized Officer, and Borrower shall indemnify and hold Bank harmless for any damages, loss, costs and expenses suffered by Bank as a result of such reliance.</w:t>
      </w:r>
    </w:p>
    <w:p>
      <w:pPr>
        <w:spacing w:after="0" w:line="13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2.2  Interest Rates, Payments, and Calculations</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3080" w:hanging="342"/>
        <w:spacing w:after="0"/>
        <w:tabs>
          <w:tab w:leader="none" w:pos="3080" w:val="left"/>
        </w:tabs>
        <w:numPr>
          <w:ilvl w:val="0"/>
          <w:numId w:val="6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Interest Rates</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b w:val="1"/>
          <w:bCs w:val="1"/>
          <w:color w:val="auto"/>
        </w:rPr>
      </w:pPr>
    </w:p>
    <w:p>
      <w:pPr>
        <w:jc w:val="both"/>
        <w:ind w:left="1220" w:right="1239" w:firstLine="2023"/>
        <w:spacing w:after="0" w:line="248" w:lineRule="auto"/>
        <w:tabs>
          <w:tab w:leader="none" w:pos="3667" w:val="left"/>
        </w:tabs>
        <w:numPr>
          <w:ilvl w:val="1"/>
          <w:numId w:val="6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Loans</w:t>
      </w:r>
      <w:r>
        <w:rPr>
          <w:rFonts w:ascii="Times New Roman" w:cs="Times New Roman" w:eastAsia="Times New Roman" w:hAnsi="Times New Roman"/>
          <w:sz w:val="17"/>
          <w:szCs w:val="17"/>
          <w:color w:val="auto"/>
        </w:rPr>
        <w:t>. Except as set forth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2.2(b)</w:t>
      </w:r>
      <w:r>
        <w:rPr>
          <w:rFonts w:ascii="Times New Roman" w:cs="Times New Roman" w:eastAsia="Times New Roman" w:hAnsi="Times New Roman"/>
          <w:sz w:val="17"/>
          <w:szCs w:val="17"/>
          <w:color w:val="auto"/>
        </w:rPr>
        <w:t>, the Term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Loans shall bear interest, on the outstanding daily balance thereof, at a variable annual rate equal to the greater of: (A) the Prime Rate then in effect; or (B) 5.0%.</w:t>
      </w:r>
    </w:p>
    <w:p>
      <w:pPr>
        <w:spacing w:after="0" w:line="129" w:lineRule="exact"/>
        <w:rPr>
          <w:rFonts w:ascii="Times New Roman" w:cs="Times New Roman" w:eastAsia="Times New Roman" w:hAnsi="Times New Roman"/>
          <w:sz w:val="17"/>
          <w:szCs w:val="17"/>
          <w:b w:val="1"/>
          <w:bCs w:val="1"/>
          <w:color w:val="auto"/>
        </w:rPr>
      </w:pPr>
    </w:p>
    <w:p>
      <w:pPr>
        <w:jc w:val="both"/>
        <w:ind w:left="1220" w:right="1239" w:firstLine="1518"/>
        <w:spacing w:after="0" w:line="235" w:lineRule="auto"/>
        <w:tabs>
          <w:tab w:leader="none" w:pos="3070" w:val="left"/>
        </w:tabs>
        <w:numPr>
          <w:ilvl w:val="0"/>
          <w:numId w:val="6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Late Fee; Default Rate</w:t>
      </w:r>
      <w:r>
        <w:rPr>
          <w:rFonts w:ascii="Times New Roman" w:cs="Times New Roman" w:eastAsia="Times New Roman" w:hAnsi="Times New Roman"/>
          <w:sz w:val="17"/>
          <w:szCs w:val="17"/>
          <w:color w:val="auto"/>
        </w:rPr>
        <w:t>. If any payment is not made within 15 days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after the date such payment is due, Borrower shall pay Bank a late fee equal to the lesser of (i) [***]% of the amount of such unpaid amount or (ii) the maximum amount permitted to be charged under applicable law. After the occurrence and during the continuance of an Event of Default, all Obligations shall bear interest, upon notice of such increase given by Bank, at a rate equal to [***] percentage points above the interest rate applicable immediately prior to the occurrence of the Event of Default (such rate, the “Default Rate”) unless Bank otherwise elects from time to time in writing in its sole discretion to impose a smaller increase; provided, that, from and after the occurrence of any Event of Default described in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such increase shall be automatic and without the requirement of any notice from Bank. In all such events, and notwithstanding the date on which application of the Default Rate is communicated to Borrower, the Default Rate may be accrued (at the election of Bank) from the initial date of any Event of Default until all existing Events of Default are waived in writing in accordance with the terms of this Agreement.</w:t>
      </w:r>
    </w:p>
    <w:p>
      <w:pPr>
        <w:spacing w:after="0" w:line="137" w:lineRule="exact"/>
        <w:rPr>
          <w:rFonts w:ascii="Times New Roman" w:cs="Times New Roman" w:eastAsia="Times New Roman" w:hAnsi="Times New Roman"/>
          <w:sz w:val="17"/>
          <w:szCs w:val="17"/>
          <w:b w:val="1"/>
          <w:bCs w:val="1"/>
          <w:color w:val="auto"/>
        </w:rPr>
      </w:pPr>
    </w:p>
    <w:p>
      <w:pPr>
        <w:jc w:val="both"/>
        <w:ind w:left="1220" w:right="1239" w:firstLine="1518"/>
        <w:spacing w:after="0" w:line="271" w:lineRule="auto"/>
        <w:tabs>
          <w:tab w:leader="none" w:pos="3070" w:val="left"/>
        </w:tabs>
        <w:numPr>
          <w:ilvl w:val="0"/>
          <w:numId w:val="69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Payments </w:t>
      </w:r>
      <w:r>
        <w:rPr>
          <w:rFonts w:ascii="Times New Roman" w:cs="Times New Roman" w:eastAsia="Times New Roman" w:hAnsi="Times New Roman"/>
          <w:sz w:val="16"/>
          <w:szCs w:val="16"/>
          <w:color w:val="auto"/>
        </w:rPr>
        <w:t>. Borrower authorizes Bank, at Bank’s option, to charge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such interest, all Bank Expenses, all Periodic Payments, and any other amounts due and owing in accordance with the terms of this Agreement against any of Borrower’s deposit accounts. Any</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787" w:name="page788"/>
    <w:bookmarkEnd w:id="787"/>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interest not paid when due shall be included (without duplication) in the Obligations, and such interest shall thereafter accrue interest at the rate then applicable hereunder.</w:t>
      </w:r>
    </w:p>
    <w:p>
      <w:pPr>
        <w:spacing w:after="0" w:line="121" w:lineRule="exact"/>
        <w:rPr>
          <w:sz w:val="20"/>
          <w:szCs w:val="20"/>
          <w:color w:val="auto"/>
        </w:rPr>
      </w:pPr>
    </w:p>
    <w:p>
      <w:pPr>
        <w:jc w:val="both"/>
        <w:ind w:left="1220" w:right="1239" w:firstLine="1518"/>
        <w:spacing w:after="0"/>
        <w:tabs>
          <w:tab w:leader="none" w:pos="3070" w:val="left"/>
        </w:tabs>
        <w:numPr>
          <w:ilvl w:val="0"/>
          <w:numId w:val="6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Computation</w:t>
      </w:r>
      <w:r>
        <w:rPr>
          <w:rFonts w:ascii="Times New Roman" w:cs="Times New Roman" w:eastAsia="Times New Roman" w:hAnsi="Times New Roman"/>
          <w:sz w:val="17"/>
          <w:szCs w:val="17"/>
          <w:color w:val="auto"/>
        </w:rPr>
        <w:t>. In the event that the Prime Rate is changed from time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time hereafter, the applicable rate of interest hereunder shall be increased or decreased, effective as of the day the Prime Rate is changed, by an amount equal to such change in the Prime Rate. All interest chargeable under the Loan Documents shall be computed on the basis of a 360 day year for the actual number of days elapsed.</w:t>
      </w:r>
    </w:p>
    <w:p>
      <w:pPr>
        <w:spacing w:after="0" w:line="137"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6"/>
          <w:szCs w:val="16"/>
          <w:b w:val="1"/>
          <w:bCs w:val="1"/>
          <w:color w:val="auto"/>
        </w:rPr>
        <w:t>2.3 Crediting Payments</w:t>
      </w:r>
      <w:r>
        <w:rPr>
          <w:rFonts w:ascii="Times New Roman" w:cs="Times New Roman" w:eastAsia="Times New Roman" w:hAnsi="Times New Roman"/>
          <w:sz w:val="16"/>
          <w:szCs w:val="16"/>
          <w:color w:val="auto"/>
        </w:rPr>
        <w:t>. So long as an Event of Default does not exist, Bank</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shall credit a wire transfer of funds, check or other item of payment to such deposit account or Obligation as Borrower specifies</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After the occurrence and during the continuance of an Event of Default, Bank shall have the right, in its sole discretion, to immediately apply any wire transfer of funds, check, or other item of payment Bank may receive to conditionally reduce Obligations, but such applications of funds shall not be considered a payment on account unless such payment is of immediately available federal funds or unless and until such check or other item of payment is honored when presented for payment. Notwithstanding anything to the contrary contained herein, any wire transfer or payment received by Bank after 3:30 p.m. Eastern time shall be deemed to have been received by Bank as of the opening of business on the immediately following Business Day. Whenever any payment or delivery to Bank under the Loan Documents would otherwise be due (except by reason of acceleration) on a date that is not a Business Day, such payment or delivery shall instead be due on the next Business Day, and additional fees or interest, as the case may be, shall accrue and be payable for the period of such extension.</w:t>
      </w:r>
    </w:p>
    <w:p>
      <w:pPr>
        <w:spacing w:after="0" w:line="134"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2.4 Bank Expenses</w:t>
      </w:r>
      <w:r>
        <w:rPr>
          <w:rFonts w:ascii="Times New Roman" w:cs="Times New Roman" w:eastAsia="Times New Roman" w:hAnsi="Times New Roman"/>
          <w:sz w:val="17"/>
          <w:szCs w:val="17"/>
          <w:color w:val="auto"/>
        </w:rPr>
        <w:t>. On the Closing Date, Borrower shall pay to Bank all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incurred through the Closing Date, and, after the Closing Date, all Bank Expenses, as and when they become due.</w:t>
      </w:r>
    </w:p>
    <w:p>
      <w:pPr>
        <w:spacing w:after="0" w:line="130"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2.5 Term </w:t>
      </w:r>
      <w:r>
        <w:rPr>
          <w:rFonts w:ascii="Times New Roman" w:cs="Times New Roman" w:eastAsia="Times New Roman" w:hAnsi="Times New Roman"/>
          <w:sz w:val="17"/>
          <w:szCs w:val="17"/>
          <w:color w:val="auto"/>
        </w:rPr>
        <w:t>. This Agreement shall become effective on the Closing Date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12.7</w:t>
      </w:r>
      <w:r>
        <w:rPr>
          <w:rFonts w:ascii="Times New Roman" w:cs="Times New Roman" w:eastAsia="Times New Roman" w:hAnsi="Times New Roman"/>
          <w:sz w:val="17"/>
          <w:szCs w:val="17"/>
          <w:color w:val="auto"/>
        </w:rPr>
        <w:t>, shall continue in full force and effect for so long as any Obligations (other than inchoate indemnification or reimbursement obligations for which no claims have been asserted) remain outstanding or Bank has any obligation to make Credit Extensions under this Agreement. Notwithstanding the foregoing, Bank shall have the right to terminate its obligation to make Credit Extensions under this Agreement immediately and without notice upon the occurrence and during the continuance of an Event of Default.</w:t>
      </w:r>
    </w:p>
    <w:p>
      <w:pPr>
        <w:spacing w:after="0" w:line="136" w:lineRule="exact"/>
        <w:rPr>
          <w:sz w:val="20"/>
          <w:szCs w:val="20"/>
          <w:color w:val="auto"/>
        </w:rPr>
      </w:pPr>
    </w:p>
    <w:p>
      <w:pPr>
        <w:ind w:left="2060" w:hanging="331"/>
        <w:spacing w:after="0"/>
        <w:tabs>
          <w:tab w:leader="none" w:pos="2060" w:val="left"/>
        </w:tabs>
        <w:numPr>
          <w:ilvl w:val="0"/>
          <w:numId w:val="6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CONDITIONS OF LOANS.</w:t>
      </w:r>
    </w:p>
    <w:p>
      <w:pPr>
        <w:spacing w:after="0" w:line="162"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b w:val="1"/>
          <w:bCs w:val="1"/>
          <w:color w:val="auto"/>
        </w:rPr>
        <w:t>3.1 Conditions Precedent to Closing</w:t>
      </w:r>
      <w:r>
        <w:rPr>
          <w:rFonts w:ascii="Times New Roman" w:cs="Times New Roman" w:eastAsia="Times New Roman" w:hAnsi="Times New Roman"/>
          <w:sz w:val="17"/>
          <w:szCs w:val="17"/>
          <w:color w:val="auto"/>
        </w:rPr>
        <w:t>. The agreement of Bank to enter into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on the Closing Date is subject to the condition precedent that Bank shall have received, in form and substance reasonably satisfactory to Bank, or Bank has waived receipt of in writing in its sole discretion, each of the following items and completed each of the following requirements (provided that, upon execution and delivery by Bank to Borrower of its signature page to this Agreement, the conditions set forth in this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shall be deemed to be satisfied):</w:t>
      </w:r>
    </w:p>
    <w:p>
      <w:pPr>
        <w:spacing w:after="0" w:line="140" w:lineRule="exact"/>
        <w:rPr>
          <w:sz w:val="20"/>
          <w:szCs w:val="20"/>
          <w:color w:val="auto"/>
        </w:rPr>
      </w:pPr>
    </w:p>
    <w:p>
      <w:pPr>
        <w:ind w:left="4440" w:right="2259" w:hanging="1702"/>
        <w:spacing w:after="0" w:line="646" w:lineRule="auto"/>
        <w:tabs>
          <w:tab w:leader="none" w:pos="3073" w:val="left"/>
        </w:tabs>
        <w:numPr>
          <w:ilvl w:val="0"/>
          <w:numId w:val="6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this Agreement, duly executed by Borrower and Bank;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146685</wp:posOffset>
            </wp:positionV>
            <wp:extent cx="5485765" cy="3873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788" w:name="page789"/>
    <w:bookmarkEnd w:id="788"/>
    <w:p>
      <w:pPr>
        <w:ind w:left="1220" w:right="1239" w:firstLine="1518"/>
        <w:spacing w:after="0" w:line="259" w:lineRule="auto"/>
        <w:tabs>
          <w:tab w:leader="none" w:pos="3081"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corporate resolution of Borrower with respect to incumbency and resolutions authorizing the execution and delivery of this Agreement;</w:t>
      </w:r>
    </w:p>
    <w:p>
      <w:pPr>
        <w:spacing w:after="0" w:line="124" w:lineRule="exact"/>
        <w:rPr>
          <w:rFonts w:ascii="Times New Roman" w:cs="Times New Roman" w:eastAsia="Times New Roman" w:hAnsi="Times New Roman"/>
          <w:sz w:val="17"/>
          <w:szCs w:val="17"/>
          <w:b w:val="1"/>
          <w:bCs w:val="1"/>
          <w:color w:val="auto"/>
        </w:rPr>
      </w:pPr>
    </w:p>
    <w:p>
      <w:pPr>
        <w:ind w:left="3080" w:hanging="342"/>
        <w:spacing w:after="0"/>
        <w:tabs>
          <w:tab w:leader="none" w:pos="3080"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financing statement (Form UCC-1);</w:t>
      </w:r>
    </w:p>
    <w:p>
      <w:pPr>
        <w:spacing w:after="0" w:line="161" w:lineRule="exact"/>
        <w:rPr>
          <w:rFonts w:ascii="Times New Roman" w:cs="Times New Roman" w:eastAsia="Times New Roman" w:hAnsi="Times New Roman"/>
          <w:sz w:val="17"/>
          <w:szCs w:val="17"/>
          <w:b w:val="1"/>
          <w:bCs w:val="1"/>
          <w:color w:val="auto"/>
        </w:rPr>
      </w:pPr>
    </w:p>
    <w:p>
      <w:pPr>
        <w:ind w:left="1220" w:right="1239" w:firstLine="1518"/>
        <w:spacing w:after="0" w:line="259" w:lineRule="auto"/>
        <w:tabs>
          <w:tab w:leader="none" w:pos="3070"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current SOS Reports indicating that except for Permitted Liens, there are no other security interests or Liens of record in the Collateral;</w:t>
      </w:r>
    </w:p>
    <w:p>
      <w:pPr>
        <w:spacing w:after="0" w:line="124" w:lineRule="exact"/>
        <w:rPr>
          <w:rFonts w:ascii="Times New Roman" w:cs="Times New Roman" w:eastAsia="Times New Roman" w:hAnsi="Times New Roman"/>
          <w:sz w:val="17"/>
          <w:szCs w:val="17"/>
          <w:b w:val="1"/>
          <w:bCs w:val="1"/>
          <w:color w:val="auto"/>
        </w:rPr>
      </w:pPr>
    </w:p>
    <w:p>
      <w:pPr>
        <w:jc w:val="both"/>
        <w:ind w:left="1220" w:right="1239" w:firstLine="1518"/>
        <w:spacing w:after="0" w:line="239" w:lineRule="auto"/>
        <w:tabs>
          <w:tab w:leader="none" w:pos="3154"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current financial statements, including audited statements for Borrower’s most recently ended fiscal year, together with an unqualified opinion; company prepared consolidated (and, if prepared, consolidating) balance sheets and income statements of Borrower for the months ended August 31, 2025, September 30, 2025 and October 31, 2025; and such other updated financial information as Bank may reasonably request;</w:t>
      </w:r>
    </w:p>
    <w:p>
      <w:pPr>
        <w:spacing w:after="0" w:line="140" w:lineRule="exact"/>
        <w:rPr>
          <w:rFonts w:ascii="Times New Roman" w:cs="Times New Roman" w:eastAsia="Times New Roman" w:hAnsi="Times New Roman"/>
          <w:sz w:val="17"/>
          <w:szCs w:val="17"/>
          <w:b w:val="1"/>
          <w:bCs w:val="1"/>
          <w:color w:val="auto"/>
        </w:rPr>
      </w:pPr>
    </w:p>
    <w:p>
      <w:pPr>
        <w:ind w:left="3080" w:hanging="342"/>
        <w:spacing w:after="0"/>
        <w:tabs>
          <w:tab w:leader="none" w:pos="3080"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current Compliance Certificate in accordance with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b w:val="1"/>
          <w:bCs w:val="1"/>
          <w:color w:val="auto"/>
        </w:rPr>
      </w:pPr>
    </w:p>
    <w:p>
      <w:pPr>
        <w:ind w:left="3100" w:hanging="362"/>
        <w:spacing w:after="0"/>
        <w:tabs>
          <w:tab w:leader="none" w:pos="3100"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evidence that the insurance policies required by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hereof</w:t>
      </w:r>
    </w:p>
    <w:p>
      <w:pPr>
        <w:spacing w:after="0" w:line="11" w:lineRule="exact"/>
        <w:rPr>
          <w:rFonts w:ascii="Times New Roman" w:cs="Times New Roman" w:eastAsia="Times New Roman" w:hAnsi="Times New Roman"/>
          <w:sz w:val="17"/>
          <w:szCs w:val="17"/>
          <w:b w:val="1"/>
          <w:bCs w:val="1"/>
          <w:color w:val="auto"/>
        </w:rPr>
      </w:pPr>
    </w:p>
    <w:p>
      <w:pPr>
        <w:ind w:left="12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are in full force and effect;</w:t>
      </w:r>
    </w:p>
    <w:p>
      <w:pPr>
        <w:spacing w:after="0" w:line="143" w:lineRule="exact"/>
        <w:rPr>
          <w:rFonts w:ascii="Times New Roman" w:cs="Times New Roman" w:eastAsia="Times New Roman" w:hAnsi="Times New Roman"/>
          <w:sz w:val="17"/>
          <w:szCs w:val="17"/>
          <w:b w:val="1"/>
          <w:bCs w:val="1"/>
          <w:color w:val="auto"/>
        </w:rPr>
      </w:pPr>
    </w:p>
    <w:p>
      <w:pPr>
        <w:ind w:left="1220" w:right="1239" w:firstLine="1518"/>
        <w:spacing w:after="0" w:line="259" w:lineRule="auto"/>
        <w:tabs>
          <w:tab w:leader="none" w:pos="3070"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Warrant together with a capitalization table and copies of material equity documents of Borrower;</w:t>
      </w:r>
    </w:p>
    <w:p>
      <w:pPr>
        <w:spacing w:after="0" w:line="124" w:lineRule="exact"/>
        <w:rPr>
          <w:rFonts w:ascii="Times New Roman" w:cs="Times New Roman" w:eastAsia="Times New Roman" w:hAnsi="Times New Roman"/>
          <w:sz w:val="17"/>
          <w:szCs w:val="17"/>
          <w:b w:val="1"/>
          <w:bCs w:val="1"/>
          <w:color w:val="auto"/>
        </w:rPr>
      </w:pPr>
    </w:p>
    <w:p>
      <w:pPr>
        <w:ind w:left="3080" w:hanging="342"/>
        <w:spacing w:after="0"/>
        <w:tabs>
          <w:tab w:leader="none" w:pos="3080"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Borrower Information Certificate;</w:t>
      </w:r>
    </w:p>
    <w:p>
      <w:pPr>
        <w:spacing w:after="0" w:line="161" w:lineRule="exact"/>
        <w:rPr>
          <w:rFonts w:ascii="Times New Roman" w:cs="Times New Roman" w:eastAsia="Times New Roman" w:hAnsi="Times New Roman"/>
          <w:sz w:val="17"/>
          <w:szCs w:val="17"/>
          <w:b w:val="1"/>
          <w:bCs w:val="1"/>
          <w:color w:val="auto"/>
        </w:rPr>
      </w:pPr>
    </w:p>
    <w:p>
      <w:pPr>
        <w:ind w:left="3080" w:hanging="342"/>
        <w:spacing w:after="0"/>
        <w:tabs>
          <w:tab w:leader="none" w:pos="3080"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legal opinion from Borrower’s counsel, which shall be reasonably</w:t>
      </w:r>
    </w:p>
    <w:p>
      <w:pPr>
        <w:spacing w:after="0" w:line="11" w:lineRule="exact"/>
        <w:rPr>
          <w:rFonts w:ascii="Times New Roman" w:cs="Times New Roman" w:eastAsia="Times New Roman" w:hAnsi="Times New Roman"/>
          <w:sz w:val="17"/>
          <w:szCs w:val="17"/>
          <w:b w:val="1"/>
          <w:bCs w:val="1"/>
          <w:color w:val="auto"/>
        </w:rPr>
      </w:pPr>
    </w:p>
    <w:p>
      <w:pPr>
        <w:ind w:left="12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satisfactory to Bank;</w:t>
      </w:r>
    </w:p>
    <w:p>
      <w:pPr>
        <w:spacing w:after="0" w:line="143" w:lineRule="exact"/>
        <w:rPr>
          <w:rFonts w:ascii="Times New Roman" w:cs="Times New Roman" w:eastAsia="Times New Roman" w:hAnsi="Times New Roman"/>
          <w:sz w:val="17"/>
          <w:szCs w:val="17"/>
          <w:b w:val="1"/>
          <w:bCs w:val="1"/>
          <w:color w:val="auto"/>
        </w:rPr>
      </w:pPr>
    </w:p>
    <w:p>
      <w:pPr>
        <w:ind w:left="1220" w:right="1239" w:firstLine="1518"/>
        <w:spacing w:after="0" w:line="259" w:lineRule="auto"/>
        <w:tabs>
          <w:tab w:leader="none" w:pos="3081"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and its Subsidiaries shall have opened and funded not less than $30,000,000 in deposit accounts held with Bank; and</w:t>
      </w:r>
    </w:p>
    <w:p>
      <w:pPr>
        <w:spacing w:after="0" w:line="124" w:lineRule="exact"/>
        <w:rPr>
          <w:rFonts w:ascii="Times New Roman" w:cs="Times New Roman" w:eastAsia="Times New Roman" w:hAnsi="Times New Roman"/>
          <w:sz w:val="17"/>
          <w:szCs w:val="17"/>
          <w:b w:val="1"/>
          <w:bCs w:val="1"/>
          <w:color w:val="auto"/>
        </w:rPr>
      </w:pPr>
    </w:p>
    <w:p>
      <w:pPr>
        <w:ind w:left="1220" w:right="1239" w:firstLine="1518"/>
        <w:spacing w:after="0" w:line="259" w:lineRule="auto"/>
        <w:tabs>
          <w:tab w:leader="none" w:pos="3091" w:val="left"/>
        </w:tabs>
        <w:numPr>
          <w:ilvl w:val="0"/>
          <w:numId w:val="6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such other documents or certificates, and completion of such other matters, as Bank may reasonably request.</w:t>
      </w:r>
    </w:p>
    <w:p>
      <w:pPr>
        <w:spacing w:after="0" w:line="121" w:lineRule="exact"/>
        <w:rPr>
          <w:sz w:val="20"/>
          <w:szCs w:val="20"/>
          <w:color w:val="auto"/>
        </w:rPr>
      </w:pPr>
    </w:p>
    <w:p>
      <w:pPr>
        <w:jc w:val="both"/>
        <w:ind w:left="1220" w:right="1239" w:firstLine="1009"/>
        <w:spacing w:after="0" w:line="243" w:lineRule="auto"/>
        <w:rPr>
          <w:sz w:val="20"/>
          <w:szCs w:val="20"/>
          <w:color w:val="auto"/>
        </w:rPr>
      </w:pPr>
      <w:r>
        <w:rPr>
          <w:rFonts w:ascii="Times New Roman" w:cs="Times New Roman" w:eastAsia="Times New Roman" w:hAnsi="Times New Roman"/>
          <w:sz w:val="17"/>
          <w:szCs w:val="17"/>
          <w:b w:val="1"/>
          <w:bCs w:val="1"/>
          <w:color w:val="auto"/>
        </w:rPr>
        <w:t>3.2 Conditions Precedent to All Credit Extensions</w:t>
      </w:r>
      <w:r>
        <w:rPr>
          <w:rFonts w:ascii="Times New Roman" w:cs="Times New Roman" w:eastAsia="Times New Roman" w:hAnsi="Times New Roman"/>
          <w:sz w:val="17"/>
          <w:szCs w:val="17"/>
          <w:color w:val="auto"/>
        </w:rPr>
        <w:t>. The obligation of Bank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make each Credit Extension, including the initial Credit Extension, is contingent upon Borrower’s compliance with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above, and is further subject to the following conditions unless waived by Bank in writing in its sole discretion:</w:t>
      </w:r>
    </w:p>
    <w:p>
      <w:pPr>
        <w:spacing w:after="0" w:line="127" w:lineRule="exact"/>
        <w:rPr>
          <w:sz w:val="20"/>
          <w:szCs w:val="20"/>
          <w:color w:val="auto"/>
        </w:rPr>
      </w:pPr>
    </w:p>
    <w:p>
      <w:pPr>
        <w:ind w:left="3080" w:hanging="342"/>
        <w:spacing w:after="0"/>
        <w:tabs>
          <w:tab w:leader="none" w:pos="3080" w:val="left"/>
        </w:tabs>
        <w:numPr>
          <w:ilvl w:val="0"/>
          <w:numId w:val="7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timely receipt by Bank of the Loan Advance/Paydown Request Form</w:t>
      </w:r>
    </w:p>
    <w:p>
      <w:pPr>
        <w:spacing w:after="0" w:line="23" w:lineRule="exact"/>
        <w:rPr>
          <w:rFonts w:ascii="Times New Roman" w:cs="Times New Roman" w:eastAsia="Times New Roman" w:hAnsi="Times New Roman"/>
          <w:sz w:val="16"/>
          <w:szCs w:val="16"/>
          <w:b w:val="1"/>
          <w:bCs w:val="1"/>
          <w:color w:val="auto"/>
        </w:rPr>
      </w:pPr>
    </w:p>
    <w:p>
      <w:pPr>
        <w:ind w:left="122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7"/>
          <w:szCs w:val="17"/>
          <w:color w:val="auto"/>
        </w:rPr>
        <w:t xml:space="preserve">as provided in </w:t>
      </w:r>
      <w:r>
        <w:rPr>
          <w:rFonts w:ascii="Times New Roman" w:cs="Times New Roman" w:eastAsia="Times New Roman" w:hAnsi="Times New Roman"/>
          <w:sz w:val="17"/>
          <w:szCs w:val="17"/>
          <w:u w:val="single" w:color="auto"/>
          <w:color w:val="auto"/>
        </w:rPr>
        <w:t>Section 2.1</w:t>
      </w:r>
      <w:r>
        <w:rPr>
          <w:rFonts w:ascii="Times New Roman" w:cs="Times New Roman" w:eastAsia="Times New Roman" w:hAnsi="Times New Roman"/>
          <w:sz w:val="17"/>
          <w:szCs w:val="17"/>
          <w:color w:val="auto"/>
        </w:rPr>
        <w:t>;</w:t>
      </w:r>
    </w:p>
    <w:p>
      <w:pPr>
        <w:spacing w:after="0" w:line="122" w:lineRule="exact"/>
        <w:rPr>
          <w:rFonts w:ascii="Times New Roman" w:cs="Times New Roman" w:eastAsia="Times New Roman" w:hAnsi="Times New Roman"/>
          <w:sz w:val="16"/>
          <w:szCs w:val="16"/>
          <w:b w:val="1"/>
          <w:bCs w:val="1"/>
          <w:color w:val="auto"/>
        </w:rPr>
      </w:pPr>
    </w:p>
    <w:p>
      <w:pPr>
        <w:ind w:left="3080" w:hanging="342"/>
        <w:spacing w:after="0"/>
        <w:tabs>
          <w:tab w:leader="none" w:pos="3080" w:val="left"/>
        </w:tabs>
        <w:numPr>
          <w:ilvl w:val="0"/>
          <w:numId w:val="7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Borrower shall be in compliance with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hereof;</w:t>
      </w:r>
    </w:p>
    <w:p>
      <w:pPr>
        <w:spacing w:after="0" w:line="151" w:lineRule="exact"/>
        <w:rPr>
          <w:rFonts w:ascii="Times New Roman" w:cs="Times New Roman" w:eastAsia="Times New Roman" w:hAnsi="Times New Roman"/>
          <w:sz w:val="17"/>
          <w:szCs w:val="17"/>
          <w:b w:val="1"/>
          <w:bCs w:val="1"/>
          <w:color w:val="auto"/>
        </w:rPr>
      </w:pPr>
    </w:p>
    <w:p>
      <w:pPr>
        <w:jc w:val="both"/>
        <w:ind w:left="1220" w:right="1239" w:firstLine="1518"/>
        <w:spacing w:after="0" w:line="246" w:lineRule="auto"/>
        <w:tabs>
          <w:tab w:leader="none" w:pos="3070" w:val="left"/>
        </w:tabs>
        <w:numPr>
          <w:ilvl w:val="0"/>
          <w:numId w:val="7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Bank’s good faith business judgment, there has not been a Material Adverse Effect, and no event, condition, development, action, circumstance, or other occurrence has occurred which could reasonably be expected to have a Material Adverse Effect;</w:t>
      </w:r>
    </w:p>
    <w:p>
      <w:pPr>
        <w:spacing w:after="0" w:line="124" w:lineRule="exact"/>
        <w:rPr>
          <w:rFonts w:ascii="Times New Roman" w:cs="Times New Roman" w:eastAsia="Times New Roman" w:hAnsi="Times New Roman"/>
          <w:sz w:val="17"/>
          <w:szCs w:val="17"/>
          <w:b w:val="1"/>
          <w:bCs w:val="1"/>
          <w:color w:val="auto"/>
        </w:rPr>
      </w:pPr>
    </w:p>
    <w:p>
      <w:pPr>
        <w:ind w:left="1220" w:right="1239" w:firstLine="1518"/>
        <w:spacing w:after="0" w:line="291" w:lineRule="auto"/>
        <w:tabs>
          <w:tab w:leader="none" w:pos="3070" w:val="left"/>
        </w:tabs>
        <w:numPr>
          <w:ilvl w:val="0"/>
          <w:numId w:val="70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 no Event of Default shall then exist, would exist immediately after such Credit Extension, or (ii) if any financial covenant is included in the Agreement following</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789" w:name="page790"/>
    <w:bookmarkEnd w:id="789"/>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the Closing Date, Bank determines, based on information available to it and in its good faith judgment, that there is a likelihood that an Event of Default will exist as a result of Borrower’s failure to comply with such financial covenant during the time period following the Credit Extension and continuing through the next succeeding financial reporting period;</w:t>
      </w:r>
    </w:p>
    <w:p>
      <w:pPr>
        <w:spacing w:after="0" w:line="140" w:lineRule="exact"/>
        <w:rPr>
          <w:sz w:val="20"/>
          <w:szCs w:val="20"/>
          <w:color w:val="auto"/>
        </w:rPr>
      </w:pPr>
    </w:p>
    <w:p>
      <w:pPr>
        <w:jc w:val="both"/>
        <w:ind w:left="1220" w:right="1239" w:firstLine="1518"/>
        <w:spacing w:after="0" w:line="234" w:lineRule="auto"/>
        <w:tabs>
          <w:tab w:leader="none" w:pos="3070" w:val="left"/>
        </w:tabs>
        <w:numPr>
          <w:ilvl w:val="1"/>
          <w:numId w:val="7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the representations and warranties contained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shall be true and correct in all material respects on and as of the date of such Loan Advance/Paydown Request Form and on the effective date of each Credit Extension as though made at and as of each such date, and no Event of Default shall have occurred and be continuing, or would exist after giving effect to such Credit Extension (provided, however, that those representations and warranties expressly referring to another date shall be true and correct in all material respects as of such date, and provided further that any representation or warranty that contains a materiality qualification therein shall be true and correct in all respects). The making of each Credit Extension shall be deemed to be a representation and warranty by Borrower on the date of such Credit Extension as to the accuracy of the facts referred to in </w:t>
      </w:r>
      <w:r>
        <w:rPr>
          <w:rFonts w:ascii="Times New Roman" w:cs="Times New Roman" w:eastAsia="Times New Roman" w:hAnsi="Times New Roman"/>
          <w:sz w:val="17"/>
          <w:szCs w:val="17"/>
          <w:u w:val="single" w:color="auto"/>
          <w:color w:val="auto"/>
        </w:rPr>
        <w:t>Sections 3.2(b)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3.2(c)</w:t>
      </w:r>
      <w:r>
        <w:rPr>
          <w:rFonts w:ascii="Times New Roman" w:cs="Times New Roman" w:eastAsia="Times New Roman" w:hAnsi="Times New Roman"/>
          <w:sz w:val="17"/>
          <w:szCs w:val="17"/>
          <w:color w:val="auto"/>
        </w:rPr>
        <w:t xml:space="preserve"> (provided that, for purposes of this sentence, Borrower’s representation and warranty with respect to </w:t>
      </w:r>
      <w:r>
        <w:rPr>
          <w:rFonts w:ascii="Times New Roman" w:cs="Times New Roman" w:eastAsia="Times New Roman" w:hAnsi="Times New Roman"/>
          <w:sz w:val="17"/>
          <w:szCs w:val="17"/>
          <w:u w:val="single" w:color="auto"/>
          <w:color w:val="auto"/>
        </w:rPr>
        <w:t>Section 3.2(c)</w:t>
      </w:r>
      <w:r>
        <w:rPr>
          <w:rFonts w:ascii="Times New Roman" w:cs="Times New Roman" w:eastAsia="Times New Roman" w:hAnsi="Times New Roman"/>
          <w:sz w:val="17"/>
          <w:szCs w:val="17"/>
          <w:color w:val="auto"/>
        </w:rPr>
        <w:t xml:space="preserve"> shall be that, in Borrower’s determination, there has not been a Material Adverse Effect, and no event, condition, development, action, circumstance, or other occurrence has occurred which could reasonably be expected to have a Material Adverse Effect), 3.2(d)(i) (provided that, for purposes of this sentence, Borrower’s representation and warranty with respect to </w:t>
      </w:r>
      <w:r>
        <w:rPr>
          <w:rFonts w:ascii="Times New Roman" w:cs="Times New Roman" w:eastAsia="Times New Roman" w:hAnsi="Times New Roman"/>
          <w:sz w:val="17"/>
          <w:szCs w:val="17"/>
          <w:u w:val="single" w:color="auto"/>
          <w:color w:val="auto"/>
        </w:rPr>
        <w:t>Section 3.2(d)</w:t>
      </w:r>
      <w:r>
        <w:rPr>
          <w:rFonts w:ascii="Times New Roman" w:cs="Times New Roman" w:eastAsia="Times New Roman" w:hAnsi="Times New Roman"/>
          <w:sz w:val="17"/>
          <w:szCs w:val="17"/>
          <w:color w:val="auto"/>
        </w:rPr>
        <w:t xml:space="preserve"> shall be that no Event of Default then exists or would exist immediately after such Credit Extension), and </w:t>
      </w:r>
      <w:r>
        <w:rPr>
          <w:rFonts w:ascii="Times New Roman" w:cs="Times New Roman" w:eastAsia="Times New Roman" w:hAnsi="Times New Roman"/>
          <w:sz w:val="17"/>
          <w:szCs w:val="17"/>
          <w:u w:val="single" w:color="auto"/>
          <w:color w:val="auto"/>
        </w:rPr>
        <w:t>3.2(e)</w:t>
      </w:r>
      <w:r>
        <w:rPr>
          <w:rFonts w:ascii="Times New Roman" w:cs="Times New Roman" w:eastAsia="Times New Roman" w:hAnsi="Times New Roman"/>
          <w:sz w:val="17"/>
          <w:szCs w:val="17"/>
          <w:color w:val="auto"/>
        </w:rPr>
        <w:t>; and</w:t>
      </w:r>
    </w:p>
    <w:p>
      <w:pPr>
        <w:spacing w:after="0" w:line="144" w:lineRule="exact"/>
        <w:rPr>
          <w:rFonts w:ascii="Times New Roman" w:cs="Times New Roman" w:eastAsia="Times New Roman" w:hAnsi="Times New Roman"/>
          <w:sz w:val="17"/>
          <w:szCs w:val="17"/>
          <w:b w:val="1"/>
          <w:bCs w:val="1"/>
          <w:color w:val="auto"/>
        </w:rPr>
      </w:pPr>
    </w:p>
    <w:p>
      <w:pPr>
        <w:ind w:left="1220" w:right="1239" w:firstLine="1518"/>
        <w:spacing w:after="0" w:line="259" w:lineRule="auto"/>
        <w:tabs>
          <w:tab w:leader="none" w:pos="3081" w:val="left"/>
        </w:tabs>
        <w:numPr>
          <w:ilvl w:val="1"/>
          <w:numId w:val="7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with respect to the initial Term Loan, Borrower shall have delivered each of the control agreements described in </w:t>
      </w:r>
      <w:r>
        <w:rPr>
          <w:rFonts w:ascii="Times New Roman" w:cs="Times New Roman" w:eastAsia="Times New Roman" w:hAnsi="Times New Roman"/>
          <w:sz w:val="17"/>
          <w:szCs w:val="17"/>
          <w:u w:val="single" w:color="auto"/>
          <w:color w:val="auto"/>
        </w:rPr>
        <w:t>Section 6.11(b)</w:t>
      </w:r>
      <w:r>
        <w:rPr>
          <w:rFonts w:ascii="Times New Roman" w:cs="Times New Roman" w:eastAsia="Times New Roman" w:hAnsi="Times New Roman"/>
          <w:sz w:val="17"/>
          <w:szCs w:val="17"/>
          <w:color w:val="auto"/>
        </w:rPr>
        <w:t>.</w:t>
      </w:r>
    </w:p>
    <w:p>
      <w:pPr>
        <w:spacing w:after="0" w:line="120" w:lineRule="exact"/>
        <w:rPr>
          <w:rFonts w:ascii="Times New Roman" w:cs="Times New Roman" w:eastAsia="Times New Roman" w:hAnsi="Times New Roman"/>
          <w:sz w:val="17"/>
          <w:szCs w:val="17"/>
          <w:b w:val="1"/>
          <w:bCs w:val="1"/>
          <w:color w:val="auto"/>
        </w:rPr>
      </w:pPr>
    </w:p>
    <w:p>
      <w:pPr>
        <w:ind w:left="2060" w:hanging="331"/>
        <w:spacing w:after="0"/>
        <w:tabs>
          <w:tab w:leader="none" w:pos="2060" w:val="left"/>
        </w:tabs>
        <w:numPr>
          <w:ilvl w:val="0"/>
          <w:numId w:val="7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CREATION OF SECURITY INTEREST.</w:t>
      </w:r>
    </w:p>
    <w:p>
      <w:pPr>
        <w:spacing w:after="0" w:line="162"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4.1 Grant of Security Interest </w:t>
      </w:r>
      <w:r>
        <w:rPr>
          <w:rFonts w:ascii="Times New Roman" w:cs="Times New Roman" w:eastAsia="Times New Roman" w:hAnsi="Times New Roman"/>
          <w:sz w:val="17"/>
          <w:szCs w:val="17"/>
          <w:color w:val="auto"/>
        </w:rPr>
        <w:t>. Borrower grants and pledges to Bank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continuing security interest in the Collateral to secure prompt repayment of any and all Obligations and to secure prompt performance by Borrower of each of its covenants and duties under the Loan Documents. Except for Permitted Liens or as disclosed in the Schedule, subject to Bank taking all actions required to be taken by Bank in order to perfect its security interest in the Collateral, such security interest constitutes a valid, first priority security interest in the presently existing Collateral, and will constitute a valid, first priority security interest in later-acquired Collateral. Borrower also hereby agrees not to sell, transfer, assign, mortgage, pledge, lease, grant a security interest in, or encumber any of its intellectual property (other than Permitted Liens and licenses as described in the definition of Permitted Transfers). Notwithstanding any termination of this Agreement or of any filings undertaken related to Bank’s rights under the Code, Bank’s Lien on the Collateral shall remain in effect for so long as any Obligations (other than inchoate indemnification or reimbursement obligations for which no claims have been asserted) are outstanding.</w:t>
      </w:r>
    </w:p>
    <w:p>
      <w:pPr>
        <w:spacing w:after="0" w:line="138"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4.2 Perfection of Security Interest </w:t>
      </w:r>
      <w:r>
        <w:rPr>
          <w:rFonts w:ascii="Times New Roman" w:cs="Times New Roman" w:eastAsia="Times New Roman" w:hAnsi="Times New Roman"/>
          <w:sz w:val="17"/>
          <w:szCs w:val="17"/>
          <w:color w:val="auto"/>
        </w:rPr>
        <w:t>. Borrower authorizes Bank to file at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 financing statements, continuation statements, and amendments thereto that (i) either specifically describe the Collateral or describe the Collateral as all assets of Borrower of the kind pledged hereunder, and (ii) contain any other information required by the Code for the sufficiency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87" w:right="1440" w:bottom="1440" w:gutter="0" w:footer="0" w:header="0"/>
        </w:sectPr>
      </w:pPr>
    </w:p>
    <w:bookmarkStart w:id="790" w:name="page791"/>
    <w:bookmarkEnd w:id="790"/>
    <w:p>
      <w:pPr>
        <w:jc w:val="both"/>
        <w:ind w:left="1220" w:right="1239"/>
        <w:spacing w:after="0" w:line="233" w:lineRule="auto"/>
        <w:rPr>
          <w:sz w:val="20"/>
          <w:szCs w:val="20"/>
          <w:color w:val="auto"/>
        </w:rPr>
      </w:pPr>
      <w:r>
        <w:rPr>
          <w:rFonts w:ascii="Times New Roman" w:cs="Times New Roman" w:eastAsia="Times New Roman" w:hAnsi="Times New Roman"/>
          <w:sz w:val="17"/>
          <w:szCs w:val="17"/>
          <w:color w:val="auto"/>
        </w:rPr>
        <w:t xml:space="preserve">of filing office acceptance of any financing statement, continuation statement, or amendment, including whether Borrower is an organization, the type of organization and any organizational identification number issued to Borrower, if applicable. Borrower shall have possession of the Collateral, except where expressly otherwise provided in this Agreement or where Bank chooses to perfect its security interest by possession in addition to the filing of a financing statement. Where Collateral is in possession of a third party bailee, Borrower shall take such commercially reasonable steps as Bank reasonably requests for Bank to (x) subject to </w:t>
      </w:r>
      <w:r>
        <w:rPr>
          <w:rFonts w:ascii="Times New Roman" w:cs="Times New Roman" w:eastAsia="Times New Roman" w:hAnsi="Times New Roman"/>
          <w:sz w:val="17"/>
          <w:szCs w:val="17"/>
          <w:u w:val="single" w:color="auto"/>
          <w:color w:val="auto"/>
        </w:rPr>
        <w:t>Section 7.11</w:t>
      </w:r>
      <w:r>
        <w:rPr>
          <w:rFonts w:ascii="Times New Roman" w:cs="Times New Roman" w:eastAsia="Times New Roman" w:hAnsi="Times New Roman"/>
          <w:sz w:val="17"/>
          <w:szCs w:val="17"/>
          <w:color w:val="auto"/>
        </w:rPr>
        <w:t xml:space="preserve"> below, obtain an acknowledgment, in form and substance reasonably satisfactory to Bank, of the bailee that the bailee holds such Collateral for the benefit of Bank, and (y) obtain “control” of any Collateral consisting of investment property, deposit accounts (other than Excluded Accounts), letter-of-credit rights or electronic chattel paper (as such items and the term “control” are defined in Revised Article 9 of the Code) by causing the securities intermediary or depositary institution or issuing bank to execute a control agreement in form and substance reasonably satisfactory to Bank. Borrower will not create any chattel paper without placing a legend on the chattel paper acceptable to Bank indicating that Bank has a security interest in the chattel paper. Borrower from time to time may deposit with Bank specific cash collateral to secure specific Obligations; Borrower authorizes Bank to hold such specific balances in pledge and to decline to honor any drafts thereon or any request by Borrower or any other Person to pay or otherwise transfer any part of such balances for so long as the specific Obligations are outstanding. Borrower shall take such other actions as Bank reasonably requests to perfect its security interests granted under this Agreement.</w:t>
      </w:r>
    </w:p>
    <w:p>
      <w:pPr>
        <w:spacing w:after="0" w:line="152"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b w:val="1"/>
          <w:bCs w:val="1"/>
          <w:color w:val="auto"/>
        </w:rPr>
        <w:t>4.3 Pledge of Collateral</w:t>
      </w:r>
      <w:r>
        <w:rPr>
          <w:rFonts w:ascii="Times New Roman" w:cs="Times New Roman" w:eastAsia="Times New Roman" w:hAnsi="Times New Roman"/>
          <w:sz w:val="17"/>
          <w:szCs w:val="17"/>
          <w:color w:val="auto"/>
        </w:rPr>
        <w:t>. Borrower hereby pledges, assigns and grants to Bank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security interest 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Borrower will deliver to Bank (i) on the Closing Date, the certificate or certificates for any then-certificated Shares, and (ii) with respect to any Shares uncertificated as of the Closing Date, immediately upon certification, the certificate or certificate for the Shares, in each case accompanied by an instrument of assignment duly governing the Shares. Borrower shall cause the books of each entity whose Shares are part of the Collateral and any transfer agent to reflect the pledge of the Shares. Upon the occurrence and during the continuance of an Event of Default hereunder, Bank may effect the transfer of any securities included in the Collateral (including but not limited to the Shares) into the name of Bank and cause new certificates representing such securities to be issued in the name of Bank or its transferee.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141" w:lineRule="exact"/>
        <w:rPr>
          <w:sz w:val="20"/>
          <w:szCs w:val="20"/>
          <w:color w:val="auto"/>
        </w:rPr>
      </w:pPr>
    </w:p>
    <w:p>
      <w:pPr>
        <w:ind w:left="2060" w:hanging="331"/>
        <w:spacing w:after="0"/>
        <w:tabs>
          <w:tab w:leader="none" w:pos="2060" w:val="left"/>
        </w:tabs>
        <w:numPr>
          <w:ilvl w:val="0"/>
          <w:numId w:val="7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 AND WARRANTIES.</w:t>
      </w:r>
    </w:p>
    <w:p>
      <w:pPr>
        <w:spacing w:after="0" w:line="1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Borrower represents and warrants as follows: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91" w:name="page792"/>
    <w:bookmarkEnd w:id="791"/>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5.1 Due Organization and Qualification</w:t>
      </w:r>
      <w:r>
        <w:rPr>
          <w:rFonts w:ascii="Times New Roman" w:cs="Times New Roman" w:eastAsia="Times New Roman" w:hAnsi="Times New Roman"/>
          <w:sz w:val="17"/>
          <w:szCs w:val="17"/>
          <w:color w:val="auto"/>
        </w:rPr>
        <w:t>. Borrower and each Subsidiary is duly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existing under the laws of the jurisdiction in which it is organized and qualified and licensed to do business in any state in which the conduct of its business or its ownership of property requires that it be so qualified, except where the failure to do so would not reasonably be expected to cause a Material Adverse Effect.</w:t>
      </w:r>
    </w:p>
    <w:p>
      <w:pPr>
        <w:spacing w:after="0" w:line="137"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b w:val="1"/>
          <w:bCs w:val="1"/>
          <w:color w:val="auto"/>
        </w:rPr>
        <w:t>5.2 Due Authorization; No Conflict</w:t>
      </w:r>
      <w:r>
        <w:rPr>
          <w:rFonts w:ascii="Times New Roman" w:cs="Times New Roman" w:eastAsia="Times New Roman" w:hAnsi="Times New Roman"/>
          <w:sz w:val="17"/>
          <w:szCs w:val="17"/>
          <w:color w:val="auto"/>
        </w:rPr>
        <w:t>. The execution, delivery, and performance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Loan Documents are within Borrower’s powers, have been duly authorized, and are not in conflict with nor constitute a breach of any provision contained in Borrower’s Certificate of Incorporation or Bylaws, nor will they constitute an event of default under any agreement by which Borrower is bound, except to the extent such default would not reasonably be expected to cause a Material Adverse Effect. Borrower is not in default under any agreement by which it is bound, except to the extent such default would not reasonably be expected to cause a Material Adverse Effect.</w:t>
      </w:r>
    </w:p>
    <w:p>
      <w:pPr>
        <w:spacing w:after="0" w:line="138"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b w:val="1"/>
          <w:bCs w:val="1"/>
          <w:color w:val="auto"/>
        </w:rPr>
        <w:t>5.3 Collateral</w:t>
      </w:r>
      <w:r>
        <w:rPr>
          <w:rFonts w:ascii="Times New Roman" w:cs="Times New Roman" w:eastAsia="Times New Roman" w:hAnsi="Times New Roman"/>
          <w:sz w:val="17"/>
          <w:szCs w:val="17"/>
          <w:color w:val="auto"/>
        </w:rPr>
        <w:t>. Borrower has rights in or the power to transfer the Collateral,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its title to the Collateral is free and clear of Liens, adverse claims, and restrictions on transfer or pledge except for Permitted Liens. Except as permitted pursuant to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 xml:space="preserve">, all Collateral is located solely in the United States. All Inventory is in all material respects of good and merchantable quality (ordinary wear and tear excepted), free from all material defects, except for Inventory for which adequate reserves have been made. Except as set forth in the Schedule or as permitted pursuant to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none of Borrower’s Cash is maintained or invested with a Person other than Bank or Bank’s Affiliates.</w:t>
      </w:r>
    </w:p>
    <w:p>
      <w:pPr>
        <w:spacing w:after="0" w:line="138"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5.4 Intellectual Property </w:t>
      </w:r>
      <w:r>
        <w:rPr>
          <w:rFonts w:ascii="Times New Roman" w:cs="Times New Roman" w:eastAsia="Times New Roman" w:hAnsi="Times New Roman"/>
          <w:sz w:val="17"/>
          <w:szCs w:val="17"/>
          <w:color w:val="auto"/>
        </w:rPr>
        <w:t>. Borrower is the sole owner of the intellectual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property created or purchased by Borrower and necessary for the operation of the business of Borrower, except for licenses granted by Borrower to its customers in the ordinary course of business. The intellectual property created or purchased by Borrower constitutes all intellectual property necessary for the conduct of Borrower’s business as now conducted and as presently proposed to be conducted. To the best of Borrower’s knowledge, each of the copyrights, trademarks and patents created or purchased by Borrower and necessary for the operation of the business of Borrower is valid and enforceable, and no part of the intellectual property created or purchased by Borrower has been judged invalid or unenforceable, in whole or in part, and no claim has been made to Borrower that any part of the intellectual property created or purchased by Borrower violates the rights of any third party except to the extent such claim would not reasonably be expected to cause a Material Adverse Effect.</w:t>
      </w:r>
    </w:p>
    <w:p>
      <w:pPr>
        <w:spacing w:after="0" w:line="142"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5.5 Name; Location of Chief Executive Office </w:t>
      </w:r>
      <w:r>
        <w:rPr>
          <w:rFonts w:ascii="Times New Roman" w:cs="Times New Roman" w:eastAsia="Times New Roman" w:hAnsi="Times New Roman"/>
          <w:sz w:val="17"/>
          <w:szCs w:val="17"/>
          <w:color w:val="auto"/>
        </w:rPr>
        <w:t>. Except as disclosed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Schedule or otherwise disclosed to Bank pursuant to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 xml:space="preserve">, Borrower has not done business under any name other than that specified on the signature page hereof, and its exact legal name is as set forth in the first paragraph of this Agreement. The chief executive office of Borrower is located at the address indicated in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xml:space="preserve"> hereof or such other location disclosed to Bank pursuant to </w:t>
      </w:r>
      <w:r>
        <w:rPr>
          <w:rFonts w:ascii="Times New Roman" w:cs="Times New Roman" w:eastAsia="Times New Roman" w:hAnsi="Times New Roman"/>
          <w:sz w:val="17"/>
          <w:szCs w:val="17"/>
          <w:u w:val="single" w:color="auto"/>
          <w:color w:val="auto"/>
        </w:rPr>
        <w:t>Section 7.2</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left="1220" w:right="1239" w:firstLine="1009"/>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5.6 Litigation and Administrative Proceedings </w:t>
      </w:r>
      <w:r>
        <w:rPr>
          <w:rFonts w:ascii="Times New Roman" w:cs="Times New Roman" w:eastAsia="Times New Roman" w:hAnsi="Times New Roman"/>
          <w:sz w:val="16"/>
          <w:szCs w:val="16"/>
          <w:color w:val="auto"/>
        </w:rPr>
        <w:t>. Except as set forth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Schedule, there are no (a) actions, investigations, or proceedings pending by or against Borrower or any Subsidiary before any court or administrative agency in which an adverse decision would</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792" w:name="page793"/>
    <w:bookmarkEnd w:id="792"/>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reasonably be expected to have a Material Adverse Effect, or (b) orders, writs, injunctions (whether temporary, preliminary, or permanent), judgments, arbitration awards, consent decrees, or decrees of any court or governmental authority, arbitration board, or other tribunal that would reasonably be expected to have a Material Adverse Effect.</w:t>
      </w:r>
    </w:p>
    <w:p>
      <w:pPr>
        <w:spacing w:after="0" w:line="136"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5.7 No Material Adverse Change in Financial Statements </w:t>
      </w:r>
      <w:r>
        <w:rPr>
          <w:rFonts w:ascii="Times New Roman" w:cs="Times New Roman" w:eastAsia="Times New Roman" w:hAnsi="Times New Roman"/>
          <w:sz w:val="17"/>
          <w:szCs w:val="17"/>
          <w:color w:val="auto"/>
        </w:rPr>
        <w:t>. All consolidated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if prepared, consolidating) financial statements related to Borrower and any Subsidiary that are delivered by Borrower to Bank or otherwise submitted to Bank fairly present in all material respects Borrower’s consolidated (and, if applicable, consolidating) financial condition as of the date thereof and Borrower’s consolidated (and, if applicable, consolidating) results of operations for the period then ended. There has not been a material adverse change in the consolidated (or, if applicable, in the consolidating) financial condition of Borrower since the date of the most recent of such financial statements submitted to Bank.</w:t>
      </w:r>
    </w:p>
    <w:p>
      <w:pPr>
        <w:spacing w:after="0" w:line="138" w:lineRule="exact"/>
        <w:rPr>
          <w:sz w:val="20"/>
          <w:szCs w:val="20"/>
          <w:color w:val="auto"/>
        </w:rPr>
      </w:pPr>
    </w:p>
    <w:p>
      <w:pPr>
        <w:jc w:val="both"/>
        <w:ind w:left="1220" w:right="1239" w:firstLine="1009"/>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5.8 Solvency, Payment of Debts </w:t>
      </w:r>
      <w:r>
        <w:rPr>
          <w:rFonts w:ascii="Times New Roman" w:cs="Times New Roman" w:eastAsia="Times New Roman" w:hAnsi="Times New Roman"/>
          <w:sz w:val="17"/>
          <w:szCs w:val="17"/>
          <w:color w:val="auto"/>
        </w:rPr>
        <w:t>. Borrower is able to pay its debts (including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trade debts) as they mature; the fair saleable value of Borrower’s assets (including goodwill minus disposition costs) exceeds the fair value of its liabilities; and Borrower is not left with unreasonably small capital after the transactions contemplated by this Agreement.</w:t>
      </w:r>
    </w:p>
    <w:p>
      <w:pPr>
        <w:spacing w:after="0" w:line="133"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b w:val="1"/>
          <w:bCs w:val="1"/>
          <w:color w:val="auto"/>
        </w:rPr>
        <w:t xml:space="preserve">5.9 Compliance with Laws and Regulations </w:t>
      </w:r>
      <w:r>
        <w:rPr>
          <w:rFonts w:ascii="Times New Roman" w:cs="Times New Roman" w:eastAsia="Times New Roman" w:hAnsi="Times New Roman"/>
          <w:sz w:val="17"/>
          <w:szCs w:val="17"/>
          <w:color w:val="auto"/>
        </w:rPr>
        <w:t>. Borrower and each Subsidiary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have met the minimum funding requirements of ERISA with respect to any employee benefit plans subject to ERISA. No event has occurred resulting from Borrower’s failure to comply with ERISA that is reasonably likely to result in Borrower’s incurring any liability that could have a Material Adverse Effect. Borrower is not an “investment company” or a company “controlled” by an “investment company” within the meaning of the Investment Company Act of 1940. Borrower is not engaged principally, or as one of its important activities, in the business of extending credit for the purpose of purchasing or carrying margin stock (within the meaning of Regulations T and U of the Board of Governors of the Federal Reserve System). Borrower has not violated any statutes, laws, ordinances or rules applicable to it, the violation of which would reasonably be expected to have a Material Adverse Effect. Borrower and each Subsidiary have filed or caused to be filed all tax returns required to be filed, and have paid, or have made adequate provision for the payment of, all taxes reflected therein except those being contested in good faith with adequate reserves under GAAP or where the failure to file such returns or pay such taxes would not reasonably be expected to have a Material Adverse Effect.</w:t>
      </w:r>
    </w:p>
    <w:p>
      <w:pPr>
        <w:spacing w:after="0" w:line="148" w:lineRule="exact"/>
        <w:rPr>
          <w:sz w:val="20"/>
          <w:szCs w:val="20"/>
          <w:color w:val="auto"/>
        </w:rPr>
      </w:pPr>
    </w:p>
    <w:p>
      <w:pPr>
        <w:jc w:val="both"/>
        <w:ind w:left="1220" w:right="1239" w:firstLine="1009"/>
        <w:spacing w:after="0" w:line="264" w:lineRule="auto"/>
        <w:rPr>
          <w:sz w:val="20"/>
          <w:szCs w:val="20"/>
          <w:color w:val="auto"/>
        </w:rPr>
      </w:pPr>
      <w:r>
        <w:rPr>
          <w:rFonts w:ascii="Times New Roman" w:cs="Times New Roman" w:eastAsia="Times New Roman" w:hAnsi="Times New Roman"/>
          <w:sz w:val="17"/>
          <w:szCs w:val="17"/>
          <w:b w:val="1"/>
          <w:bCs w:val="1"/>
          <w:color w:val="auto"/>
        </w:rPr>
        <w:t>5.10 Subsidiaries</w:t>
      </w:r>
      <w:r>
        <w:rPr>
          <w:rFonts w:ascii="Times New Roman" w:cs="Times New Roman" w:eastAsia="Times New Roman" w:hAnsi="Times New Roman"/>
          <w:sz w:val="17"/>
          <w:szCs w:val="17"/>
          <w:color w:val="auto"/>
        </w:rPr>
        <w:t>. Borrower does not own any stock, partnership interest or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equity securities of any Person, except for Permitted Investments.</w:t>
      </w:r>
    </w:p>
    <w:p>
      <w:pPr>
        <w:spacing w:after="0" w:line="117"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5.11 Government Consents </w:t>
      </w:r>
      <w:r>
        <w:rPr>
          <w:rFonts w:ascii="Times New Roman" w:cs="Times New Roman" w:eastAsia="Times New Roman" w:hAnsi="Times New Roman"/>
          <w:sz w:val="17"/>
          <w:szCs w:val="17"/>
          <w:color w:val="auto"/>
        </w:rPr>
        <w:t>. Borrower and each Subsidiary have obtained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consents, approvals and authorizations of, made all declarations or filings with, and given all notices to, all governmental authorities that are necessary for the continued operation of Borrower’s business as currently conducted, except where the failure to do so would not reasonably be expected to cause a Material Adverse Effect.</w:t>
      </w:r>
    </w:p>
    <w:p>
      <w:pPr>
        <w:spacing w:after="0" w:line="137" w:lineRule="exact"/>
        <w:rPr>
          <w:sz w:val="20"/>
          <w:szCs w:val="20"/>
          <w:color w:val="auto"/>
        </w:rPr>
      </w:pPr>
    </w:p>
    <w:p>
      <w:pPr>
        <w:jc w:val="both"/>
        <w:ind w:left="1220" w:right="1239" w:firstLine="1009"/>
        <w:spacing w:after="0" w:line="271" w:lineRule="auto"/>
        <w:rPr>
          <w:sz w:val="20"/>
          <w:szCs w:val="20"/>
          <w:color w:val="auto"/>
        </w:rPr>
      </w:pPr>
      <w:r>
        <w:rPr>
          <w:rFonts w:ascii="Times New Roman" w:cs="Times New Roman" w:eastAsia="Times New Roman" w:hAnsi="Times New Roman"/>
          <w:sz w:val="16"/>
          <w:szCs w:val="16"/>
          <w:b w:val="1"/>
          <w:bCs w:val="1"/>
          <w:color w:val="auto"/>
        </w:rPr>
        <w:t>5.12 Inbound Licenses</w:t>
      </w:r>
      <w:r>
        <w:rPr>
          <w:rFonts w:ascii="Times New Roman" w:cs="Times New Roman" w:eastAsia="Times New Roman" w:hAnsi="Times New Roman"/>
          <w:sz w:val="16"/>
          <w:szCs w:val="16"/>
          <w:color w:val="auto"/>
        </w:rPr>
        <w:t>. Except as disclosed on the Schedule or as disclosed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Bank pursuant to </w:t>
      </w:r>
      <w:r>
        <w:rPr>
          <w:rFonts w:ascii="Times New Roman" w:cs="Times New Roman" w:eastAsia="Times New Roman" w:hAnsi="Times New Roman"/>
          <w:sz w:val="16"/>
          <w:szCs w:val="16"/>
          <w:u w:val="single" w:color="auto"/>
          <w:color w:val="auto"/>
        </w:rPr>
        <w:t>Section 6.8</w:t>
      </w:r>
      <w:r>
        <w:rPr>
          <w:rFonts w:ascii="Times New Roman" w:cs="Times New Roman" w:eastAsia="Times New Roman" w:hAnsi="Times New Roman"/>
          <w:sz w:val="16"/>
          <w:szCs w:val="16"/>
          <w:color w:val="auto"/>
        </w:rPr>
        <w:t>, Borrower is not a party to, nor is bound by, any material license or other similar agreement (other than off-the shelf, shrink-wrapped or “click to accept” software</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793" w:name="page794"/>
    <w:bookmarkEnd w:id="793"/>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licenses that are commercially available to the public) necessary for the conduct of Borrower’s business that prohibits or otherwise restricts Borrower from granting a security interest in Borrower’s interest in such license or similar agreement or any other property necessary for the conduct of Borrower’s business, other than this Agreement or the other Loan Documents.</w:t>
      </w:r>
    </w:p>
    <w:p>
      <w:pPr>
        <w:spacing w:after="0" w:line="136"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b w:val="1"/>
          <w:bCs w:val="1"/>
          <w:color w:val="auto"/>
        </w:rPr>
        <w:t xml:space="preserve">5.13 Shares </w:t>
      </w:r>
      <w:r>
        <w:rPr>
          <w:rFonts w:ascii="Times New Roman" w:cs="Times New Roman" w:eastAsia="Times New Roman" w:hAnsi="Times New Roman"/>
          <w:sz w:val="17"/>
          <w:szCs w:val="17"/>
          <w:color w:val="auto"/>
        </w:rPr>
        <w:t>. Borrower has full power and authority to create a first lien (subject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Permitted Liens) on the Shares and no disability or contractual obligations exists that would prohibit Borrower from pledging the Shares pursuant to this Agreement. To Borrower’s knowledge, there are no subscriptions, warrants, rights of first refusal or other restrictions on transfer relative to, or options exercisable with respect to the Shares. The Shares have been and will remain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 No interest in any limited liability company or limited partnership controlled by Borrower is represented by a certificate unless (a) the limited liability company agreement or limited partnership agreement expressly provides that such interest shall be a “Security” within the meaning of Article 8 of the Code, and (b) such certificate has been delivered to Bank. With respect to each limited liability company or limited partnership controlled by Borrower whose interests are uncertificated, such limited liability company or limited partnership has not elected, whether in its limited liability company agreement or limited partnership agreement or otherwise, to have such interests be treated as a “Security” within the meaning of Article 8 of the Code.</w:t>
      </w:r>
    </w:p>
    <w:p>
      <w:pPr>
        <w:spacing w:after="0" w:line="14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5.14 Full Disclosure</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left="1220" w:right="1239" w:firstLine="1518"/>
        <w:spacing w:after="0" w:line="237" w:lineRule="auto"/>
        <w:tabs>
          <w:tab w:leader="none" w:pos="3070" w:val="left"/>
        </w:tabs>
        <w:numPr>
          <w:ilvl w:val="1"/>
          <w:numId w:val="7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 representation, warranty or other statement made by Borrower in any report, certificate, or written statement furnished or submitted to Bank (in each case other than any information solely regarding general market data or general economic data) taken together with all such reports, certificates, and written statements furnished or submitted to Bank contains any untrue statement of a material fact or omits to state a material fact necessary to make the statements contained in such reports, certificates, or statements not misleading in light of the circumstances in which they were made.</w:t>
      </w:r>
    </w:p>
    <w:p>
      <w:pPr>
        <w:spacing w:after="0" w:line="141" w:lineRule="exact"/>
        <w:rPr>
          <w:rFonts w:ascii="Times New Roman" w:cs="Times New Roman" w:eastAsia="Times New Roman" w:hAnsi="Times New Roman"/>
          <w:sz w:val="17"/>
          <w:szCs w:val="17"/>
          <w:b w:val="1"/>
          <w:bCs w:val="1"/>
          <w:color w:val="auto"/>
        </w:rPr>
      </w:pPr>
    </w:p>
    <w:p>
      <w:pPr>
        <w:jc w:val="both"/>
        <w:ind w:left="1220" w:right="1239" w:firstLine="1518"/>
        <w:spacing w:after="0" w:line="238" w:lineRule="auto"/>
        <w:tabs>
          <w:tab w:leader="none" w:pos="3123" w:val="left"/>
        </w:tabs>
        <w:numPr>
          <w:ilvl w:val="1"/>
          <w:numId w:val="7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projections, forecasts and other forward-looking information provided by Borrower have been prepared in good faith and based on reasonable assumptions at the time made (it being recognized by Bank that the projections and forecasts provided by Borrower in good faith and based upon reasonable assumptions are not to be viewed as facts and that actual results during the period or periods covered by any such projections and forecasts may differ from the projected or forecasted results).</w:t>
      </w:r>
    </w:p>
    <w:p>
      <w:pPr>
        <w:spacing w:after="0" w:line="136" w:lineRule="exact"/>
        <w:rPr>
          <w:rFonts w:ascii="Times New Roman" w:cs="Times New Roman" w:eastAsia="Times New Roman" w:hAnsi="Times New Roman"/>
          <w:sz w:val="17"/>
          <w:szCs w:val="17"/>
          <w:b w:val="1"/>
          <w:bCs w:val="1"/>
          <w:color w:val="auto"/>
        </w:rPr>
      </w:pPr>
    </w:p>
    <w:p>
      <w:pPr>
        <w:ind w:left="2060" w:hanging="331"/>
        <w:spacing w:after="0"/>
        <w:tabs>
          <w:tab w:leader="none" w:pos="2060" w:val="left"/>
        </w:tabs>
        <w:numPr>
          <w:ilvl w:val="0"/>
          <w:numId w:val="7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AFFIRMATIVE COVENANTS.</w:t>
      </w:r>
    </w:p>
    <w:p>
      <w:pPr>
        <w:spacing w:after="0" w:line="166" w:lineRule="exact"/>
        <w:rPr>
          <w:sz w:val="20"/>
          <w:szCs w:val="20"/>
          <w:color w:val="auto"/>
        </w:rPr>
      </w:pPr>
    </w:p>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Borrower covenants that, until payment in full of all outstanding Obligations (other than inchoate indemnification or reimbursement obligations for which no claims have been asserted), and for so long as Bank may have any commitment to make a Credit Extension hereunder, Borrower shall do all of the following:</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794" w:name="page795"/>
    <w:bookmarkEnd w:id="794"/>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b w:val="1"/>
          <w:bCs w:val="1"/>
          <w:color w:val="auto"/>
        </w:rPr>
        <w:t>6.1 Good Standing and Government Compliance</w:t>
      </w:r>
      <w:r>
        <w:rPr>
          <w:rFonts w:ascii="Times New Roman" w:cs="Times New Roman" w:eastAsia="Times New Roman" w:hAnsi="Times New Roman"/>
          <w:sz w:val="17"/>
          <w:szCs w:val="17"/>
          <w:color w:val="auto"/>
        </w:rPr>
        <w:t>. Borrower shall maintain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each of its Subsidiaries’ corporate existence and good standing in the respective states of formation, shall maintain qualification and good standing in each other jurisdiction in which the failure to so qualify would reasonably be expected to have a Material Adverse Effect, and shall furnish to Bank the organizational identification number issued to Borrower by the authorities of the state in which Borrower is organized, if applicable. Borrower shall meet, and shall cause each Subsidiary to meet, the minimum funding requirements of ERISA with respect to any employee benefit plans subject to ERISA. Borrower shall comply, and shall cause each Subsidiary to comply, with all statutes, laws, ordinances and government rules and regulations to which it is subject, and shall maintain, and shall cause each of its Subsidiaries to maintain, in force all licenses, approvals and agreements, the loss of which or failure to comply with which would reasonably be expected to have a Material Adverse Effect.</w:t>
      </w:r>
    </w:p>
    <w:p>
      <w:pPr>
        <w:spacing w:after="0" w:line="14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6.2  Financial Statements, Reports, Certificates, Collateral Audits</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left="1220" w:right="1239" w:firstLine="1518"/>
        <w:spacing w:after="0" w:line="248" w:lineRule="auto"/>
        <w:tabs>
          <w:tab w:leader="none" w:pos="3102" w:val="left"/>
        </w:tabs>
        <w:numPr>
          <w:ilvl w:val="0"/>
          <w:numId w:val="70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Borrower shall deliver to Bank: (i) with respect to the first two months in each calendar quarter, as soon as available, but in any event within 30 days after the end of each such calendar month, a company prepared consolidated (and, if prepared, consolidating) balance sheet and income statement, covering Borrower’s consolidated (and, if applicable, consolidating) operations during such period, in a form reasonably acceptable to Bank and certified by a Responsible Officer (provided, that, the form of unaudited financial statements delivered by Borrower to Bank prior to the Closing Date shall be deemed reasonably acceptable to Bank); (ii) as soon as available, but in any event within 45 days after the end of each calendar quarter, a company prepared consolidated (and, if prepared, consolidating) balance sheet, income statement, and statement of cash flows covering Borrower’s consolidated (and, if prepared, consolidating) operations during such quarter, in a form reasonably acceptable to Bank and certified by a Responsible Officer (provided, that, the form of unaudited financial statements delivered by Borrower to Bank prior to the Closing Date shall be deemed reasonably acceptable to Bank); (iii) as soon as available, but in any event within 180 days after the end of Borrower’s fiscal year, audited consolidated (and, if prepared, consolidating) financial statements of Borrower prepared in accordance with GAAP, consistently applied, together with an unqualified (other than any going concern qualification typical for venture-back companies similar to Borrower) opinion on such financial statements from an independent certified public accounting firm reasonably acceptable to Bank (for the avoidance of doubt, any “Big Four” accounting firm shall be acceptable to Bank); (iv) an annual budget (which shall include period-end cash forecasts for each calendar quarter) approved by Borrower’s board of directors as soon as available but not later than the earlier of (A) 10 days following approval by Borrower’s board of directors or (B) 60 days following the end of each fiscal year of Borrower; (v) if applicable, copies of all statements, reports and notices sent or made available generally by Borrower to its security holders or to any holders of Subordinated Debt and all reports on Forms 10-K and 10-Q filed with the Securities and Exchange Commission; (vi) promptly upon receipt of notice thereof, a report of any legal actions, governmental investigations, or proceedings pending or threatened (in writing) against Borrower or any Subsidiary that could reasonably be expected to result in damages or costs to Borrower or any Subsidiary of, individually or in the aggregate, $1,000,000 or more; and (vii) promptly upon receipt, any management letter prepared by Borrower’s independent certified public accounting firm regarding Borrower’s management control systems.</w:t>
      </w: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795" w:name="page796"/>
    <w:bookmarkEnd w:id="795"/>
    <w:p>
      <w:pPr>
        <w:jc w:val="both"/>
        <w:ind w:left="1220" w:right="1239" w:firstLine="1518"/>
        <w:spacing w:after="0" w:line="241" w:lineRule="auto"/>
        <w:tabs>
          <w:tab w:leader="none" w:pos="3081" w:val="left"/>
        </w:tabs>
        <w:numPr>
          <w:ilvl w:val="0"/>
          <w:numId w:val="7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Within (i) 30 days after the end of each calendar month and (ii) 45 days after the end of each calendar quarter, Borrower shall deliver to Bank with the monthly and quarterly financial statements a Compliance Certificate certified as of the last day of the applicable month or quarter and signed by a Responsible Officer.</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1518"/>
        <w:spacing w:after="0" w:line="261" w:lineRule="auto"/>
        <w:tabs>
          <w:tab w:leader="none" w:pos="3081" w:val="left"/>
        </w:tabs>
        <w:numPr>
          <w:ilvl w:val="0"/>
          <w:numId w:val="70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 soon as possible and in any event within 3 Business Days after becoming aware of the occurrence or existence of an Event of Default hereunder, Borrower shall deliver to Bank a written statement of a Responsible Officer setting forth details of the Event of Default, and the action which Borrower has taken or proposes to take with respect thereto.</w:t>
      </w:r>
    </w:p>
    <w:p>
      <w:pPr>
        <w:spacing w:after="0" w:line="124" w:lineRule="exact"/>
        <w:rPr>
          <w:rFonts w:ascii="Times New Roman" w:cs="Times New Roman" w:eastAsia="Times New Roman" w:hAnsi="Times New Roman"/>
          <w:sz w:val="16"/>
          <w:szCs w:val="16"/>
          <w:b w:val="1"/>
          <w:bCs w:val="1"/>
          <w:color w:val="auto"/>
        </w:rPr>
      </w:pPr>
    </w:p>
    <w:p>
      <w:pPr>
        <w:jc w:val="both"/>
        <w:ind w:left="1220" w:right="1239" w:firstLine="1518"/>
        <w:spacing w:after="0" w:line="239" w:lineRule="auto"/>
        <w:tabs>
          <w:tab w:leader="none" w:pos="3112" w:val="left"/>
        </w:tabs>
        <w:numPr>
          <w:ilvl w:val="0"/>
          <w:numId w:val="7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immediately, upon the occurrence of any event, condition, development, action, circumstance, or other occurrence that, in each case could reasonably be expected to result in a Material Adverse Effect, provide notice thereof to Bank. Such notice shall describe in detail the nature of such event, condition, development, action, or other occurrence.</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518"/>
        <w:spacing w:after="0" w:line="238" w:lineRule="auto"/>
        <w:tabs>
          <w:tab w:leader="none" w:pos="3091" w:val="left"/>
        </w:tabs>
        <w:numPr>
          <w:ilvl w:val="0"/>
          <w:numId w:val="7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Bank (through any of its officers, employees, or agents) shall have the right, upon reasonable prior notice, from time to time during Borrower’s usual business hours but no more than once a year (unless an Event of Default has occurred and is continuing), to inspect Borrower’s Books and to make copies thereof and to check, test, inspect, audit and appraise the Collateral at Borrower’s expense in order to verify Borrower’s financial condition or the amount, condition of, or any other matter relating to, the Collateral.</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518"/>
        <w:spacing w:after="0" w:line="236" w:lineRule="auto"/>
        <w:tabs>
          <w:tab w:leader="none" w:pos="3081" w:val="left"/>
        </w:tabs>
        <w:numPr>
          <w:ilvl w:val="0"/>
          <w:numId w:val="7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Borrower shall promptly, following Bank’s request, deliver to Bank such budgets, projections, operating plans, or other information (whether financial, operational, relating to sale processes or liquidity events, or otherwise) as Bank may request from time to time. Any failure of Borrower to timely provide any such requested information shall constitute an Event of Default under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of the Agreement, and any willful or intentional withholding of such information shall give rise to such inferences with respect to the withholding of such information and the content of such information had it been timely provided, as Bank may determine in its sole and absolute discretion.</w:t>
      </w:r>
    </w:p>
    <w:p>
      <w:pPr>
        <w:spacing w:after="0" w:line="144" w:lineRule="exact"/>
        <w:rPr>
          <w:sz w:val="20"/>
          <w:szCs w:val="20"/>
          <w:color w:val="auto"/>
        </w:rPr>
      </w:pPr>
    </w:p>
    <w:p>
      <w:pPr>
        <w:jc w:val="both"/>
        <w:ind w:left="1220" w:right="1239" w:firstLine="505"/>
        <w:spacing w:after="0" w:line="239" w:lineRule="auto"/>
        <w:rPr>
          <w:sz w:val="20"/>
          <w:szCs w:val="20"/>
          <w:color w:val="auto"/>
        </w:rPr>
      </w:pPr>
      <w:r>
        <w:rPr>
          <w:rFonts w:ascii="Times New Roman" w:cs="Times New Roman" w:eastAsia="Times New Roman" w:hAnsi="Times New Roman"/>
          <w:sz w:val="17"/>
          <w:szCs w:val="17"/>
          <w:color w:val="auto"/>
        </w:rPr>
        <w:t xml:space="preserve">Borrower may deliver to Bank on an electronic basis any certificates, reports, requests, or information required pursuant to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and Bank shall be entitled to rely on the information contained in the electronic files, provided that Bank in good faith believes that the files were delivered by, or on behalf of, a Responsible Officer. Borrower shall include a submission date on any certificates, statements, and reports to be delivered electronically.</w:t>
      </w:r>
    </w:p>
    <w:p>
      <w:pPr>
        <w:spacing w:after="0" w:line="141" w:lineRule="exact"/>
        <w:rPr>
          <w:sz w:val="20"/>
          <w:szCs w:val="20"/>
          <w:color w:val="auto"/>
        </w:rPr>
      </w:pPr>
    </w:p>
    <w:p>
      <w:pPr>
        <w:jc w:val="both"/>
        <w:ind w:left="1220" w:right="1239" w:firstLine="505"/>
        <w:spacing w:after="0" w:line="235" w:lineRule="auto"/>
        <w:rPr>
          <w:sz w:val="20"/>
          <w:szCs w:val="20"/>
          <w:color w:val="auto"/>
        </w:rPr>
      </w:pPr>
      <w:r>
        <w:rPr>
          <w:rFonts w:ascii="Times New Roman" w:cs="Times New Roman" w:eastAsia="Times New Roman" w:hAnsi="Times New Roman"/>
          <w:sz w:val="17"/>
          <w:szCs w:val="17"/>
          <w:color w:val="auto"/>
        </w:rPr>
        <w:t xml:space="preserve">Any submission by Borrower of a Compliance Certificate, or other financial statement pursuant to this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or otherwise submitted to Bank shall be deemed to be a representation by Borrower that (i) as of the date of such Compliance Certificate, financial statement, or request, the information and calculations set forth therein are true, accurate and correct, (ii) as of the end of the compliance period set forth in such submission, Borrower is in complete compliance with all required covenants except as noted in such Compliance Certificate, or financial statement, as applicable; (iii) as of the date of such submission, no Events of Default have occurred or are continuing; and (iv) all representations and warranties other than any representations or warranties that are made as of a specific date in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remain true and correct in all material respects as</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796" w:name="page797"/>
    <w:bookmarkEnd w:id="796"/>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of the date of such submission except as noted in such Compliance Certificate, financial statement, or request, as applicable.</w:t>
      </w:r>
    </w:p>
    <w:p>
      <w:pPr>
        <w:spacing w:after="0" w:line="121"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b w:val="1"/>
          <w:bCs w:val="1"/>
          <w:color w:val="auto"/>
        </w:rPr>
        <w:t>6.3 Inventory and Equipment; Returns</w:t>
      </w:r>
      <w:r>
        <w:rPr>
          <w:rFonts w:ascii="Times New Roman" w:cs="Times New Roman" w:eastAsia="Times New Roman" w:hAnsi="Times New Roman"/>
          <w:sz w:val="17"/>
          <w:szCs w:val="17"/>
          <w:color w:val="auto"/>
        </w:rPr>
        <w:t>. Borrower shall keep all Inventory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Equipment in good and merchantable condition, free from all material defects (ordinary wear and tear excepted) except for Inventory and Equipment (i) sold or disposed of (subject to the limitations in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in the ordinary course of business, and (ii) for which adequate reserves have been made, in all cases in the United States; provided, that, Borrower may maintain assets, including Inventory and Equipment, outside the United States (x) consisting of pharmaceutical drug substances and related assets or (y) otherwise, with an aggregate value for all such locations where such other Inventory and Equipment is held not exceeding $250,000. Returns and allowances, if any, as between Borrower and its account debtors shall be on the same basis and in accordance with the usual customary practices of Borrower, as they exist on the Closing Date. Borrower shall promptly notify Bank of all returns and recoveries and of all disputes and claims involving inventory having a book value of more than $250,000.</w:t>
      </w:r>
    </w:p>
    <w:p>
      <w:pPr>
        <w:spacing w:after="0" w:line="142"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6.4 Taxes </w:t>
      </w:r>
      <w:r>
        <w:rPr>
          <w:rFonts w:ascii="Times New Roman" w:cs="Times New Roman" w:eastAsia="Times New Roman" w:hAnsi="Times New Roman"/>
          <w:sz w:val="17"/>
          <w:szCs w:val="17"/>
          <w:color w:val="auto"/>
        </w:rPr>
        <w:t>. Borrower shall make, and cause each Subsidiary to make, due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timely payment or deposit of all material federal, state, and local taxes, assessments, or contributions required of it by law, including, but not limited to, those laws concerning income taxes, F.I.C.A., F.U.T.A. and state disability, and will execute and deliver to Bank, on demand, proof reasonably satisfactory to Bank indicating that Borrower or a Subsidiary has made such payments or deposits and any appropriate certificates attesting to the payment or deposit thereof; provided that Borrower or a Subsidiary need not make (i) any payment if the amount or validity of such payment is contested in good faith by appropriate proceedings and is reserved against (to the extent required by GAAP) by Borrower or such Subsidiary or (ii) any such payments in an aggregate amount not exceeding $100,000.</w:t>
      </w:r>
    </w:p>
    <w:p>
      <w:pPr>
        <w:spacing w:after="0" w:line="138"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b w:val="1"/>
          <w:bCs w:val="1"/>
          <w:color w:val="auto"/>
        </w:rPr>
        <w:t xml:space="preserve">6.5 Insurance </w:t>
      </w:r>
      <w:r>
        <w:rPr>
          <w:rFonts w:ascii="Times New Roman" w:cs="Times New Roman" w:eastAsia="Times New Roman" w:hAnsi="Times New Roman"/>
          <w:sz w:val="17"/>
          <w:szCs w:val="17"/>
          <w:color w:val="auto"/>
        </w:rPr>
        <w:t>. Borrower, at its expense, shall (i) keep the Collateral insured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against loss or damage, and (ii) maintain liability and other insurance, in each case as ordinarily insured against by other owners in businesses similar to Borrower’s. All such policies of insurance shall be in such form, with such companies, and in such amounts as reasonably satisfactory to Bank; provided, that, forms, companies and scope of coverage consistent with those insurance policies held by Borrower as of the Closing Date shall be deemed to be reasonably acceptable to Bank as of the Closing Date. Within 30 days of the Closing Date, all policies of property insurance shall contain a lender’s loss payable endorsement, in a form satisfactory to Bank, showing Bank as lender’s loss payee. Within 30 days of the Closing Date, all liability insurance policies shall show, or have endorsements showing, Bank as an additional insured. Any such insurance policies shall specify that the insurer must give at least 30 days’ notice to Bank before canceling its policy for any reason (or 10 days’ notice for cancellation due to non-payment of premium). Within 30 days of the Closing Date, Borrower shall cause to be furnished to Bank a copy of its policies of insurance including any endorsements covering Bank or showing Bank as an additional insured and as lender’s loss payee. Upon Bank’s request, Borrower shall deliver to Bank copies of the policies of insurance, evidence of all premium payments, and evidence of the renewal of any and all insurance policies. Proceeds payable under any casualty policy will, at Borrower’s option, be payable to Borrower to replace the property subject to the claim, provided that any such replacement property shall be deemed Collateral in which Bank has been granted a first priority (subject to Permitted Liens) security interest, provided further that if an Event of Default has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797" w:name="page798"/>
    <w:bookmarkEnd w:id="797"/>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occurred and is continuing, all proceeds payable under any such policy shall, at Bank’s option, be payable to Bank to be applied on account of the Obligations.</w:t>
      </w:r>
    </w:p>
    <w:p>
      <w:pPr>
        <w:spacing w:after="0" w:line="12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6.6  Accounts</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jc w:val="both"/>
        <w:ind w:left="1220" w:right="1239" w:firstLine="1518"/>
        <w:spacing w:after="0" w:line="234" w:lineRule="auto"/>
        <w:tabs>
          <w:tab w:leader="none" w:pos="3070" w:val="left"/>
        </w:tabs>
        <w:numPr>
          <w:ilvl w:val="0"/>
          <w:numId w:val="7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Subject to the provisions of </w:t>
      </w:r>
      <w:r>
        <w:rPr>
          <w:rFonts w:ascii="Times New Roman" w:cs="Times New Roman" w:eastAsia="Times New Roman" w:hAnsi="Times New Roman"/>
          <w:sz w:val="17"/>
          <w:szCs w:val="17"/>
          <w:u w:val="single" w:color="auto"/>
          <w:color w:val="auto"/>
        </w:rPr>
        <w:t>Section 3.1(k)</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3.2(b)</w:t>
      </w:r>
      <w:r>
        <w:rPr>
          <w:rFonts w:ascii="Times New Roman" w:cs="Times New Roman" w:eastAsia="Times New Roman" w:hAnsi="Times New Roman"/>
          <w:sz w:val="17"/>
          <w:szCs w:val="17"/>
          <w:color w:val="auto"/>
        </w:rPr>
        <w:t xml:space="preserve">, at all times (i) prior to the date that is 90 days from the Closing Date, Borrower shall maintain, and shall cause its Subsidiaries to maintain, depository accounts with Bank holding an aggregate amount of Cash equal to at least $30,000,000 and (ii) on and after the date that is 90 days from the Closing Date, Borrower shall maintain, and, to the extent necessary to satisfy the Cash threshold set forth in this sentence, shall cause its Subsidiaries to maintain, all primary depository and operating accounts and investment accounts with Bank (DDA, MMA or 100% FDIC-insured cash sweep accounts), which accounts shall at all times hold an aggregate amount of Cash equal at least to the lesser of (A) $90,000,000 and (B) 75% of the aggregate amount of Borrower’s and its Subsidiaries’ Cash maintained with all financial institutions. In addition to and without limiting the foregoing, on and after the date that is 90 days from the Closing Date, at any time that the aggregate amount of Cash maintained by Borrower and its Subsidiaries in accounts with Bank is less than $90,000,000, Australian Subsidiary may not hold Cash in an aggregate amount greater than $2,500,000. Prior to Borrower maintaining any account with a financial institution other than Bank (other than Excluded Accounts), Borrower, Bank, and any such financial institution shall have entered into an account control agreement with respect to any such account, in form and substance reasonably satisfactory to Bank; provided, however, that Borrower will have until the date that is 60 days from the Closing Date to deliver the control agreements described in </w:t>
      </w:r>
      <w:r>
        <w:rPr>
          <w:rFonts w:ascii="Times New Roman" w:cs="Times New Roman" w:eastAsia="Times New Roman" w:hAnsi="Times New Roman"/>
          <w:sz w:val="17"/>
          <w:szCs w:val="17"/>
          <w:u w:val="single" w:color="auto"/>
          <w:color w:val="auto"/>
        </w:rPr>
        <w:t>Section 6.11(b)</w:t>
      </w:r>
      <w:r>
        <w:rPr>
          <w:rFonts w:ascii="Times New Roman" w:cs="Times New Roman" w:eastAsia="Times New Roman" w:hAnsi="Times New Roman"/>
          <w:sz w:val="17"/>
          <w:szCs w:val="17"/>
          <w:color w:val="auto"/>
        </w:rPr>
        <w:t>.</w:t>
      </w:r>
    </w:p>
    <w:p>
      <w:pPr>
        <w:spacing w:after="0" w:line="121" w:lineRule="exact"/>
        <w:rPr>
          <w:rFonts w:ascii="Times New Roman" w:cs="Times New Roman" w:eastAsia="Times New Roman" w:hAnsi="Times New Roman"/>
          <w:sz w:val="17"/>
          <w:szCs w:val="17"/>
          <w:b w:val="1"/>
          <w:bCs w:val="1"/>
          <w:color w:val="auto"/>
        </w:rPr>
      </w:pPr>
    </w:p>
    <w:p>
      <w:pPr>
        <w:jc w:val="both"/>
        <w:ind w:left="1220" w:right="1239" w:firstLine="1518"/>
        <w:spacing w:after="0" w:line="235" w:lineRule="auto"/>
        <w:tabs>
          <w:tab w:leader="none" w:pos="3070" w:val="left"/>
        </w:tabs>
        <w:numPr>
          <w:ilvl w:val="0"/>
          <w:numId w:val="7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Notwithstanding the terms of clause (a) above, MSC Subsidiary may maintain any Cash of MSC Subsidiary in accounts outside of Bank provided that (i) such accounts are not subject to a control agreement in favor of any Person and (ii) if at any time the aggregate amount of Cash maintained by Borrower in depository and operating accounts with Bank shall be less than 105% of the outstanding principal amount of all Term Loans, (A) Borrower shall cause MSC Subsidiary to transfer all Cash maintained in accounts of MSC Subsidiary to accounts of Borrower maintained with Bank and (B) MSC Subsidiary may not hold any cash, investments or other property until such time as the aggregate amount of Cash maintained by Borrower in depository and operating accounts with Bank is equal to at least 105% of the outstanding principal amount of all Term Loans.</w:t>
      </w:r>
    </w:p>
    <w:p>
      <w:pPr>
        <w:spacing w:after="0" w:line="114" w:lineRule="exact"/>
        <w:rPr>
          <w:rFonts w:ascii="Times New Roman" w:cs="Times New Roman" w:eastAsia="Times New Roman" w:hAnsi="Times New Roman"/>
          <w:sz w:val="17"/>
          <w:szCs w:val="17"/>
          <w:b w:val="1"/>
          <w:bCs w:val="1"/>
          <w:color w:val="auto"/>
        </w:rPr>
      </w:pPr>
    </w:p>
    <w:p>
      <w:pPr>
        <w:jc w:val="both"/>
        <w:ind w:left="1220" w:right="1239" w:firstLine="1518"/>
        <w:spacing w:after="0" w:line="236" w:lineRule="auto"/>
        <w:tabs>
          <w:tab w:leader="none" w:pos="3070" w:val="left"/>
        </w:tabs>
        <w:numPr>
          <w:ilvl w:val="0"/>
          <w:numId w:val="7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addition to, and without limiting the foregoing, except as permitted pursuant to clause (h) of the definition of Permitted Indebtedness, (i) at all times on and after the date that is 90 days from the Closing Date, Borrower shall maintain all credit card and foreign exchange services with Bank and (ii) at all times on and after the date that is 1 year from the Closing Date, Borrower shall maintain all letter of credit services with Bank (provided that any letter of credit maintained outside of Bank that expires or otherwise comes up for renewal prior to the date that is 1 year from the Closing Date may not be renewed or replaced and must be moved to Bank).</w:t>
      </w:r>
    </w:p>
    <w:p>
      <w:pPr>
        <w:spacing w:after="0" w:line="140"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6.7 Protection of Intellectual Property Rights </w:t>
      </w:r>
      <w:r>
        <w:rPr>
          <w:rFonts w:ascii="Times New Roman" w:cs="Times New Roman" w:eastAsia="Times New Roman" w:hAnsi="Times New Roman"/>
          <w:sz w:val="17"/>
          <w:szCs w:val="17"/>
          <w:color w:val="auto"/>
        </w:rPr>
        <w:t>. Borrower shall use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commercially reasonable efforts (i) protect, defend and maintain the validity and enforceability of its trade secrets, trademarks, patents, and copyrights, (ii) detect infringements of its trademarks, patents, and copyrights and promptly advise Bank in writing of material infringements detected</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798" w:name="page799"/>
    <w:bookmarkEnd w:id="798"/>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and (iii) not allow any of its material trademarks, patents or copyrights to be abandoned, forfeited or dedicated to the public without the written consent of Bank, which shall not be unreasonably withheld.</w:t>
      </w:r>
    </w:p>
    <w:p>
      <w:pPr>
        <w:spacing w:after="0" w:line="99" w:lineRule="exact"/>
        <w:rPr>
          <w:sz w:val="20"/>
          <w:szCs w:val="20"/>
          <w:color w:val="auto"/>
        </w:rPr>
      </w:pPr>
    </w:p>
    <w:p>
      <w:pPr>
        <w:jc w:val="both"/>
        <w:ind w:left="1220" w:right="1239" w:firstLine="1009"/>
        <w:spacing w:after="0" w:line="256" w:lineRule="auto"/>
        <w:rPr>
          <w:sz w:val="20"/>
          <w:szCs w:val="20"/>
          <w:color w:val="auto"/>
        </w:rPr>
      </w:pPr>
      <w:r>
        <w:rPr>
          <w:rFonts w:ascii="Times New Roman" w:cs="Times New Roman" w:eastAsia="Times New Roman" w:hAnsi="Times New Roman"/>
          <w:sz w:val="16"/>
          <w:szCs w:val="16"/>
          <w:b w:val="1"/>
          <w:bCs w:val="1"/>
          <w:color w:val="auto"/>
        </w:rPr>
        <w:t xml:space="preserve">6.8 Consent of Inbound Licensors </w:t>
      </w:r>
      <w:r>
        <w:rPr>
          <w:rFonts w:ascii="Times New Roman" w:cs="Times New Roman" w:eastAsia="Times New Roman" w:hAnsi="Times New Roman"/>
          <w:sz w:val="16"/>
          <w:szCs w:val="16"/>
          <w:color w:val="auto"/>
        </w:rPr>
        <w:t>. Prior to entering into or becoming bound by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any material inbound license or similar agreement (other than off-the shelf, shrink-wrapped or “click to accept” software licenses that are commercially available to the public), Borrower shall:</w:t>
      </w:r>
    </w:p>
    <w:p>
      <w:pPr>
        <w:spacing w:after="0" w:line="1" w:lineRule="exact"/>
        <w:rPr>
          <w:sz w:val="20"/>
          <w:szCs w:val="20"/>
          <w:color w:val="auto"/>
        </w:rPr>
      </w:pPr>
    </w:p>
    <w:p>
      <w:pPr>
        <w:jc w:val="both"/>
        <w:ind w:left="1220" w:right="1239" w:firstLine="4"/>
        <w:spacing w:after="0" w:line="234" w:lineRule="auto"/>
        <w:tabs>
          <w:tab w:leader="none" w:pos="1429" w:val="left"/>
        </w:tabs>
        <w:numPr>
          <w:ilvl w:val="0"/>
          <w:numId w:val="7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written notice to Bank of the material terms of such license or agreement; and (ii) in good faith use commercially reasonable efforts to obtain the consent of, or waiver by, any Person whose consent or waiver is necessary for Borrower’s interest in such licenses or contract rights to be deemed Collateral and for Bank to have a security interest in it that might otherwise be restricted by the terms of the applicable license or agreement, whether now existing or entered into in the future, provided, however, that the failure to obtain any such consent or waiver shall not constitute a default or Event of Default under this Agreement.</w:t>
      </w:r>
    </w:p>
    <w:p>
      <w:pPr>
        <w:spacing w:after="0" w:line="116"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6.9 Creation/Acquisition of Subsidiaries. </w:t>
      </w:r>
      <w:r>
        <w:rPr>
          <w:rFonts w:ascii="Times New Roman" w:cs="Times New Roman" w:eastAsia="Times New Roman" w:hAnsi="Times New Roman"/>
          <w:sz w:val="17"/>
          <w:szCs w:val="17"/>
          <w:color w:val="auto"/>
        </w:rPr>
        <w:t>In the event that Borrower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Subsidiary of Borrower creates or acquires any Subsidiary, Borrower or such Subsidiary shall promptly notify Bank of such creation or acquisition, and Borrower or such Subsidiary shall take, no later than 30 days following the date of such request, all actions reasonably requested by Bank to achieve any of the following with respect to such “</w:t>
      </w:r>
      <w:r>
        <w:rPr>
          <w:rFonts w:ascii="Times New Roman" w:cs="Times New Roman" w:eastAsia="Times New Roman" w:hAnsi="Times New Roman"/>
          <w:sz w:val="17"/>
          <w:szCs w:val="17"/>
          <w:b w:val="1"/>
          <w:bCs w:val="1"/>
          <w:i w:val="1"/>
          <w:iCs w:val="1"/>
          <w:color w:val="auto"/>
        </w:rPr>
        <w:t>New Subsidiary</w:t>
      </w:r>
      <w:r>
        <w:rPr>
          <w:rFonts w:ascii="Times New Roman" w:cs="Times New Roman" w:eastAsia="Times New Roman" w:hAnsi="Times New Roman"/>
          <w:sz w:val="17"/>
          <w:szCs w:val="17"/>
          <w:color w:val="auto"/>
        </w:rPr>
        <w:t>” (defined as a Subsidiary formed after the date hereof during the term of this Agreement): (i) to cause such New Subsidiary to become either (A) a co-borrower hereunder, if such New Subsidiary is organized under the laws of the United States, or (B) a Secured Guarantor with respect to the Obligations, if such New Subsidiary is not organized under the laws of the United States; and (ii) to grant and pledge to Bank a perfected security interest in 100% of the stock, units or other evidence of ownership constituting Collateral held by Borrower or its Subsidiaries of any such New Subsidiary.</w:t>
      </w:r>
    </w:p>
    <w:p>
      <w:pPr>
        <w:spacing w:after="0" w:line="110"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6.10 Further Assurances </w:t>
      </w:r>
      <w:r>
        <w:rPr>
          <w:rFonts w:ascii="Times New Roman" w:cs="Times New Roman" w:eastAsia="Times New Roman" w:hAnsi="Times New Roman"/>
          <w:sz w:val="17"/>
          <w:szCs w:val="17"/>
          <w:color w:val="auto"/>
        </w:rPr>
        <w:t>. At any time and from time to time Borrower shall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execute and deliver such further instruments and take such further action as may reasonably be requested by Bank to effect the purposes of this Agreement.</w:t>
      </w:r>
    </w:p>
    <w:p>
      <w:pPr>
        <w:spacing w:after="0" w:line="98"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b w:val="1"/>
          <w:bCs w:val="1"/>
          <w:color w:val="auto"/>
        </w:rPr>
        <w:t>6.11 Post-Closing Conditions</w:t>
      </w:r>
      <w:r>
        <w:rPr>
          <w:rFonts w:ascii="Times New Roman" w:cs="Times New Roman" w:eastAsia="Times New Roman" w:hAnsi="Times New Roman"/>
          <w:sz w:val="17"/>
          <w:szCs w:val="17"/>
          <w:color w:val="auto"/>
        </w:rPr>
        <w:t>. Borrower shall deliver to Bank, each in form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substance satisfactory to Bank, no later than the date that is 60 days from the Closing Date, (a) a bailee waiver in favor of Bank for each location where Borrower maintains Collateral with an aggregate book value in excess of $1,000,000 with a third party, duly executed by Borrower and each such third party and (b) duly-executed control agreements in favor of Bank with respect to Borrower’s accounts (other than Excluded Accounts) maintained with (i) Silicon Valley Bank,</w:t>
      </w:r>
    </w:p>
    <w:p>
      <w:pPr>
        <w:spacing w:after="0" w:line="4" w:lineRule="exact"/>
        <w:rPr>
          <w:sz w:val="20"/>
          <w:szCs w:val="20"/>
          <w:color w:val="auto"/>
        </w:rPr>
      </w:pPr>
    </w:p>
    <w:p>
      <w:pPr>
        <w:ind w:left="1480" w:hanging="256"/>
        <w:spacing w:after="0"/>
        <w:tabs>
          <w:tab w:leader="none" w:pos="1480" w:val="left"/>
        </w:tabs>
        <w:numPr>
          <w:ilvl w:val="0"/>
          <w:numId w:val="7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JPMorgan Chase, (iii) Wells Fargo and (iv) US Bank.</w:t>
      </w:r>
    </w:p>
    <w:p>
      <w:pPr>
        <w:spacing w:after="0" w:line="129" w:lineRule="exact"/>
        <w:rPr>
          <w:rFonts w:ascii="Times New Roman" w:cs="Times New Roman" w:eastAsia="Times New Roman" w:hAnsi="Times New Roman"/>
          <w:sz w:val="17"/>
          <w:szCs w:val="17"/>
          <w:color w:val="auto"/>
        </w:rPr>
      </w:pPr>
    </w:p>
    <w:p>
      <w:pPr>
        <w:ind w:left="2060" w:hanging="331"/>
        <w:spacing w:after="0"/>
        <w:tabs>
          <w:tab w:leader="none" w:pos="2060" w:val="left"/>
        </w:tabs>
        <w:numPr>
          <w:ilvl w:val="1"/>
          <w:numId w:val="7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NEGATIVE COVENANTS.</w:t>
      </w:r>
    </w:p>
    <w:p>
      <w:pPr>
        <w:spacing w:after="0" w:line="155" w:lineRule="exact"/>
        <w:rPr>
          <w:sz w:val="20"/>
          <w:szCs w:val="20"/>
          <w:color w:val="auto"/>
        </w:rPr>
      </w:pPr>
    </w:p>
    <w:p>
      <w:pPr>
        <w:jc w:val="both"/>
        <w:ind w:left="1220" w:right="1239" w:firstLine="505"/>
        <w:spacing w:after="0" w:line="257" w:lineRule="auto"/>
        <w:rPr>
          <w:sz w:val="20"/>
          <w:szCs w:val="20"/>
          <w:color w:val="auto"/>
        </w:rPr>
      </w:pPr>
      <w:r>
        <w:rPr>
          <w:rFonts w:ascii="Times New Roman" w:cs="Times New Roman" w:eastAsia="Times New Roman" w:hAnsi="Times New Roman"/>
          <w:sz w:val="16"/>
          <w:szCs w:val="16"/>
          <w:color w:val="auto"/>
        </w:rPr>
        <w:t>Borrower covenants and agrees that, for so long as any credit hereunder shall be available and until the outstanding Obligations (other than inchoate indemnification or reimbursement obligations for which no claims have been asserted) are paid in full or for so long as Bank may have any commitment to make any Credit Extensions, Borrower will not do any of the following without Bank’s prior written consent, which shall not be unreasonably withheld:</w:t>
      </w: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799" w:name="page800"/>
    <w:bookmarkEnd w:id="799"/>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7.1 Dispositions</w:t>
      </w:r>
      <w:r>
        <w:rPr>
          <w:rFonts w:ascii="Times New Roman" w:cs="Times New Roman" w:eastAsia="Times New Roman" w:hAnsi="Times New Roman"/>
          <w:sz w:val="17"/>
          <w:szCs w:val="17"/>
          <w:color w:val="auto"/>
        </w:rPr>
        <w:t>. Convey, sell, lease, license, transfer, or otherwise dispose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(collectively, to “Transfer”), or permit any of its Subsidiaries to Transfer, all or any part of its business or property, or move cash balances on deposit with Bank to accounts opened at another financial institution (other than accounts permitted by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other than Permitted Transfers.</w:t>
      </w:r>
    </w:p>
    <w:p>
      <w:pPr>
        <w:spacing w:after="0" w:line="116"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6"/>
          <w:szCs w:val="16"/>
          <w:b w:val="1"/>
          <w:bCs w:val="1"/>
          <w:color w:val="auto"/>
        </w:rPr>
        <w:t xml:space="preserve">7.2 </w:t>
      </w:r>
      <w:r>
        <w:rPr>
          <w:rFonts w:ascii="Times New Roman" w:cs="Times New Roman" w:eastAsia="Times New Roman" w:hAnsi="Times New Roman"/>
          <w:sz w:val="16"/>
          <w:szCs w:val="16"/>
          <w:color w:val="auto"/>
        </w:rPr>
        <w:t>Change in Name, Location, Executive Office, or Executive Management;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Change in Business; Change in Fiscal Year; Change in Control. Change its name or the state of Borrower’s formation or relocate its chief executive office without 10 days prior written notification to Bank; replace or suffer the departure of its chief executive officer or chief financial officer without delivering written notification to Bank within 15 days; fail to appoint an interim replacement or fill a vacancy in the position of chief executive officer or chief financial officer for more than 30 consecutive days; prior to the sale or issuance of Borrower’s equity securities in connection with an initial public offering, suffer a change on its board of directors which results in the failure of at least two partners of any of Novo Ventures, F-Prime Capital, Norwest Venture Partners, Suvretta Capital Management, or Perceptive Advisors (or one partner from any two of the foregoing Persons) to serve as a voting member (other than any resignation by a director that is replaced within 30 days by a representative of the same institution), or suffer the resignation of a majority of the directors in anticipation of an Insolvency Proceeding, cessation of business, or a Change in Control (other than a Change in Control pursuant to which the Obligations (other than inchoate indemnification or reimbursement obligations for which no claims have been asserted) will be repaid in full and this Agreement terminated concurrently with the closing of such Change in Control), in any such case without the prior written consent of Bank which may be withheld in Bank’s reasonable discretion; take action to liquidate, wind up, or otherwise cease to conduct business in the ordinary course; engage in any business, or permit any of its Subsidiaries to engage in any business, other than as reasonably related, ancillary or incidental to the businesses currently engaged in by Borrower, or, with respect to any Subsidiary that is not a Borrower, engaged in by Borrower or such Subsidiary; change its fiscal year end; convert to another form of incorporated or unincorporated business or entity without at least 10 days’ prior written notice to Bank; have a Change in Control; or Divide.</w:t>
      </w:r>
    </w:p>
    <w:p>
      <w:pPr>
        <w:spacing w:after="0" w:line="305"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b w:val="1"/>
          <w:bCs w:val="1"/>
          <w:color w:val="auto"/>
        </w:rPr>
        <w:t xml:space="preserve">7.3 Mergers or Acquisitions </w:t>
      </w:r>
      <w:r>
        <w:rPr>
          <w:rFonts w:ascii="Times New Roman" w:cs="Times New Roman" w:eastAsia="Times New Roman" w:hAnsi="Times New Roman"/>
          <w:sz w:val="17"/>
          <w:szCs w:val="17"/>
          <w:color w:val="auto"/>
        </w:rPr>
        <w:t>. Merge or consolidate, or permit any of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Subsidiaries to merge or consolidate, with or into any other business organization (other than mergers or consolidations of a Subsidiary into another Subsidiary or into Borrower or a Borrower into another Borrower), or acquire, or permit any of its Subsidiaries to acquire, all or substantially all of the capital stock or property of another Person, or a division, line of business, or business unit of another Person, in each case except where (a) each of the following conditions is applicable: (i) the consideration paid in connection with such transactions (including assumption of liabilities) does not in the aggregate exceed $250,000 during any fiscal year, (ii) no Event of Default has occurred, is continuing or would exist after giving effect to such transactions, (iii) such transactions do not result in a Change in Control, and (iv) to the extent Borrower is a party to such transaction, Borrower is the surviving entity; (b) Borrower provides notice of such proposed transaction at least 10 Business Days prior to the consummation thereof and Bank consents to such transaction in its sole and absolute discretion, or (c) the Obligations (other than inchoate indemnification or reimbursement obligations for which no claims have been asserted) are repaid in full and this Agreement is terminated concurrently with the closing of any merger or consolidation of Borrower in which Borrower is not the surviving entity. Borrower shall not, without Bank’s prior written consent, enter into any binding contractual arrangement with any investment banker, business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61" w:right="1440" w:bottom="1440" w:gutter="0" w:footer="0" w:header="0"/>
        </w:sectPr>
      </w:pPr>
    </w:p>
    <w:bookmarkStart w:id="800" w:name="page801"/>
    <w:bookmarkEnd w:id="800"/>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broker, or similar Person to attempt to facilitate a merger or acquisition of Borrower or Borrower’s assets (any such agreement, an “Investment Banker Agreement”); unless Borrower notifies Bank upon or prior to entering into such an Investment Banker Agreement and provides a copy of such Investment Banker Agreement; provided, that, if an Event of Default shall have occurred and be continuing, Borrower shall notify Bank in advance of entering into such an Investment Banker Agreement and provide a copy of the Investment Banker Agreement to Bank at least 3 Business Days prior to entering into such Investment Banker Agreement.</w:t>
      </w:r>
    </w:p>
    <w:p>
      <w:pPr>
        <w:spacing w:after="0" w:line="137"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7.4 Indebtedness</w:t>
      </w:r>
      <w:r>
        <w:rPr>
          <w:rFonts w:ascii="Times New Roman" w:cs="Times New Roman" w:eastAsia="Times New Roman" w:hAnsi="Times New Roman"/>
          <w:sz w:val="17"/>
          <w:szCs w:val="17"/>
          <w:color w:val="auto"/>
        </w:rPr>
        <w:t>. Create, incur, assume, guarantee or be or remain liable with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respect to any Indebtedness, or permit any Subsidiary so to do, other than Permitted Indebtedness.</w:t>
      </w:r>
    </w:p>
    <w:p>
      <w:pPr>
        <w:spacing w:after="0" w:line="130"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b w:val="1"/>
          <w:bCs w:val="1"/>
          <w:color w:val="auto"/>
        </w:rPr>
        <w:t>7.5 Encumbrances</w:t>
      </w:r>
      <w:r>
        <w:rPr>
          <w:rFonts w:ascii="Times New Roman" w:cs="Times New Roman" w:eastAsia="Times New Roman" w:hAnsi="Times New Roman"/>
          <w:sz w:val="17"/>
          <w:szCs w:val="17"/>
          <w:color w:val="auto"/>
        </w:rPr>
        <w:t>. Create, incur, assume or allow any Lien with respect to its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property, or assign or otherwise convey any right to receive income or permit any of its Subsidiaries so to do, except for Permitted Liens, or covenant to any other Person (other than (i) the licensors of in-licensed property with respect to such property, (ii) the lessors of specific equipment or lenders financing specific equipment with respect to such leased or financed equipment and (iii) customary restrictions on the assignment of leases, licenses or other agreements) that Borrower in the future will refrain from creating, incurring, assuming or allowing any Lien with respect to any of Borrower’s property.</w:t>
      </w:r>
    </w:p>
    <w:p>
      <w:pPr>
        <w:spacing w:after="0" w:line="138" w:lineRule="exact"/>
        <w:rPr>
          <w:sz w:val="20"/>
          <w:szCs w:val="20"/>
          <w:color w:val="auto"/>
        </w:rPr>
      </w:pPr>
    </w:p>
    <w:p>
      <w:pPr>
        <w:jc w:val="both"/>
        <w:ind w:left="1220" w:right="1239" w:firstLine="1009"/>
        <w:spacing w:after="0" w:line="249" w:lineRule="auto"/>
        <w:rPr>
          <w:sz w:val="20"/>
          <w:szCs w:val="20"/>
          <w:color w:val="auto"/>
        </w:rPr>
      </w:pPr>
      <w:r>
        <w:rPr>
          <w:rFonts w:ascii="Times New Roman" w:cs="Times New Roman" w:eastAsia="Times New Roman" w:hAnsi="Times New Roman"/>
          <w:sz w:val="16"/>
          <w:szCs w:val="16"/>
          <w:b w:val="1"/>
          <w:bCs w:val="1"/>
          <w:color w:val="auto"/>
        </w:rPr>
        <w:t>7.6 Distributions</w:t>
      </w:r>
      <w:r>
        <w:rPr>
          <w:rFonts w:ascii="Times New Roman" w:cs="Times New Roman" w:eastAsia="Times New Roman" w:hAnsi="Times New Roman"/>
          <w:sz w:val="16"/>
          <w:szCs w:val="16"/>
          <w:color w:val="auto"/>
        </w:rPr>
        <w:t>. Pay any dividends or make any other distribution or payment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on account of or in redemption, retirement or purchase of any capital stock, except that (i) Borrower may repurchase the stock of former employees or directors pursuant to stock repurchase agreements in an aggregate amount not to exceed $250,000 in any fiscal year, as long as an Event of Default does not exist prior to any such repurchase and would not exist after giving effect to such repurchase, (ii) Borrower may repurchase the stock of former employees or directors pursuant to stock repurchase agreements by the cancellation of indebtedness owed by such former employees or directors to Borrower regardless of whether an Event of Default exists, (iii) any Subsidiary that is a Borrower or Guarantor may make distributions or pay dividends or make payment on account of or in redemption, retirement or purchase of any capital stock to Borrower or a Secured Guarantor, (iv) any Subsidiary that is not a Borrower or Guarantor may make distributions or pay dividends or make payment on account of or in redemption, retirement or purchase of any capital stock to Borrower, any Guarantor or any other Subsidiary, (v) Borrower and its Subsidiaries may convert or exchange any of their respective convertible securities into or for equity securities pursuant to the terms of such convertible securities or otherwise in exchange thereof, (vi) Borrower and its Subsidiaries may pay dividends solely in capital stock and (vii) Borrower and its Subsidiaries may make de minimis payments in lieu of fractional shares in an aggregate amount not exceeding $100,000 in any calendar year.</w:t>
      </w:r>
    </w:p>
    <w:p>
      <w:pPr>
        <w:spacing w:after="0" w:line="329"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7.7 Investments </w:t>
      </w:r>
      <w:r>
        <w:rPr>
          <w:rFonts w:ascii="Times New Roman" w:cs="Times New Roman" w:eastAsia="Times New Roman" w:hAnsi="Times New Roman"/>
          <w:sz w:val="17"/>
          <w:szCs w:val="17"/>
          <w:color w:val="auto"/>
        </w:rPr>
        <w:t>. Directly or indirectly acquire or own an Investment in,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make any Investment in or to any Person, or permit any of its Subsidiaries so to do, other than Permitted Investments, or maintain or invest any of its investment property with a Person other than Bank or permit any Subsidiary to do so unless such Person has entered into a control agreement with Bank, in form and substance satisfactory to Bank to the extent required pursuant to the terms of this Agreement, or suffer or permit any Subsidiary to be a party to, or be bound by, an agreement that restricts such Subsidiary from paying dividends or otherwise distributing property to Borrower.</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66" w:right="1440" w:bottom="1440" w:gutter="0" w:footer="0" w:header="0"/>
        </w:sectPr>
      </w:pPr>
    </w:p>
    <w:bookmarkStart w:id="801" w:name="page802"/>
    <w:bookmarkEnd w:id="801"/>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7.8 Capitalized Expenditures </w:t>
      </w:r>
      <w:r>
        <w:rPr>
          <w:rFonts w:ascii="Times New Roman" w:cs="Times New Roman" w:eastAsia="Times New Roman" w:hAnsi="Times New Roman"/>
          <w:sz w:val="17"/>
          <w:szCs w:val="17"/>
          <w:color w:val="auto"/>
        </w:rPr>
        <w:t>. Make Capitalized Expenditures in excess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150% of the amount approved by Borrower’s board of directors and set forth in the most recently approved operating plan delivered to Bank.</w:t>
      </w:r>
    </w:p>
    <w:p>
      <w:pPr>
        <w:spacing w:after="0" w:line="130" w:lineRule="exact"/>
        <w:rPr>
          <w:sz w:val="20"/>
          <w:szCs w:val="20"/>
          <w:color w:val="auto"/>
        </w:rPr>
      </w:pPr>
    </w:p>
    <w:p>
      <w:pPr>
        <w:jc w:val="both"/>
        <w:ind w:left="1220" w:right="1239" w:firstLine="1009"/>
        <w:spacing w:after="0" w:line="251" w:lineRule="auto"/>
        <w:rPr>
          <w:sz w:val="20"/>
          <w:szCs w:val="20"/>
          <w:color w:val="auto"/>
        </w:rPr>
      </w:pPr>
      <w:r>
        <w:rPr>
          <w:rFonts w:ascii="Times New Roman" w:cs="Times New Roman" w:eastAsia="Times New Roman" w:hAnsi="Times New Roman"/>
          <w:sz w:val="16"/>
          <w:szCs w:val="16"/>
          <w:b w:val="1"/>
          <w:bCs w:val="1"/>
          <w:color w:val="auto"/>
        </w:rPr>
        <w:t>7.9 Transactions with Affiliates</w:t>
      </w:r>
      <w:r>
        <w:rPr>
          <w:rFonts w:ascii="Times New Roman" w:cs="Times New Roman" w:eastAsia="Times New Roman" w:hAnsi="Times New Roman"/>
          <w:sz w:val="16"/>
          <w:szCs w:val="16"/>
          <w:color w:val="auto"/>
        </w:rPr>
        <w:t>. Directly or indirectly enter into or permit to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exist any material transaction with any Affiliate of Borrower except for (i) transactions that are in the ordinary course of Borrower’s or a Subsidiary’s business, upon fair and reasonable terms that are no less favorable to Borrower than would be obtained in an arm’s length transaction with a non-affiliated Person, (ii) the sale of Borrower’s equity securities in bona fide transactions with Borrower’s existing investors that do not result in a Change in Control, (iii) reasonable and customary director, officer, and employee compensation (including bonuses) and other benefits (including retirement, health, stock option and other benefit plans and indemnification arrangements approved by Borrower’s board of directors), (iv) Permitted Transfers, Permitted Indebtedness, and Permitted Investments and transactions of the type described in and permitted pursuant to </w:t>
      </w:r>
      <w:r>
        <w:rPr>
          <w:rFonts w:ascii="Times New Roman" w:cs="Times New Roman" w:eastAsia="Times New Roman" w:hAnsi="Times New Roman"/>
          <w:sz w:val="16"/>
          <w:szCs w:val="16"/>
          <w:u w:val="single" w:color="auto"/>
          <w:color w:val="auto"/>
        </w:rPr>
        <w:t>Section 7.6</w:t>
      </w:r>
      <w:r>
        <w:rPr>
          <w:rFonts w:ascii="Times New Roman" w:cs="Times New Roman" w:eastAsia="Times New Roman" w:hAnsi="Times New Roman"/>
          <w:sz w:val="16"/>
          <w:szCs w:val="16"/>
          <w:color w:val="auto"/>
        </w:rPr>
        <w:t>, and (v) transactions among Borrower and any Secured Guarantor.</w:t>
      </w:r>
    </w:p>
    <w:p>
      <w:pPr>
        <w:spacing w:after="0" w:line="133"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7.10 Subordinated Debt </w:t>
      </w:r>
      <w:r>
        <w:rPr>
          <w:rFonts w:ascii="Times New Roman" w:cs="Times New Roman" w:eastAsia="Times New Roman" w:hAnsi="Times New Roman"/>
          <w:sz w:val="17"/>
          <w:szCs w:val="17"/>
          <w:color w:val="auto"/>
        </w:rPr>
        <w:t>. Make any payment in respect of any Subordinated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Debt, or permit any of its Subsidiaries to make any such payment, or amend any provision affecting Bank’s rights contained in any documentation relating to the Subordinated Debt, in each case except in compliance with the terms of the subordination, intercreditor, or other similar agreement to which such Subordinated Debt is subject.</w:t>
      </w:r>
    </w:p>
    <w:p>
      <w:pPr>
        <w:spacing w:after="0" w:line="137"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b w:val="1"/>
          <w:bCs w:val="1"/>
          <w:color w:val="auto"/>
        </w:rPr>
        <w:t xml:space="preserve">7.11 Inventory and Equipment </w:t>
      </w:r>
      <w:r>
        <w:rPr>
          <w:rFonts w:ascii="Times New Roman" w:cs="Times New Roman" w:eastAsia="Times New Roman" w:hAnsi="Times New Roman"/>
          <w:sz w:val="17"/>
          <w:szCs w:val="17"/>
          <w:color w:val="auto"/>
        </w:rPr>
        <w:t>. (a) At any time on or after the date that is 60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days from the Closing Date, store Inventory or Equipment of a book value in excess of $1,000,000 with a bailee, warehouseman, collocation facility or similar third party located in the United States unless such third party has been notified of Bank’s security interest and, upon request of Bank, Borrower has delivered a bailee waiver in favor of Bank, in form and substance reasonably satisfactory to Bank, duly executed by Borrower and such third party; or (b) with respect to any leased or licensed real property, store Collateral of a book value in excess of $1,000,000 unless the landlord has been notified of Bank’s security interest and, upon request of Bank, Borrower has delivered to Bank a landlord waiver, in form and substance reasonably satisfactory to Bank, duly executed by Borrower and such landlord.</w:t>
      </w:r>
    </w:p>
    <w:p>
      <w:pPr>
        <w:spacing w:after="0" w:line="138"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7.12 No Investment Company; Margin Regulation</w:t>
      </w:r>
      <w:r>
        <w:rPr>
          <w:rFonts w:ascii="Times New Roman" w:cs="Times New Roman" w:eastAsia="Times New Roman" w:hAnsi="Times New Roman"/>
          <w:sz w:val="17"/>
          <w:szCs w:val="17"/>
          <w:color w:val="auto"/>
        </w:rPr>
        <w:t>. Become or be controlled by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“investment company,” within the meaning of the Investment Company Act of 1940, or become principally engaged in, or undertake as one of its important activities, the business of extending credit for the purpose of purchasing or carrying margin stock, or use the proceeds of any Credit Extension for such purpose.</w:t>
      </w:r>
    </w:p>
    <w:p>
      <w:pPr>
        <w:spacing w:after="0" w:line="137" w:lineRule="exact"/>
        <w:rPr>
          <w:sz w:val="20"/>
          <w:szCs w:val="20"/>
          <w:color w:val="auto"/>
        </w:rPr>
      </w:pPr>
    </w:p>
    <w:p>
      <w:pPr>
        <w:ind w:left="2060" w:hanging="331"/>
        <w:spacing w:after="0"/>
        <w:tabs>
          <w:tab w:leader="none" w:pos="2060" w:val="left"/>
        </w:tabs>
        <w:numPr>
          <w:ilvl w:val="0"/>
          <w:numId w:val="7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EVENTS OF DEFAULT.</w:t>
      </w:r>
    </w:p>
    <w:p>
      <w:pPr>
        <w:spacing w:after="0" w:line="16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color w:val="auto"/>
        </w:rPr>
        <w:t>Any one or more of the following events shall constitute an Event of Default by</w:t>
      </w:r>
    </w:p>
    <w:p>
      <w:pPr>
        <w:spacing w:after="0" w:line="1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Borrower under this Agreement:</w:t>
      </w:r>
    </w:p>
    <w:p>
      <w:pPr>
        <w:spacing w:after="0" w:line="140"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8.1 Payment Default </w:t>
      </w:r>
      <w:r>
        <w:rPr>
          <w:rFonts w:ascii="Times New Roman" w:cs="Times New Roman" w:eastAsia="Times New Roman" w:hAnsi="Times New Roman"/>
          <w:sz w:val="17"/>
          <w:szCs w:val="17"/>
          <w:color w:val="auto"/>
        </w:rPr>
        <w:t>. If Borrower fails to pay any of the Obligations (i)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constituting principal or interest when due or (ii) any other Obligation within three (3) Business Days of when due;</w:t>
      </w: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2" w:right="1440" w:bottom="1440" w:gutter="0" w:footer="0" w:header="0"/>
        </w:sectPr>
      </w:pPr>
    </w:p>
    <w:bookmarkStart w:id="802" w:name="page803"/>
    <w:bookmarkEnd w:id="802"/>
    <w:p>
      <w:pPr>
        <w:ind w:left="2240"/>
        <w:spacing w:after="0"/>
        <w:rPr>
          <w:sz w:val="20"/>
          <w:szCs w:val="20"/>
          <w:color w:val="auto"/>
        </w:rPr>
      </w:pPr>
      <w:r>
        <w:rPr>
          <w:rFonts w:ascii="Times New Roman" w:cs="Times New Roman" w:eastAsia="Times New Roman" w:hAnsi="Times New Roman"/>
          <w:sz w:val="17"/>
          <w:szCs w:val="17"/>
          <w:b w:val="1"/>
          <w:bCs w:val="1"/>
          <w:color w:val="auto"/>
        </w:rPr>
        <w:t>8.2  Covenant Default</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jc w:val="both"/>
        <w:ind w:left="1220" w:right="1239" w:firstLine="1518"/>
        <w:spacing w:after="0" w:line="246" w:lineRule="auto"/>
        <w:tabs>
          <w:tab w:leader="none" w:pos="3112" w:val="left"/>
        </w:tabs>
        <w:numPr>
          <w:ilvl w:val="0"/>
          <w:numId w:val="7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If Borrower fails to perform any obligation under </w:t>
      </w:r>
      <w:r>
        <w:rPr>
          <w:rFonts w:ascii="Times New Roman" w:cs="Times New Roman" w:eastAsia="Times New Roman" w:hAnsi="Times New Roman"/>
          <w:sz w:val="17"/>
          <w:szCs w:val="17"/>
          <w:u w:val="single" w:color="auto"/>
          <w:color w:val="auto"/>
        </w:rPr>
        <w:t>Sections 6.2</w:t>
      </w:r>
      <w:r>
        <w:rPr>
          <w:rFonts w:ascii="Times New Roman" w:cs="Times New Roman" w:eastAsia="Times New Roman" w:hAnsi="Times New Roman"/>
          <w:sz w:val="17"/>
          <w:szCs w:val="17"/>
          <w:color w:val="auto"/>
        </w:rPr>
        <w:t xml:space="preserve"> (Financial Reporting), </w:t>
      </w:r>
      <w:r>
        <w:rPr>
          <w:rFonts w:ascii="Times New Roman" w:cs="Times New Roman" w:eastAsia="Times New Roman" w:hAnsi="Times New Roman"/>
          <w:sz w:val="17"/>
          <w:szCs w:val="17"/>
          <w:u w:val="single" w:color="auto"/>
          <w:color w:val="auto"/>
        </w:rPr>
        <w:t>6.4</w:t>
      </w:r>
      <w:r>
        <w:rPr>
          <w:rFonts w:ascii="Times New Roman" w:cs="Times New Roman" w:eastAsia="Times New Roman" w:hAnsi="Times New Roman"/>
          <w:sz w:val="17"/>
          <w:szCs w:val="17"/>
          <w:color w:val="auto"/>
        </w:rPr>
        <w:t xml:space="preserve"> (Taxes), </w:t>
      </w:r>
      <w:r>
        <w:rPr>
          <w:rFonts w:ascii="Times New Roman" w:cs="Times New Roman" w:eastAsia="Times New Roman" w:hAnsi="Times New Roman"/>
          <w:sz w:val="17"/>
          <w:szCs w:val="17"/>
          <w:u w:val="single" w:color="auto"/>
          <w:color w:val="auto"/>
        </w:rPr>
        <w:t>6.5</w:t>
      </w:r>
      <w:r>
        <w:rPr>
          <w:rFonts w:ascii="Times New Roman" w:cs="Times New Roman" w:eastAsia="Times New Roman" w:hAnsi="Times New Roman"/>
          <w:sz w:val="17"/>
          <w:szCs w:val="17"/>
          <w:color w:val="auto"/>
        </w:rPr>
        <w:t xml:space="preserve"> (Insurance), </w:t>
      </w:r>
      <w:r>
        <w:rPr>
          <w:rFonts w:ascii="Times New Roman" w:cs="Times New Roman" w:eastAsia="Times New Roman" w:hAnsi="Times New Roman"/>
          <w:sz w:val="17"/>
          <w:szCs w:val="17"/>
          <w:u w:val="single" w:color="auto"/>
          <w:color w:val="auto"/>
        </w:rPr>
        <w:t>6.6</w:t>
      </w:r>
      <w:r>
        <w:rPr>
          <w:rFonts w:ascii="Times New Roman" w:cs="Times New Roman" w:eastAsia="Times New Roman" w:hAnsi="Times New Roman"/>
          <w:sz w:val="17"/>
          <w:szCs w:val="17"/>
          <w:color w:val="auto"/>
        </w:rPr>
        <w:t xml:space="preserve"> (Accounts), or </w:t>
      </w:r>
      <w:r>
        <w:rPr>
          <w:rFonts w:ascii="Times New Roman" w:cs="Times New Roman" w:eastAsia="Times New Roman" w:hAnsi="Times New Roman"/>
          <w:sz w:val="17"/>
          <w:szCs w:val="17"/>
          <w:u w:val="single" w:color="auto"/>
          <w:color w:val="auto"/>
        </w:rPr>
        <w:t>6.11</w:t>
      </w:r>
      <w:r>
        <w:rPr>
          <w:rFonts w:ascii="Times New Roman" w:cs="Times New Roman" w:eastAsia="Times New Roman" w:hAnsi="Times New Roman"/>
          <w:sz w:val="17"/>
          <w:szCs w:val="17"/>
          <w:color w:val="auto"/>
        </w:rPr>
        <w:t xml:space="preserve"> (Post-Closing Conditions) or violates any of the covenants contained in Article 7 of this Agreement; or</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1518"/>
        <w:spacing w:after="0" w:line="251" w:lineRule="auto"/>
        <w:tabs>
          <w:tab w:leader="none" w:pos="3070" w:val="left"/>
        </w:tabs>
        <w:numPr>
          <w:ilvl w:val="0"/>
          <w:numId w:val="71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Borrower fails or neglects to perform or observe any other material term, provision, condition, or covenant contained in this Agreement, in any of the Loan Documents, or in any other present or future agreement between Borrower and Bank and as to any default under such other term, provision, condition or covenant that can be cured, has failed to cure such default within 10 days after Borrower receives notice thereof or any officer of Borrower becomes aware thereof; provided, however, that if the default cannot by its nature be cured within the 10 day period or cannot after diligent attempts by Borrower be cured within such 10 day period, and such default is likely to be cured within a reasonable time, then Borrower shall have an additional reasonable period (which shall not in any case exceed 30 days) to attempt to cure such default, and within such reasonable time period the failure to have cured such default shall not be deemed an Event of Default but no Credit Extensions will be made;</w:t>
      </w:r>
    </w:p>
    <w:p>
      <w:pPr>
        <w:spacing w:after="0" w:line="129"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8.3 Material Adverse Effect </w:t>
      </w:r>
      <w:r>
        <w:rPr>
          <w:rFonts w:ascii="Times New Roman" w:cs="Times New Roman" w:eastAsia="Times New Roman" w:hAnsi="Times New Roman"/>
          <w:sz w:val="17"/>
          <w:szCs w:val="17"/>
          <w:color w:val="auto"/>
        </w:rPr>
        <w:t>. If there occurs any circumstance or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circumstances which would reasonably be expected to have a Material Adverse Effect with respect to Borrower or any Guarantor;</w:t>
      </w:r>
    </w:p>
    <w:p>
      <w:pPr>
        <w:spacing w:after="0" w:line="130"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b w:val="1"/>
          <w:bCs w:val="1"/>
          <w:color w:val="auto"/>
        </w:rPr>
        <w:t>8.4 Attachment</w:t>
      </w:r>
      <w:r>
        <w:rPr>
          <w:rFonts w:ascii="Times New Roman" w:cs="Times New Roman" w:eastAsia="Times New Roman" w:hAnsi="Times New Roman"/>
          <w:sz w:val="17"/>
          <w:szCs w:val="17"/>
          <w:color w:val="auto"/>
        </w:rPr>
        <w:t>. If any material portion of Borrower’s or any Guarantor’s assets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is attached, seized, subjected to a writ or distress warrant, or is levied upon, or comes into the possession of any trustee, receiver or Person acting in a similar capacity and such attachment, seizure, writ or distress warrant or levy has not been removed, discharged or rescinded within 30 days, or if Borrower or any Guarantor is enjoined, restrained, or in any way prevented by court order from continuing to conduct all or any material part of its business affairs, or if a judgment or other claim becomes a lien or encumbrance upon any material portion of Borrower’s or any Guarantor’s assets, or if a notice of lien, levy, or assessment is filed of record with respect to any material portion of Borrower’s or any Guarantor’s assets by the United States Government, or any department, agency, or instrumentality thereof, or by any state, county, municipal, or governmental agency, and the same is not paid within 30 days after Borrower or such Guarantor receives notice thereof, provided that none of the foregoing shall constitute an Event of Default where such action or event is stayed or an adequate bond has been posted pending a good faith contest by Borrower or such Guarantor (provided that no Credit Extensions will be made during such cure period);</w:t>
      </w:r>
    </w:p>
    <w:p>
      <w:pPr>
        <w:spacing w:after="0" w:line="148"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8.5 Insolvency </w:t>
      </w:r>
      <w:r>
        <w:rPr>
          <w:rFonts w:ascii="Times New Roman" w:cs="Times New Roman" w:eastAsia="Times New Roman" w:hAnsi="Times New Roman"/>
          <w:sz w:val="17"/>
          <w:szCs w:val="17"/>
          <w:color w:val="auto"/>
        </w:rPr>
        <w:t>. If Borrower or any Guarantor becomes insolvent, or if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Insolvency Proceeding is commenced by Borrower or any Guarantor, or if an Insolvency Proceeding is commenced against Borrower or any Guarantor and is not dismissed or stayed within 45 days (provided that no Credit Extensions will be made prior to the dismissal of such Insolvency Proceeding);</w:t>
      </w:r>
    </w:p>
    <w:p>
      <w:pPr>
        <w:spacing w:after="0" w:line="137"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8.6 Other Agreements</w:t>
      </w:r>
      <w:r>
        <w:rPr>
          <w:rFonts w:ascii="Times New Roman" w:cs="Times New Roman" w:eastAsia="Times New Roman" w:hAnsi="Times New Roman"/>
          <w:sz w:val="17"/>
          <w:szCs w:val="17"/>
          <w:color w:val="auto"/>
        </w:rPr>
        <w:t>. If (a) there is a default or other failure to perform in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to which Borrower or any Guarantor is a party with a third party or parties (i) resulting in a right by such third party or parties, whether or not exercised, to accelerate the maturity of any Indebtedness in an amount in excess of $500,000, (ii) in connection with any lease of real property</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4" w:right="1440" w:bottom="1440" w:gutter="0" w:footer="0" w:header="0"/>
        </w:sectPr>
      </w:pPr>
    </w:p>
    <w:bookmarkStart w:id="803" w:name="page804"/>
    <w:bookmarkEnd w:id="803"/>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the termination or loss of which would reasonably be expected to result in a Material Adverse Effect, or (iii) that would reasonably be expected to have a Material Adverse Effect, or (b) any default or event of default (however designated) shall occur with respect to any Subordinated Debt that is not cured within any applicable cure period;</w:t>
      </w:r>
    </w:p>
    <w:p>
      <w:pPr>
        <w:spacing w:after="0" w:line="136" w:lineRule="exact"/>
        <w:rPr>
          <w:sz w:val="20"/>
          <w:szCs w:val="20"/>
          <w:color w:val="auto"/>
        </w:rPr>
      </w:pPr>
    </w:p>
    <w:p>
      <w:pPr>
        <w:jc w:val="both"/>
        <w:ind w:left="1220" w:right="1239" w:firstLine="1009"/>
        <w:spacing w:after="0" w:line="237" w:lineRule="auto"/>
        <w:rPr>
          <w:sz w:val="20"/>
          <w:szCs w:val="20"/>
          <w:color w:val="auto"/>
        </w:rPr>
      </w:pPr>
      <w:r>
        <w:rPr>
          <w:rFonts w:ascii="Times New Roman" w:cs="Times New Roman" w:eastAsia="Times New Roman" w:hAnsi="Times New Roman"/>
          <w:sz w:val="17"/>
          <w:szCs w:val="17"/>
          <w:b w:val="1"/>
          <w:bCs w:val="1"/>
          <w:color w:val="auto"/>
        </w:rPr>
        <w:t xml:space="preserve">8.7 Judgments </w:t>
      </w:r>
      <w:r>
        <w:rPr>
          <w:rFonts w:ascii="Times New Roman" w:cs="Times New Roman" w:eastAsia="Times New Roman" w:hAnsi="Times New Roman"/>
          <w:sz w:val="17"/>
          <w:szCs w:val="17"/>
          <w:color w:val="auto"/>
        </w:rPr>
        <w:t>. If (a) a final judgment or judgments (excluding only those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judgments covered by independent third-party insurance as to which liability has been accepted by such insurance carrier) for the payment of money in an amount, individually or in the aggregate, of at least $500,000 shall be rendered against Borrower or any Guarantor and shall remain unsatisfied and unstayed for a period of 30 days (provided that no Credit Extensions will be made prior to the satisfaction or stay of the judgment), or (b) any one or more non-monetary judgments shall be rendered against Borrower or any Guarantor that would, either individually or in the aggregate, reasonably be expected to have a Material Adverse Effect;</w:t>
      </w:r>
    </w:p>
    <w:p>
      <w:pPr>
        <w:spacing w:after="0" w:line="138"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8.8 Misrepresentations </w:t>
      </w:r>
      <w:r>
        <w:rPr>
          <w:rFonts w:ascii="Times New Roman" w:cs="Times New Roman" w:eastAsia="Times New Roman" w:hAnsi="Times New Roman"/>
          <w:sz w:val="17"/>
          <w:szCs w:val="17"/>
          <w:color w:val="auto"/>
        </w:rPr>
        <w:t>. If any material misrepresentation or material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misstatement exists in any warranty or representation set forth herein or in any report, certificate or other writing now or hereafter delivered to Bank by any Responsible Officer pursuant to this Agreement or to induce Bank to enter into this Agreement or any other Loan Document, in each case, when made; or</w:t>
      </w:r>
    </w:p>
    <w:p>
      <w:pPr>
        <w:spacing w:after="0" w:line="137"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8.9 Guaranty </w:t>
      </w:r>
      <w:r>
        <w:rPr>
          <w:rFonts w:ascii="Times New Roman" w:cs="Times New Roman" w:eastAsia="Times New Roman" w:hAnsi="Times New Roman"/>
          <w:sz w:val="16"/>
          <w:szCs w:val="16"/>
          <w:color w:val="auto"/>
        </w:rPr>
        <w:t>. If any guaranty of all or a portion of the Obligations (a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“Guaranty”) ceases for any reason to be in full force and effect, or any guarantor fails to perform any obligation (subject to any applicable cure or grace periods) under any Guaranty or a security agreement securing any Guaranty (collectively, the “Guaranty Documents”), or any event of default occurs under any Guaranty Document (subject to any applicable cure or grace periods) or any guarantor revokes or purports to revoke a Guaranty, or any material misrepresentation or material misstatement exists in any warranty or representation set forth in any Guaranty Document or in any certificate delivered now or hereafter to Bank in connection with any Guaranty Document, in each case, when made. Notwithstanding the terms of this </w:t>
      </w:r>
      <w:r>
        <w:rPr>
          <w:rFonts w:ascii="Times New Roman" w:cs="Times New Roman" w:eastAsia="Times New Roman" w:hAnsi="Times New Roman"/>
          <w:sz w:val="16"/>
          <w:szCs w:val="16"/>
          <w:u w:val="single" w:color="auto"/>
          <w:color w:val="auto"/>
        </w:rPr>
        <w:t>Section 8</w:t>
      </w:r>
      <w:r>
        <w:rPr>
          <w:rFonts w:ascii="Times New Roman" w:cs="Times New Roman" w:eastAsia="Times New Roman" w:hAnsi="Times New Roman"/>
          <w:sz w:val="16"/>
          <w:szCs w:val="16"/>
          <w:color w:val="auto"/>
        </w:rPr>
        <w:t xml:space="preserve"> to the contrary, an Event of Default shall not be deemed to have occurred if any of the circumstances described in </w:t>
      </w:r>
      <w:r>
        <w:rPr>
          <w:rFonts w:ascii="Times New Roman" w:cs="Times New Roman" w:eastAsia="Times New Roman" w:hAnsi="Times New Roman"/>
          <w:sz w:val="16"/>
          <w:szCs w:val="16"/>
          <w:u w:val="single" w:color="auto"/>
          <w:color w:val="auto"/>
        </w:rPr>
        <w:t>Sections 8.3</w:t>
      </w:r>
      <w:r>
        <w:rPr>
          <w:rFonts w:ascii="Times New Roman" w:cs="Times New Roman" w:eastAsia="Times New Roman" w:hAnsi="Times New Roman"/>
          <w:sz w:val="16"/>
          <w:szCs w:val="16"/>
          <w:color w:val="auto"/>
        </w:rPr>
        <w:t xml:space="preserve"> through </w:t>
      </w:r>
      <w:r>
        <w:rPr>
          <w:rFonts w:ascii="Times New Roman" w:cs="Times New Roman" w:eastAsia="Times New Roman" w:hAnsi="Times New Roman"/>
          <w:sz w:val="16"/>
          <w:szCs w:val="16"/>
          <w:u w:val="single" w:color="auto"/>
          <w:color w:val="auto"/>
        </w:rPr>
        <w:t>8.8</w:t>
      </w:r>
      <w:r>
        <w:rPr>
          <w:rFonts w:ascii="Times New Roman" w:cs="Times New Roman" w:eastAsia="Times New Roman" w:hAnsi="Times New Roman"/>
          <w:sz w:val="16"/>
          <w:szCs w:val="16"/>
          <w:color w:val="auto"/>
        </w:rPr>
        <w:t xml:space="preserve"> occur solely with respect to an Immaterial Guarantor, provided that an Event of Default will be deemed to exist if such circumstances occur with respect to an Immaterial Guarantor, Borrower and all Guarantors when taken together.</w:t>
      </w:r>
    </w:p>
    <w:p>
      <w:pPr>
        <w:spacing w:after="0" w:line="137" w:lineRule="exact"/>
        <w:rPr>
          <w:sz w:val="20"/>
          <w:szCs w:val="20"/>
          <w:color w:val="auto"/>
        </w:rPr>
      </w:pPr>
    </w:p>
    <w:p>
      <w:pPr>
        <w:ind w:left="2060" w:hanging="331"/>
        <w:spacing w:after="0"/>
        <w:tabs>
          <w:tab w:leader="none" w:pos="2060" w:val="left"/>
        </w:tabs>
        <w:numPr>
          <w:ilvl w:val="0"/>
          <w:numId w:val="7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BANK’S RIGHTS AND REMEDIES.</w:t>
      </w:r>
    </w:p>
    <w:p>
      <w:pPr>
        <w:spacing w:after="0" w:line="162"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9.1 Rights and Remedies</w:t>
      </w:r>
      <w:r>
        <w:rPr>
          <w:rFonts w:ascii="Times New Roman" w:cs="Times New Roman" w:eastAsia="Times New Roman" w:hAnsi="Times New Roman"/>
          <w:sz w:val="17"/>
          <w:szCs w:val="17"/>
          <w:color w:val="auto"/>
        </w:rPr>
        <w:t>. Upon the occurrence and during the continuance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 Event of Default, Bank may, at its election, without notice of its election and without demand, do any one or more of the following, all of which are authorized by Borrower:</w:t>
      </w:r>
    </w:p>
    <w:p>
      <w:pPr>
        <w:spacing w:after="0" w:line="134" w:lineRule="exact"/>
        <w:rPr>
          <w:sz w:val="20"/>
          <w:szCs w:val="20"/>
          <w:color w:val="auto"/>
        </w:rPr>
      </w:pPr>
    </w:p>
    <w:p>
      <w:pPr>
        <w:jc w:val="both"/>
        <w:ind w:left="1220" w:right="1239" w:firstLine="1518"/>
        <w:spacing w:after="0" w:line="241" w:lineRule="auto"/>
        <w:tabs>
          <w:tab w:leader="none" w:pos="3091" w:val="left"/>
        </w:tabs>
        <w:numPr>
          <w:ilvl w:val="0"/>
          <w:numId w:val="7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Declare all Obligations, whether evidenced by this Agreement, by any of the other Loan Documents, or otherwise, immediately due and payable (provided that upon the occurrence of an Event of Default described in </w:t>
      </w:r>
      <w:r>
        <w:rPr>
          <w:rFonts w:ascii="Times New Roman" w:cs="Times New Roman" w:eastAsia="Times New Roman" w:hAnsi="Times New Roman"/>
          <w:sz w:val="17"/>
          <w:szCs w:val="17"/>
          <w:u w:val="single" w:color="auto"/>
          <w:color w:val="auto"/>
        </w:rPr>
        <w:t>Section 8.5</w:t>
      </w:r>
      <w:r>
        <w:rPr>
          <w:rFonts w:ascii="Times New Roman" w:cs="Times New Roman" w:eastAsia="Times New Roman" w:hAnsi="Times New Roman"/>
          <w:sz w:val="17"/>
          <w:szCs w:val="17"/>
          <w:color w:val="auto"/>
        </w:rPr>
        <w:t xml:space="preserve"> (Insolvency), all Obligations shall become immediately due and payable without any action by Bank);</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04" w:name="page805"/>
    <w:bookmarkEnd w:id="804"/>
    <w:p>
      <w:pPr>
        <w:ind w:left="1220" w:right="1239" w:firstLine="1518"/>
        <w:spacing w:after="0" w:line="259" w:lineRule="auto"/>
        <w:tabs>
          <w:tab w:leader="none" w:pos="3070" w:val="left"/>
        </w:tabs>
        <w:numPr>
          <w:ilvl w:val="0"/>
          <w:numId w:val="7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Demand that Borrower (i) deposit cash with Bank in an amount equal to the amount of any Letters of Credit remaining undrawn, as collateral security for the</w:t>
      </w:r>
    </w:p>
    <w:p>
      <w:pPr>
        <w:spacing w:after="0" w:line="125"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repayment of any future drawings under such Letters of Credit, and (ii) pay in advance all Letter of Credit fees scheduled to be paid or payable over the remaining term of the Letters of Credit, and Borrower shall promptly deposit and pay such amounts;</w:t>
      </w:r>
    </w:p>
    <w:p>
      <w:pPr>
        <w:spacing w:after="0" w:line="135" w:lineRule="exact"/>
        <w:rPr>
          <w:sz w:val="20"/>
          <w:szCs w:val="20"/>
          <w:color w:val="auto"/>
        </w:rPr>
      </w:pPr>
    </w:p>
    <w:p>
      <w:pPr>
        <w:ind w:left="1220" w:right="1239" w:firstLine="1518"/>
        <w:spacing w:after="0" w:line="259" w:lineRule="auto"/>
        <w:tabs>
          <w:tab w:leader="none" w:pos="3081" w:val="left"/>
        </w:tabs>
        <w:numPr>
          <w:ilvl w:val="0"/>
          <w:numId w:val="7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Cease advancing money or extending credit to or for the benefit of Borrower under this Agreement or under any other agreement between Borrower and Bank;</w:t>
      </w:r>
    </w:p>
    <w:p>
      <w:pPr>
        <w:spacing w:after="0" w:line="124" w:lineRule="exact"/>
        <w:rPr>
          <w:rFonts w:ascii="Times New Roman" w:cs="Times New Roman" w:eastAsia="Times New Roman" w:hAnsi="Times New Roman"/>
          <w:sz w:val="17"/>
          <w:szCs w:val="17"/>
          <w:b w:val="1"/>
          <w:bCs w:val="1"/>
          <w:color w:val="auto"/>
        </w:rPr>
      </w:pPr>
    </w:p>
    <w:p>
      <w:pPr>
        <w:ind w:left="1220" w:right="1239" w:firstLine="1518"/>
        <w:spacing w:after="0" w:line="259" w:lineRule="auto"/>
        <w:tabs>
          <w:tab w:leader="none" w:pos="3070" w:val="left"/>
        </w:tabs>
        <w:numPr>
          <w:ilvl w:val="0"/>
          <w:numId w:val="7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Settle or adjust disputes and claims directly with account debtors for amounts, upon terms and in whatever order that Bank reasonably considers advisable;</w:t>
      </w:r>
    </w:p>
    <w:p>
      <w:pPr>
        <w:spacing w:after="0" w:line="124" w:lineRule="exact"/>
        <w:rPr>
          <w:rFonts w:ascii="Times New Roman" w:cs="Times New Roman" w:eastAsia="Times New Roman" w:hAnsi="Times New Roman"/>
          <w:sz w:val="17"/>
          <w:szCs w:val="17"/>
          <w:b w:val="1"/>
          <w:bCs w:val="1"/>
          <w:color w:val="auto"/>
        </w:rPr>
      </w:pPr>
    </w:p>
    <w:p>
      <w:pPr>
        <w:jc w:val="both"/>
        <w:ind w:left="1220" w:right="1239" w:firstLine="1518"/>
        <w:spacing w:after="0" w:line="235" w:lineRule="auto"/>
        <w:tabs>
          <w:tab w:leader="none" w:pos="3070" w:val="left"/>
        </w:tabs>
        <w:numPr>
          <w:ilvl w:val="0"/>
          <w:numId w:val="7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Make such payments and do such acts as Bank considers necessary or reasonable to protect its security interest in the Collateral. Borrower agrees to assemble the Collateral if Bank so requires, and to make the Collateral available to Bank as Bank may designate. Borrower authorizes Bank to enter the premises where the Collateral is located, to take and maintain possession of the Collateral, or any part of it, and to pay, purchase, contest, or compromise any encumbrance, charge, or lien which in Bank’s determination appears to be prior or superior to its security interest and to pay all expenses incurred in connection therewith. With respect to any of Borrower’s owned premises, Borrower hereby grants Bank a license to enter into possession of such premises and to occupy the same, without charge, in order to exercise any of Bank’s rights or remedies provided herein, at law, in equity, or otherwise;</w:t>
      </w:r>
    </w:p>
    <w:p>
      <w:pPr>
        <w:spacing w:after="0" w:line="146" w:lineRule="exact"/>
        <w:rPr>
          <w:rFonts w:ascii="Times New Roman" w:cs="Times New Roman" w:eastAsia="Times New Roman" w:hAnsi="Times New Roman"/>
          <w:sz w:val="17"/>
          <w:szCs w:val="17"/>
          <w:b w:val="1"/>
          <w:bCs w:val="1"/>
          <w:color w:val="auto"/>
        </w:rPr>
      </w:pPr>
    </w:p>
    <w:p>
      <w:pPr>
        <w:jc w:val="both"/>
        <w:ind w:left="1220" w:right="1239" w:firstLine="1518"/>
        <w:spacing w:after="0" w:line="239" w:lineRule="auto"/>
        <w:tabs>
          <w:tab w:leader="none" w:pos="3091" w:val="left"/>
        </w:tabs>
        <w:numPr>
          <w:ilvl w:val="0"/>
          <w:numId w:val="7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Place a “hold” on any account (other than any Excluded Account) maintained with Bank, decline to honor presentments (including but not limited to checks, wires, and ACH drafts) against any account at Bank, and/or deliver a notice of exclusive control, any entitlement order, or other directions or instructions pursuant to any control agreement or similar agreements providing control of any Collateral;</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1518"/>
        <w:spacing w:after="0" w:line="241" w:lineRule="auto"/>
        <w:tabs>
          <w:tab w:leader="none" w:pos="3102" w:val="left"/>
        </w:tabs>
        <w:numPr>
          <w:ilvl w:val="0"/>
          <w:numId w:val="7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Set off and apply to the Obligations any and all (i) balances and deposits of Borrower held by Bank (other than any balances and deposits in any account described in the definition of Excluded Accounts), and (ii) indebtedness at any time owing to or for the credit or the account of Borrower held by Bank;</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1518"/>
        <w:spacing w:after="0" w:line="253" w:lineRule="auto"/>
        <w:tabs>
          <w:tab w:leader="none" w:pos="3070" w:val="left"/>
        </w:tabs>
        <w:numPr>
          <w:ilvl w:val="0"/>
          <w:numId w:val="7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Ship, reclaim, recover, store, finish, maintain, repair, prepare for sale, advertise for sale, and sell (in the manner provided for herein) the Collateral. Bank is hereby granted a license or other right, solely pursuant to the provisions of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xml:space="preserve">, to use, without charge, Borrower’s labels, patents, copyrights, rights of use of any name, trade secrets, trade names, trademarks, service marks, and advertising matter, or any property of a similar nature, as it pertains to the Collateral, in completing production of, advertising for sale, and selling any Collateral and, in connection with Bank’s exercise of its rights under this </w:t>
      </w:r>
      <w:r>
        <w:rPr>
          <w:rFonts w:ascii="Times New Roman" w:cs="Times New Roman" w:eastAsia="Times New Roman" w:hAnsi="Times New Roman"/>
          <w:sz w:val="16"/>
          <w:szCs w:val="16"/>
          <w:u w:val="single" w:color="auto"/>
          <w:color w:val="auto"/>
        </w:rPr>
        <w:t>Section 9.1</w:t>
      </w:r>
      <w:r>
        <w:rPr>
          <w:rFonts w:ascii="Times New Roman" w:cs="Times New Roman" w:eastAsia="Times New Roman" w:hAnsi="Times New Roman"/>
          <w:sz w:val="16"/>
          <w:szCs w:val="16"/>
          <w:color w:val="auto"/>
        </w:rPr>
        <w:t>, Borrower’s rights under all licenses and all franchise agreements shall inure to Bank’s benefit;</w:t>
      </w:r>
    </w:p>
    <w:p>
      <w:pPr>
        <w:spacing w:after="0" w:line="130" w:lineRule="exact"/>
        <w:rPr>
          <w:rFonts w:ascii="Times New Roman" w:cs="Times New Roman" w:eastAsia="Times New Roman" w:hAnsi="Times New Roman"/>
          <w:sz w:val="16"/>
          <w:szCs w:val="16"/>
          <w:b w:val="1"/>
          <w:bCs w:val="1"/>
          <w:color w:val="auto"/>
        </w:rPr>
      </w:pPr>
    </w:p>
    <w:p>
      <w:pPr>
        <w:jc w:val="both"/>
        <w:ind w:left="1220" w:right="1239" w:firstLine="1518"/>
        <w:spacing w:after="0" w:line="261" w:lineRule="auto"/>
        <w:tabs>
          <w:tab w:leader="none" w:pos="3070" w:val="left"/>
        </w:tabs>
        <w:numPr>
          <w:ilvl w:val="0"/>
          <w:numId w:val="7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Sell the Collateral at either a public or private sale, or both, by way of one or more contracts or transactions, for cash or on terms, in such manner and at such places (including Borrower’s premises) as Bank determines is commercially reasonable, and apply any proceeds to the Obligations in whatever manner or order Bank deems appropriate. Bank may sell</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805" w:name="page806"/>
    <w:bookmarkEnd w:id="805"/>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the Collateral without giving any warranties as to the Collateral. Bank may specifically disclaim any warranties of title or the like. This procedure will not be considered adversely to affect the commercial reasonableness of any sale of the Collateral. If Bank sells any of the Collateral upon credit, Borrower will be credited only with payments actually made by the purchaser, received by Bank, and applied to the indebtedness of the purchaser. If the purchaser fails to pay for the Collateral, Bank may resell the Collateral and Borrower shall be credited with the proceeds of the sale;</w:t>
      </w:r>
    </w:p>
    <w:p>
      <w:pPr>
        <w:spacing w:after="0" w:line="141" w:lineRule="exact"/>
        <w:rPr>
          <w:sz w:val="20"/>
          <w:szCs w:val="20"/>
          <w:color w:val="auto"/>
        </w:rPr>
      </w:pPr>
    </w:p>
    <w:p>
      <w:pPr>
        <w:ind w:left="3080" w:hanging="342"/>
        <w:spacing w:after="0"/>
        <w:tabs>
          <w:tab w:leader="none" w:pos="3080" w:val="left"/>
        </w:tabs>
        <w:numPr>
          <w:ilvl w:val="0"/>
          <w:numId w:val="7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Credit bid and purchase at any public sale;</w:t>
      </w:r>
    </w:p>
    <w:p>
      <w:pPr>
        <w:spacing w:after="0" w:line="161" w:lineRule="exact"/>
        <w:rPr>
          <w:rFonts w:ascii="Times New Roman" w:cs="Times New Roman" w:eastAsia="Times New Roman" w:hAnsi="Times New Roman"/>
          <w:sz w:val="17"/>
          <w:szCs w:val="17"/>
          <w:b w:val="1"/>
          <w:bCs w:val="1"/>
          <w:color w:val="auto"/>
        </w:rPr>
      </w:pPr>
    </w:p>
    <w:p>
      <w:pPr>
        <w:jc w:val="both"/>
        <w:ind w:left="1220" w:right="1239" w:firstLine="1518"/>
        <w:spacing w:after="0" w:line="241" w:lineRule="auto"/>
        <w:tabs>
          <w:tab w:leader="none" w:pos="3123" w:val="left"/>
        </w:tabs>
        <w:numPr>
          <w:ilvl w:val="0"/>
          <w:numId w:val="7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Apply for the appointment of a receiver, trustee, liquidator or conservator of the Collateral, without notice and without regard to the adequacy of the security for the Obligations and without regard to the solvency of Borrower, any guarantor or any other Person liable for any of the Obligations; and</w:t>
      </w:r>
    </w:p>
    <w:p>
      <w:pPr>
        <w:spacing w:after="0" w:line="139" w:lineRule="exact"/>
        <w:rPr>
          <w:rFonts w:ascii="Times New Roman" w:cs="Times New Roman" w:eastAsia="Times New Roman" w:hAnsi="Times New Roman"/>
          <w:sz w:val="17"/>
          <w:szCs w:val="17"/>
          <w:b w:val="1"/>
          <w:bCs w:val="1"/>
          <w:color w:val="auto"/>
        </w:rPr>
      </w:pPr>
    </w:p>
    <w:p>
      <w:pPr>
        <w:ind w:left="1220" w:right="1239" w:firstLine="1518"/>
        <w:spacing w:after="0" w:line="259" w:lineRule="auto"/>
        <w:tabs>
          <w:tab w:leader="none" w:pos="3112" w:val="left"/>
        </w:tabs>
        <w:numPr>
          <w:ilvl w:val="0"/>
          <w:numId w:val="7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deficiency that exists after disposition of the Collateral as provided above will be paid immediately by Borrower.</w:t>
      </w:r>
    </w:p>
    <w:p>
      <w:pPr>
        <w:spacing w:after="0" w:line="125"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Bank will comply with any applicable state or federal law requirements in connection with a disposition of the Collateral and compliance will not be considered adversely to affect the commercial reasonableness of any sale of the Collateral.</w:t>
      </w:r>
    </w:p>
    <w:p>
      <w:pPr>
        <w:spacing w:after="0" w:line="131" w:lineRule="exact"/>
        <w:rPr>
          <w:sz w:val="20"/>
          <w:szCs w:val="20"/>
          <w:color w:val="auto"/>
        </w:rPr>
      </w:pPr>
    </w:p>
    <w:p>
      <w:pPr>
        <w:jc w:val="both"/>
        <w:ind w:left="1220" w:right="1239" w:firstLine="1009"/>
        <w:spacing w:after="0" w:line="250" w:lineRule="auto"/>
        <w:rPr>
          <w:sz w:val="20"/>
          <w:szCs w:val="20"/>
          <w:color w:val="auto"/>
        </w:rPr>
      </w:pPr>
      <w:r>
        <w:rPr>
          <w:rFonts w:ascii="Times New Roman" w:cs="Times New Roman" w:eastAsia="Times New Roman" w:hAnsi="Times New Roman"/>
          <w:sz w:val="16"/>
          <w:szCs w:val="16"/>
          <w:b w:val="1"/>
          <w:bCs w:val="1"/>
          <w:color w:val="auto"/>
        </w:rPr>
        <w:t xml:space="preserve">9.2 Power of Attorney </w:t>
      </w:r>
      <w:r>
        <w:rPr>
          <w:rFonts w:ascii="Times New Roman" w:cs="Times New Roman" w:eastAsia="Times New Roman" w:hAnsi="Times New Roman"/>
          <w:sz w:val="16"/>
          <w:szCs w:val="16"/>
          <w:color w:val="auto"/>
        </w:rPr>
        <w:t>. Effective only upon the occurrence and during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continuance of an Event of Default, Borrower hereby irrevocably appoints Bank (and any of Bank’s designated officers, or employees) as Borrower’s true and lawful attorney to: (a) send requests for verification of Accounts or notify account debtors of Bank’s security interest in the Accounts; (b) endorse Borrower’s name on any checks or other forms of payment or security that may come into Bank’s possession; (c) sign Borrower’s name on any invoice or bill of lading relating to any Account, drafts against account debtors, schedules and assignments of Accounts, verifications of Accounts, and notices to account debtors; (d) dispose of any Collateral; (e) make, settle, and adjust all claims under and decisions with respect to Borrower’s policies of insurance;</w:t>
      </w:r>
    </w:p>
    <w:p>
      <w:pPr>
        <w:jc w:val="both"/>
        <w:ind w:left="1220" w:right="1239" w:firstLine="4"/>
        <w:spacing w:after="0" w:line="233" w:lineRule="auto"/>
        <w:tabs>
          <w:tab w:leader="none" w:pos="1431" w:val="left"/>
        </w:tabs>
        <w:numPr>
          <w:ilvl w:val="0"/>
          <w:numId w:val="7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settle and adjust disputes and claims respecting the accounts directly with account debtors, for amounts and upon terms which Bank determines to be reasonable; and (g) file, in its sole discretion, one or more financing or continuation statements and amendments thereto, relative to any of the Collateral; provided that Bank may exercise such power of attorney to sign the name of Borrower on any of the documents described in clause (g) above, regardless of whether an Event of Default has occurred. The appointment of Bank as Borrower’s attorney in fact, and each and every one of Bank’s rights and powers, being coupled with an interest, is irrevocable until all of the Obligations (other than inchoate indemnification or reimbursement obligations for which no claims have been asserted) have been fully repaid and performed and Bank’s obligation to provide advances hereunder is terminated.</w:t>
      </w:r>
    </w:p>
    <w:p>
      <w:pPr>
        <w:spacing w:after="0" w:line="141" w:lineRule="exact"/>
        <w:rPr>
          <w:sz w:val="20"/>
          <w:szCs w:val="20"/>
          <w:color w:val="auto"/>
        </w:rPr>
      </w:pPr>
    </w:p>
    <w:p>
      <w:pPr>
        <w:jc w:val="both"/>
        <w:ind w:left="1220" w:right="1239" w:firstLine="1009"/>
        <w:spacing w:after="0" w:line="243" w:lineRule="auto"/>
        <w:rPr>
          <w:sz w:val="20"/>
          <w:szCs w:val="20"/>
          <w:color w:val="auto"/>
        </w:rPr>
      </w:pPr>
      <w:r>
        <w:rPr>
          <w:rFonts w:ascii="Times New Roman" w:cs="Times New Roman" w:eastAsia="Times New Roman" w:hAnsi="Times New Roman"/>
          <w:sz w:val="17"/>
          <w:szCs w:val="17"/>
          <w:b w:val="1"/>
          <w:bCs w:val="1"/>
          <w:color w:val="auto"/>
        </w:rPr>
        <w:t xml:space="preserve">9.3 Accounts Collection </w:t>
      </w:r>
      <w:r>
        <w:rPr>
          <w:rFonts w:ascii="Times New Roman" w:cs="Times New Roman" w:eastAsia="Times New Roman" w:hAnsi="Times New Roman"/>
          <w:sz w:val="17"/>
          <w:szCs w:val="17"/>
          <w:color w:val="auto"/>
        </w:rPr>
        <w:t>. At any time after the occurrence and during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continuation of an Event of Default, Bank may notify any Person owing funds to Borrower of Bank’s security interest in such funds and verify the amount of such Account. Borrower shall collect all amounts owing to Borrower for Bank, receive in trust all payments as Bank’s trustee,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806" w:name="page807"/>
    <w:bookmarkEnd w:id="806"/>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and immediately deliver such payments to Bank in their original form as received from the account debtor, with proper endorsements for deposit.</w:t>
      </w:r>
    </w:p>
    <w:p>
      <w:pPr>
        <w:spacing w:after="0" w:line="121" w:lineRule="exact"/>
        <w:rPr>
          <w:sz w:val="20"/>
          <w:szCs w:val="20"/>
          <w:color w:val="auto"/>
        </w:rPr>
      </w:pPr>
    </w:p>
    <w:p>
      <w:pPr>
        <w:jc w:val="both"/>
        <w:ind w:left="1220" w:right="1239" w:firstLine="1009"/>
        <w:spacing w:after="0" w:line="241" w:lineRule="auto"/>
        <w:rPr>
          <w:sz w:val="20"/>
          <w:szCs w:val="20"/>
          <w:color w:val="auto"/>
        </w:rPr>
      </w:pPr>
      <w:r>
        <w:rPr>
          <w:rFonts w:ascii="Times New Roman" w:cs="Times New Roman" w:eastAsia="Times New Roman" w:hAnsi="Times New Roman"/>
          <w:sz w:val="17"/>
          <w:szCs w:val="17"/>
          <w:b w:val="1"/>
          <w:bCs w:val="1"/>
          <w:color w:val="auto"/>
        </w:rPr>
        <w:t xml:space="preserve">9.4 Bank Expenses </w:t>
      </w:r>
      <w:r>
        <w:rPr>
          <w:rFonts w:ascii="Times New Roman" w:cs="Times New Roman" w:eastAsia="Times New Roman" w:hAnsi="Times New Roman"/>
          <w:sz w:val="17"/>
          <w:szCs w:val="17"/>
          <w:color w:val="auto"/>
        </w:rPr>
        <w:t>. If Borrower fails to pay any amounts or furnish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required proof of payment due to third persons or entities, as required under the terms of this Agreement, then Bank may do any or all of the following after reasonable notice to Borrower:</w:t>
      </w:r>
    </w:p>
    <w:p>
      <w:pPr>
        <w:spacing w:after="0" w:line="1" w:lineRule="exact"/>
        <w:rPr>
          <w:sz w:val="20"/>
          <w:szCs w:val="20"/>
          <w:color w:val="auto"/>
        </w:rPr>
      </w:pPr>
    </w:p>
    <w:p>
      <w:pPr>
        <w:jc w:val="both"/>
        <w:ind w:left="1220" w:right="1239" w:firstLine="4"/>
        <w:spacing w:after="0" w:line="234" w:lineRule="auto"/>
        <w:tabs>
          <w:tab w:leader="none" w:pos="1457" w:val="left"/>
        </w:tabs>
        <w:numPr>
          <w:ilvl w:val="0"/>
          <w:numId w:val="7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make payment of the same or any part thereof; or (b) obtain and maintain insurance policies of the type discussed in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of this Agreement, and take any action with respect to such policies as Bank deems prudent. Any amounts so paid or deposited by Bank shall constitute Bank Expenses, shall be immediately due and payable, shall bear interest at the then applicable rate hereinabove provided, and shall be secured by the Collateral. Any payments made by Bank shall not constitute an agreement by Bank to make similar payments in the future or a waiver by Bank of any Event of Default under this Agreement.</w:t>
      </w:r>
    </w:p>
    <w:p>
      <w:pPr>
        <w:spacing w:after="0" w:line="137"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9.5 Bank’s Liability for Collateral </w:t>
      </w:r>
      <w:r>
        <w:rPr>
          <w:rFonts w:ascii="Times New Roman" w:cs="Times New Roman" w:eastAsia="Times New Roman" w:hAnsi="Times New Roman"/>
          <w:sz w:val="17"/>
          <w:szCs w:val="17"/>
          <w:color w:val="auto"/>
        </w:rPr>
        <w:t>. Bank has no obligation to clean up or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otherwise prepare the Collateral for sale. All risk of loss, damage or destruction of the Collateral shall be borne by Borrower.</w:t>
      </w:r>
    </w:p>
    <w:p>
      <w:pPr>
        <w:spacing w:after="0" w:line="130"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9.6 No Obligation to Pursue Others </w:t>
      </w:r>
      <w:r>
        <w:rPr>
          <w:rFonts w:ascii="Times New Roman" w:cs="Times New Roman" w:eastAsia="Times New Roman" w:hAnsi="Times New Roman"/>
          <w:sz w:val="17"/>
          <w:szCs w:val="17"/>
          <w:color w:val="auto"/>
        </w:rPr>
        <w:t>. Bank has no obligation to attempt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satisfy the Obligations by collecting them from any other person liable for them and Bank may release, modify or waive any collateral provided by any other Person to secure any of the Obligations, all without affecting Bank’s rights against Borrower. Borrower waives any right it may have to require Bank to pursue any other Person for any of the Obligations.</w:t>
      </w:r>
    </w:p>
    <w:p>
      <w:pPr>
        <w:spacing w:after="0" w:line="137"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b w:val="1"/>
          <w:bCs w:val="1"/>
          <w:color w:val="auto"/>
        </w:rPr>
        <w:t>9.7 Remedies Cumulative</w:t>
      </w:r>
      <w:r>
        <w:rPr>
          <w:rFonts w:ascii="Times New Roman" w:cs="Times New Roman" w:eastAsia="Times New Roman" w:hAnsi="Times New Roman"/>
          <w:sz w:val="17"/>
          <w:szCs w:val="17"/>
          <w:color w:val="auto"/>
        </w:rPr>
        <w:t>. Bank’s rights and remedies under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the Loan Documents, and all other agreements shall be cumulative. Bank shall have all other rights and remedies not inconsistent herewith as provided under the Code, by law, or in equity. No exercise by Bank of one right or remedy shall be deemed an election, and no waiver by Bank of any Event of Default on Borrower’s part shall be deemed a continuing waiver. No delay by Bank shall constitute a waiver, election, or acquiescence by it. No waiver by Bank shall be effective unless made in a written document signed on behalf of Bank and then shall be effective only in the specific instance and for the specific purpose for which it was given. Borrower expressly agrees that this </w:t>
      </w:r>
      <w:r>
        <w:rPr>
          <w:rFonts w:ascii="Times New Roman" w:cs="Times New Roman" w:eastAsia="Times New Roman" w:hAnsi="Times New Roman"/>
          <w:sz w:val="17"/>
          <w:szCs w:val="17"/>
          <w:u w:val="single" w:color="auto"/>
          <w:color w:val="auto"/>
        </w:rPr>
        <w:t>Section 9.7</w:t>
      </w:r>
      <w:r>
        <w:rPr>
          <w:rFonts w:ascii="Times New Roman" w:cs="Times New Roman" w:eastAsia="Times New Roman" w:hAnsi="Times New Roman"/>
          <w:sz w:val="17"/>
          <w:szCs w:val="17"/>
          <w:color w:val="auto"/>
        </w:rPr>
        <w:t xml:space="preserve"> may not be waived or modified by Bank by course of performance, conduct, estoppel or otherwise.</w:t>
      </w:r>
    </w:p>
    <w:p>
      <w:pPr>
        <w:spacing w:after="0" w:line="138"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9.8 Demand; Protest </w:t>
      </w:r>
      <w:r>
        <w:rPr>
          <w:rFonts w:ascii="Times New Roman" w:cs="Times New Roman" w:eastAsia="Times New Roman" w:hAnsi="Times New Roman"/>
          <w:sz w:val="17"/>
          <w:szCs w:val="17"/>
          <w:color w:val="auto"/>
        </w:rPr>
        <w:t>. Except as otherwise provided in this Agreement,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Borrower waives demand, protest, notice of protest, notice of default or dishonor, notice of payment and nonpayment and any other notices relating to the Obligations.</w:t>
      </w:r>
    </w:p>
    <w:p>
      <w:pPr>
        <w:spacing w:after="0" w:line="130"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10.  NOTICES.</w:t>
      </w:r>
    </w:p>
    <w:p>
      <w:pPr>
        <w:spacing w:after="0" w:line="166" w:lineRule="exact"/>
        <w:rPr>
          <w:sz w:val="20"/>
          <w:szCs w:val="20"/>
          <w:color w:val="auto"/>
        </w:rPr>
      </w:pPr>
    </w:p>
    <w:p>
      <w:pPr>
        <w:jc w:val="both"/>
        <w:ind w:left="1220" w:right="1239" w:firstLine="505"/>
        <w:spacing w:after="0" w:line="238" w:lineRule="auto"/>
        <w:rPr>
          <w:sz w:val="20"/>
          <w:szCs w:val="20"/>
          <w:color w:val="auto"/>
        </w:rPr>
      </w:pPr>
      <w:r>
        <w:rPr>
          <w:rFonts w:ascii="Times New Roman" w:cs="Times New Roman" w:eastAsia="Times New Roman" w:hAnsi="Times New Roman"/>
          <w:sz w:val="17"/>
          <w:szCs w:val="17"/>
          <w:color w:val="auto"/>
        </w:rPr>
        <w:t xml:space="preserve">Unless otherwise provided in this Agreement, all notices or demands by any party relating to this Agreement or any other agreement entered into in connection herewith shall be in writing and (except for financial statements and other reporting required pursuant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 xml:space="preserve"> of this Agreement, which shall be sent as directed in the monthly reporting forms provided by Bank) shall be personally delivered or sent by a recognized overnight delivery service, certified mail, postage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07" w:name="page808"/>
    <w:bookmarkEnd w:id="807"/>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prepaid, return receipt requested, or by electronic mail to Borrower or to Bank, as the case may be, at its address set forth below:</w:t>
      </w:r>
    </w:p>
    <w:p>
      <w:pPr>
        <w:spacing w:after="0" w:line="121" w:lineRule="exact"/>
        <w:rPr>
          <w:sz w:val="20"/>
          <w:szCs w:val="20"/>
          <w:color w:val="auto"/>
        </w:rPr>
      </w:pPr>
    </w:p>
    <w:tbl>
      <w:tblPr>
        <w:tblLayout w:type="fixed"/>
        <w:tblInd w:w="1220" w:type="dxa"/>
        <w:tblCellMar>
          <w:top w:w="0" w:type="dxa"/>
          <w:left w:w="0" w:type="dxa"/>
          <w:bottom w:w="0" w:type="dxa"/>
          <w:right w:w="0" w:type="dxa"/>
        </w:tblCellMar>
      </w:tblPr>
      <w:tr>
        <w:trPr>
          <w:trHeight w:val="195"/>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If to Borrower:</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Avalyn Pharma Inc.</w:t>
            </w:r>
          </w:p>
        </w:tc>
        <w:tc>
          <w:tcPr>
            <w:tcW w:w="420" w:type="dxa"/>
            <w:vAlign w:val="bottom"/>
          </w:tcPr>
          <w:p>
            <w:pPr>
              <w:spacing w:after="0"/>
              <w:rPr>
                <w:sz w:val="17"/>
                <w:szCs w:val="17"/>
                <w:color w:val="auto"/>
              </w:rPr>
            </w:pPr>
          </w:p>
        </w:tc>
      </w:tr>
      <w:tr>
        <w:trPr>
          <w:trHeight w:val="207"/>
        </w:trPr>
        <w:tc>
          <w:tcPr>
            <w:tcW w:w="1780" w:type="dxa"/>
            <w:vAlign w:val="bottom"/>
          </w:tcPr>
          <w:p>
            <w:pPr>
              <w:spacing w:after="0"/>
              <w:rPr>
                <w:sz w:val="18"/>
                <w:szCs w:val="18"/>
                <w:color w:val="auto"/>
              </w:rPr>
            </w:pPr>
          </w:p>
        </w:tc>
        <w:tc>
          <w:tcPr>
            <w:tcW w:w="2900" w:type="dxa"/>
            <w:vAlign w:val="bottom"/>
            <w:gridSpan w:val="2"/>
          </w:tcPr>
          <w:p>
            <w:pPr>
              <w:ind w:left="260"/>
              <w:spacing w:after="0" w:line="207" w:lineRule="exact"/>
              <w:rPr>
                <w:sz w:val="20"/>
                <w:szCs w:val="20"/>
                <w:color w:val="auto"/>
              </w:rPr>
            </w:pPr>
            <w:r>
              <w:rPr>
                <w:rFonts w:ascii="Times New Roman" w:cs="Times New Roman" w:eastAsia="Times New Roman" w:hAnsi="Times New Roman"/>
                <w:sz w:val="17"/>
                <w:szCs w:val="17"/>
                <w:color w:val="auto"/>
              </w:rPr>
              <w:t>105 West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Street</w:t>
            </w:r>
          </w:p>
        </w:tc>
        <w:tc>
          <w:tcPr>
            <w:tcW w:w="420" w:type="dxa"/>
            <w:vAlign w:val="bottom"/>
          </w:tcPr>
          <w:p>
            <w:pPr>
              <w:spacing w:after="0"/>
              <w:rPr>
                <w:sz w:val="18"/>
                <w:szCs w:val="18"/>
                <w:color w:val="auto"/>
              </w:rPr>
            </w:pPr>
          </w:p>
        </w:tc>
      </w:tr>
      <w:tr>
        <w:trPr>
          <w:trHeight w:val="189"/>
        </w:trPr>
        <w:tc>
          <w:tcPr>
            <w:tcW w:w="1780" w:type="dxa"/>
            <w:vAlign w:val="bottom"/>
          </w:tcPr>
          <w:p>
            <w:pPr>
              <w:spacing w:after="0"/>
              <w:rPr>
                <w:sz w:val="16"/>
                <w:szCs w:val="16"/>
                <w:color w:val="auto"/>
              </w:rPr>
            </w:pPr>
          </w:p>
        </w:tc>
        <w:tc>
          <w:tcPr>
            <w:tcW w:w="29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Boston, Massachusetts 02127 Attn:</w:t>
            </w:r>
          </w:p>
        </w:tc>
        <w:tc>
          <w:tcPr>
            <w:tcW w:w="420" w:type="dxa"/>
            <w:vAlign w:val="bottom"/>
          </w:tcPr>
          <w:p>
            <w:pPr>
              <w:jc w:val="right"/>
              <w:spacing w:after="0" w:line="189" w:lineRule="exact"/>
              <w:rPr>
                <w:sz w:val="20"/>
                <w:szCs w:val="20"/>
                <w:color w:val="auto"/>
              </w:rPr>
            </w:pPr>
            <w:r>
              <w:rPr>
                <w:rFonts w:ascii="Times New Roman" w:cs="Times New Roman" w:eastAsia="Times New Roman" w:hAnsi="Times New Roman"/>
                <w:sz w:val="17"/>
                <w:szCs w:val="17"/>
                <w:color w:val="auto"/>
              </w:rPr>
              <w:t>[***]</w:t>
            </w:r>
          </w:p>
        </w:tc>
      </w:tr>
      <w:tr>
        <w:trPr>
          <w:trHeight w:val="218"/>
        </w:trPr>
        <w:tc>
          <w:tcPr>
            <w:tcW w:w="1780" w:type="dxa"/>
            <w:vAlign w:val="bottom"/>
          </w:tcPr>
          <w:p>
            <w:pPr>
              <w:spacing w:after="0"/>
              <w:rPr>
                <w:sz w:val="18"/>
                <w:szCs w:val="18"/>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E-Mail: [***]</w:t>
            </w:r>
          </w:p>
        </w:tc>
        <w:tc>
          <w:tcPr>
            <w:tcW w:w="420" w:type="dxa"/>
            <w:vAlign w:val="bottom"/>
          </w:tcPr>
          <w:p>
            <w:pPr>
              <w:spacing w:after="0"/>
              <w:rPr>
                <w:sz w:val="18"/>
                <w:szCs w:val="18"/>
                <w:color w:val="auto"/>
              </w:rPr>
            </w:pPr>
          </w:p>
        </w:tc>
      </w:tr>
      <w:tr>
        <w:trPr>
          <w:trHeight w:val="350"/>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with a copy (not</w:t>
            </w:r>
          </w:p>
        </w:tc>
        <w:tc>
          <w:tcPr>
            <w:tcW w:w="7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189"/>
        </w:trPr>
        <w:tc>
          <w:tcPr>
            <w:tcW w:w="17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constituting notice) to:</w:t>
            </w:r>
          </w:p>
        </w:tc>
        <w:tc>
          <w:tcPr>
            <w:tcW w:w="29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Goodwin Procter LLP</w:t>
            </w:r>
          </w:p>
        </w:tc>
        <w:tc>
          <w:tcPr>
            <w:tcW w:w="42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29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620 Eighth Avenue</w:t>
            </w:r>
          </w:p>
        </w:tc>
        <w:tc>
          <w:tcPr>
            <w:tcW w:w="42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29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New York, NY 10018</w:t>
            </w:r>
          </w:p>
        </w:tc>
        <w:tc>
          <w:tcPr>
            <w:tcW w:w="42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780" w:type="dxa"/>
            <w:vAlign w:val="bottom"/>
          </w:tcPr>
          <w:p>
            <w:pPr>
              <w:ind w:left="260"/>
              <w:spacing w:after="0" w:line="189" w:lineRule="exact"/>
              <w:rPr>
                <w:sz w:val="20"/>
                <w:szCs w:val="20"/>
                <w:color w:val="auto"/>
              </w:rPr>
            </w:pPr>
            <w:r>
              <w:rPr>
                <w:rFonts w:ascii="Times New Roman" w:cs="Times New Roman" w:eastAsia="Times New Roman" w:hAnsi="Times New Roman"/>
                <w:sz w:val="17"/>
                <w:szCs w:val="17"/>
                <w:color w:val="auto"/>
              </w:rPr>
              <w:t>Attn:</w:t>
            </w:r>
          </w:p>
        </w:tc>
        <w:tc>
          <w:tcPr>
            <w:tcW w:w="2120" w:type="dxa"/>
            <w:vAlign w:val="bottom"/>
          </w:tcPr>
          <w:p>
            <w:pPr>
              <w:jc w:val="right"/>
              <w:ind w:right="1516"/>
              <w:spacing w:after="0" w:line="189" w:lineRule="exact"/>
              <w:rPr>
                <w:sz w:val="20"/>
                <w:szCs w:val="20"/>
                <w:color w:val="auto"/>
              </w:rPr>
            </w:pPr>
            <w:r>
              <w:rPr>
                <w:rFonts w:ascii="Times New Roman" w:cs="Times New Roman" w:eastAsia="Times New Roman" w:hAnsi="Times New Roman"/>
                <w:sz w:val="17"/>
                <w:szCs w:val="17"/>
                <w:color w:val="auto"/>
              </w:rPr>
              <w:t>[***]</w:t>
            </w:r>
          </w:p>
        </w:tc>
        <w:tc>
          <w:tcPr>
            <w:tcW w:w="420" w:type="dxa"/>
            <w:vAlign w:val="bottom"/>
          </w:tcPr>
          <w:p>
            <w:pPr>
              <w:spacing w:after="0"/>
              <w:rPr>
                <w:sz w:val="16"/>
                <w:szCs w:val="16"/>
                <w:color w:val="auto"/>
              </w:rPr>
            </w:pPr>
          </w:p>
        </w:tc>
      </w:tr>
      <w:tr>
        <w:trPr>
          <w:trHeight w:val="218"/>
        </w:trPr>
        <w:tc>
          <w:tcPr>
            <w:tcW w:w="1780" w:type="dxa"/>
            <w:vAlign w:val="bottom"/>
          </w:tcPr>
          <w:p>
            <w:pPr>
              <w:spacing w:after="0"/>
              <w:rPr>
                <w:sz w:val="18"/>
                <w:szCs w:val="18"/>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Email: [***]</w:t>
            </w:r>
          </w:p>
        </w:tc>
        <w:tc>
          <w:tcPr>
            <w:tcW w:w="420" w:type="dxa"/>
            <w:vAlign w:val="bottom"/>
          </w:tcPr>
          <w:p>
            <w:pPr>
              <w:spacing w:after="0"/>
              <w:rPr>
                <w:sz w:val="18"/>
                <w:szCs w:val="18"/>
                <w:color w:val="auto"/>
              </w:rPr>
            </w:pPr>
          </w:p>
        </w:tc>
      </w:tr>
      <w:tr>
        <w:trPr>
          <w:trHeight w:val="350"/>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If to Bank:</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Banc of California</w:t>
            </w:r>
          </w:p>
        </w:tc>
        <w:tc>
          <w:tcPr>
            <w:tcW w:w="420" w:type="dxa"/>
            <w:vAlign w:val="bottom"/>
          </w:tcPr>
          <w:p>
            <w:pPr>
              <w:spacing w:after="0"/>
              <w:rPr>
                <w:sz w:val="24"/>
                <w:szCs w:val="24"/>
                <w:color w:val="auto"/>
              </w:rPr>
            </w:pPr>
          </w:p>
        </w:tc>
      </w:tr>
      <w:tr>
        <w:trPr>
          <w:trHeight w:val="189"/>
        </w:trPr>
        <w:tc>
          <w:tcPr>
            <w:tcW w:w="1780" w:type="dxa"/>
            <w:vAlign w:val="bottom"/>
          </w:tcPr>
          <w:p>
            <w:pPr>
              <w:spacing w:after="0"/>
              <w:rPr>
                <w:sz w:val="16"/>
                <w:szCs w:val="16"/>
                <w:color w:val="auto"/>
              </w:rPr>
            </w:pPr>
          </w:p>
        </w:tc>
        <w:tc>
          <w:tcPr>
            <w:tcW w:w="29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555 S. Mangum Street, Suite 1000</w:t>
            </w:r>
          </w:p>
        </w:tc>
        <w:tc>
          <w:tcPr>
            <w:tcW w:w="42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29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Durham, North Carolina 27701</w:t>
            </w:r>
          </w:p>
        </w:tc>
        <w:tc>
          <w:tcPr>
            <w:tcW w:w="420" w:type="dxa"/>
            <w:vAlign w:val="bottom"/>
          </w:tcPr>
          <w:p>
            <w:pPr>
              <w:spacing w:after="0"/>
              <w:rPr>
                <w:sz w:val="16"/>
                <w:szCs w:val="16"/>
                <w:color w:val="auto"/>
              </w:rPr>
            </w:pPr>
          </w:p>
        </w:tc>
      </w:tr>
      <w:tr>
        <w:trPr>
          <w:trHeight w:val="189"/>
        </w:trPr>
        <w:tc>
          <w:tcPr>
            <w:tcW w:w="1780" w:type="dxa"/>
            <w:vAlign w:val="bottom"/>
          </w:tcPr>
          <w:p>
            <w:pPr>
              <w:spacing w:after="0"/>
              <w:rPr>
                <w:sz w:val="16"/>
                <w:szCs w:val="16"/>
                <w:color w:val="auto"/>
              </w:rPr>
            </w:pPr>
          </w:p>
        </w:tc>
        <w:tc>
          <w:tcPr>
            <w:tcW w:w="2900" w:type="dxa"/>
            <w:vAlign w:val="bottom"/>
            <w:gridSpan w:val="2"/>
          </w:tcPr>
          <w:p>
            <w:pPr>
              <w:ind w:left="260"/>
              <w:spacing w:after="0" w:line="189" w:lineRule="exact"/>
              <w:rPr>
                <w:sz w:val="20"/>
                <w:szCs w:val="20"/>
                <w:color w:val="auto"/>
              </w:rPr>
            </w:pPr>
            <w:r>
              <w:rPr>
                <w:rFonts w:ascii="Times New Roman" w:cs="Times New Roman" w:eastAsia="Times New Roman" w:hAnsi="Times New Roman"/>
                <w:sz w:val="17"/>
                <w:szCs w:val="17"/>
                <w:color w:val="auto"/>
              </w:rPr>
              <w:t>Attn: Loan Operations Manager</w:t>
            </w:r>
          </w:p>
        </w:tc>
        <w:tc>
          <w:tcPr>
            <w:tcW w:w="420" w:type="dxa"/>
            <w:vAlign w:val="bottom"/>
          </w:tcPr>
          <w:p>
            <w:pPr>
              <w:spacing w:after="0"/>
              <w:rPr>
                <w:sz w:val="16"/>
                <w:szCs w:val="16"/>
                <w:color w:val="auto"/>
              </w:rPr>
            </w:pPr>
          </w:p>
        </w:tc>
      </w:tr>
      <w:tr>
        <w:trPr>
          <w:trHeight w:val="218"/>
        </w:trPr>
        <w:tc>
          <w:tcPr>
            <w:tcW w:w="1780" w:type="dxa"/>
            <w:vAlign w:val="bottom"/>
          </w:tcPr>
          <w:p>
            <w:pPr>
              <w:spacing w:after="0"/>
              <w:rPr>
                <w:sz w:val="18"/>
                <w:szCs w:val="18"/>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E-Mail: [***]</w:t>
            </w:r>
          </w:p>
        </w:tc>
        <w:tc>
          <w:tcPr>
            <w:tcW w:w="420" w:type="dxa"/>
            <w:vAlign w:val="bottom"/>
          </w:tcPr>
          <w:p>
            <w:pPr>
              <w:spacing w:after="0"/>
              <w:rPr>
                <w:sz w:val="18"/>
                <w:szCs w:val="18"/>
                <w:color w:val="auto"/>
              </w:rPr>
            </w:pPr>
          </w:p>
        </w:tc>
      </w:tr>
      <w:tr>
        <w:trPr>
          <w:trHeight w:val="350"/>
        </w:trPr>
        <w:tc>
          <w:tcPr>
            <w:tcW w:w="1780" w:type="dxa"/>
            <w:vAlign w:val="bottom"/>
          </w:tcPr>
          <w:p>
            <w:pPr>
              <w:spacing w:after="0"/>
              <w:rPr>
                <w:sz w:val="20"/>
                <w:szCs w:val="20"/>
                <w:color w:val="auto"/>
              </w:rPr>
            </w:pPr>
            <w:r>
              <w:rPr>
                <w:rFonts w:ascii="Times New Roman" w:cs="Times New Roman" w:eastAsia="Times New Roman" w:hAnsi="Times New Roman"/>
                <w:sz w:val="17"/>
                <w:szCs w:val="17"/>
                <w:color w:val="auto"/>
              </w:rPr>
              <w:t>with a copy to:</w:t>
            </w: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Banc of California</w:t>
            </w:r>
          </w:p>
        </w:tc>
        <w:tc>
          <w:tcPr>
            <w:tcW w:w="420" w:type="dxa"/>
            <w:vAlign w:val="bottom"/>
          </w:tcPr>
          <w:p>
            <w:pPr>
              <w:spacing w:after="0"/>
              <w:rPr>
                <w:sz w:val="24"/>
                <w:szCs w:val="24"/>
                <w:color w:val="auto"/>
              </w:rPr>
            </w:pPr>
          </w:p>
        </w:tc>
      </w:tr>
      <w:tr>
        <w:trPr>
          <w:trHeight w:val="207"/>
        </w:trPr>
        <w:tc>
          <w:tcPr>
            <w:tcW w:w="1780" w:type="dxa"/>
            <w:vAlign w:val="bottom"/>
          </w:tcPr>
          <w:p>
            <w:pPr>
              <w:spacing w:after="0"/>
              <w:rPr>
                <w:sz w:val="18"/>
                <w:szCs w:val="18"/>
                <w:color w:val="auto"/>
              </w:rPr>
            </w:pPr>
          </w:p>
        </w:tc>
        <w:tc>
          <w:tcPr>
            <w:tcW w:w="290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555 South Mangum Street, Suite 1000</w:t>
            </w:r>
          </w:p>
        </w:tc>
        <w:tc>
          <w:tcPr>
            <w:tcW w:w="420" w:type="dxa"/>
            <w:vAlign w:val="bottom"/>
          </w:tcPr>
          <w:p>
            <w:pPr>
              <w:spacing w:after="0"/>
              <w:rPr>
                <w:sz w:val="18"/>
                <w:szCs w:val="18"/>
                <w:color w:val="auto"/>
              </w:rPr>
            </w:pPr>
          </w:p>
        </w:tc>
      </w:tr>
    </w:tbl>
    <w:p>
      <w:pPr>
        <w:ind w:left="3260"/>
        <w:spacing w:after="0" w:line="232" w:lineRule="auto"/>
        <w:rPr>
          <w:sz w:val="20"/>
          <w:szCs w:val="20"/>
          <w:color w:val="auto"/>
        </w:rPr>
      </w:pPr>
      <w:r>
        <w:rPr>
          <w:rFonts w:ascii="Times New Roman" w:cs="Times New Roman" w:eastAsia="Times New Roman" w:hAnsi="Times New Roman"/>
          <w:sz w:val="17"/>
          <w:szCs w:val="17"/>
          <w:color w:val="auto"/>
        </w:rPr>
        <w:t>Durham, North Carolina 27701</w:t>
      </w:r>
    </w:p>
    <w:p>
      <w:pPr>
        <w:ind w:left="3260"/>
        <w:spacing w:after="0" w:line="232" w:lineRule="auto"/>
        <w:rPr>
          <w:sz w:val="20"/>
          <w:szCs w:val="20"/>
          <w:color w:val="auto"/>
        </w:rPr>
      </w:pPr>
      <w:r>
        <w:rPr>
          <w:rFonts w:ascii="Times New Roman" w:cs="Times New Roman" w:eastAsia="Times New Roman" w:hAnsi="Times New Roman"/>
          <w:sz w:val="17"/>
          <w:szCs w:val="17"/>
          <w:color w:val="auto"/>
        </w:rPr>
        <w:t>Attn: [***]</w:t>
      </w:r>
    </w:p>
    <w:p>
      <w:pPr>
        <w:spacing w:after="0" w:line="1"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7"/>
          <w:szCs w:val="17"/>
          <w:color w:val="auto"/>
        </w:rPr>
        <w:t>Email: [***]</w:t>
      </w:r>
    </w:p>
    <w:p>
      <w:pPr>
        <w:spacing w:after="0" w:line="165" w:lineRule="exact"/>
        <w:rPr>
          <w:sz w:val="20"/>
          <w:szCs w:val="20"/>
          <w:color w:val="auto"/>
        </w:rPr>
      </w:pPr>
    </w:p>
    <w:p>
      <w:pPr>
        <w:jc w:val="both"/>
        <w:ind w:left="1220" w:right="1239" w:firstLine="505"/>
        <w:spacing w:after="0" w:line="259" w:lineRule="auto"/>
        <w:rPr>
          <w:sz w:val="20"/>
          <w:szCs w:val="20"/>
          <w:color w:val="auto"/>
        </w:rPr>
      </w:pPr>
      <w:r>
        <w:rPr>
          <w:rFonts w:ascii="Times New Roman" w:cs="Times New Roman" w:eastAsia="Times New Roman" w:hAnsi="Times New Roman"/>
          <w:sz w:val="17"/>
          <w:szCs w:val="17"/>
          <w:color w:val="auto"/>
        </w:rPr>
        <w:t>The parties hereto may change the address at which they are to receive notices hereunder, by notice in writing in the foregoing manner given to the other.</w:t>
      </w:r>
    </w:p>
    <w:p>
      <w:pPr>
        <w:spacing w:after="0" w:line="12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11.  CHOICE OF LAW AND VENUE; JURY TRIAL WAIVER.</w:t>
      </w:r>
    </w:p>
    <w:p>
      <w:pPr>
        <w:spacing w:after="0" w:line="166" w:lineRule="exact"/>
        <w:rPr>
          <w:sz w:val="20"/>
          <w:szCs w:val="20"/>
          <w:color w:val="auto"/>
        </w:rPr>
      </w:pPr>
    </w:p>
    <w:p>
      <w:pPr>
        <w:jc w:val="both"/>
        <w:ind w:left="1220" w:right="1239"/>
        <w:spacing w:after="0" w:line="234" w:lineRule="auto"/>
        <w:rPr>
          <w:sz w:val="20"/>
          <w:szCs w:val="20"/>
          <w:color w:val="auto"/>
        </w:rPr>
      </w:pPr>
      <w:r>
        <w:rPr>
          <w:rFonts w:ascii="Times New Roman" w:cs="Times New Roman" w:eastAsia="Times New Roman" w:hAnsi="Times New Roman"/>
          <w:sz w:val="17"/>
          <w:szCs w:val="17"/>
          <w:color w:val="auto"/>
        </w:rPr>
        <w:t>This Agreement shall be governed by, and construed in accordance with, the internal laws of the State of New York, without regard to principles of conflicts of law (other than Title 14 of Article 5 of the New York General Obligations Law). Jurisdiction shall lie in the State of New York. All disputes, controversies, claims, actions and similar proceedings arising with respect to Borrower’s account or any related agreement or transaction shall be brought in the New York state courts sitting in New York County, New York or the United States District Court for the Southern District of New York, except as provided below with respect to arbitration of such matters. BANK AND BORROWER EACH ACKNOWLEDGE THAT THE RIGHT TO TRIAL BY JURY IS A CONSTITUTIONAL ONE, BUT THAT IT MAY BE WAIVED. EACH OF THEM, AFTER CONSULTING OR HAVING HAD THE OPPORTUNITY TO CONSULT WITH COUNSEL OF THEIR CHOICE, KNOWINGLY, VOLUNTARILY AND INTENTIONALLY WAIVES ANY RIGHT ANY OF THEM MAY HAVE TO A TRIAL BY JURY IN ANY LITIGATION BASED UPON OR ARISING OUT OF THIS AGREEMENT OR ANY RELATED INSTRUMENT OR LOAN DOCUMENT OR ANY OF THE TRANSACTIONS</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08" w:name="page809"/>
    <w:bookmarkEnd w:id="808"/>
    <w:p>
      <w:pPr>
        <w:jc w:val="both"/>
        <w:ind w:left="1220" w:right="1239"/>
        <w:spacing w:after="0" w:line="233" w:lineRule="auto"/>
        <w:rPr>
          <w:sz w:val="20"/>
          <w:szCs w:val="20"/>
          <w:color w:val="auto"/>
        </w:rPr>
      </w:pPr>
      <w:r>
        <w:rPr>
          <w:rFonts w:ascii="Times New Roman" w:cs="Times New Roman" w:eastAsia="Times New Roman" w:hAnsi="Times New Roman"/>
          <w:sz w:val="17"/>
          <w:szCs w:val="17"/>
          <w:color w:val="auto"/>
        </w:rPr>
        <w:t xml:space="preserve">CONTEMPLATED BY THIS AGREEMENT OR ANY COURSE OF CONDUCT, DEALING, STATEMENTS (WHETHER ORAL OR WRITTEN), OR ACTION OF ANY OF THEM. THESE PROVISIONS SHALL NOT BE DEEMED TO HAVE BEEN MODIFIED IN ANY RESPECT OR RELINQUISHED BY BANK OR BORROWER, EXCEPT BY A WRITTEN INSTRUMENT EXECUTED BY EACH OF THEM. If the jury waiver set forth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is not enforceable, then any dispute, controversy, claim, action or similar proceeding arising out of or relating to this Agreement, the Loan Documents or any of the transactions contemplated therein shall be settled by final and binding arbitration held in New York, New York in accordance with the then current Commercial Arbitration Rules of the American Arbitration Association by one arbitrator appointed in accordance with those rules. The arbitrator shall apply New York law to the resolution of any dispute, without reference to rules of conflicts of law (other than Title 14 of Article 5 of the New York General Obligations Law) or rules of statutory arbitration. Judgment upon any award resulting from arbitration may be entered into and enforced by any state or federal court having jurisdiction thereof. Notwithstanding the foregoing, the parties may apply to any court of competent jurisdiction for preliminary or interim equitable relief, or to compel arbitration in accordance with this Section. The costs and expenses of the arbitration, including without limitation, the arbitrator’s fees and expert witness reasonable and documented out of pocket fees, and reasonable and documented out of pocket attorneys’ fees, incurred by the parties to the arbitration may be awarded to the prevailing party, in the discretion of the arbitrator, or may be apportioned between the parties in any manner deemed appropriate by the arbitrator. Unless and until the arbitrator decides that one party is to pay for all (or a share) of such costs and expenses, both parties shall share equally in the payment of the arbitrator’s fees as and when billed by the arbitrator.</w:t>
      </w:r>
    </w:p>
    <w:p>
      <w:pPr>
        <w:spacing w:after="0" w:line="151"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7"/>
          <w:szCs w:val="17"/>
          <w:b w:val="1"/>
          <w:bCs w:val="1"/>
          <w:color w:val="auto"/>
        </w:rPr>
        <w:t>12.  GENERAL PROVISIONS.</w:t>
      </w:r>
    </w:p>
    <w:p>
      <w:pPr>
        <w:spacing w:after="0" w:line="162" w:lineRule="exact"/>
        <w:rPr>
          <w:sz w:val="20"/>
          <w:szCs w:val="20"/>
          <w:color w:val="auto"/>
        </w:rPr>
      </w:pPr>
    </w:p>
    <w:p>
      <w:pPr>
        <w:jc w:val="both"/>
        <w:ind w:left="1220" w:right="1239" w:firstLine="1009"/>
        <w:spacing w:after="0" w:line="235" w:lineRule="auto"/>
        <w:rPr>
          <w:sz w:val="20"/>
          <w:szCs w:val="20"/>
          <w:color w:val="auto"/>
        </w:rPr>
      </w:pPr>
      <w:r>
        <w:rPr>
          <w:rFonts w:ascii="Times New Roman" w:cs="Times New Roman" w:eastAsia="Times New Roman" w:hAnsi="Times New Roman"/>
          <w:sz w:val="17"/>
          <w:szCs w:val="17"/>
          <w:b w:val="1"/>
          <w:bCs w:val="1"/>
          <w:color w:val="auto"/>
        </w:rPr>
        <w:t xml:space="preserve">12.1 Successors and Assigns </w:t>
      </w:r>
      <w:r>
        <w:rPr>
          <w:rFonts w:ascii="Times New Roman" w:cs="Times New Roman" w:eastAsia="Times New Roman" w:hAnsi="Times New Roman"/>
          <w:sz w:val="17"/>
          <w:szCs w:val="17"/>
          <w:color w:val="auto"/>
        </w:rPr>
        <w:t>. This Agreement shall bind and inure to the benefit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the respective successors and permitted assigns of each of the parties and shall bind all persons who become bound as a debtor to this Agreement; provided, however, that neither this Agreement nor any rights hereunder may be assigned by Borrower without Bank’s prior written consent, which consent may be granted or withheld in Bank’s sole discretion. Bank shall have the right without the consent of or notice to Borrower to sell, assign, transfer, negotiate, or grant participation in all or any part of, or any interest in, Bank’s obligations, rights and benefits hereunder. Notwithstanding the foregoing, so long as no Event of Default shall have occurred and be continuing, Bank shall not assign its interests in the Loan Documents to any Person who, in the reasonable estimation of Bank, is (a) a direct competitor of Borrower or (b) a vulture fund or distressed debt fund.</w:t>
      </w:r>
    </w:p>
    <w:p>
      <w:pPr>
        <w:spacing w:after="0" w:line="144" w:lineRule="exact"/>
        <w:rPr>
          <w:sz w:val="20"/>
          <w:szCs w:val="20"/>
          <w:color w:val="auto"/>
        </w:rPr>
      </w:pPr>
    </w:p>
    <w:p>
      <w:pPr>
        <w:jc w:val="both"/>
        <w:ind w:left="1220" w:right="1239" w:firstLine="1009"/>
        <w:spacing w:after="0" w:line="236" w:lineRule="auto"/>
        <w:rPr>
          <w:sz w:val="20"/>
          <w:szCs w:val="20"/>
          <w:color w:val="auto"/>
        </w:rPr>
      </w:pPr>
      <w:r>
        <w:rPr>
          <w:rFonts w:ascii="Times New Roman" w:cs="Times New Roman" w:eastAsia="Times New Roman" w:hAnsi="Times New Roman"/>
          <w:sz w:val="17"/>
          <w:szCs w:val="17"/>
          <w:b w:val="1"/>
          <w:bCs w:val="1"/>
          <w:color w:val="auto"/>
        </w:rPr>
        <w:t>12.2 Indemnification</w:t>
      </w:r>
      <w:r>
        <w:rPr>
          <w:rFonts w:ascii="Times New Roman" w:cs="Times New Roman" w:eastAsia="Times New Roman" w:hAnsi="Times New Roman"/>
          <w:sz w:val="17"/>
          <w:szCs w:val="17"/>
          <w:color w:val="auto"/>
        </w:rPr>
        <w:t>. Borrower shall defend, indemnify and hold harmless Bank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its officers, directors, employees, affiliates, advisors and agents against: (a) all obligations, demands, claims, and liabilities claimed or asserted by any other party in connection with the transactions contemplated by this Agreement; and (b) all losses or Bank Expenses in any way suffered, incurred, or paid by Bank, its officers, employees and agents as a result of or in any way arising out of, following, or consequential to transactions between Bank and Borrower whether under this Agreement, or otherwise (including without limitation reasonable and documented out-of-pocket attorneys’ fees and expenses), except for losses caused by Bank’s gross</w:t>
      </w:r>
    </w:p>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809" w:name="page810"/>
    <w:bookmarkEnd w:id="809"/>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negligence or willful misconduct as determined by a court of competent jurisdiction by final and non-appealable order.</w:t>
      </w:r>
    </w:p>
    <w:p>
      <w:pPr>
        <w:spacing w:after="0" w:line="110" w:lineRule="exact"/>
        <w:rPr>
          <w:sz w:val="20"/>
          <w:szCs w:val="20"/>
          <w:color w:val="auto"/>
        </w:rPr>
      </w:pPr>
    </w:p>
    <w:p>
      <w:pPr>
        <w:jc w:val="both"/>
        <w:ind w:left="1220" w:right="1239" w:firstLine="1009"/>
        <w:spacing w:after="0" w:line="264" w:lineRule="auto"/>
        <w:rPr>
          <w:sz w:val="20"/>
          <w:szCs w:val="20"/>
          <w:color w:val="auto"/>
        </w:rPr>
      </w:pPr>
      <w:r>
        <w:rPr>
          <w:rFonts w:ascii="Times New Roman" w:cs="Times New Roman" w:eastAsia="Times New Roman" w:hAnsi="Times New Roman"/>
          <w:sz w:val="17"/>
          <w:szCs w:val="17"/>
          <w:b w:val="1"/>
          <w:bCs w:val="1"/>
          <w:color w:val="auto"/>
        </w:rPr>
        <w:t xml:space="preserve">12.3 Time of Essence </w:t>
      </w:r>
      <w:r>
        <w:rPr>
          <w:rFonts w:ascii="Times New Roman" w:cs="Times New Roman" w:eastAsia="Times New Roman" w:hAnsi="Times New Roman"/>
          <w:sz w:val="17"/>
          <w:szCs w:val="17"/>
          <w:color w:val="auto"/>
        </w:rPr>
        <w:t>. Time is of the essence for the performance of all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obligations set forth in this Agreement.</w:t>
      </w:r>
    </w:p>
    <w:p>
      <w:pPr>
        <w:spacing w:after="0" w:line="96" w:lineRule="exact"/>
        <w:rPr>
          <w:sz w:val="20"/>
          <w:szCs w:val="20"/>
          <w:color w:val="auto"/>
        </w:rPr>
      </w:pPr>
    </w:p>
    <w:p>
      <w:pPr>
        <w:jc w:val="both"/>
        <w:ind w:left="1220" w:right="1239" w:firstLine="1009"/>
        <w:spacing w:after="0" w:line="248" w:lineRule="auto"/>
        <w:rPr>
          <w:sz w:val="20"/>
          <w:szCs w:val="20"/>
          <w:color w:val="auto"/>
        </w:rPr>
      </w:pPr>
      <w:r>
        <w:rPr>
          <w:rFonts w:ascii="Times New Roman" w:cs="Times New Roman" w:eastAsia="Times New Roman" w:hAnsi="Times New Roman"/>
          <w:sz w:val="17"/>
          <w:szCs w:val="17"/>
          <w:b w:val="1"/>
          <w:bCs w:val="1"/>
          <w:color w:val="auto"/>
        </w:rPr>
        <w:t xml:space="preserve">12.4 Severability of Provisions </w:t>
      </w:r>
      <w:r>
        <w:rPr>
          <w:rFonts w:ascii="Times New Roman" w:cs="Times New Roman" w:eastAsia="Times New Roman" w:hAnsi="Times New Roman"/>
          <w:sz w:val="17"/>
          <w:szCs w:val="17"/>
          <w:color w:val="auto"/>
        </w:rPr>
        <w:t>. Each provision of this Agreement shall be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severable from every other provision of this Agreement for the purpose of determining the legal enforceability of any specific provision.</w:t>
      </w:r>
    </w:p>
    <w:p>
      <w:pPr>
        <w:spacing w:after="0" w:line="119" w:lineRule="exact"/>
        <w:rPr>
          <w:sz w:val="20"/>
          <w:szCs w:val="20"/>
          <w:color w:val="auto"/>
        </w:rPr>
      </w:pPr>
    </w:p>
    <w:p>
      <w:pPr>
        <w:jc w:val="both"/>
        <w:ind w:left="1220" w:right="1239" w:firstLine="1009"/>
        <w:spacing w:after="0"/>
        <w:rPr>
          <w:sz w:val="20"/>
          <w:szCs w:val="20"/>
          <w:color w:val="auto"/>
        </w:rPr>
      </w:pPr>
      <w:r>
        <w:rPr>
          <w:rFonts w:ascii="Times New Roman" w:cs="Times New Roman" w:eastAsia="Times New Roman" w:hAnsi="Times New Roman"/>
          <w:sz w:val="17"/>
          <w:szCs w:val="17"/>
          <w:b w:val="1"/>
          <w:bCs w:val="1"/>
          <w:color w:val="auto"/>
        </w:rPr>
        <w:t xml:space="preserve">12.5 Amendments in Writing, Integration. </w:t>
      </w:r>
      <w:r>
        <w:rPr>
          <w:rFonts w:ascii="Times New Roman" w:cs="Times New Roman" w:eastAsia="Times New Roman" w:hAnsi="Times New Roman"/>
          <w:sz w:val="17"/>
          <w:szCs w:val="17"/>
          <w:color w:val="auto"/>
        </w:rPr>
        <w:t>All amendments to or terminations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of this Agreement or the other Loan Documents must be in writing. All prior agreements, understandings, representations, warranties, and negotiations between the parties hereto with respect to the subject matter of this Agreement and the other Loan Documents, if any, are merged into this Agreement and the Loan Documents.</w:t>
      </w:r>
    </w:p>
    <w:p>
      <w:pPr>
        <w:spacing w:after="0" w:line="126" w:lineRule="exact"/>
        <w:rPr>
          <w:sz w:val="20"/>
          <w:szCs w:val="20"/>
          <w:color w:val="auto"/>
        </w:rPr>
      </w:pPr>
    </w:p>
    <w:p>
      <w:pPr>
        <w:jc w:val="both"/>
        <w:ind w:left="1220" w:right="1239" w:firstLine="1009"/>
        <w:spacing w:after="0" w:line="249" w:lineRule="auto"/>
        <w:rPr>
          <w:sz w:val="20"/>
          <w:szCs w:val="20"/>
          <w:color w:val="auto"/>
        </w:rPr>
      </w:pPr>
      <w:r>
        <w:rPr>
          <w:rFonts w:ascii="Times New Roman" w:cs="Times New Roman" w:eastAsia="Times New Roman" w:hAnsi="Times New Roman"/>
          <w:sz w:val="16"/>
          <w:szCs w:val="16"/>
          <w:b w:val="1"/>
          <w:bCs w:val="1"/>
          <w:color w:val="auto"/>
        </w:rPr>
        <w:t xml:space="preserve">12.6 Counterparts; Electronic Transmission; Electronic Signatures. </w:t>
      </w:r>
      <w:r>
        <w:rPr>
          <w:rFonts w:ascii="Times New Roman" w:cs="Times New Roman" w:eastAsia="Times New Roman" w:hAnsi="Times New Roman"/>
          <w:sz w:val="16"/>
          <w:szCs w:val="16"/>
          <w:color w:val="auto"/>
        </w:rPr>
        <w:t>This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Agreement may be executed in any number of counterparts and by different parties on separate counterparts, each of which, when executed and delivered, shall be deemed to be an original, and all of which, when taken together, shall constitute but one and the same Agreement. Executed copies of this Agreement or the signature pages of this Agreement sent by facsimile or transmitted electronically in Portable Document Format (“PDF”) or any similar format, or transmitted electronically by digital image, DocuSign, or other means of electronic transmission, shall be treated as originals, fully binding and with full legal force and effect, and the parties waive any rights they may have to object to such treatment. The words “execution,” “signed,” “signature,” “delivery,” and words of like import in or relating to this Agreement and/or any document to be signed in connection with this Agreement and the transactions contemplated hereby shall be deemed to include Electronic Signatures (as defined below), deliveries or the keeping of records in electronic form, each of which shall be of the same legal effect, validity or enforceability as a manually executed signature, physical delivery thereof or the use of a paper-based recordkeeping system, as the case may be. As used herein, “Electronic Signatures” means any electronic symbol or process attached to, or associated with, any contract or other record and adopted by a person with the intent to sign, authenticate or accept such contract or record.</w:t>
      </w:r>
    </w:p>
    <w:p>
      <w:pPr>
        <w:spacing w:after="0" w:line="119" w:lineRule="exact"/>
        <w:rPr>
          <w:sz w:val="20"/>
          <w:szCs w:val="20"/>
          <w:color w:val="auto"/>
        </w:rPr>
      </w:pPr>
    </w:p>
    <w:p>
      <w:pPr>
        <w:jc w:val="both"/>
        <w:ind w:left="1220" w:right="1239" w:firstLine="1009"/>
        <w:spacing w:after="0" w:line="238" w:lineRule="auto"/>
        <w:rPr>
          <w:sz w:val="20"/>
          <w:szCs w:val="20"/>
          <w:color w:val="auto"/>
        </w:rPr>
      </w:pPr>
      <w:r>
        <w:rPr>
          <w:rFonts w:ascii="Times New Roman" w:cs="Times New Roman" w:eastAsia="Times New Roman" w:hAnsi="Times New Roman"/>
          <w:sz w:val="17"/>
          <w:szCs w:val="17"/>
          <w:b w:val="1"/>
          <w:bCs w:val="1"/>
          <w:color w:val="auto"/>
        </w:rPr>
        <w:t xml:space="preserve">12.7 Survival </w:t>
      </w:r>
      <w:r>
        <w:rPr>
          <w:rFonts w:ascii="Times New Roman" w:cs="Times New Roman" w:eastAsia="Times New Roman" w:hAnsi="Times New Roman"/>
          <w:sz w:val="17"/>
          <w:szCs w:val="17"/>
          <w:color w:val="auto"/>
        </w:rPr>
        <w:t>. All covenants, representations and warranties made in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Agreement shall continue in full force and effect so long as any Obligations (other than inchoate indemnification or reimbursement obligations for which no claims have been asserted) remain outstanding or so long as Bank has any obligation to make any Credit Extension to Borrower. The obligations of Borrower to indemnify Bank with respect to the expenses, damages, losses, costs and liabilities described in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xml:space="preserve"> shall survive until all applicable statute of limitations periods with respect to actions that may be brought against Bank have run.</w:t>
      </w:r>
    </w:p>
    <w:p>
      <w:pPr>
        <w:spacing w:after="0" w:line="1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7"/>
          <w:szCs w:val="17"/>
          <w:b w:val="1"/>
          <w:bCs w:val="1"/>
          <w:color w:val="auto"/>
        </w:rPr>
        <w:t>12.8 Confidentiality and Publicity</w:t>
      </w:r>
      <w:r>
        <w:rPr>
          <w:rFonts w:ascii="Times New Roman" w:cs="Times New Roman" w:eastAsia="Times New Roman" w:hAnsi="Times New Roman"/>
          <w:sz w:val="17"/>
          <w:szCs w:val="17"/>
          <w:color w:val="auto"/>
        </w:rPr>
        <w:t>.</w:t>
      </w:r>
    </w:p>
    <w:p>
      <w:pPr>
        <w:spacing w:after="0" w:line="155" w:lineRule="exact"/>
        <w:rPr>
          <w:sz w:val="20"/>
          <w:szCs w:val="20"/>
          <w:color w:val="auto"/>
        </w:rPr>
      </w:pPr>
    </w:p>
    <w:p>
      <w:pPr>
        <w:jc w:val="both"/>
        <w:ind w:left="1220" w:right="1239" w:firstLine="1518"/>
        <w:spacing w:after="0" w:line="239" w:lineRule="auto"/>
        <w:tabs>
          <w:tab w:leader="none" w:pos="3081" w:val="left"/>
        </w:tabs>
        <w:numPr>
          <w:ilvl w:val="0"/>
          <w:numId w:val="7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Borrower shall not, and shall not permit any of its Affiliates to: (i) publish or publicly disclose any materials containing Bank’s name, including in any press release or otherwise in connection with any advertising or marketing, without first obtaining Bank’s prior written consent, or (ii) use Bank’s name (or the name of any of its Affiliates) in connection with</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10" w:name="page811"/>
    <w:bookmarkEnd w:id="810"/>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 xml:space="preserve">its operations or business; provided, that, nothing set forth in this </w:t>
      </w:r>
      <w:r>
        <w:rPr>
          <w:rFonts w:ascii="Times New Roman" w:cs="Times New Roman" w:eastAsia="Times New Roman" w:hAnsi="Times New Roman"/>
          <w:sz w:val="17"/>
          <w:szCs w:val="17"/>
          <w:u w:val="single" w:color="auto"/>
          <w:color w:val="auto"/>
        </w:rPr>
        <w:t>Section 12.8(a)</w:t>
      </w:r>
      <w:r>
        <w:rPr>
          <w:rFonts w:ascii="Times New Roman" w:cs="Times New Roman" w:eastAsia="Times New Roman" w:hAnsi="Times New Roman"/>
          <w:sz w:val="17"/>
          <w:szCs w:val="17"/>
          <w:color w:val="auto"/>
        </w:rPr>
        <w:t xml:space="preserve"> shall prohibit the disclosure by Borrower or its Affiliate of any information or materials to the extent required by law, regulation, subpoena, or other order and in connection with reporting obligations applicable to such Borrower or Affiliate, including pursuant to the Exchange Act of 1934, as amended.</w:t>
      </w:r>
    </w:p>
    <w:p>
      <w:pPr>
        <w:spacing w:after="0" w:line="141" w:lineRule="exact"/>
        <w:rPr>
          <w:sz w:val="20"/>
          <w:szCs w:val="20"/>
          <w:color w:val="auto"/>
        </w:rPr>
      </w:pPr>
    </w:p>
    <w:p>
      <w:pPr>
        <w:jc w:val="both"/>
        <w:ind w:left="1220" w:right="1239" w:firstLine="1518"/>
        <w:spacing w:after="0" w:line="248" w:lineRule="auto"/>
        <w:tabs>
          <w:tab w:leader="none" w:pos="3102" w:val="left"/>
        </w:tabs>
        <w:numPr>
          <w:ilvl w:val="1"/>
          <w:numId w:val="7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In handling any confidential information, Bank shall maintain in confidence, in accordance with its customary procedures for handling confidential information, all written non-public information furnished to Bank on a confidential basis clearly identified at the time of delivery as such (“Confidential Information”) other than any such Confidential Information that becomes generally available to the public or becomes available to Bank from a source other than Borrower and that is not known to Bank to be subject to confidentiality obligations; provided, that Bank and its Affiliates shall have the right to disclose Confidential Information to: (i) such Person’s Affiliates; (ii) such Person or such Person’s Affiliates’ lenders, funding sources, or financing sources, so long as such Persons are bound by confidentiality terms not more permissive than the terms hereof; (iii) such Person’s or such Person’s Affiliates’ directors, officers, trustees, partners, members, managers, employees, agents, advisors, representatives, attorneys, professional consultants, portfolio management services and rating agencies, so long as such Persons are bound by confidentiality terms not more permissive than the terms hereof; (iv) any successor or permitted assign of Bank, provided that such Persons have agreed to maintain confidentiality on substantially similar terms as those in this </w:t>
      </w:r>
      <w:r>
        <w:rPr>
          <w:rFonts w:ascii="Times New Roman" w:cs="Times New Roman" w:eastAsia="Times New Roman" w:hAnsi="Times New Roman"/>
          <w:sz w:val="16"/>
          <w:szCs w:val="16"/>
          <w:u w:val="single" w:color="auto"/>
          <w:color w:val="auto"/>
        </w:rPr>
        <w:t>Section 12.8(b)</w:t>
      </w:r>
      <w:r>
        <w:rPr>
          <w:rFonts w:ascii="Times New Roman" w:cs="Times New Roman" w:eastAsia="Times New Roman" w:hAnsi="Times New Roman"/>
          <w:sz w:val="16"/>
          <w:szCs w:val="16"/>
          <w:color w:val="auto"/>
        </w:rPr>
        <w:t>;</w:t>
      </w:r>
    </w:p>
    <w:p>
      <w:pPr>
        <w:spacing w:after="0" w:line="4" w:lineRule="exact"/>
        <w:rPr>
          <w:rFonts w:ascii="Times New Roman" w:cs="Times New Roman" w:eastAsia="Times New Roman" w:hAnsi="Times New Roman"/>
          <w:sz w:val="16"/>
          <w:szCs w:val="16"/>
          <w:b w:val="1"/>
          <w:bCs w:val="1"/>
          <w:color w:val="auto"/>
        </w:rPr>
      </w:pPr>
    </w:p>
    <w:p>
      <w:pPr>
        <w:jc w:val="both"/>
        <w:ind w:left="1220" w:right="1239" w:firstLine="4"/>
        <w:spacing w:after="0" w:line="232" w:lineRule="auto"/>
        <w:tabs>
          <w:tab w:leader="none" w:pos="1469" w:val="left"/>
        </w:tabs>
        <w:numPr>
          <w:ilvl w:val="0"/>
          <w:numId w:val="7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Person to whom Bank offers to sell, assign or transfer any Credit Extension or any part thereof or any interest or participation therein, provided that such Persons have agreed to maintain confidentiality on substantially similar terms as those in this </w:t>
      </w:r>
      <w:r>
        <w:rPr>
          <w:rFonts w:ascii="Times New Roman" w:cs="Times New Roman" w:eastAsia="Times New Roman" w:hAnsi="Times New Roman"/>
          <w:sz w:val="17"/>
          <w:szCs w:val="17"/>
          <w:u w:val="single" w:color="auto"/>
          <w:color w:val="auto"/>
        </w:rPr>
        <w:t>Section 12.8(b)</w:t>
      </w:r>
      <w:r>
        <w:rPr>
          <w:rFonts w:ascii="Times New Roman" w:cs="Times New Roman" w:eastAsia="Times New Roman" w:hAnsi="Times New Roman"/>
          <w:sz w:val="17"/>
          <w:szCs w:val="17"/>
          <w:color w:val="auto"/>
        </w:rPr>
        <w:t>; (vi) any Person that provides statistical analysis and/or information services to Bank or its Affiliates; and</w:t>
      </w:r>
    </w:p>
    <w:p>
      <w:pPr>
        <w:spacing w:after="0" w:line="1" w:lineRule="exact"/>
        <w:rPr>
          <w:rFonts w:ascii="Times New Roman" w:cs="Times New Roman" w:eastAsia="Times New Roman" w:hAnsi="Times New Roman"/>
          <w:sz w:val="17"/>
          <w:szCs w:val="17"/>
          <w:color w:val="auto"/>
        </w:rPr>
      </w:pPr>
    </w:p>
    <w:p>
      <w:pPr>
        <w:jc w:val="both"/>
        <w:ind w:left="1220" w:right="1239" w:firstLine="4"/>
        <w:spacing w:after="0" w:line="246" w:lineRule="auto"/>
        <w:tabs>
          <w:tab w:leader="none" w:pos="1569" w:val="left"/>
        </w:tabs>
        <w:numPr>
          <w:ilvl w:val="0"/>
          <w:numId w:val="7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Person (A) to the extent required by it by law, (B) as may be required in connection with the examination, audit, or similar investigation of Bank, (C) in response to any subpoena or other legal process or informal investigative demand, (D) in connection with any litigation, or</w:t>
      </w:r>
    </w:p>
    <w:p>
      <w:pPr>
        <w:spacing w:after="0" w:line="1" w:lineRule="exact"/>
        <w:rPr>
          <w:rFonts w:ascii="Times New Roman" w:cs="Times New Roman" w:eastAsia="Times New Roman" w:hAnsi="Times New Roman"/>
          <w:sz w:val="16"/>
          <w:szCs w:val="16"/>
          <w:color w:val="auto"/>
        </w:rPr>
      </w:pPr>
    </w:p>
    <w:p>
      <w:pPr>
        <w:jc w:val="both"/>
        <w:ind w:left="1220" w:right="1239"/>
        <w:spacing w:after="0" w:line="23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 xml:space="preserve">(E) in connection with the actual or potential exercise or enforcement of any right or remedy under any Loan Document. The obligations of Bank and its Affiliates under this </w:t>
      </w:r>
      <w:r>
        <w:rPr>
          <w:rFonts w:ascii="Times New Roman" w:cs="Times New Roman" w:eastAsia="Times New Roman" w:hAnsi="Times New Roman"/>
          <w:sz w:val="17"/>
          <w:szCs w:val="17"/>
          <w:u w:val="single" w:color="auto"/>
          <w:color w:val="auto"/>
        </w:rPr>
        <w:t>Section 12.8</w:t>
      </w:r>
      <w:r>
        <w:rPr>
          <w:rFonts w:ascii="Times New Roman" w:cs="Times New Roman" w:eastAsia="Times New Roman" w:hAnsi="Times New Roman"/>
          <w:sz w:val="17"/>
          <w:szCs w:val="17"/>
          <w:color w:val="auto"/>
        </w:rPr>
        <w:t xml:space="preserve"> shall supersede and replace any other confidentiality obligations agreed to by Bank or its Affiliates.</w:t>
      </w:r>
    </w:p>
    <w:p>
      <w:pPr>
        <w:spacing w:after="0" w:line="137" w:lineRule="exact"/>
        <w:rPr>
          <w:sz w:val="20"/>
          <w:szCs w:val="20"/>
          <w:color w:val="auto"/>
        </w:rPr>
      </w:pPr>
    </w:p>
    <w:p>
      <w:pPr>
        <w:jc w:val="both"/>
        <w:ind w:left="1220" w:right="1239" w:firstLine="1009"/>
        <w:spacing w:after="0" w:line="234" w:lineRule="auto"/>
        <w:rPr>
          <w:sz w:val="20"/>
          <w:szCs w:val="20"/>
          <w:color w:val="auto"/>
        </w:rPr>
      </w:pPr>
      <w:r>
        <w:rPr>
          <w:rFonts w:ascii="Times New Roman" w:cs="Times New Roman" w:eastAsia="Times New Roman" w:hAnsi="Times New Roman"/>
          <w:sz w:val="17"/>
          <w:szCs w:val="17"/>
          <w:b w:val="1"/>
          <w:bCs w:val="1"/>
          <w:color w:val="auto"/>
        </w:rPr>
        <w:t xml:space="preserve">12.9 E-Systems. </w:t>
      </w:r>
      <w:r>
        <w:rPr>
          <w:rFonts w:ascii="Times New Roman" w:cs="Times New Roman" w:eastAsia="Times New Roman" w:hAnsi="Times New Roman"/>
          <w:sz w:val="17"/>
          <w:szCs w:val="17"/>
          <w:color w:val="auto"/>
        </w:rPr>
        <w:t>Bank is hereby authorized by Borrower to establish procedures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to amend such procedures from time to time) to facilitate administration and servicing of the Credit Extensions and other matters incidental thereto. Without limiting the generality of the foregoing, Bank is hereby authorized to establish procedures to make available or deliver, or to accept, notices, documents and similar items, by posting to or submitting and/or completion, on E-Systems. Borrower acknowledges and agrees that the use of transmissions via an E-System or electronic mail is not necessarily secure and that there are risks associated with such use, including risks of interception, disclosure and abuse, and Borrower assumes and accepts such risks by hereby authorizing the transmission via E-Systems or electronic mail. All uses of an E-System shall be governed by and subject to, in addition to this Section, the separate terms and conditions posted or referenced in such E-System (or such terms and conditions as may be updated from time to time, including on such E-System) and related contractual obligations executed by Borrower in connection with the use of such E-System. ALL E-SYSTEMS AND ELECTRONIC TRANSMISSIONS SHALL BE PROVIDED “AS-IS” AND “AS AVAILABLE”. NO REPRESENTATION OR WARRANTY OF ANY KIND IS MADE BY BANK OR ANY OF ITS AFFILIATES IN CONNECTION WITH ANY E-SYSTEMS.</w:t>
      </w: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87" w:right="1440" w:bottom="1440" w:gutter="0" w:footer="0" w:header="0"/>
        </w:sectPr>
      </w:pPr>
    </w:p>
    <w:bookmarkStart w:id="811" w:name="page812"/>
    <w:bookmarkEnd w:id="811"/>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executed as of the date first above written.</w:t>
      </w:r>
    </w:p>
    <w:p>
      <w:pPr>
        <w:spacing w:after="0" w:line="146"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AVALYN PHARMA INC.</w:t>
      </w:r>
    </w:p>
    <w:p>
      <w:pPr>
        <w:spacing w:after="0" w:line="37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By:/s/ Doug Carlson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8890</wp:posOffset>
            </wp:positionV>
            <wp:extent cx="1748790" cy="698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748790" cy="6985"/>
                    </a:xfrm>
                    <a:prstGeom prst="rect">
                      <a:avLst/>
                    </a:prstGeom>
                    <a:noFill/>
                  </pic:spPr>
                </pic:pic>
              </a:graphicData>
            </a:graphic>
          </wp:anchor>
        </w:drawing>
      </w:r>
    </w:p>
    <w:p>
      <w:pPr>
        <w:spacing w:after="0" w:line="1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Name: Doug Carlson</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Title: CFO</w:t>
      </w:r>
    </w:p>
    <w:p>
      <w:pPr>
        <w:spacing w:after="0" w:line="37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BANC OF CALIFORNIA</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By:/s/ Thomas Schroder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3197225</wp:posOffset>
            </wp:positionH>
            <wp:positionV relativeFrom="paragraph">
              <wp:posOffset>8890</wp:posOffset>
            </wp:positionV>
            <wp:extent cx="1748790" cy="698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748790" cy="6985"/>
                    </a:xfrm>
                    <a:prstGeom prst="rect">
                      <a:avLst/>
                    </a:prstGeom>
                    <a:noFill/>
                  </pic:spPr>
                </pic:pic>
              </a:graphicData>
            </a:graphic>
          </wp:anchor>
        </w:drawing>
      </w:r>
    </w:p>
    <w:p>
      <w:pPr>
        <w:spacing w:after="0" w:line="17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Name: Thomas Schroder</w:t>
      </w:r>
    </w:p>
    <w:p>
      <w:pPr>
        <w:spacing w:after="0" w:line="1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7"/>
          <w:szCs w:val="17"/>
          <w:color w:val="auto"/>
        </w:rPr>
        <w:t>Title: Senior Vice President</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8" w:right="1440" w:bottom="1440" w:gutter="0" w:footer="0" w:header="0"/>
        </w:sectPr>
      </w:pPr>
    </w:p>
    <w:bookmarkStart w:id="812" w:name="page813"/>
    <w:bookmarkEnd w:id="81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EXHIBIT A</w:t>
      </w:r>
    </w:p>
    <w:p>
      <w:pPr>
        <w:spacing w:after="0" w:line="16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DEFINITIONS</w:t>
      </w:r>
    </w:p>
    <w:p>
      <w:pPr>
        <w:spacing w:after="0" w:line="162" w:lineRule="exact"/>
        <w:rPr>
          <w:sz w:val="20"/>
          <w:szCs w:val="20"/>
          <w:color w:val="auto"/>
        </w:rPr>
      </w:pPr>
    </w:p>
    <w:p>
      <w:pPr>
        <w:jc w:val="both"/>
        <w:ind w:left="1220" w:right="1239"/>
        <w:spacing w:after="0" w:line="238" w:lineRule="auto"/>
        <w:rPr>
          <w:sz w:val="20"/>
          <w:szCs w:val="20"/>
          <w:color w:val="auto"/>
        </w:rPr>
      </w:pPr>
      <w:r>
        <w:rPr>
          <w:rFonts w:ascii="Times New Roman" w:cs="Times New Roman" w:eastAsia="Times New Roman" w:hAnsi="Times New Roman"/>
          <w:sz w:val="17"/>
          <w:szCs w:val="17"/>
          <w:color w:val="auto"/>
        </w:rPr>
        <w:t>“Accounts” means all presently existing and hereafter arising accounts, contract rights, payment intangibles and all other forms of obligations owing to Borrower arising out of the sale or lease of goods (including, without limitation, the licensing of software and other technology) or the rendering of services by Borrower and any and all credit insurance, guaranties, and other security therefor, as well as all merchandise returned to or reclaimed by Borrower and Borrower’s Books relating to any of the foregoing.</w:t>
      </w:r>
    </w:p>
    <w:p>
      <w:pPr>
        <w:spacing w:after="0" w:line="140" w:lineRule="exact"/>
        <w:rPr>
          <w:sz w:val="20"/>
          <w:szCs w:val="20"/>
          <w:color w:val="auto"/>
        </w:rPr>
      </w:pPr>
    </w:p>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“Affiliate” means, with respect to any Person, any Person that owns or controls directly or indirectly such Person, any Person that controls or is controlled by or is under common control with such Person, and each of such Person’s senior executive officers, directors, and general partners.</w:t>
      </w:r>
    </w:p>
    <w:p>
      <w:pPr>
        <w:spacing w:after="0" w:line="140"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“Amortization Date” means January 31, 2028 (provided however, that if the Equity Milestone occurs on or prior to [***], the Amortization Date shall be [***]).</w:t>
      </w:r>
    </w:p>
    <w:p>
      <w:pPr>
        <w:spacing w:after="0" w:line="125"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“Australian Subsidiary” means Avalyn Pharma Pty Ltd, Borrower’s Subsidiary formed under the laws of Australia.</w:t>
      </w:r>
    </w:p>
    <w:p>
      <w:pPr>
        <w:spacing w:after="0" w:line="125" w:lineRule="exact"/>
        <w:rPr>
          <w:sz w:val="20"/>
          <w:szCs w:val="20"/>
          <w:color w:val="auto"/>
        </w:rPr>
      </w:pPr>
    </w:p>
    <w:p>
      <w:pPr>
        <w:jc w:val="both"/>
        <w:ind w:left="1220" w:right="1239"/>
        <w:spacing w:after="0" w:line="238" w:lineRule="auto"/>
        <w:rPr>
          <w:sz w:val="20"/>
          <w:szCs w:val="20"/>
          <w:color w:val="auto"/>
        </w:rPr>
      </w:pPr>
      <w:r>
        <w:rPr>
          <w:rFonts w:ascii="Times New Roman" w:cs="Times New Roman" w:eastAsia="Times New Roman" w:hAnsi="Times New Roman"/>
          <w:sz w:val="17"/>
          <w:szCs w:val="17"/>
          <w:color w:val="auto"/>
        </w:rPr>
        <w:t>“Authorized Officer” means a Person designated as such in the corporate resolution provided by Borrower to Bank in which this Agreement and the transactions contemplated hereunder are authorized by Borrower’s board of directors. If Borrower provides subsequent corporate resolutions to Bank after the Closing Date, the individual(s) designated as “Authorized Officer(s)” in the most recently provided resolution shall be the only “Authorized Officers” for purposes of this Agreement.</w:t>
      </w:r>
    </w:p>
    <w:p>
      <w:pPr>
        <w:spacing w:after="0" w:line="140"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“Availability End Date” means December 31, 2027 (provided however, that if the Equity Milestone occurs on or prior to [***], the Availability End Date shall be [***]).</w:t>
      </w:r>
    </w:p>
    <w:p>
      <w:pPr>
        <w:spacing w:after="0" w:line="125" w:lineRule="exact"/>
        <w:rPr>
          <w:sz w:val="20"/>
          <w:szCs w:val="20"/>
          <w:color w:val="auto"/>
        </w:rPr>
      </w:pPr>
    </w:p>
    <w:p>
      <w:pPr>
        <w:jc w:val="both"/>
        <w:ind w:left="1220" w:right="1239"/>
        <w:spacing w:after="0" w:line="251" w:lineRule="auto"/>
        <w:rPr>
          <w:sz w:val="20"/>
          <w:szCs w:val="20"/>
          <w:color w:val="auto"/>
        </w:rPr>
      </w:pPr>
      <w:r>
        <w:rPr>
          <w:rFonts w:ascii="Times New Roman" w:cs="Times New Roman" w:eastAsia="Times New Roman" w:hAnsi="Times New Roman"/>
          <w:sz w:val="16"/>
          <w:szCs w:val="16"/>
          <w:color w:val="auto"/>
        </w:rPr>
        <w:t>“Bank Expenses” means all reasonable and documented, out-of-pocket costs or expenses (including reasonable and documented out-of-pocket attorneys’ fees and expenses, whether generated by in-house or by outside counsel, provided that Borrower will not be charged for both in-house and outside counsel fees or expenses that are duplicative) incurred in connection with the preparation, negotiation, administration, and enforcement of the Loan Documents; reasonable and documented out-of-pocket Collateral audit fees; and Bank’s reasonable and documented out-of-pocket attorneys’ fees and expenses (whether generated in-house or by outside counsel, provided that Borrower will not be charged for both in-house and outside counsel fees or expenses that are duplicative) incurred in amending, enforcing or defending the Loan Documents (including reasonable and documented out-of-pocket fees and expenses of appeal), incurred before, during and after an Insolvency Proceeding, whether or not suit is brought.</w:t>
      </w:r>
    </w:p>
    <w:p>
      <w:pPr>
        <w:spacing w:after="0" w:line="133"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“Borrower” is defined in the preamble hereof.</w:t>
      </w:r>
    </w:p>
    <w:p>
      <w:pPr>
        <w:spacing w:after="0" w:line="162"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“Borrower’s Books” means all of Borrower’s books and records including: ledgers; records concerning Borrower’s assets or liabilities, the Collateral, business operations or financial</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6" w:right="1440" w:bottom="1440" w:gutter="0" w:footer="0" w:header="0"/>
        </w:sectPr>
      </w:pPr>
    </w:p>
    <w:bookmarkStart w:id="813" w:name="page814"/>
    <w:bookmarkEnd w:id="813"/>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condition; and all computer programs, or tape files, and the equipment, containing such information.</w:t>
      </w:r>
    </w:p>
    <w:p>
      <w:pPr>
        <w:spacing w:after="0" w:line="125"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“Business Day” means any day that is not a Saturday, Sunday, or other day on which banks in the State of North Carolina are authorized or required to close.</w:t>
      </w:r>
    </w:p>
    <w:p>
      <w:pPr>
        <w:spacing w:after="0" w:line="125" w:lineRule="exact"/>
        <w:rPr>
          <w:sz w:val="20"/>
          <w:szCs w:val="20"/>
          <w:color w:val="auto"/>
        </w:rPr>
      </w:pPr>
    </w:p>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“Capitalized Expenditures” means current period unfinanced cash expenditures that are capitalized and amortized over a period of time in accordance with GAAP, including but not limited to capitalized cash expenditures for capital equipment, capitalized manufacturing and labor costs as they relate to inventory, and capitalized cash expenditures for software development.</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“Cash” means unrestricted cash and cash equivalents.</w:t>
      </w:r>
    </w:p>
    <w:p>
      <w:pPr>
        <w:spacing w:after="0" w:line="162" w:lineRule="exact"/>
        <w:rPr>
          <w:sz w:val="20"/>
          <w:szCs w:val="20"/>
          <w:color w:val="auto"/>
        </w:rPr>
      </w:pPr>
    </w:p>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“Change in Control” means a transaction other than a bona fide equity financing or series of financings on terms and from investors reasonably acceptable to Bank in which any “person” or “group” (within the meaning of Section 13(d) and 14(d)(2) of the Securities Exchange Act of 1934) becomes the “beneficial owner” (as defined in Rule 13d-3 under the Securities Exchange Act of 1934), directly or indirectly, of a sufficient number of shares of all classes of stock then outstanding of Borrower ordinarily entitled to vote in the election of directors, empowering such “person” or “group” to elect a majority of the board of directors of Borrower, who did not have such power before such transaction.</w:t>
      </w:r>
    </w:p>
    <w:p>
      <w:pPr>
        <w:spacing w:after="0" w:line="1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“Closing Date” means the date of this Agreement.</w:t>
      </w:r>
    </w:p>
    <w:p>
      <w:pPr>
        <w:spacing w:after="0" w:line="162"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“Code” means the New York Uniform Commercial Code as amended or supplemented from time to time.</w:t>
      </w:r>
    </w:p>
    <w:p>
      <w:pPr>
        <w:spacing w:after="0" w:line="125" w:lineRule="exact"/>
        <w:rPr>
          <w:sz w:val="20"/>
          <w:szCs w:val="20"/>
          <w:color w:val="auto"/>
        </w:rPr>
      </w:pPr>
    </w:p>
    <w:p>
      <w:pPr>
        <w:jc w:val="both"/>
        <w:ind w:left="1220" w:right="1239"/>
        <w:spacing w:after="0" w:line="235" w:lineRule="auto"/>
        <w:rPr>
          <w:sz w:val="20"/>
          <w:szCs w:val="20"/>
          <w:color w:val="auto"/>
        </w:rPr>
      </w:pPr>
      <w:r>
        <w:rPr>
          <w:rFonts w:ascii="Times New Roman" w:cs="Times New Roman" w:eastAsia="Times New Roman" w:hAnsi="Times New Roman"/>
          <w:sz w:val="17"/>
          <w:szCs w:val="17"/>
          <w:color w:val="auto"/>
        </w:rPr>
        <w:t>“Collateral” means the property described on Exhibit B attached hereto and all Negotiable Collateral to the extent not described on Exhibit B, except to the extent any such property (i) is non-assignable by its terms without the consent of the licensor thereof or another party (but only to the extent such prohibition on transfer is enforceable under applicable law, including, without limitation, Sections 9-406 and 9-408 of the Code), (ii) is property for which the granting of a security interest therein is contrary to applicable law, provided that upon the cessation of any such restriction or prohibition, such property shall automatically become part of the Collateral,</w:t>
      </w:r>
    </w:p>
    <w:p>
      <w:pPr>
        <w:spacing w:after="0" w:line="3" w:lineRule="exact"/>
        <w:rPr>
          <w:sz w:val="20"/>
          <w:szCs w:val="20"/>
          <w:color w:val="auto"/>
        </w:rPr>
      </w:pPr>
    </w:p>
    <w:p>
      <w:pPr>
        <w:jc w:val="both"/>
        <w:ind w:left="1220" w:right="1239" w:firstLine="4"/>
        <w:spacing w:after="0" w:line="233" w:lineRule="auto"/>
        <w:tabs>
          <w:tab w:leader="none" w:pos="1530" w:val="left"/>
        </w:tabs>
        <w:numPr>
          <w:ilvl w:val="0"/>
          <w:numId w:val="7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constitutes the capital stock of a controlled foreign corporation (as defined in the IRC), in excess of 65% of the voting power of all classes of capital stock of such controlled foreign corporations entitled to vote, if the grant of a security interest in such capital stock pursuant to this Agreement would result in material adverse “deemed dividend” tax consequences to Borrower due to the application of IRC §956, (iv) is property (including any attachments, accessions or replacements) that is subject to a Lien that is permitted pursuant to clause (c) of the definition of Permitted Liens, if the grant of a security interest with respect to such property pursuant to this Agreement would be prohibited by the agreement creating such Permitted Lien or would otherwise constitute a default thereunder, provided, that such property will be deemed “Collateral” hereunder upon the termination and release of such Permitted Lien, (v) motor vehicles and other assets subject to certificates of title (other than to the extent a lien thereon can be perfected by the filing of a financing statement under the Code), or (vi) deposit accounts maintained by Borrower on behalf of other Persons exclusively holding cash of such other Persons in which Borrower has no</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14" w:name="page815"/>
    <w:bookmarkEnd w:id="814"/>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ownership interest (the property described in clauses (i) through (vi), collectively the “Excluded Property”).</w:t>
      </w:r>
    </w:p>
    <w:p>
      <w:pPr>
        <w:spacing w:after="0" w:line="125"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“Compliance Certificate” means a compliance certificate, in substantially the form of Exhibit D attached hereto, executed by a Responsible Officer of Borrower.</w:t>
      </w:r>
    </w:p>
    <w:p>
      <w:pPr>
        <w:spacing w:after="0" w:line="125" w:lineRule="exact"/>
        <w:rPr>
          <w:sz w:val="20"/>
          <w:szCs w:val="20"/>
          <w:color w:val="auto"/>
        </w:rPr>
      </w:pPr>
    </w:p>
    <w:p>
      <w:pPr>
        <w:jc w:val="both"/>
        <w:ind w:left="1220" w:right="1239"/>
        <w:spacing w:after="0" w:line="235" w:lineRule="auto"/>
        <w:rPr>
          <w:sz w:val="20"/>
          <w:szCs w:val="20"/>
          <w:color w:val="auto"/>
        </w:rPr>
      </w:pPr>
      <w:r>
        <w:rPr>
          <w:rFonts w:ascii="Times New Roman" w:cs="Times New Roman" w:eastAsia="Times New Roman" w:hAnsi="Times New Roman"/>
          <w:sz w:val="17"/>
          <w:szCs w:val="17"/>
          <w:color w:val="auto"/>
        </w:rPr>
        <w:t>“Contingent Obligation” means, as applied to any Person, any direct or indirect liability, contingent or otherwise, of that Person with respect to (i) any indebtedness, lease, dividend, letter of credit or other obligation of another, including, without limitation,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w:t>
      </w:r>
    </w:p>
    <w:p>
      <w:pPr>
        <w:spacing w:after="0" w:line="146" w:lineRule="exact"/>
        <w:rPr>
          <w:sz w:val="20"/>
          <w:szCs w:val="20"/>
          <w:color w:val="auto"/>
        </w:rPr>
      </w:pPr>
    </w:p>
    <w:p>
      <w:pPr>
        <w:jc w:val="both"/>
        <w:ind w:left="1220" w:right="1239"/>
        <w:spacing w:after="0" w:line="254" w:lineRule="auto"/>
        <w:rPr>
          <w:sz w:val="20"/>
          <w:szCs w:val="20"/>
          <w:color w:val="auto"/>
        </w:rPr>
      </w:pPr>
      <w:r>
        <w:rPr>
          <w:rFonts w:ascii="Times New Roman" w:cs="Times New Roman" w:eastAsia="Times New Roman" w:hAnsi="Times New Roman"/>
          <w:sz w:val="16"/>
          <w:szCs w:val="16"/>
          <w:color w:val="auto"/>
        </w:rPr>
        <w:t>commodity prices; provided, however, that the term “Contingent Obligation” shall not include endorsements for collection or deposit in the ordinary course of business.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w:t>
      </w:r>
    </w:p>
    <w:p>
      <w:pPr>
        <w:spacing w:after="0" w:line="130"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“Credit Extension” means each Term Loan or any other extension of credit by Bank to or for the benefit of Borrower hereunder.</w:t>
      </w:r>
    </w:p>
    <w:p>
      <w:pPr>
        <w:spacing w:after="0" w:line="125" w:lineRule="exact"/>
        <w:rPr>
          <w:sz w:val="20"/>
          <w:szCs w:val="20"/>
          <w:color w:val="auto"/>
        </w:rPr>
      </w:pPr>
    </w:p>
    <w:p>
      <w:pPr>
        <w:jc w:val="both"/>
        <w:ind w:left="1220" w:right="1239"/>
        <w:spacing w:after="0" w:line="238" w:lineRule="auto"/>
        <w:rPr>
          <w:sz w:val="20"/>
          <w:szCs w:val="20"/>
          <w:color w:val="auto"/>
        </w:rPr>
      </w:pPr>
      <w:r>
        <w:rPr>
          <w:rFonts w:ascii="Times New Roman" w:cs="Times New Roman" w:eastAsia="Times New Roman" w:hAnsi="Times New Roman"/>
          <w:sz w:val="17"/>
          <w:szCs w:val="17"/>
          <w:color w:val="auto"/>
        </w:rPr>
        <w:t>“Divide” means, with respect to any Person that is an entity, the dividing of such Person into two or more separate Persons, with the dividing Person either continuing or terminating its existence as part of such division, including as contemplated under Section 18-217 of the Delaware Limited Liability Company Act for limited liability companies formed under Delaware law, or any analogous action taken pursuant to any other statute with respect to any corporation, limited liability company, partnership, or other entity.</w:t>
      </w:r>
    </w:p>
    <w:p>
      <w:pPr>
        <w:spacing w:after="0" w:line="140"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“Equipment” means all present and future machinery, equipment, tenant improvements, furniture, fixtures, vehicles, tools, parts and attachments in which Borrower has any interest.</w:t>
      </w:r>
    </w:p>
    <w:p>
      <w:pPr>
        <w:spacing w:after="0" w:line="12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“Equity Milestone” means [***]</w:t>
      </w:r>
    </w:p>
    <w:p>
      <w:pPr>
        <w:spacing w:after="0" w:line="162"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“ERISA” means the Employee Retirement Income Security Act of 1974, as amended, and the regulations thereunder.</w:t>
      </w:r>
    </w:p>
    <w:p>
      <w:pPr>
        <w:spacing w:after="0" w:line="125" w:lineRule="exact"/>
        <w:rPr>
          <w:sz w:val="20"/>
          <w:szCs w:val="20"/>
          <w:color w:val="auto"/>
        </w:rPr>
      </w:pPr>
    </w:p>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“E-System” means any electronic system approved by Bank, including any Internet or extranet-based site, whether such electronic system is owned, operated or hosted by Bank, any of its Affiliates or any other Person, providing for access to data protected by passcodes or other security system, or otherwise used to facilitate communication between Borrower and Bank with respect to the Loan Documents.</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15" w:name="page816"/>
    <w:bookmarkEnd w:id="815"/>
    <w:p>
      <w:pPr>
        <w:ind w:left="1220"/>
        <w:spacing w:after="0"/>
        <w:rPr>
          <w:sz w:val="20"/>
          <w:szCs w:val="20"/>
          <w:color w:val="auto"/>
        </w:rPr>
      </w:pPr>
      <w:r>
        <w:rPr>
          <w:rFonts w:ascii="Times New Roman" w:cs="Times New Roman" w:eastAsia="Times New Roman" w:hAnsi="Times New Roman"/>
          <w:sz w:val="17"/>
          <w:szCs w:val="17"/>
          <w:color w:val="auto"/>
        </w:rPr>
        <w:t>“Event of Default” has the meaning assigned in Article 8.</w:t>
      </w:r>
    </w:p>
    <w:p>
      <w:pPr>
        <w:spacing w:after="0" w:line="162" w:lineRule="exact"/>
        <w:rPr>
          <w:sz w:val="20"/>
          <w:szCs w:val="20"/>
          <w:color w:val="auto"/>
        </w:rPr>
      </w:pPr>
    </w:p>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“Excluded Account” means any deposit account (a) exclusively used for payroll, payroll taxes, and other employee wage and benefit payments to or for the benefit of employees and identified to Bank as such with an account balance not to exceed the amount reasonably estimated to be required for up to two (2) payroll cycles (including bonuses, commissions and overtime), (b) exclusively holding cash described in clause (j) of the definition of Permitted Liens (and subject to the caps set forth therein) or (c) maintained by Borrower on behalf of other Persons exclusively holding cash of such other Persons in which Borrower has no ownership interest.</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“Excluded Property” has the meaning set forth in the definition of Collateral.</w:t>
      </w:r>
    </w:p>
    <w:p>
      <w:pPr>
        <w:spacing w:after="0" w:line="162"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“GAAP” means generally accepted accounting principles, consistently applied, as in effect from time to time in the United States.</w:t>
      </w:r>
    </w:p>
    <w:p>
      <w:pPr>
        <w:spacing w:after="0" w:line="125"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 xml:space="preserve">“Guarantor” is any Person providing a Guaranty in favor of Bank. “Guaranty” has the meaning assigned in </w:t>
      </w:r>
      <w:r>
        <w:rPr>
          <w:rFonts w:ascii="Times New Roman" w:cs="Times New Roman" w:eastAsia="Times New Roman" w:hAnsi="Times New Roman"/>
          <w:sz w:val="17"/>
          <w:szCs w:val="17"/>
          <w:u w:val="single" w:color="auto"/>
          <w:color w:val="auto"/>
        </w:rPr>
        <w:t>Section 8.9</w:t>
      </w:r>
      <w:r>
        <w:rPr>
          <w:rFonts w:ascii="Times New Roman" w:cs="Times New Roman" w:eastAsia="Times New Roman" w:hAnsi="Times New Roman"/>
          <w:sz w:val="17"/>
          <w:szCs w:val="17"/>
          <w:color w:val="auto"/>
        </w:rPr>
        <w:t>.</w:t>
      </w:r>
    </w:p>
    <w:p>
      <w:pPr>
        <w:spacing w:after="0" w:line="125" w:lineRule="exact"/>
        <w:rPr>
          <w:sz w:val="20"/>
          <w:szCs w:val="20"/>
          <w:color w:val="auto"/>
        </w:rPr>
      </w:pPr>
    </w:p>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“Immaterial Guarantor” means each Guarantor which, as of the most recent fiscal quarter of the Borrower, for the period of four consecutive fiscal quarters then ended (determined in accordance with GAAP), both (a) has not contributed greater than five percent (5%) of consolidated total revenue of Borrower and its Subsidiaries, taken as a whole and (b) did not have greater than five percent (5%) of the consolidated total assets of the Borrower and its Subsidiaries, taken as a whole (excluding the value of all Intellectual Property held by such Guarantor and an amount of cash held by such Guarantor equal to the amount needed to satisfy payroll for the immediately succeeding payroll period of such Guarantor).</w:t>
      </w:r>
    </w:p>
    <w:p>
      <w:pPr>
        <w:spacing w:after="0" w:line="144" w:lineRule="exact"/>
        <w:rPr>
          <w:sz w:val="20"/>
          <w:szCs w:val="20"/>
          <w:color w:val="auto"/>
        </w:rPr>
      </w:pPr>
    </w:p>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“Indebtedness” means (a) all indebtedness for borrowed money or the deferred purchase price of property or services, including without limitation reimbursement and other obligations with respect to surety bonds and letters of credit, (b) all obligations evidenced by notes, bonds, debentures or similar instruments, (c) all capital lease obligations, and (d) all Contingent Obligations, including but not limited to any sublimit contained herein.</w:t>
      </w:r>
    </w:p>
    <w:p>
      <w:pPr>
        <w:spacing w:after="0" w:line="141" w:lineRule="exact"/>
        <w:rPr>
          <w:sz w:val="20"/>
          <w:szCs w:val="20"/>
          <w:color w:val="auto"/>
        </w:rPr>
      </w:pPr>
    </w:p>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“Insolvency Proceeding” means any proceeding commenced by or against any Person or entity under any provision of the United States Bankruptcy Code, as amended, or under any other bankruptcy or insolvency law, including assignments for the benefit of creditors, formal or informal moratoria, compositions, extension generally with its creditors, or proceedings seeking reorganization, arrangement, or other relief.</w:t>
      </w:r>
    </w:p>
    <w:p>
      <w:pPr>
        <w:spacing w:after="0" w:line="14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“Inventory” means all present and future inventory in which Borrower has any interest.</w:t>
      </w:r>
    </w:p>
    <w:p>
      <w:pPr>
        <w:spacing w:after="0" w:line="162"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“Investment” means any beneficial ownership of (including stock, partnership or limited liability company interest or other securities) any Person, or any loan, advance or capital contribution to any Person.</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“IRC” means the Internal Revenue Code of 1986, as amended, and the regulations thereunder.</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16" w:name="page817"/>
    <w:bookmarkEnd w:id="816"/>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“Letter of Credit” means a commercial or standby letter of credit or similar undertaking issued by Bank (or any of its correspondent banks) at Borrower’s request.</w:t>
      </w:r>
    </w:p>
    <w:p>
      <w:pPr>
        <w:spacing w:after="0" w:line="125"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“Lien” means any mortgage, lien, deed of trust, charge, pledge, security interest or other encumbrance.</w:t>
      </w:r>
    </w:p>
    <w:p>
      <w:pPr>
        <w:spacing w:after="0" w:line="125"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“Loan Advance/Paydown Request Form” means a loan advance/paydown request form, in substantially the form of Exhibit C attached hereto.</w:t>
      </w:r>
    </w:p>
    <w:p>
      <w:pPr>
        <w:spacing w:after="0" w:line="125"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“Loan Documents” means, collectively, this Agreement, any note or notes executed by Borrower, and any other document, instrument or agreement entered into in connection with this Agreement, all as amended or extended from time to time.</w:t>
      </w:r>
    </w:p>
    <w:p>
      <w:pPr>
        <w:spacing w:after="0" w:line="135" w:lineRule="exact"/>
        <w:rPr>
          <w:sz w:val="20"/>
          <w:szCs w:val="20"/>
          <w:color w:val="auto"/>
        </w:rPr>
      </w:pPr>
    </w:p>
    <w:p>
      <w:pPr>
        <w:jc w:val="both"/>
        <w:ind w:left="1220" w:right="1239"/>
        <w:spacing w:after="0" w:line="235" w:lineRule="auto"/>
        <w:rPr>
          <w:sz w:val="20"/>
          <w:szCs w:val="20"/>
          <w:color w:val="auto"/>
        </w:rPr>
      </w:pPr>
      <w:r>
        <w:rPr>
          <w:rFonts w:ascii="Times New Roman" w:cs="Times New Roman" w:eastAsia="Times New Roman" w:hAnsi="Times New Roman"/>
          <w:sz w:val="17"/>
          <w:szCs w:val="17"/>
          <w:color w:val="auto"/>
        </w:rPr>
        <w:t>“Material Adverse Effect” means any material adverse effect on, and/or any material adverse change in, as applicable, (i) the operations, business or condition (financial or otherwise) of Borrower and its Subsidiaries taken as a whole, whether resulting from one event, condition, development, action, circumstance, change, or other occurrence, or resulting from the cumulative aggregate effect of a series of events, conditions, developments, actions, circumstances, changes, or other occurrences, whether or not related; (ii) the ability of Borrower or any Guarantor to repay the Obligations when due, including at the Term Loan Maturity Date, or otherwise timely perform its obligations under the Loan Documents; (iii) Borrower’s interest in, or the enforceability, perfection or priority of Bank’s security interest in, the Collateral, or any Guarantor’s interest in, or the enforceability, perfection or priority of Bank’s security interest in, any personal property or assets with respect to which such Guarantor has granted Bank a security interest; or (iv) the value of the Collateral or any personal property or assets with respect to which such Guarantor has granted Bank a security interest.</w:t>
      </w:r>
    </w:p>
    <w:p>
      <w:pPr>
        <w:spacing w:after="0" w:line="140"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“MSC Subsidiary” means a securities corporation formed after the Closing Date that is a Subsidiary of Borrower.</w:t>
      </w:r>
    </w:p>
    <w:p>
      <w:pPr>
        <w:spacing w:after="0" w:line="125"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“Negotiable Collateral” means all of Borrower’s present and future letters of credit of which it is a beneficiary, drafts, instruments (including promissory notes), securities, documents of title, and chattel paper, and Borrower’s Books relating to any of the foregoing.</w:t>
      </w:r>
    </w:p>
    <w:p>
      <w:pPr>
        <w:spacing w:after="0" w:line="135" w:lineRule="exact"/>
        <w:rPr>
          <w:sz w:val="20"/>
          <w:szCs w:val="20"/>
          <w:color w:val="auto"/>
        </w:rPr>
      </w:pPr>
    </w:p>
    <w:p>
      <w:pPr>
        <w:jc w:val="both"/>
        <w:ind w:left="1220" w:right="1239"/>
        <w:spacing w:after="0" w:line="238" w:lineRule="auto"/>
        <w:rPr>
          <w:sz w:val="20"/>
          <w:szCs w:val="20"/>
          <w:color w:val="auto"/>
        </w:rPr>
      </w:pPr>
      <w:r>
        <w:rPr>
          <w:rFonts w:ascii="Times New Roman" w:cs="Times New Roman" w:eastAsia="Times New Roman" w:hAnsi="Times New Roman"/>
          <w:sz w:val="17"/>
          <w:szCs w:val="17"/>
          <w:color w:val="auto"/>
        </w:rPr>
        <w:t>“Obligations” means all debt, principal, interest, Bank Expenses, and other amounts owed to Bank by Borrower pursuant to this Agreement or any other agreement (other than the Warrant), whether absolute or contingent, due or to become due, now existing or hereafter arising, including any interest that accrues after the commencement of an Insolvency Proceeding and including any debt, liability, or obligation owing from Borrower to others that Bank may have obtained by assignment or otherwise.</w:t>
      </w:r>
    </w:p>
    <w:p>
      <w:pPr>
        <w:spacing w:after="0" w:line="140"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“Periodic Payments” means all installments or similar recurring payments that Borrower may now or hereafter become obligated to pay to Bank pursuant to the terms and provisions of the Loan Documents.</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“Permitted Indebtedness” means:</w:t>
      </w: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17" w:name="page818"/>
    <w:bookmarkEnd w:id="817"/>
    <w:p>
      <w:pPr>
        <w:ind w:left="1220" w:right="1239" w:firstLine="4"/>
        <w:spacing w:after="0" w:line="259" w:lineRule="auto"/>
        <w:tabs>
          <w:tab w:leader="none" w:pos="1609"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of Borrower and its Subsidiaries in favor of Bank arising under this Agreement or any other Loan Document or any other agreement with Bank;</w:t>
      </w:r>
    </w:p>
    <w:p>
      <w:pPr>
        <w:spacing w:after="0" w:line="124" w:lineRule="exact"/>
        <w:rPr>
          <w:rFonts w:ascii="Times New Roman" w:cs="Times New Roman" w:eastAsia="Times New Roman" w:hAnsi="Times New Roman"/>
          <w:sz w:val="17"/>
          <w:szCs w:val="17"/>
          <w:b w:val="1"/>
          <w:bCs w:val="1"/>
          <w:color w:val="auto"/>
        </w:rPr>
      </w:pPr>
    </w:p>
    <w:p>
      <w:pPr>
        <w:ind w:left="1560" w:hanging="336"/>
        <w:spacing w:after="0"/>
        <w:tabs>
          <w:tab w:leader="none" w:pos="1560"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existing on the Closing Date and disclosed in the Schedule;</w:t>
      </w:r>
    </w:p>
    <w:p>
      <w:pPr>
        <w:spacing w:after="0" w:line="161" w:lineRule="exact"/>
        <w:rPr>
          <w:rFonts w:ascii="Times New Roman" w:cs="Times New Roman" w:eastAsia="Times New Roman" w:hAnsi="Times New Roman"/>
          <w:sz w:val="17"/>
          <w:szCs w:val="17"/>
          <w:b w:val="1"/>
          <w:bCs w:val="1"/>
          <w:color w:val="auto"/>
        </w:rPr>
      </w:pPr>
    </w:p>
    <w:p>
      <w:pPr>
        <w:jc w:val="both"/>
        <w:ind w:left="1220" w:right="1239" w:firstLine="4"/>
        <w:spacing w:after="0" w:line="241" w:lineRule="auto"/>
        <w:tabs>
          <w:tab w:leader="none" w:pos="1598"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not to exceed $250,000 in the aggregate at any time secured by a lien described in clause (c) of the defined term “Permitted Liens,” provided that such Indebtedness does not exceed at the time it is incurred the lesser of the cost or fair market value of the property financed with such Indebtedness;</w:t>
      </w:r>
    </w:p>
    <w:p>
      <w:pPr>
        <w:spacing w:after="0" w:line="139" w:lineRule="exact"/>
        <w:rPr>
          <w:rFonts w:ascii="Times New Roman" w:cs="Times New Roman" w:eastAsia="Times New Roman" w:hAnsi="Times New Roman"/>
          <w:sz w:val="17"/>
          <w:szCs w:val="17"/>
          <w:b w:val="1"/>
          <w:bCs w:val="1"/>
          <w:color w:val="auto"/>
        </w:rPr>
      </w:pPr>
    </w:p>
    <w:p>
      <w:pPr>
        <w:ind w:left="1560" w:hanging="336"/>
        <w:spacing w:after="0"/>
        <w:tabs>
          <w:tab w:leader="none" w:pos="1560"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Subordinated Debt;</w:t>
      </w:r>
    </w:p>
    <w:p>
      <w:pPr>
        <w:spacing w:after="0" w:line="161" w:lineRule="exact"/>
        <w:rPr>
          <w:rFonts w:ascii="Times New Roman" w:cs="Times New Roman" w:eastAsia="Times New Roman" w:hAnsi="Times New Roman"/>
          <w:sz w:val="17"/>
          <w:szCs w:val="17"/>
          <w:b w:val="1"/>
          <w:bCs w:val="1"/>
          <w:color w:val="auto"/>
        </w:rPr>
      </w:pPr>
    </w:p>
    <w:p>
      <w:pPr>
        <w:ind w:left="1560" w:hanging="336"/>
        <w:spacing w:after="0"/>
        <w:tabs>
          <w:tab w:leader="none" w:pos="1560"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to trade creditors incurred in the ordinary course of business;</w:t>
      </w:r>
    </w:p>
    <w:p>
      <w:pPr>
        <w:spacing w:after="0" w:line="161" w:lineRule="exact"/>
        <w:rPr>
          <w:rFonts w:ascii="Times New Roman" w:cs="Times New Roman" w:eastAsia="Times New Roman" w:hAnsi="Times New Roman"/>
          <w:sz w:val="17"/>
          <w:szCs w:val="17"/>
          <w:b w:val="1"/>
          <w:bCs w:val="1"/>
          <w:color w:val="auto"/>
        </w:rPr>
      </w:pPr>
    </w:p>
    <w:p>
      <w:pPr>
        <w:jc w:val="both"/>
        <w:ind w:left="1220" w:right="1239" w:firstLine="4"/>
        <w:spacing w:after="0" w:line="241" w:lineRule="auto"/>
        <w:tabs>
          <w:tab w:leader="none" w:pos="1609"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to the extent constituting Indebtedness, obligations in respect of netting services or overdraft protection or otherwise in connection with deposit or securities accounts in the ordinary course of business (but only to the extent that Borrower is permitted to maintain such accounts pursuant to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of this Agreement);</w:t>
      </w:r>
    </w:p>
    <w:p>
      <w:pPr>
        <w:spacing w:after="0" w:line="139"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77"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of any Borrower or Secured Guarantor to any other Borrower or Secured Guarantor;</w:t>
      </w:r>
    </w:p>
    <w:p>
      <w:pPr>
        <w:spacing w:after="0" w:line="124" w:lineRule="exact"/>
        <w:rPr>
          <w:rFonts w:ascii="Times New Roman" w:cs="Times New Roman" w:eastAsia="Times New Roman" w:hAnsi="Times New Roman"/>
          <w:sz w:val="17"/>
          <w:szCs w:val="17"/>
          <w:b w:val="1"/>
          <w:bCs w:val="1"/>
          <w:color w:val="auto"/>
        </w:rPr>
      </w:pPr>
    </w:p>
    <w:p>
      <w:pPr>
        <w:jc w:val="both"/>
        <w:ind w:left="1220" w:right="1239" w:firstLine="4"/>
        <w:spacing w:after="0" w:line="241" w:lineRule="auto"/>
        <w:tabs>
          <w:tab w:leader="none" w:pos="1567"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in respect of letters of credit, credit cards and credit card processing services in the ordinary course of business, banker’s acceptances or similar arrangements, provided that the aggregate principal amount of any such Indebtedness outstanding at any time shall not exceed $400,000;</w:t>
      </w:r>
    </w:p>
    <w:p>
      <w:pPr>
        <w:spacing w:after="0" w:line="139"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67"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Indebtedness in respect of performance bonds, bid bonds, appeal bonds, surety bonds and similar obligations, in each case provided in the ordinary course of Borrower’s business;</w:t>
      </w:r>
    </w:p>
    <w:p>
      <w:pPr>
        <w:spacing w:after="0" w:line="124"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577"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unsecured Indebtedness of Borrower and its Subsidiaries in an aggregate principal amount, for all such Indebtedness taken together, not to exceed $250,000) at any time outstanding;</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4"/>
        <w:spacing w:after="0" w:line="241" w:lineRule="auto"/>
        <w:tabs>
          <w:tab w:leader="none" w:pos="1556"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Contingent Obligations of any Subsidiary with respect to obligations of Borrower (provided that the primary obligations are not prohibited hereby) and Contingent Obligations of any Subsidiary with respect to obligations of any other Subsidiary (provided that the primary obligations are not prohibited hereby); and</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577" w:val="left"/>
        </w:tabs>
        <w:numPr>
          <w:ilvl w:val="0"/>
          <w:numId w:val="72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Extensions, refinancings and renewals of any items of Permitted Indebtedness, provided that the principal amount is not increased or the terms modified to impose more burdensome terms upon Borrower or its Subsidiary, as the case may be.</w:t>
      </w:r>
    </w:p>
    <w:p>
      <w:pPr>
        <w:spacing w:after="0" w:line="1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“Permitted Investment” means:</w:t>
      </w:r>
    </w:p>
    <w:p>
      <w:pPr>
        <w:spacing w:after="0" w:line="162" w:lineRule="exact"/>
        <w:rPr>
          <w:sz w:val="20"/>
          <w:szCs w:val="20"/>
          <w:color w:val="auto"/>
        </w:rPr>
      </w:pPr>
    </w:p>
    <w:p>
      <w:pPr>
        <w:ind w:left="1560" w:hanging="336"/>
        <w:spacing w:after="0"/>
        <w:tabs>
          <w:tab w:leader="none" w:pos="1560" w:val="left"/>
        </w:tabs>
        <w:numPr>
          <w:ilvl w:val="0"/>
          <w:numId w:val="7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existing on the Closing Date disclosed in the Schedule;</w:t>
      </w:r>
    </w:p>
    <w:p>
      <w:pPr>
        <w:spacing w:after="0" w:line="161"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556" w:val="left"/>
        </w:tabs>
        <w:numPr>
          <w:ilvl w:val="0"/>
          <w:numId w:val="7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 Marketable direct obligations issued or unconditionally guaranteed by the United States of America or any agency or any state thereof maturing within one year from the date of acquisition</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18" w:name="page819"/>
    <w:bookmarkEnd w:id="818"/>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 xml:space="preserve">thereof, (ii) commercial paper maturing no more than one year from the date of creation thereof and currently having rating of at least A-2 or P-2 from either Standard &amp; Poor’s Corporation or Moody’s Investors Service, (iii) Bank’s certificates of deposit maturing no more than one year from the date of investment therein, (iv) Bank’s money market accounts; (v) Investments in regular deposit, checking or securities accounts held with Bank or as otherwise permitted by, and subject to the terms and conditions of,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of this Agreement; and (vi) Investments consistent with any investment policy adopted by Borrower’s board of directors;</w:t>
      </w:r>
    </w:p>
    <w:p>
      <w:pPr>
        <w:spacing w:after="0" w:line="141" w:lineRule="exact"/>
        <w:rPr>
          <w:sz w:val="20"/>
          <w:szCs w:val="20"/>
          <w:color w:val="auto"/>
        </w:rPr>
      </w:pPr>
    </w:p>
    <w:p>
      <w:pPr>
        <w:ind w:left="1560" w:hanging="336"/>
        <w:spacing w:after="0"/>
        <w:tabs>
          <w:tab w:leader="none" w:pos="1560" w:val="left"/>
        </w:tabs>
        <w:numPr>
          <w:ilvl w:val="0"/>
          <w:numId w:val="7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accepted in connection with Permitted Transfers;</w:t>
      </w:r>
    </w:p>
    <w:p>
      <w:pPr>
        <w:spacing w:after="0" w:line="161" w:lineRule="exact"/>
        <w:rPr>
          <w:rFonts w:ascii="Times New Roman" w:cs="Times New Roman" w:eastAsia="Times New Roman" w:hAnsi="Times New Roman"/>
          <w:sz w:val="17"/>
          <w:szCs w:val="17"/>
          <w:b w:val="1"/>
          <w:bCs w:val="1"/>
          <w:color w:val="auto"/>
        </w:rPr>
      </w:pPr>
    </w:p>
    <w:p>
      <w:pPr>
        <w:jc w:val="both"/>
        <w:ind w:left="1220" w:right="1239" w:firstLine="4"/>
        <w:spacing w:after="0" w:line="239" w:lineRule="auto"/>
        <w:tabs>
          <w:tab w:leader="none" w:pos="1577" w:val="left"/>
        </w:tabs>
        <w:numPr>
          <w:ilvl w:val="0"/>
          <w:numId w:val="7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(i) by Borrower or any Subsidiary in Borrower or a Secured Guarantor, (ii) Investments by Borrower and Guarantors in Subsidiaries (which, for clarity, shall not include any transfer of intellectual property to Australian Subsidiary) not to exceed $250,000 in the aggregate in any fiscal year and (iii) Investments of Subsidiaries that are not a Borrowers or a Guarantor in other Subsidiaries;</w:t>
      </w:r>
    </w:p>
    <w:p>
      <w:pPr>
        <w:spacing w:after="0" w:line="140" w:lineRule="exact"/>
        <w:rPr>
          <w:rFonts w:ascii="Times New Roman" w:cs="Times New Roman" w:eastAsia="Times New Roman" w:hAnsi="Times New Roman"/>
          <w:sz w:val="17"/>
          <w:szCs w:val="17"/>
          <w:b w:val="1"/>
          <w:bCs w:val="1"/>
          <w:color w:val="auto"/>
        </w:rPr>
      </w:pPr>
    </w:p>
    <w:p>
      <w:pPr>
        <w:ind w:left="1580" w:hanging="356"/>
        <w:spacing w:after="0"/>
        <w:tabs>
          <w:tab w:leader="none" w:pos="1580" w:val="left"/>
        </w:tabs>
        <w:numPr>
          <w:ilvl w:val="0"/>
          <w:numId w:val="7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not to exceed $250,000 outstanding in the aggregate at any time consisting of</w:t>
      </w:r>
    </w:p>
    <w:p>
      <w:pPr>
        <w:spacing w:after="0" w:line="11" w:lineRule="exact"/>
        <w:rPr>
          <w:rFonts w:ascii="Times New Roman" w:cs="Times New Roman" w:eastAsia="Times New Roman" w:hAnsi="Times New Roman"/>
          <w:sz w:val="17"/>
          <w:szCs w:val="17"/>
          <w:b w:val="1"/>
          <w:bCs w:val="1"/>
          <w:color w:val="auto"/>
        </w:rPr>
      </w:pPr>
    </w:p>
    <w:p>
      <w:pPr>
        <w:jc w:val="both"/>
        <w:ind w:left="1220" w:right="1239" w:firstLine="4"/>
        <w:spacing w:after="0" w:line="235" w:lineRule="auto"/>
        <w:tabs>
          <w:tab w:leader="none" w:pos="1427" w:val="left"/>
        </w:tabs>
        <w:numPr>
          <w:ilvl w:val="0"/>
          <w:numId w:val="7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 agreements approved by Borrower’s board of directors;</w:t>
      </w:r>
    </w:p>
    <w:p>
      <w:pPr>
        <w:spacing w:after="0" w:line="141" w:lineRule="exact"/>
        <w:rPr>
          <w:rFonts w:ascii="Times New Roman" w:cs="Times New Roman" w:eastAsia="Times New Roman" w:hAnsi="Times New Roman"/>
          <w:sz w:val="17"/>
          <w:szCs w:val="17"/>
          <w:color w:val="auto"/>
        </w:rPr>
      </w:pPr>
    </w:p>
    <w:p>
      <w:pPr>
        <w:jc w:val="both"/>
        <w:ind w:left="1220" w:right="1239" w:firstLine="4"/>
        <w:spacing w:after="0" w:line="241" w:lineRule="auto"/>
        <w:tabs>
          <w:tab w:leader="none" w:pos="1588" w:val="left"/>
        </w:tabs>
        <w:numPr>
          <w:ilvl w:val="0"/>
          <w:numId w:val="7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or a Subsidiary’s business;</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609" w:val="left"/>
        </w:tabs>
        <w:numPr>
          <w:ilvl w:val="0"/>
          <w:numId w:val="7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consisting of notes receivable of, or prepaid royalties and other credit extensions, to customers and suppliers who are not Affiliates, in the ordinary course of business, provided that this clause (g) shall not apply to Investments of Borrower in any Subsidiary;</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4"/>
        <w:spacing w:after="0" w:line="241" w:lineRule="auto"/>
        <w:tabs>
          <w:tab w:leader="none" w:pos="1567" w:val="left"/>
        </w:tabs>
        <w:numPr>
          <w:ilvl w:val="0"/>
          <w:numId w:val="7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Joint ventures or strategic alliances in the ordinary course of Borrower’s or a Subsidiary’s business consisting of the non-exclusive licensing of technology, the development of technology or the providing of technical support, provided that any such cash Investments by Borrower and its Subsidiaries do not exceed $250,000 in the aggregate in any fiscal year;</w:t>
      </w:r>
    </w:p>
    <w:p>
      <w:pPr>
        <w:spacing w:after="0" w:line="139" w:lineRule="exact"/>
        <w:rPr>
          <w:rFonts w:ascii="Times New Roman" w:cs="Times New Roman" w:eastAsia="Times New Roman" w:hAnsi="Times New Roman"/>
          <w:sz w:val="17"/>
          <w:szCs w:val="17"/>
          <w:b w:val="1"/>
          <w:bCs w:val="1"/>
          <w:color w:val="auto"/>
        </w:rPr>
      </w:pPr>
    </w:p>
    <w:p>
      <w:pPr>
        <w:ind w:left="1560" w:hanging="336"/>
        <w:spacing w:after="0"/>
        <w:tabs>
          <w:tab w:leader="none" w:pos="1560" w:val="left"/>
        </w:tabs>
        <w:numPr>
          <w:ilvl w:val="0"/>
          <w:numId w:val="7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Investments permitted under </w:t>
      </w:r>
      <w:r>
        <w:rPr>
          <w:rFonts w:ascii="Times New Roman" w:cs="Times New Roman" w:eastAsia="Times New Roman" w:hAnsi="Times New Roman"/>
          <w:sz w:val="17"/>
          <w:szCs w:val="17"/>
          <w:u w:val="single" w:color="auto"/>
          <w:color w:val="auto"/>
        </w:rPr>
        <w:t>Section 7.3</w:t>
      </w:r>
      <w:r>
        <w:rPr>
          <w:rFonts w:ascii="Times New Roman" w:cs="Times New Roman" w:eastAsia="Times New Roman" w:hAnsi="Times New Roman"/>
          <w:sz w:val="17"/>
          <w:szCs w:val="17"/>
          <w:color w:val="auto"/>
        </w:rPr>
        <w:t>;</w:t>
      </w:r>
    </w:p>
    <w:p>
      <w:pPr>
        <w:spacing w:after="0" w:line="161"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609" w:val="left"/>
        </w:tabs>
        <w:numPr>
          <w:ilvl w:val="0"/>
          <w:numId w:val="7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consisting of the endorsement of negotiable instruments for deposit or collection or similar transactions in the ordinary course of Borrower;</w:t>
      </w:r>
    </w:p>
    <w:p>
      <w:pPr>
        <w:spacing w:after="0" w:line="124" w:lineRule="exact"/>
        <w:rPr>
          <w:rFonts w:ascii="Times New Roman" w:cs="Times New Roman" w:eastAsia="Times New Roman" w:hAnsi="Times New Roman"/>
          <w:sz w:val="17"/>
          <w:szCs w:val="17"/>
          <w:b w:val="1"/>
          <w:bCs w:val="1"/>
          <w:color w:val="auto"/>
        </w:rPr>
      </w:pPr>
    </w:p>
    <w:p>
      <w:pPr>
        <w:jc w:val="both"/>
        <w:ind w:left="1220" w:right="1239" w:firstLine="4"/>
        <w:spacing w:after="0" w:line="241" w:lineRule="auto"/>
        <w:tabs>
          <w:tab w:leader="none" w:pos="1609" w:val="left"/>
        </w:tabs>
        <w:numPr>
          <w:ilvl w:val="0"/>
          <w:numId w:val="7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Investments by Borrower or any Subsidiary in the MSC Subsidiary provided that, immediately following any such Investment, the aggregate amount of Cash maintained by Borrower in depository and operating accounts with Bank will be equal to at least 105% of the outstanding principal amount of all Term Loans;</w:t>
      </w:r>
    </w:p>
    <w:p>
      <w:pPr>
        <w:spacing w:after="0" w:line="139"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598" w:val="left"/>
        </w:tabs>
        <w:numPr>
          <w:ilvl w:val="0"/>
          <w:numId w:val="72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the extent constituting an Investment, (i) deposits not exceeding $500,000 in the aggregate made to secure the performance of operating leases, licenses or contracts in the ordinary</w:t>
      </w: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6" w:right="1440" w:bottom="1440" w:gutter="0" w:footer="0" w:header="0"/>
        </w:sectPr>
      </w:pPr>
    </w:p>
    <w:bookmarkStart w:id="819" w:name="page820"/>
    <w:bookmarkEnd w:id="819"/>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course of business and (ii) deposits given in the ordinary course of business in connection with contracts with respect to clinical research; and</w:t>
      </w:r>
    </w:p>
    <w:p>
      <w:pPr>
        <w:spacing w:after="0" w:line="125" w:lineRule="exact"/>
        <w:rPr>
          <w:sz w:val="20"/>
          <w:szCs w:val="20"/>
          <w:color w:val="auto"/>
        </w:rPr>
      </w:pPr>
    </w:p>
    <w:p>
      <w:pPr>
        <w:ind w:left="1220" w:right="1239" w:firstLine="4"/>
        <w:spacing w:after="0" w:line="259" w:lineRule="auto"/>
        <w:tabs>
          <w:tab w:leader="none" w:pos="1567" w:val="left"/>
        </w:tabs>
        <w:numPr>
          <w:ilvl w:val="0"/>
          <w:numId w:val="7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Investments not exceeding $500,000 in the aggregate in any fiscal year. “Permitted Liens” means the following:</w:t>
      </w:r>
    </w:p>
    <w:p>
      <w:pPr>
        <w:spacing w:after="0" w:line="125" w:lineRule="exact"/>
        <w:rPr>
          <w:sz w:val="20"/>
          <w:szCs w:val="20"/>
          <w:color w:val="auto"/>
        </w:rPr>
      </w:pPr>
    </w:p>
    <w:p>
      <w:pPr>
        <w:jc w:val="both"/>
        <w:ind w:left="1220" w:right="1239" w:firstLine="4"/>
        <w:spacing w:after="0" w:line="246" w:lineRule="auto"/>
        <w:tabs>
          <w:tab w:leader="none" w:pos="1567" w:val="left"/>
        </w:tabs>
        <w:numPr>
          <w:ilvl w:val="0"/>
          <w:numId w:val="7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Liens existing on the Closing Date and disclosed in the Schedule (excluding Liens to be satisfied with the proceeds of the Credit Extensions) or arising under this Agreement, the other Loan Documents, or any other agreement in favor of Bank;</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588" w:val="left"/>
        </w:tabs>
        <w:numPr>
          <w:ilvl w:val="0"/>
          <w:numId w:val="7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for taxes, fees, assessments or other governmental charges or levies, either not delinquent or being contested in good faith by appropriate proceedings and for which Borrower or the applicable Subsidiary maintains adequate reserves;</w:t>
      </w:r>
    </w:p>
    <w:p>
      <w:pPr>
        <w:spacing w:after="0" w:line="134" w:lineRule="exact"/>
        <w:rPr>
          <w:rFonts w:ascii="Times New Roman" w:cs="Times New Roman" w:eastAsia="Times New Roman" w:hAnsi="Times New Roman"/>
          <w:sz w:val="17"/>
          <w:szCs w:val="17"/>
          <w:b w:val="1"/>
          <w:bCs w:val="1"/>
          <w:color w:val="auto"/>
        </w:rPr>
      </w:pPr>
    </w:p>
    <w:p>
      <w:pPr>
        <w:jc w:val="both"/>
        <w:ind w:left="1220" w:right="1239" w:firstLine="4"/>
        <w:spacing w:after="0" w:line="237" w:lineRule="auto"/>
        <w:tabs>
          <w:tab w:leader="none" w:pos="1567" w:val="left"/>
        </w:tabs>
        <w:numPr>
          <w:ilvl w:val="0"/>
          <w:numId w:val="7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not to exceed $250,000 in the aggregate at any time (i) upon or in any Equipment (other than Equipment financed by a Credit Extension) acquired or held by Borrower or any of its Subsidiaries to secure the purchase or lease price of such Equipment or indebtedness incurred solely for the purpose of financing the acquisition or lease of such Equipment, or (ii) existing on such Equipment at the time of its acquisition, in each case provided that the Lien is confined solely to the property so acquired and improvements thereon, and the proceeds of such Equipment;</w:t>
      </w:r>
    </w:p>
    <w:p>
      <w:pPr>
        <w:spacing w:after="0" w:line="141" w:lineRule="exact"/>
        <w:rPr>
          <w:rFonts w:ascii="Times New Roman" w:cs="Times New Roman" w:eastAsia="Times New Roman" w:hAnsi="Times New Roman"/>
          <w:sz w:val="17"/>
          <w:szCs w:val="17"/>
          <w:b w:val="1"/>
          <w:bCs w:val="1"/>
          <w:color w:val="auto"/>
        </w:rPr>
      </w:pPr>
    </w:p>
    <w:p>
      <w:pPr>
        <w:jc w:val="both"/>
        <w:ind w:left="1220" w:right="1239" w:firstLine="4"/>
        <w:spacing w:after="0" w:line="239" w:lineRule="auto"/>
        <w:tabs>
          <w:tab w:leader="none" w:pos="1567" w:val="left"/>
        </w:tabs>
        <w:numPr>
          <w:ilvl w:val="0"/>
          <w:numId w:val="7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of carriers, warehousemen, suppliers, or other Persons that are possessory in nature arising in the ordinary course of business so long as such Liens attach only to Inventory,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40"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609" w:val="left"/>
        </w:tabs>
        <w:numPr>
          <w:ilvl w:val="0"/>
          <w:numId w:val="7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to secure payment of workers’ compensation, employment insurance, old-age pensions, social security and other like obligations incurred in the ordinary course of business (other than Liens imposed by ERISA);</w:t>
      </w:r>
    </w:p>
    <w:p>
      <w:pPr>
        <w:spacing w:after="0" w:line="134"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56" w:val="left"/>
        </w:tabs>
        <w:numPr>
          <w:ilvl w:val="0"/>
          <w:numId w:val="7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non-exclusive licenses of Intellectual Property granted to third parties in the ordinary course of business;</w:t>
      </w:r>
    </w:p>
    <w:p>
      <w:pPr>
        <w:spacing w:after="0" w:line="124" w:lineRule="exact"/>
        <w:rPr>
          <w:rFonts w:ascii="Times New Roman" w:cs="Times New Roman" w:eastAsia="Times New Roman" w:hAnsi="Times New Roman"/>
          <w:sz w:val="17"/>
          <w:szCs w:val="17"/>
          <w:b w:val="1"/>
          <w:bCs w:val="1"/>
          <w:color w:val="auto"/>
        </w:rPr>
      </w:pPr>
    </w:p>
    <w:p>
      <w:pPr>
        <w:jc w:val="both"/>
        <w:ind w:left="1220" w:right="1239" w:firstLine="4"/>
        <w:spacing w:after="0" w:line="252" w:lineRule="auto"/>
        <w:tabs>
          <w:tab w:leader="none" w:pos="1577" w:val="left"/>
        </w:tabs>
        <w:numPr>
          <w:ilvl w:val="0"/>
          <w:numId w:val="73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customary Liens of any bank in connection with statutory, common law and contractual rights of setoff and recoupment with respect to any deposit account or securities account of Borrower or its Subsidiaries, provided that (i) Bank has a first priority (subject to Permitted Liens) perfected security interest in such account to the extent required under this Agreement and</w:t>
      </w:r>
    </w:p>
    <w:p>
      <w:pPr>
        <w:spacing w:after="0" w:line="2" w:lineRule="exact"/>
        <w:rPr>
          <w:rFonts w:ascii="Times New Roman" w:cs="Times New Roman" w:eastAsia="Times New Roman" w:hAnsi="Times New Roman"/>
          <w:sz w:val="16"/>
          <w:szCs w:val="16"/>
          <w:b w:val="1"/>
          <w:bCs w:val="1"/>
          <w:color w:val="auto"/>
        </w:rPr>
      </w:pPr>
    </w:p>
    <w:p>
      <w:pPr>
        <w:ind w:left="1480" w:hanging="256"/>
        <w:spacing w:after="0"/>
        <w:tabs>
          <w:tab w:leader="none" w:pos="1480" w:val="left"/>
        </w:tabs>
        <w:numPr>
          <w:ilvl w:val="0"/>
          <w:numId w:val="7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account is permitted to be maintained pursuant to </w:t>
      </w:r>
      <w:r>
        <w:rPr>
          <w:rFonts w:ascii="Times New Roman" w:cs="Times New Roman" w:eastAsia="Times New Roman" w:hAnsi="Times New Roman"/>
          <w:sz w:val="17"/>
          <w:szCs w:val="17"/>
          <w:u w:val="single" w:color="auto"/>
          <w:color w:val="auto"/>
        </w:rPr>
        <w:t>Section 6.6</w:t>
      </w:r>
      <w:r>
        <w:rPr>
          <w:rFonts w:ascii="Times New Roman" w:cs="Times New Roman" w:eastAsia="Times New Roman" w:hAnsi="Times New Roman"/>
          <w:sz w:val="17"/>
          <w:szCs w:val="17"/>
          <w:color w:val="auto"/>
        </w:rPr>
        <w:t xml:space="preserve"> of this Agreement;</w:t>
      </w:r>
    </w:p>
    <w:p>
      <w:pPr>
        <w:spacing w:after="0" w:line="143" w:lineRule="exact"/>
        <w:rPr>
          <w:rFonts w:ascii="Times New Roman" w:cs="Times New Roman" w:eastAsia="Times New Roman" w:hAnsi="Times New Roman"/>
          <w:sz w:val="17"/>
          <w:szCs w:val="17"/>
          <w:color w:val="auto"/>
        </w:rPr>
      </w:pPr>
    </w:p>
    <w:p>
      <w:pPr>
        <w:jc w:val="both"/>
        <w:ind w:left="1220" w:right="1239" w:firstLine="4"/>
        <w:spacing w:after="0" w:line="238" w:lineRule="auto"/>
        <w:tabs>
          <w:tab w:leader="none" w:pos="1567" w:val="left"/>
        </w:tabs>
        <w:numPr>
          <w:ilvl w:val="0"/>
          <w:numId w:val="7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8" w:right="1440" w:bottom="1440" w:gutter="0" w:footer="0" w:header="0"/>
        </w:sectPr>
      </w:pPr>
    </w:p>
    <w:bookmarkStart w:id="820" w:name="page821"/>
    <w:bookmarkEnd w:id="820"/>
    <w:p>
      <w:pPr>
        <w:jc w:val="both"/>
        <w:ind w:left="1220" w:right="1239" w:firstLine="4"/>
        <w:spacing w:after="0" w:line="246" w:lineRule="auto"/>
        <w:tabs>
          <w:tab w:leader="none" w:pos="1567"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arising from the filing of any precautionary financing statement on operating leases covering the leased property, to the extent such operating leases are permitted under this Agreement;</w:t>
      </w:r>
    </w:p>
    <w:p>
      <w:pPr>
        <w:spacing w:after="0" w:line="134"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67"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on cash securing up to 105% of the amount of obligations of the type described in clause (h) of the definition of “Permitted Indebtedness;</w:t>
      </w:r>
    </w:p>
    <w:p>
      <w:pPr>
        <w:spacing w:after="0" w:line="124"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88"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in favor of customs or revenue authorities arising as a matter of law to secure payment of customs duties in connection with the importation of goods;</w:t>
      </w:r>
    </w:p>
    <w:p>
      <w:pPr>
        <w:spacing w:after="0" w:line="124" w:lineRule="exact"/>
        <w:rPr>
          <w:rFonts w:ascii="Times New Roman" w:cs="Times New Roman" w:eastAsia="Times New Roman" w:hAnsi="Times New Roman"/>
          <w:sz w:val="17"/>
          <w:szCs w:val="17"/>
          <w:b w:val="1"/>
          <w:bCs w:val="1"/>
          <w:color w:val="auto"/>
        </w:rPr>
      </w:pPr>
    </w:p>
    <w:p>
      <w:pPr>
        <w:jc w:val="both"/>
        <w:ind w:left="1220" w:right="1239" w:firstLine="4"/>
        <w:spacing w:after="0" w:line="239" w:lineRule="auto"/>
        <w:tabs>
          <w:tab w:leader="none" w:pos="1556"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incurred in connection with the extension, renewal or refinancing of the indebtedness secured by Liens of the type described in clauses (a) through (j) above, provided that any extension, renewal or replacement Lien shall be limited to the property encumbered by the existing Lien and the principal amount of the indebtedness being extended, renewed or refinanced does not increase;</w:t>
      </w:r>
    </w:p>
    <w:p>
      <w:pPr>
        <w:spacing w:after="0" w:line="140"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67"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Liens arising from judgments, decrees or attachments in circumstances not constituting an Event of Default under </w:t>
      </w:r>
      <w:r>
        <w:rPr>
          <w:rFonts w:ascii="Times New Roman" w:cs="Times New Roman" w:eastAsia="Times New Roman" w:hAnsi="Times New Roman"/>
          <w:sz w:val="17"/>
          <w:szCs w:val="17"/>
          <w:u w:val="single" w:color="auto"/>
          <w:color w:val="auto"/>
        </w:rPr>
        <w:t>Sections 8.4</w:t>
      </w:r>
      <w:r>
        <w:rPr>
          <w:rFonts w:ascii="Times New Roman" w:cs="Times New Roman" w:eastAsia="Times New Roman" w:hAnsi="Times New Roman"/>
          <w:sz w:val="17"/>
          <w:szCs w:val="17"/>
          <w:color w:val="auto"/>
        </w:rPr>
        <w:t xml:space="preserve"> (Attachment) or </w:t>
      </w:r>
      <w:r>
        <w:rPr>
          <w:rFonts w:ascii="Times New Roman" w:cs="Times New Roman" w:eastAsia="Times New Roman" w:hAnsi="Times New Roman"/>
          <w:sz w:val="17"/>
          <w:szCs w:val="17"/>
          <w:u w:val="single" w:color="auto"/>
          <w:color w:val="auto"/>
        </w:rPr>
        <w:t>8.7</w:t>
      </w:r>
      <w:r>
        <w:rPr>
          <w:rFonts w:ascii="Times New Roman" w:cs="Times New Roman" w:eastAsia="Times New Roman" w:hAnsi="Times New Roman"/>
          <w:sz w:val="17"/>
          <w:szCs w:val="17"/>
          <w:color w:val="auto"/>
        </w:rPr>
        <w:t xml:space="preserve"> (Judgments);</w:t>
      </w:r>
    </w:p>
    <w:p>
      <w:pPr>
        <w:spacing w:after="0" w:line="124"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56"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Liens securing Subordinated Debt, provided that such Liens do not encumber assets beyond those assets comprising the Collateral; and</w:t>
      </w:r>
    </w:p>
    <w:p>
      <w:pPr>
        <w:spacing w:after="0" w:line="124"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77" w:val="left"/>
        </w:tabs>
        <w:numPr>
          <w:ilvl w:val="0"/>
          <w:numId w:val="7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Liens securing obligations in an aggregate amount not exceeding $100,000 at any time, provided that no such Liens may secure obligations for borrowed money.</w:t>
      </w:r>
    </w:p>
    <w:p>
      <w:pPr>
        <w:spacing w:after="0" w:line="125" w:lineRule="exact"/>
        <w:rPr>
          <w:sz w:val="20"/>
          <w:szCs w:val="20"/>
          <w:color w:val="auto"/>
        </w:rPr>
      </w:pPr>
    </w:p>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“Permitted Transfer” means the conveyance, sale, lease, transfer or disposition by Borrower or any Subsidiary of:</w:t>
      </w:r>
    </w:p>
    <w:p>
      <w:pPr>
        <w:spacing w:after="0" w:line="125" w:lineRule="exact"/>
        <w:rPr>
          <w:sz w:val="20"/>
          <w:szCs w:val="20"/>
          <w:color w:val="auto"/>
        </w:rPr>
      </w:pPr>
    </w:p>
    <w:p>
      <w:pPr>
        <w:ind w:left="1560" w:hanging="336"/>
        <w:spacing w:after="0"/>
        <w:tabs>
          <w:tab w:leader="none" w:pos="1560" w:val="left"/>
        </w:tabs>
        <w:numPr>
          <w:ilvl w:val="0"/>
          <w:numId w:val="7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Inventory in the ordinary course of business;</w:t>
      </w:r>
    </w:p>
    <w:p>
      <w:pPr>
        <w:spacing w:after="0" w:line="161"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56" w:val="left"/>
        </w:tabs>
        <w:numPr>
          <w:ilvl w:val="0"/>
          <w:numId w:val="7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licenses and similar arrangements for the use of the property of Borrower or its Subsidiaries in the ordinary course of business;</w:t>
      </w:r>
    </w:p>
    <w:p>
      <w:pPr>
        <w:spacing w:after="0" w:line="124"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609" w:val="left"/>
        </w:tabs>
        <w:numPr>
          <w:ilvl w:val="0"/>
          <w:numId w:val="7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worn-out, surplus or obsolete Equipment not financed with the proceeds of Credit Extensions;</w:t>
      </w:r>
    </w:p>
    <w:p>
      <w:pPr>
        <w:spacing w:after="0" w:line="124" w:lineRule="exact"/>
        <w:rPr>
          <w:rFonts w:ascii="Times New Roman" w:cs="Times New Roman" w:eastAsia="Times New Roman" w:hAnsi="Times New Roman"/>
          <w:sz w:val="17"/>
          <w:szCs w:val="17"/>
          <w:b w:val="1"/>
          <w:bCs w:val="1"/>
          <w:color w:val="auto"/>
        </w:rPr>
      </w:pPr>
    </w:p>
    <w:p>
      <w:pPr>
        <w:ind w:left="1560" w:hanging="336"/>
        <w:spacing w:after="0"/>
        <w:tabs>
          <w:tab w:leader="none" w:pos="1560" w:val="left"/>
        </w:tabs>
        <w:numPr>
          <w:ilvl w:val="0"/>
          <w:numId w:val="7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grants of security interests and other Liens that constitute Permitted Liens;</w:t>
      </w:r>
    </w:p>
    <w:p>
      <w:pPr>
        <w:spacing w:after="0" w:line="161" w:lineRule="exact"/>
        <w:rPr>
          <w:rFonts w:ascii="Times New Roman" w:cs="Times New Roman" w:eastAsia="Times New Roman" w:hAnsi="Times New Roman"/>
          <w:sz w:val="17"/>
          <w:szCs w:val="17"/>
          <w:b w:val="1"/>
          <w:bCs w:val="1"/>
          <w:color w:val="auto"/>
        </w:rPr>
      </w:pPr>
    </w:p>
    <w:p>
      <w:pPr>
        <w:jc w:val="both"/>
        <w:ind w:left="1220" w:right="1239" w:firstLine="4"/>
        <w:spacing w:after="0" w:line="246" w:lineRule="auto"/>
        <w:tabs>
          <w:tab w:leader="none" w:pos="1567" w:val="left"/>
        </w:tabs>
        <w:numPr>
          <w:ilvl w:val="0"/>
          <w:numId w:val="7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other assets of Borrower or its Subsidiaries that do not in the aggregate exceed $250,000 during any fiscal year (provided that no transfer of intellectual property to Australian Subsidiary shall be permitted);</w:t>
      </w:r>
    </w:p>
    <w:p>
      <w:pPr>
        <w:spacing w:after="0" w:line="134" w:lineRule="exact"/>
        <w:rPr>
          <w:rFonts w:ascii="Times New Roman" w:cs="Times New Roman" w:eastAsia="Times New Roman" w:hAnsi="Times New Roman"/>
          <w:sz w:val="17"/>
          <w:szCs w:val="17"/>
          <w:b w:val="1"/>
          <w:bCs w:val="1"/>
          <w:color w:val="auto"/>
        </w:rPr>
      </w:pPr>
    </w:p>
    <w:p>
      <w:pPr>
        <w:ind w:left="1220" w:right="1239" w:firstLine="4"/>
        <w:spacing w:after="0" w:line="259" w:lineRule="auto"/>
        <w:tabs>
          <w:tab w:leader="none" w:pos="1556" w:val="left"/>
        </w:tabs>
        <w:numPr>
          <w:ilvl w:val="0"/>
          <w:numId w:val="7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conveyances, sales, leases, transfers and dispositions constituting Permitted Investments and Permitted Liens;</w:t>
      </w:r>
    </w:p>
    <w:p>
      <w:pPr>
        <w:spacing w:after="0" w:line="124" w:lineRule="exact"/>
        <w:rPr>
          <w:rFonts w:ascii="Times New Roman" w:cs="Times New Roman" w:eastAsia="Times New Roman" w:hAnsi="Times New Roman"/>
          <w:sz w:val="17"/>
          <w:szCs w:val="17"/>
          <w:b w:val="1"/>
          <w:bCs w:val="1"/>
          <w:color w:val="auto"/>
        </w:rPr>
      </w:pPr>
    </w:p>
    <w:p>
      <w:pPr>
        <w:ind w:left="1220" w:right="1239" w:firstLine="4"/>
        <w:spacing w:after="0" w:line="291" w:lineRule="auto"/>
        <w:tabs>
          <w:tab w:leader="none" w:pos="1556" w:val="left"/>
        </w:tabs>
        <w:numPr>
          <w:ilvl w:val="0"/>
          <w:numId w:val="7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consisting of the sale or issuance of any stock, partnership, membership, or other ownership interest or other equity securities of Borrower permitted under </w:t>
      </w:r>
      <w:r>
        <w:rPr>
          <w:rFonts w:ascii="Times New Roman" w:cs="Times New Roman" w:eastAsia="Times New Roman" w:hAnsi="Times New Roman"/>
          <w:sz w:val="16"/>
          <w:szCs w:val="16"/>
          <w:u w:val="single" w:color="auto"/>
          <w:color w:val="auto"/>
        </w:rPr>
        <w:t>Section 7.2</w:t>
      </w:r>
      <w:r>
        <w:rPr>
          <w:rFonts w:ascii="Times New Roman" w:cs="Times New Roman" w:eastAsia="Times New Roman" w:hAnsi="Times New Roman"/>
          <w:sz w:val="16"/>
          <w:szCs w:val="16"/>
          <w:color w:val="auto"/>
        </w:rPr>
        <w:t xml:space="preserve"> of this Agreement;</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21" w:name="page822"/>
    <w:bookmarkEnd w:id="821"/>
    <w:p>
      <w:pPr>
        <w:ind w:left="1220" w:right="1239" w:firstLine="4"/>
        <w:spacing w:after="0" w:line="259" w:lineRule="auto"/>
        <w:tabs>
          <w:tab w:leader="none" w:pos="1556" w:val="left"/>
        </w:tabs>
        <w:numPr>
          <w:ilvl w:val="0"/>
          <w:numId w:val="7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consisting of the use of cash and cash equivalents in the ordinary course of business and in a manner that is not prohibited by the terms of this Agreement; and</w:t>
      </w:r>
    </w:p>
    <w:p>
      <w:pPr>
        <w:spacing w:after="0" w:line="124" w:lineRule="exact"/>
        <w:rPr>
          <w:rFonts w:ascii="Times New Roman" w:cs="Times New Roman" w:eastAsia="Times New Roman" w:hAnsi="Times New Roman"/>
          <w:sz w:val="17"/>
          <w:szCs w:val="17"/>
          <w:b w:val="1"/>
          <w:bCs w:val="1"/>
          <w:color w:val="auto"/>
        </w:rPr>
      </w:pPr>
    </w:p>
    <w:p>
      <w:pPr>
        <w:ind w:left="1560" w:hanging="336"/>
        <w:spacing w:after="0"/>
        <w:tabs>
          <w:tab w:leader="none" w:pos="1560" w:val="left"/>
        </w:tabs>
        <w:numPr>
          <w:ilvl w:val="0"/>
          <w:numId w:val="7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transfers among Borrower and Secured Guarantors.</w:t>
      </w:r>
    </w:p>
    <w:p>
      <w:pPr>
        <w:spacing w:after="0" w:line="162"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“Person” means any individual, sole proprietorship, partnership, limited liability company, joint venture, trust, unincorporated organization, association, corporation, institution, public benefit corporation, firm, joint stock company, estate, entity or governmental agency.</w:t>
      </w:r>
    </w:p>
    <w:p>
      <w:pPr>
        <w:spacing w:after="0" w:line="135" w:lineRule="exact"/>
        <w:rPr>
          <w:sz w:val="20"/>
          <w:szCs w:val="20"/>
          <w:color w:val="auto"/>
        </w:rPr>
      </w:pPr>
    </w:p>
    <w:p>
      <w:pPr>
        <w:jc w:val="both"/>
        <w:ind w:left="1220" w:right="1239"/>
        <w:spacing w:after="0" w:line="259" w:lineRule="auto"/>
        <w:rPr>
          <w:sz w:val="20"/>
          <w:szCs w:val="20"/>
          <w:color w:val="auto"/>
        </w:rPr>
      </w:pPr>
      <w:r>
        <w:rPr>
          <w:rFonts w:ascii="Times New Roman" w:cs="Times New Roman" w:eastAsia="Times New Roman" w:hAnsi="Times New Roman"/>
          <w:sz w:val="17"/>
          <w:szCs w:val="17"/>
          <w:color w:val="auto"/>
        </w:rPr>
        <w:t>“Prime Rate” means the variable rate of interest, per annum, most recently announced by Bank, as its “prime rate,” whether or not such announced rate is the lowest rate available from Bank.</w:t>
      </w:r>
    </w:p>
    <w:p>
      <w:pPr>
        <w:spacing w:after="0" w:line="125" w:lineRule="exact"/>
        <w:rPr>
          <w:sz w:val="20"/>
          <w:szCs w:val="20"/>
          <w:color w:val="auto"/>
        </w:rPr>
      </w:pPr>
    </w:p>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“Responsible Officer” means each of the Chief Executive Officer, the Chief Operating Officer, the Chief Financial Officer, Vice President of Finance and the Controller of Borrower, as well as any other officer or employee identified as an Authorized Officer in the corporate resolution delivered by Borrower to Bank in connection with this Agreement.</w:t>
      </w:r>
    </w:p>
    <w:p>
      <w:pPr>
        <w:spacing w:after="0" w:line="14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“Revenue” means revenue recognized in accordance with GAAP.</w:t>
      </w:r>
    </w:p>
    <w:p>
      <w:pPr>
        <w:spacing w:after="0" w:line="1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“Schedule” means the schedule of exceptions attached hereto and approved by Bank, if any.</w:t>
      </w:r>
    </w:p>
    <w:p>
      <w:pPr>
        <w:spacing w:after="0" w:line="162" w:lineRule="exact"/>
        <w:rPr>
          <w:sz w:val="20"/>
          <w:szCs w:val="20"/>
          <w:color w:val="auto"/>
        </w:rPr>
      </w:pPr>
    </w:p>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“Secured Guarantor” is any Guarantor with respect to which Bank has a first priority security interest (subject only to Permitted Liens) in all of such guarantor’s personal property and assets as are consistent with the definition of Collateral as if such Guarantor were named as a Borrower herein.</w:t>
      </w:r>
    </w:p>
    <w:p>
      <w:pPr>
        <w:spacing w:after="0" w:line="140" w:lineRule="exact"/>
        <w:rPr>
          <w:sz w:val="20"/>
          <w:szCs w:val="20"/>
          <w:color w:val="auto"/>
        </w:rPr>
      </w:pPr>
    </w:p>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“Shares” means (i) sixty-five percent (65%) of the issued and outstanding capital stock, membership units or other securities owned or held of record by Borrower in any Subsidiary of Borrower which is not an entity organized under the laws of the United States or territory thereof, and (ii) one hundred percent (100%) of the issued and outstanding capital stock, membership units or other securities owned or held of record by Borrower in any Subsidiary of Borrower which is an entity organized under the laws of the United States or any territory thereof.</w:t>
      </w:r>
    </w:p>
    <w:p>
      <w:pPr>
        <w:spacing w:after="0" w:line="141" w:lineRule="exact"/>
        <w:rPr>
          <w:sz w:val="20"/>
          <w:szCs w:val="20"/>
          <w:color w:val="auto"/>
        </w:rPr>
      </w:pPr>
    </w:p>
    <w:p>
      <w:pPr>
        <w:jc w:val="both"/>
        <w:ind w:left="1220" w:right="1239"/>
        <w:spacing w:after="0" w:line="241" w:lineRule="auto"/>
        <w:rPr>
          <w:sz w:val="20"/>
          <w:szCs w:val="20"/>
          <w:color w:val="auto"/>
        </w:rPr>
      </w:pPr>
      <w:r>
        <w:rPr>
          <w:rFonts w:ascii="Times New Roman" w:cs="Times New Roman" w:eastAsia="Times New Roman" w:hAnsi="Times New Roman"/>
          <w:sz w:val="17"/>
          <w:szCs w:val="17"/>
          <w:color w:val="auto"/>
        </w:rPr>
        <w:t>“SOS Reports” means the official reports from the Secretaries of State of the state where Borrower’s chief executive office is located, the state of Borrower’s formation and other applicable federal, state or local government offices identifying all current security interests filed in the Collateral and Liens of record as of the date of such report.</w:t>
      </w:r>
    </w:p>
    <w:p>
      <w:pPr>
        <w:spacing w:after="0" w:line="140"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“Subordinated Debt” means any debt incurred by Borrower that is subordinated in writing to the debt owing by Borrower to Bank on terms reasonably acceptable to Bank (and identified as being such by Borrower and Bank).</w:t>
      </w:r>
    </w:p>
    <w:p>
      <w:pPr>
        <w:spacing w:after="0" w:line="135" w:lineRule="exact"/>
        <w:rPr>
          <w:sz w:val="20"/>
          <w:szCs w:val="20"/>
          <w:color w:val="auto"/>
        </w:rPr>
      </w:pPr>
    </w:p>
    <w:p>
      <w:pPr>
        <w:jc w:val="both"/>
        <w:ind w:left="1220" w:right="1239"/>
        <w:spacing w:after="0" w:line="239" w:lineRule="auto"/>
        <w:rPr>
          <w:sz w:val="20"/>
          <w:szCs w:val="20"/>
          <w:color w:val="auto"/>
        </w:rPr>
      </w:pPr>
      <w:r>
        <w:rPr>
          <w:rFonts w:ascii="Times New Roman" w:cs="Times New Roman" w:eastAsia="Times New Roman" w:hAnsi="Times New Roman"/>
          <w:sz w:val="17"/>
          <w:szCs w:val="17"/>
          <w:color w:val="auto"/>
        </w:rPr>
        <w:t>“Subsidiary” means any corporation, partnership or limited liability company or joint venture in which (i) any general partnership interest or (ii) more than 50% of the stock, limited liability company interest or joint venture of which by the terms thereof ordinary voting power to elect the board of directors, managers or trustees of the entity, at the time as of which any determination is being made, is owned by Borrower, either directly or through an Affiliate.</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22" w:name="page823"/>
    <w:bookmarkEnd w:id="822"/>
    <w:p>
      <w:pPr>
        <w:ind w:left="1220"/>
        <w:spacing w:after="0"/>
        <w:rPr>
          <w:sz w:val="20"/>
          <w:szCs w:val="20"/>
          <w:color w:val="auto"/>
        </w:rPr>
      </w:pPr>
      <w:r>
        <w:rPr>
          <w:rFonts w:ascii="Times New Roman" w:cs="Times New Roman" w:eastAsia="Times New Roman" w:hAnsi="Times New Roman"/>
          <w:sz w:val="17"/>
          <w:szCs w:val="17"/>
          <w:color w:val="auto"/>
        </w:rPr>
        <w:t xml:space="preserve">“Term Loan” and “Term Loans” have the meanings assigned in </w:t>
      </w:r>
      <w:r>
        <w:rPr>
          <w:rFonts w:ascii="Times New Roman" w:cs="Times New Roman" w:eastAsia="Times New Roman" w:hAnsi="Times New Roman"/>
          <w:sz w:val="17"/>
          <w:szCs w:val="17"/>
          <w:u w:val="single" w:color="auto"/>
          <w:color w:val="auto"/>
        </w:rPr>
        <w:t>Section 2.1(b)</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“Term Loan Maturity Date” means June 30, 2030.</w:t>
      </w:r>
    </w:p>
    <w:p>
      <w:pPr>
        <w:spacing w:after="0" w:line="162" w:lineRule="exact"/>
        <w:rPr>
          <w:sz w:val="20"/>
          <w:szCs w:val="20"/>
          <w:color w:val="auto"/>
        </w:rPr>
      </w:pPr>
    </w:p>
    <w:p>
      <w:pPr>
        <w:ind w:left="1220" w:right="1239"/>
        <w:spacing w:after="0" w:line="259" w:lineRule="auto"/>
        <w:rPr>
          <w:sz w:val="20"/>
          <w:szCs w:val="20"/>
          <w:color w:val="auto"/>
        </w:rPr>
      </w:pPr>
      <w:r>
        <w:rPr>
          <w:rFonts w:ascii="Times New Roman" w:cs="Times New Roman" w:eastAsia="Times New Roman" w:hAnsi="Times New Roman"/>
          <w:sz w:val="17"/>
          <w:szCs w:val="17"/>
          <w:color w:val="auto"/>
        </w:rPr>
        <w:t>“Warrant” is that certain Warrant to Purchase Stock dated as of the Closing Date by Borrower in favor of Bank, as amended, modified, supplemented and/or restated from time to time.</w:t>
      </w: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7" w:right="1440" w:bottom="1440" w:gutter="0" w:footer="0" w:header="0"/>
        </w:sectPr>
      </w:pPr>
    </w:p>
    <w:bookmarkStart w:id="823" w:name="page824"/>
    <w:bookmarkEnd w:id="823"/>
    <w:p>
      <w:pPr>
        <w:jc w:val="center"/>
        <w:ind w:left="620"/>
        <w:spacing w:after="0"/>
        <w:rPr>
          <w:sz w:val="20"/>
          <w:szCs w:val="20"/>
          <w:color w:val="auto"/>
        </w:rPr>
      </w:pPr>
      <w:r>
        <w:rPr>
          <w:rFonts w:ascii="Times New Roman" w:cs="Times New Roman" w:eastAsia="Times New Roman" w:hAnsi="Times New Roman"/>
          <w:sz w:val="17"/>
          <w:szCs w:val="17"/>
          <w:b w:val="1"/>
          <w:bCs w:val="1"/>
          <w:color w:val="auto"/>
        </w:rPr>
        <w:t>DEBTOR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AVALYN PHARMA INC.</w:t>
      </w:r>
    </w:p>
    <w:p>
      <w:pPr>
        <w:spacing w:after="0" w:line="194" w:lineRule="exact"/>
        <w:rPr>
          <w:sz w:val="20"/>
          <w:szCs w:val="20"/>
          <w:color w:val="auto"/>
        </w:rPr>
      </w:pPr>
    </w:p>
    <w:p>
      <w:pPr>
        <w:sectPr>
          <w:pgSz w:w="11900" w:h="16838" w:orient="portrait"/>
          <w:cols w:equalWidth="0" w:num="2">
            <w:col w:w="2540" w:space="720"/>
            <w:col w:w="5759"/>
          </w:cols>
          <w:pgMar w:left="1440" w:top="1293" w:right="1440" w:bottom="1440" w:gutter="0" w:footer="0" w:header="0"/>
        </w:sectPr>
      </w:pPr>
    </w:p>
    <w:p>
      <w:pPr>
        <w:ind w:left="1220"/>
        <w:spacing w:after="0"/>
        <w:rPr>
          <w:sz w:val="20"/>
          <w:szCs w:val="20"/>
          <w:color w:val="auto"/>
        </w:rPr>
      </w:pPr>
      <w:r>
        <w:rPr>
          <w:rFonts w:ascii="Times New Roman" w:cs="Times New Roman" w:eastAsia="Times New Roman" w:hAnsi="Times New Roman"/>
          <w:sz w:val="16"/>
          <w:szCs w:val="16"/>
          <w:b w:val="1"/>
          <w:bCs w:val="1"/>
          <w:color w:val="auto"/>
        </w:rPr>
        <w:t>SECURED 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BANC OF CALIFORNIA</w:t>
      </w:r>
    </w:p>
    <w:p>
      <w:pPr>
        <w:spacing w:after="0" w:line="194" w:lineRule="exact"/>
        <w:rPr>
          <w:sz w:val="20"/>
          <w:szCs w:val="20"/>
          <w:color w:val="auto"/>
        </w:rPr>
      </w:pPr>
    </w:p>
    <w:p>
      <w:pPr>
        <w:sectPr>
          <w:pgSz w:w="11900" w:h="16838" w:orient="portrait"/>
          <w:cols w:equalWidth="0" w:num="2">
            <w:col w:w="2700" w:space="560"/>
            <w:col w:w="5759"/>
          </w:cols>
          <w:pgMar w:left="1440" w:top="1293"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EXHIBIT B</w:t>
      </w:r>
    </w:p>
    <w:p>
      <w:pPr>
        <w:sectPr>
          <w:pgSz w:w="11900" w:h="16838" w:orient="portrait"/>
          <w:cols w:equalWidth="0" w:num="1">
            <w:col w:w="9019"/>
          </w:cols>
          <w:pgMar w:left="1440" w:top="1293" w:right="1440" w:bottom="1440" w:gutter="0" w:footer="0" w:header="0"/>
          <w:type w:val="continuous"/>
        </w:sectPr>
      </w:pPr>
    </w:p>
    <w:p>
      <w:pPr>
        <w:spacing w:after="0" w:line="1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COLLATERAL DESCRIPTION ATTACHMENT TO LOAN AND SECURITY</w:t>
      </w:r>
    </w:p>
    <w:p>
      <w:pPr>
        <w:spacing w:after="0" w:line="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144" w:lineRule="exact"/>
        <w:rPr>
          <w:sz w:val="20"/>
          <w:szCs w:val="20"/>
          <w:color w:val="auto"/>
        </w:rPr>
      </w:pPr>
    </w:p>
    <w:p>
      <w:pPr>
        <w:jc w:val="both"/>
        <w:ind w:left="1220" w:right="1239"/>
        <w:spacing w:after="0" w:line="246" w:lineRule="auto"/>
        <w:rPr>
          <w:sz w:val="20"/>
          <w:szCs w:val="20"/>
          <w:color w:val="auto"/>
        </w:rPr>
      </w:pPr>
      <w:r>
        <w:rPr>
          <w:rFonts w:ascii="Times New Roman" w:cs="Times New Roman" w:eastAsia="Times New Roman" w:hAnsi="Times New Roman"/>
          <w:sz w:val="17"/>
          <w:szCs w:val="17"/>
          <w:color w:val="auto"/>
        </w:rPr>
        <w:t>All personal property of Borrower (herein referred to as “Borrower” or “Debtor”) whether presently existing or hereafter created or acquired, and wherever located, including, but not limited to:</w:t>
      </w:r>
    </w:p>
    <w:p>
      <w:pPr>
        <w:spacing w:after="0" w:line="135" w:lineRule="exact"/>
        <w:rPr>
          <w:sz w:val="20"/>
          <w:szCs w:val="20"/>
          <w:color w:val="auto"/>
        </w:rPr>
      </w:pPr>
    </w:p>
    <w:p>
      <w:pPr>
        <w:jc w:val="both"/>
        <w:ind w:left="1220" w:right="1239" w:firstLine="4"/>
        <w:spacing w:after="0" w:line="236" w:lineRule="auto"/>
        <w:tabs>
          <w:tab w:leader="none" w:pos="1556" w:val="left"/>
        </w:tabs>
        <w:numPr>
          <w:ilvl w:val="0"/>
          <w:numId w:val="7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all accounts (including health-care-insurance receivables), chattel paper (including tangible and electronic chattel paper), deposit accounts, documents (including negotiable documents), equipment (including all accessions and additions thereto), financial assets, general intangibles (including patents, trademarks, copyrights, goodwill, payment intangibles, domain names and software), goods (including fixtures), instruments (including promissory notes), inventory (including all goods held for sale or lease or to be furnished under a contract of service, and including returns and repossessions), investment property (including securities and securities entitlements), letter of credit rights, money, and all of Debtor’s books and records with respect to any of the foregoing, and the computers and equipment containing said books and records;</w:t>
      </w:r>
    </w:p>
    <w:p>
      <w:pPr>
        <w:spacing w:after="0" w:line="141" w:lineRule="exact"/>
        <w:rPr>
          <w:rFonts w:ascii="Times New Roman" w:cs="Times New Roman" w:eastAsia="Times New Roman" w:hAnsi="Times New Roman"/>
          <w:sz w:val="17"/>
          <w:szCs w:val="17"/>
          <w:b w:val="1"/>
          <w:bCs w:val="1"/>
          <w:color w:val="auto"/>
        </w:rPr>
      </w:pPr>
    </w:p>
    <w:p>
      <w:pPr>
        <w:jc w:val="both"/>
        <w:ind w:left="1220" w:right="1239" w:firstLine="4"/>
        <w:spacing w:after="0" w:line="239" w:lineRule="auto"/>
        <w:tabs>
          <w:tab w:leader="none" w:pos="1588" w:val="left"/>
        </w:tabs>
        <w:numPr>
          <w:ilvl w:val="0"/>
          <w:numId w:val="7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any and all cash proceeds and/or noncash proceeds of any of the foregoing, including, without limitation, insurance proceeds, and all supporting obligations and the security therefor or for any right to payment. All terms above have the meanings given to them in the New York Uniform Commercial Code, as amended or supplemented from time to time, including revised Article 9 of the Uniform Commercial Code-Secured Transactions.</w:t>
      </w:r>
    </w:p>
    <w:p>
      <w:pPr>
        <w:spacing w:after="0" w:line="141" w:lineRule="exact"/>
        <w:rPr>
          <w:sz w:val="20"/>
          <w:szCs w:val="20"/>
          <w:color w:val="auto"/>
        </w:rPr>
      </w:pPr>
    </w:p>
    <w:p>
      <w:pPr>
        <w:jc w:val="both"/>
        <w:ind w:left="1220" w:right="1239"/>
        <w:spacing w:after="0" w:line="237" w:lineRule="auto"/>
        <w:rPr>
          <w:sz w:val="20"/>
          <w:szCs w:val="20"/>
          <w:color w:val="auto"/>
        </w:rPr>
      </w:pPr>
      <w:r>
        <w:rPr>
          <w:rFonts w:ascii="Times New Roman" w:cs="Times New Roman" w:eastAsia="Times New Roman" w:hAnsi="Times New Roman"/>
          <w:sz w:val="17"/>
          <w:szCs w:val="17"/>
          <w:color w:val="auto"/>
        </w:rPr>
        <w:t>Notwithstanding the foregoing, the Collateral shall not include (a) any Excluded Property or (b) any of the intellectual property, in any medium, of any kind or nature whatsoever, now or hereafter owned or acquired or received by Borrower, or in which Borrower now holds or hereafter acquires or receives any right or interest (collectively, the “Intellectual Property”); provided, however, that the Collateral shall include all accounts and general intangibles that consist of rights to payment and proceeds from the sale, licensing or disposition of all or any part, or rights in, the foregoing (the “Rights to Payment”).</w:t>
      </w:r>
    </w:p>
    <w:p>
      <w:pPr>
        <w:spacing w:after="0" w:line="141" w:lineRule="exact"/>
        <w:rPr>
          <w:sz w:val="20"/>
          <w:szCs w:val="20"/>
          <w:color w:val="auto"/>
        </w:rPr>
      </w:pPr>
    </w:p>
    <w:p>
      <w:pPr>
        <w:jc w:val="both"/>
        <w:ind w:left="1220" w:right="1239"/>
        <w:spacing w:after="0" w:line="236" w:lineRule="auto"/>
        <w:rPr>
          <w:sz w:val="20"/>
          <w:szCs w:val="20"/>
          <w:color w:val="auto"/>
        </w:rPr>
      </w:pPr>
      <w:r>
        <w:rPr>
          <w:rFonts w:ascii="Times New Roman" w:cs="Times New Roman" w:eastAsia="Times New Roman" w:hAnsi="Times New Roman"/>
          <w:sz w:val="17"/>
          <w:szCs w:val="17"/>
          <w:color w:val="auto"/>
        </w:rPr>
        <w:t>Notwithstanding the foregoing, if a judicial authority (including a U.S. Bankruptcy Court) holds that a security interest in the underlying Intellectual Property is necessary to have a security interest in the Rights to Payment, then the Collateral shall automatically, and effective as of February 3, 2026, include the Intellectual Property to the extent and only to the extent necessary to permit perfection of Bank’s security interest in the Rights to Payment, and further provided, however, that Bank’s enforcement rights with respect to any security interest in the Intellectual Property shall be absolutely limited to the Rights to Payment only, and Bank shall have no recourse whatsoever with respect to the underlying Intellectual Property.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293" w:right="1440" w:bottom="1440" w:gutter="0" w:footer="0" w:header="0"/>
          <w:type w:val="continuous"/>
        </w:sectPr>
      </w:pPr>
    </w:p>
    <w:bookmarkStart w:id="824" w:name="page825"/>
    <w:bookmarkEnd w:id="824"/>
    <w:p>
      <w:pPr>
        <w:jc w:val="center"/>
        <w:spacing w:after="0"/>
        <w:rPr>
          <w:sz w:val="20"/>
          <w:szCs w:val="20"/>
          <w:color w:val="auto"/>
        </w:rPr>
      </w:pPr>
      <w:r>
        <w:rPr>
          <w:rFonts w:ascii="Times New Roman" w:cs="Times New Roman" w:eastAsia="Times New Roman" w:hAnsi="Times New Roman"/>
          <w:sz w:val="17"/>
          <w:szCs w:val="17"/>
          <w:b w:val="1"/>
          <w:bCs w:val="1"/>
          <w:color w:val="auto"/>
        </w:rPr>
        <w:t>EXHIBIT C</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LOAN ADVANCE/PAYDOWN REQUEST FORM</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[Please refer to New Borrower Kit]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EXHIBIT D COMPLIANCE CERTIFICATE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[Please refer to New Borrower Kit]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693420</wp:posOffset>
            </wp:positionV>
            <wp:extent cx="5485765" cy="38735"/>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825" w:name="page826"/>
    <w:bookmarkEnd w:id="825"/>
    <w:p>
      <w:pPr>
        <w:jc w:val="right"/>
        <w:ind w:right="1239"/>
        <w:spacing w:after="0"/>
        <w:rPr>
          <w:sz w:val="20"/>
          <w:szCs w:val="20"/>
          <w:color w:val="auto"/>
        </w:rPr>
      </w:pPr>
      <w:r>
        <w:rPr>
          <w:rFonts w:ascii="Times New Roman" w:cs="Times New Roman" w:eastAsia="Times New Roman" w:hAnsi="Times New Roman"/>
          <w:sz w:val="15"/>
          <w:szCs w:val="15"/>
          <w:b w:val="1"/>
          <w:bCs w:val="1"/>
          <w:color w:val="auto"/>
        </w:rPr>
        <w:t>Exhibit 21.1</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List of Subsidiaries</w:t>
      </w:r>
    </w:p>
    <w:p>
      <w:pPr>
        <w:spacing w:after="0" w:line="1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color w:val="auto"/>
        </w:rPr>
        <w:t>Avalyn Pharma Pty Ltd</w:t>
      </w: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370205</wp:posOffset>
            </wp:positionV>
            <wp:extent cx="5485765" cy="3873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1129" w:right="1440" w:bottom="1440" w:gutter="0" w:footer="0" w:header="0"/>
        </w:sectPr>
      </w:pPr>
    </w:p>
    <w:bookmarkStart w:id="826" w:name="page827"/>
    <w:bookmarkEnd w:id="826"/>
    <w:p>
      <w:pPr>
        <w:jc w:val="right"/>
        <w:ind w:right="739"/>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CONSENT OF INDEPENDENT REGISTERED PUBLIC ACCOUNTING FIRM</w:t>
      </w:r>
    </w:p>
    <w:p>
      <w:pPr>
        <w:spacing w:after="0" w:line="111" w:lineRule="exact"/>
        <w:rPr>
          <w:sz w:val="20"/>
          <w:szCs w:val="20"/>
          <w:color w:val="auto"/>
        </w:rPr>
      </w:pPr>
    </w:p>
    <w:p>
      <w:pPr>
        <w:ind w:left="720" w:right="999"/>
        <w:spacing w:after="0" w:line="267" w:lineRule="auto"/>
        <w:rPr>
          <w:sz w:val="20"/>
          <w:szCs w:val="20"/>
          <w:color w:val="auto"/>
        </w:rPr>
      </w:pPr>
      <w:r>
        <w:rPr>
          <w:rFonts w:ascii="Times New Roman" w:cs="Times New Roman" w:eastAsia="Times New Roman" w:hAnsi="Times New Roman"/>
          <w:sz w:val="15"/>
          <w:szCs w:val="15"/>
          <w:color w:val="auto"/>
        </w:rPr>
        <w:t>We consent to the use in this Registration Statement on Form S-1 of our report dated March 18, 2026, relating to the financial statements of Avalyn Pharma Inc. We also consent to the reference to us under the heading "Experts" in such Registration Statement.</w:t>
      </w:r>
    </w:p>
    <w:p>
      <w:pPr>
        <w:spacing w:after="0" w:line="1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/s/ Deloitte &amp; Touche LLP</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Boston, Massachusetts</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5"/>
          <w:szCs w:val="15"/>
          <w:color w:val="auto"/>
        </w:rPr>
        <w:t>April 8,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482600</wp:posOffset>
            </wp:positionV>
            <wp:extent cx="5485765" cy="3873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5485765" cy="38735"/>
                    </a:xfrm>
                    <a:prstGeom prst="rect">
                      <a:avLst/>
                    </a:prstGeom>
                    <a:noFill/>
                  </pic:spPr>
                </pic:pic>
              </a:graphicData>
            </a:graphic>
          </wp:anchor>
        </w:drawing>
      </w:r>
    </w:p>
    <w:p>
      <w:pPr>
        <w:sectPr>
          <w:pgSz w:w="11900" w:h="16838" w:orient="portrait"/>
          <w:cols w:equalWidth="0" w:num="1">
            <w:col w:w="9019"/>
          </w:cols>
          <w:pgMar w:left="1440" w:top="621" w:right="1440" w:bottom="1440" w:gutter="0" w:footer="0" w:header="0"/>
        </w:sectPr>
      </w:pPr>
    </w:p>
    <w:bookmarkStart w:id="827" w:name="page828"/>
    <w:bookmarkEnd w:id="827"/>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S-1</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Avalyn Pharma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36"/>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spacing w:after="0" w:line="189" w:lineRule="exact"/>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ind w:left="180"/>
              <w:spacing w:after="0" w:line="189"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$0.001</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par</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7"/>
              </w:rPr>
              <w:t>457(o)</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100,000,000.00</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value</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100,000,000.00</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$ 13,810.00</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2" w:lineRule="exact"/>
        <w:rPr>
          <w:sz w:val="20"/>
          <w:szCs w:val="20"/>
          <w:color w:val="auto"/>
        </w:rPr>
      </w:pPr>
    </w:p>
    <w:p>
      <w:pPr>
        <w:ind w:left="460" w:hanging="246"/>
        <w:spacing w:after="0"/>
        <w:tabs>
          <w:tab w:leader="none" w:pos="460" w:val="left"/>
        </w:tabs>
        <w:numPr>
          <w:ilvl w:val="0"/>
          <w:numId w:val="738"/>
        </w:numPr>
        <w:rPr>
          <w:rFonts w:ascii="Arial" w:cs="Arial" w:eastAsia="Arial" w:hAnsi="Arial"/>
          <w:sz w:val="17"/>
          <w:szCs w:val="17"/>
          <w:color w:val="auto"/>
        </w:rPr>
      </w:pPr>
      <w:r>
        <w:rPr>
          <w:rFonts w:ascii="Arial" w:cs="Arial" w:eastAsia="Arial" w:hAnsi="Arial"/>
          <w:sz w:val="17"/>
          <w:szCs w:val="17"/>
          <w:color w:val="auto"/>
        </w:rPr>
        <w:t>Estimated solely for the purpose of computing the registration fee in accordance with Rule 457(o) under the Securities Act of 1933, as amended.</w:t>
      </w:r>
    </w:p>
    <w:p>
      <w:pPr>
        <w:spacing w:after="0" w:line="9" w:lineRule="exact"/>
        <w:rPr>
          <w:rFonts w:ascii="Arial" w:cs="Arial" w:eastAsia="Arial" w:hAnsi="Arial"/>
          <w:sz w:val="17"/>
          <w:szCs w:val="17"/>
          <w:color w:val="auto"/>
        </w:rPr>
      </w:pPr>
    </w:p>
    <w:p>
      <w:pPr>
        <w:ind w:left="460" w:hanging="246"/>
        <w:spacing w:after="0"/>
        <w:tabs>
          <w:tab w:leader="none" w:pos="460" w:val="left"/>
        </w:tabs>
        <w:numPr>
          <w:ilvl w:val="0"/>
          <w:numId w:val="738"/>
        </w:numPr>
        <w:rPr>
          <w:rFonts w:ascii="Arial" w:cs="Arial" w:eastAsia="Arial" w:hAnsi="Arial"/>
          <w:sz w:val="17"/>
          <w:szCs w:val="17"/>
          <w:color w:val="auto"/>
        </w:rPr>
      </w:pPr>
      <w:r>
        <w:rPr>
          <w:rFonts w:ascii="Arial" w:cs="Arial" w:eastAsia="Arial" w:hAnsi="Arial"/>
          <w:sz w:val="17"/>
          <w:szCs w:val="17"/>
          <w:color w:val="auto"/>
        </w:rPr>
        <w:t>Includes the aggregate offering price of additional shares that the underwriters have the option to purchase.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66675</wp:posOffset>
            </wp:positionV>
            <wp:extent cx="7148195" cy="3873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360"/>
      </w:cols>
      <w:pgMar w:left="300" w:top="1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537CED"/>
    <w:multiLevelType w:val="hybridMultilevel"/>
    <w:lvl w:ilvl="0">
      <w:lvlJc w:val="left"/>
      <w:lvlText w:val=" "/>
      <w:numFmt w:val="bullet"/>
      <w:start w:val="1"/>
    </w:lvl>
  </w:abstractNum>
  <w:abstractNum w:abstractNumId="1">
    <w:nsid w:val="27514ADE"/>
    <w:multiLevelType w:val="hybridMultilevel"/>
    <w:lvl w:ilvl="0">
      <w:lvlJc w:val="left"/>
      <w:lvlText w:val="(%1)"/>
      <w:numFmt w:val="decimal"/>
      <w:start w:val="1"/>
    </w:lvl>
  </w:abstractNum>
  <w:abstractNum w:abstractNumId="2">
    <w:nsid w:val="57071613"/>
    <w:multiLevelType w:val="hybridMultilevel"/>
    <w:lvl w:ilvl="0">
      <w:lvlJc w:val="left"/>
      <w:lvlText w:val="%1"/>
      <w:numFmt w:val="decimal"/>
      <w:start w:val="12"/>
    </w:lvl>
  </w:abstractNum>
  <w:abstractNum w:abstractNumId="3">
    <w:nsid w:val="5293BFEF"/>
    <w:multiLevelType w:val="hybridMultilevel"/>
    <w:lvl w:ilvl="0">
      <w:lvlJc w:val="left"/>
      <w:lvlText w:val="•"/>
      <w:numFmt w:val="bullet"/>
      <w:start w:val="1"/>
    </w:lvl>
  </w:abstractNum>
  <w:abstractNum w:abstractNumId="4">
    <w:nsid w:val="38BF53E5"/>
    <w:multiLevelType w:val="hybridMultilevel"/>
    <w:lvl w:ilvl="0">
      <w:lvlJc w:val="left"/>
      <w:lvlText w:val="•"/>
      <w:numFmt w:val="bullet"/>
      <w:start w:val="1"/>
    </w:lvl>
  </w:abstractNum>
  <w:abstractNum w:abstractNumId="5">
    <w:nsid w:val="226F5320"/>
    <w:multiLevelType w:val="hybridMultilevel"/>
    <w:lvl w:ilvl="0">
      <w:lvlJc w:val="left"/>
      <w:lvlText w:val="•"/>
      <w:numFmt w:val="bullet"/>
      <w:start w:val="1"/>
    </w:lvl>
  </w:abstractNum>
  <w:abstractNum w:abstractNumId="6">
    <w:nsid w:val="5A0201C7"/>
    <w:multiLevelType w:val="hybridMultilevel"/>
    <w:lvl w:ilvl="0">
      <w:lvlJc w:val="left"/>
      <w:lvlText w:val="•"/>
      <w:numFmt w:val="bullet"/>
      <w:start w:val="1"/>
    </w:lvl>
  </w:abstractNum>
  <w:abstractNum w:abstractNumId="7">
    <w:nsid w:val="2A9C34E2"/>
    <w:multiLevelType w:val="hybridMultilevel"/>
    <w:lvl w:ilvl="0">
      <w:lvlJc w:val="left"/>
      <w:lvlText w:val="•"/>
      <w:numFmt w:val="bullet"/>
      <w:start w:val="1"/>
    </w:lvl>
  </w:abstractNum>
  <w:abstractNum w:abstractNumId="8">
    <w:nsid w:val="1B7585AB"/>
    <w:multiLevelType w:val="hybridMultilevel"/>
    <w:lvl w:ilvl="0">
      <w:lvlJc w:val="left"/>
      <w:lvlText w:val="•"/>
      <w:numFmt w:val="bullet"/>
      <w:start w:val="1"/>
    </w:lvl>
  </w:abstractNum>
  <w:abstractNum w:abstractNumId="9">
    <w:nsid w:val="612DBDDD"/>
    <w:multiLevelType w:val="hybridMultilevel"/>
    <w:lvl w:ilvl="0">
      <w:lvlJc w:val="left"/>
      <w:lvlText w:val="•"/>
      <w:numFmt w:val="bullet"/>
      <w:start w:val="1"/>
    </w:lvl>
  </w:abstractNum>
  <w:abstractNum w:abstractNumId="10">
    <w:nsid w:val="2109CDA4"/>
    <w:multiLevelType w:val="hybridMultilevel"/>
    <w:lvl w:ilvl="0">
      <w:lvlJc w:val="left"/>
      <w:lvlText w:val="•"/>
      <w:numFmt w:val="bullet"/>
      <w:start w:val="1"/>
    </w:lvl>
  </w:abstractNum>
  <w:abstractNum w:abstractNumId="11">
    <w:nsid w:val="577F5A4D"/>
    <w:multiLevelType w:val="hybridMultilevel"/>
    <w:lvl w:ilvl="0">
      <w:lvlJc w:val="left"/>
      <w:lvlText w:val="•"/>
      <w:numFmt w:val="bullet"/>
      <w:start w:val="1"/>
    </w:lvl>
  </w:abstractNum>
  <w:abstractNum w:abstractNumId="12">
    <w:nsid w:val="2121A81"/>
    <w:multiLevelType w:val="hybridMultilevel"/>
    <w:lvl w:ilvl="0">
      <w:lvlJc w:val="left"/>
      <w:lvlText w:val="(%1)"/>
      <w:numFmt w:val="decimal"/>
      <w:start w:val="1"/>
    </w:lvl>
  </w:abstractNum>
  <w:abstractNum w:abstractNumId="13">
    <w:nsid w:val="6C2CFC88"/>
    <w:multiLevelType w:val="hybridMultilevel"/>
    <w:lvl w:ilvl="0">
      <w:lvlJc w:val="left"/>
      <w:lvlText w:val="(%1)"/>
      <w:numFmt w:val="decimal"/>
      <w:start w:val="2"/>
    </w:lvl>
  </w:abstractNum>
  <w:abstractNum w:abstractNumId="14">
    <w:nsid w:val="6D1BCF1C"/>
    <w:multiLevelType w:val="hybridMultilevel"/>
    <w:lvl w:ilvl="0">
      <w:lvlJc w:val="left"/>
      <w:lvlText w:val="(%1)"/>
      <w:numFmt w:val="decimal"/>
      <w:start w:val="3"/>
    </w:lvl>
  </w:abstractNum>
  <w:abstractNum w:abstractNumId="15">
    <w:nsid w:val="4CE5CA53"/>
    <w:multiLevelType w:val="hybridMultilevel"/>
    <w:lvl w:ilvl="0">
      <w:lvlJc w:val="left"/>
      <w:lvlText w:val="•"/>
      <w:numFmt w:val="bullet"/>
      <w:start w:val="1"/>
    </w:lvl>
  </w:abstractNum>
  <w:abstractNum w:abstractNumId="16">
    <w:nsid w:val="29262D1A"/>
    <w:multiLevelType w:val="hybridMultilevel"/>
    <w:lvl w:ilvl="0">
      <w:lvlJc w:val="left"/>
      <w:lvlText w:val="•"/>
      <w:numFmt w:val="bullet"/>
      <w:start w:val="1"/>
    </w:lvl>
  </w:abstractNum>
  <w:abstractNum w:abstractNumId="17">
    <w:nsid w:val="557FB7EE"/>
    <w:multiLevelType w:val="hybridMultilevel"/>
    <w:lvl w:ilvl="0">
      <w:lvlJc w:val="left"/>
      <w:lvlText w:val="•"/>
      <w:numFmt w:val="bullet"/>
      <w:start w:val="1"/>
    </w:lvl>
  </w:abstractNum>
  <w:abstractNum w:abstractNumId="18">
    <w:nsid w:val="436F2BEB"/>
    <w:multiLevelType w:val="hybridMultilevel"/>
    <w:lvl w:ilvl="0">
      <w:lvlJc w:val="left"/>
      <w:lvlText w:val="•"/>
      <w:numFmt w:val="bullet"/>
      <w:start w:val="1"/>
    </w:lvl>
  </w:abstractNum>
  <w:abstractNum w:abstractNumId="19">
    <w:nsid w:val="6C8B4466"/>
    <w:multiLevelType w:val="hybridMultilevel"/>
    <w:lvl w:ilvl="0">
      <w:lvlJc w:val="left"/>
      <w:lvlText w:val="•"/>
      <w:numFmt w:val="bullet"/>
      <w:start w:val="1"/>
    </w:lvl>
  </w:abstractNum>
  <w:abstractNum w:abstractNumId="20">
    <w:nsid w:val="2006E424"/>
    <w:multiLevelType w:val="hybridMultilevel"/>
    <w:lvl w:ilvl="0">
      <w:lvlJc w:val="left"/>
      <w:lvlText w:val="•"/>
      <w:numFmt w:val="bullet"/>
      <w:start w:val="1"/>
    </w:lvl>
  </w:abstractNum>
  <w:abstractNum w:abstractNumId="21">
    <w:nsid w:val="20CC134C"/>
    <w:multiLevelType w:val="hybridMultilevel"/>
    <w:lvl w:ilvl="0">
      <w:lvlJc w:val="left"/>
      <w:lvlText w:val="•"/>
      <w:numFmt w:val="bullet"/>
      <w:start w:val="1"/>
    </w:lvl>
  </w:abstractNum>
  <w:abstractNum w:abstractNumId="22">
    <w:nsid w:val="95FC93B"/>
    <w:multiLevelType w:val="hybridMultilevel"/>
    <w:lvl w:ilvl="0">
      <w:lvlJc w:val="left"/>
      <w:lvlText w:val="•"/>
      <w:numFmt w:val="bullet"/>
      <w:start w:val="1"/>
    </w:lvl>
  </w:abstractNum>
  <w:abstractNum w:abstractNumId="23">
    <w:nsid w:val="41D74679"/>
    <w:multiLevelType w:val="hybridMultilevel"/>
    <w:lvl w:ilvl="0">
      <w:lvlJc w:val="left"/>
      <w:lvlText w:val="•"/>
      <w:numFmt w:val="bullet"/>
      <w:start w:val="1"/>
    </w:lvl>
  </w:abstractNum>
  <w:abstractNum w:abstractNumId="24">
    <w:nsid w:val="71E5621E"/>
    <w:multiLevelType w:val="hybridMultilevel"/>
    <w:lvl w:ilvl="0">
      <w:lvlJc w:val="left"/>
      <w:lvlText w:val="•"/>
      <w:numFmt w:val="bullet"/>
      <w:start w:val="1"/>
    </w:lvl>
  </w:abstractNum>
  <w:abstractNum w:abstractNumId="25">
    <w:nsid w:val="4E42B6A8"/>
    <w:multiLevelType w:val="hybridMultilevel"/>
    <w:lvl w:ilvl="0">
      <w:lvlJc w:val="left"/>
      <w:lvlText w:val="•"/>
      <w:numFmt w:val="bullet"/>
      <w:start w:val="1"/>
    </w:lvl>
  </w:abstractNum>
  <w:abstractNum w:abstractNumId="26">
    <w:nsid w:val="43F8E1AC"/>
    <w:multiLevelType w:val="hybridMultilevel"/>
    <w:lvl w:ilvl="0">
      <w:lvlJc w:val="left"/>
      <w:lvlText w:val="•"/>
      <w:numFmt w:val="bullet"/>
      <w:start w:val="1"/>
    </w:lvl>
  </w:abstractNum>
  <w:abstractNum w:abstractNumId="27">
    <w:nsid w:val="69215DFB"/>
    <w:multiLevelType w:val="hybridMultilevel"/>
    <w:lvl w:ilvl="0">
      <w:lvlJc w:val="left"/>
      <w:lvlText w:val="•"/>
      <w:numFmt w:val="bullet"/>
      <w:start w:val="1"/>
    </w:lvl>
  </w:abstractNum>
  <w:abstractNum w:abstractNumId="28">
    <w:nsid w:val="7ABF196A"/>
    <w:multiLevelType w:val="hybridMultilevel"/>
    <w:lvl w:ilvl="0">
      <w:lvlJc w:val="left"/>
      <w:lvlText w:val="•"/>
      <w:numFmt w:val="bullet"/>
      <w:start w:val="1"/>
    </w:lvl>
  </w:abstractNum>
  <w:abstractNum w:abstractNumId="29">
    <w:nsid w:val="5E4DB968"/>
    <w:multiLevelType w:val="hybridMultilevel"/>
    <w:lvl w:ilvl="0">
      <w:lvlJc w:val="left"/>
      <w:lvlText w:val="•"/>
      <w:numFmt w:val="bullet"/>
      <w:start w:val="1"/>
    </w:lvl>
  </w:abstractNum>
  <w:abstractNum w:abstractNumId="30">
    <w:nsid w:val="2C06DCF3"/>
    <w:multiLevelType w:val="hybridMultilevel"/>
    <w:lvl w:ilvl="0">
      <w:lvlJc w:val="left"/>
      <w:lvlText w:val="(%1)"/>
      <w:numFmt w:val="decimal"/>
      <w:start w:val="2"/>
    </w:lvl>
  </w:abstractNum>
  <w:abstractNum w:abstractNumId="31">
    <w:nsid w:val="2E129658"/>
    <w:multiLevelType w:val="hybridMultilevel"/>
    <w:lvl w:ilvl="0">
      <w:lvlJc w:val="left"/>
      <w:lvlText w:val="•"/>
      <w:numFmt w:val="bullet"/>
      <w:start w:val="1"/>
    </w:lvl>
  </w:abstractNum>
  <w:abstractNum w:abstractNumId="32">
    <w:nsid w:val="59F0446"/>
    <w:multiLevelType w:val="hybridMultilevel"/>
    <w:lvl w:ilvl="0">
      <w:lvlJc w:val="left"/>
      <w:lvlText w:val="•"/>
      <w:numFmt w:val="bullet"/>
      <w:start w:val="1"/>
    </w:lvl>
  </w:abstractNum>
  <w:abstractNum w:abstractNumId="33">
    <w:nsid w:val="30DF306"/>
    <w:multiLevelType w:val="hybridMultilevel"/>
    <w:lvl w:ilvl="0">
      <w:lvlJc w:val="left"/>
      <w:lvlText w:val="•"/>
      <w:numFmt w:val="bullet"/>
      <w:start w:val="1"/>
    </w:lvl>
  </w:abstractNum>
  <w:abstractNum w:abstractNumId="34">
    <w:nsid w:val="A65647"/>
    <w:multiLevelType w:val="hybridMultilevel"/>
    <w:lvl w:ilvl="0">
      <w:lvlJc w:val="left"/>
      <w:lvlText w:val="•"/>
      <w:numFmt w:val="bullet"/>
      <w:start w:val="1"/>
    </w:lvl>
  </w:abstractNum>
  <w:abstractNum w:abstractNumId="35">
    <w:nsid w:val="3E5E582B"/>
    <w:multiLevelType w:val="hybridMultilevel"/>
    <w:lvl w:ilvl="0">
      <w:lvlJc w:val="left"/>
      <w:lvlText w:val="•"/>
      <w:numFmt w:val="bullet"/>
      <w:start w:val="1"/>
    </w:lvl>
  </w:abstractNum>
  <w:abstractNum w:abstractNumId="36">
    <w:nsid w:val="257D4626"/>
    <w:multiLevelType w:val="hybridMultilevel"/>
    <w:lvl w:ilvl="0">
      <w:lvlJc w:val="left"/>
      <w:lvlText w:val="•"/>
      <w:numFmt w:val="bullet"/>
      <w:start w:val="1"/>
    </w:lvl>
  </w:abstractNum>
  <w:abstractNum w:abstractNumId="37">
    <w:nsid w:val="5AA8580E"/>
    <w:multiLevelType w:val="hybridMultilevel"/>
    <w:lvl w:ilvl="0">
      <w:lvlJc w:val="left"/>
      <w:lvlText w:val="(%1)"/>
      <w:numFmt w:val="lowerRoman"/>
      <w:start w:val="2"/>
    </w:lvl>
  </w:abstractNum>
  <w:abstractNum w:abstractNumId="38">
    <w:nsid w:val="68FA8D0D"/>
    <w:multiLevelType w:val="hybridMultilevel"/>
    <w:lvl w:ilvl="0">
      <w:lvlJc w:val="left"/>
      <w:lvlText w:val="•"/>
      <w:numFmt w:val="bullet"/>
      <w:start w:val="1"/>
    </w:lvl>
  </w:abstractNum>
  <w:abstractNum w:abstractNumId="39">
    <w:nsid w:val="40F2CBD2"/>
    <w:multiLevelType w:val="hybridMultilevel"/>
    <w:lvl w:ilvl="0">
      <w:lvlJc w:val="left"/>
      <w:lvlText w:val="•"/>
      <w:numFmt w:val="bullet"/>
      <w:start w:val="1"/>
    </w:lvl>
  </w:abstractNum>
  <w:abstractNum w:abstractNumId="40">
    <w:nsid w:val="3BD615EB"/>
    <w:multiLevelType w:val="hybridMultilevel"/>
    <w:lvl w:ilvl="0">
      <w:lvlJc w:val="left"/>
      <w:lvlText w:val="•"/>
      <w:numFmt w:val="bullet"/>
      <w:start w:val="1"/>
    </w:lvl>
  </w:abstractNum>
  <w:abstractNum w:abstractNumId="41">
    <w:nsid w:val="A045AB2"/>
    <w:multiLevelType w:val="hybridMultilevel"/>
    <w:lvl w:ilvl="0">
      <w:lvlJc w:val="left"/>
      <w:lvlText w:val="•"/>
      <w:numFmt w:val="bullet"/>
      <w:start w:val="1"/>
    </w:lvl>
  </w:abstractNum>
  <w:abstractNum w:abstractNumId="42">
    <w:nsid w:val="1872261F"/>
    <w:multiLevelType w:val="hybridMultilevel"/>
    <w:lvl w:ilvl="0">
      <w:lvlJc w:val="left"/>
      <w:lvlText w:val="•"/>
      <w:numFmt w:val="bullet"/>
      <w:start w:val="1"/>
    </w:lvl>
  </w:abstractNum>
  <w:abstractNum w:abstractNumId="43">
    <w:nsid w:val="3DE8306C"/>
    <w:multiLevelType w:val="hybridMultilevel"/>
    <w:lvl w:ilvl="0">
      <w:lvlJc w:val="left"/>
      <w:lvlText w:val="•"/>
      <w:numFmt w:val="bullet"/>
      <w:start w:val="1"/>
    </w:lvl>
  </w:abstractNum>
  <w:abstractNum w:abstractNumId="44">
    <w:nsid w:val="7631573A"/>
    <w:multiLevelType w:val="hybridMultilevel"/>
    <w:lvl w:ilvl="0">
      <w:lvlJc w:val="left"/>
      <w:lvlText w:val="•"/>
      <w:numFmt w:val="bullet"/>
      <w:start w:val="1"/>
    </w:lvl>
  </w:abstractNum>
  <w:abstractNum w:abstractNumId="45">
    <w:nsid w:val="58DF53B"/>
    <w:multiLevelType w:val="hybridMultilevel"/>
    <w:lvl w:ilvl="0">
      <w:lvlJc w:val="left"/>
      <w:lvlText w:val="•"/>
      <w:numFmt w:val="bullet"/>
      <w:start w:val="1"/>
    </w:lvl>
  </w:abstractNum>
  <w:abstractNum w:abstractNumId="46">
    <w:nsid w:val="ACDFAC0"/>
    <w:multiLevelType w:val="hybridMultilevel"/>
    <w:lvl w:ilvl="0">
      <w:lvlJc w:val="left"/>
      <w:lvlText w:val="•"/>
      <w:numFmt w:val="bullet"/>
      <w:start w:val="1"/>
    </w:lvl>
  </w:abstractNum>
  <w:abstractNum w:abstractNumId="47">
    <w:nsid w:val="1F578454"/>
    <w:multiLevelType w:val="hybridMultilevel"/>
    <w:lvl w:ilvl="0">
      <w:lvlJc w:val="left"/>
      <w:lvlText w:val="•"/>
      <w:numFmt w:val="bullet"/>
      <w:start w:val="1"/>
    </w:lvl>
  </w:abstractNum>
  <w:abstractNum w:abstractNumId="48">
    <w:nsid w:val="5B0DAD2A"/>
    <w:multiLevelType w:val="hybridMultilevel"/>
    <w:lvl w:ilvl="0">
      <w:lvlJc w:val="left"/>
      <w:lvlText w:val="(%1)"/>
      <w:numFmt w:val="lowerRoman"/>
      <w:start w:val="3"/>
    </w:lvl>
  </w:abstractNum>
  <w:abstractNum w:abstractNumId="49">
    <w:nsid w:val="4E3D26AB"/>
    <w:multiLevelType w:val="hybridMultilevel"/>
    <w:lvl w:ilvl="0">
      <w:lvlJc w:val="left"/>
      <w:lvlText w:val="•"/>
      <w:numFmt w:val="bullet"/>
      <w:start w:val="1"/>
    </w:lvl>
  </w:abstractNum>
  <w:abstractNum w:abstractNumId="50">
    <w:nsid w:val="BE2C8BA"/>
    <w:multiLevelType w:val="hybridMultilevel"/>
    <w:lvl w:ilvl="0">
      <w:lvlJc w:val="left"/>
      <w:lvlText w:val="•"/>
      <w:numFmt w:val="bullet"/>
      <w:start w:val="1"/>
    </w:lvl>
  </w:abstractNum>
  <w:abstractNum w:abstractNumId="51">
    <w:nsid w:val="7B14914E"/>
    <w:multiLevelType w:val="hybridMultilevel"/>
    <w:lvl w:ilvl="0">
      <w:lvlJc w:val="left"/>
      <w:lvlText w:val="•"/>
      <w:numFmt w:val="bullet"/>
      <w:start w:val="1"/>
    </w:lvl>
  </w:abstractNum>
  <w:abstractNum w:abstractNumId="52">
    <w:nsid w:val="6F0939F8"/>
    <w:multiLevelType w:val="hybridMultilevel"/>
    <w:lvl w:ilvl="0">
      <w:lvlJc w:val="left"/>
      <w:lvlText w:val="•"/>
      <w:numFmt w:val="bullet"/>
      <w:start w:val="1"/>
    </w:lvl>
  </w:abstractNum>
  <w:abstractNum w:abstractNumId="53">
    <w:nsid w:val="154291F6"/>
    <w:multiLevelType w:val="hybridMultilevel"/>
    <w:lvl w:ilvl="0">
      <w:lvlJc w:val="left"/>
      <w:lvlText w:val="•"/>
      <w:numFmt w:val="bullet"/>
      <w:start w:val="1"/>
    </w:lvl>
  </w:abstractNum>
  <w:abstractNum w:abstractNumId="54">
    <w:nsid w:val="3CEBD7C7"/>
    <w:multiLevelType w:val="hybridMultilevel"/>
    <w:lvl w:ilvl="0">
      <w:lvlJc w:val="left"/>
      <w:lvlText w:val="(%1)"/>
      <w:numFmt w:val="decimal"/>
      <w:start w:val="1"/>
    </w:lvl>
  </w:abstractNum>
  <w:abstractNum w:abstractNumId="55">
    <w:nsid w:val="60EE9C16"/>
    <w:multiLevelType w:val="hybridMultilevel"/>
    <w:lvl w:ilvl="0">
      <w:lvlJc w:val="left"/>
      <w:lvlText w:val="•"/>
      <w:numFmt w:val="bullet"/>
      <w:start w:val="1"/>
    </w:lvl>
  </w:abstractNum>
  <w:abstractNum w:abstractNumId="56">
    <w:nsid w:val="6385489E"/>
    <w:multiLevelType w:val="hybridMultilevel"/>
    <w:lvl w:ilvl="0">
      <w:lvlJc w:val="left"/>
      <w:lvlText w:val=" "/>
      <w:numFmt w:val="bullet"/>
      <w:start w:val="1"/>
    </w:lvl>
  </w:abstractNum>
  <w:abstractNum w:abstractNumId="57">
    <w:nsid w:val="E4B973"/>
    <w:multiLevelType w:val="hybridMultilevel"/>
    <w:lvl w:ilvl="0">
      <w:lvlJc w:val="left"/>
      <w:lvlText w:val="•"/>
      <w:numFmt w:val="bullet"/>
      <w:start w:val="1"/>
    </w:lvl>
  </w:abstractNum>
  <w:abstractNum w:abstractNumId="58">
    <w:nsid w:val="4A0FFA11"/>
    <w:multiLevelType w:val="hybridMultilevel"/>
    <w:lvl w:ilvl="0">
      <w:lvlJc w:val="left"/>
      <w:lvlText w:val="•"/>
      <w:numFmt w:val="bullet"/>
      <w:start w:val="1"/>
    </w:lvl>
  </w:abstractNum>
  <w:abstractNum w:abstractNumId="59">
    <w:nsid w:val="5E446208"/>
    <w:multiLevelType w:val="hybridMultilevel"/>
    <w:lvl w:ilvl="0">
      <w:lvlJc w:val="left"/>
      <w:lvlText w:val="•"/>
      <w:numFmt w:val="bullet"/>
      <w:start w:val="1"/>
    </w:lvl>
  </w:abstractNum>
  <w:abstractNum w:abstractNumId="60">
    <w:nsid w:val="5F3272DB"/>
    <w:multiLevelType w:val="hybridMultilevel"/>
    <w:lvl w:ilvl="0">
      <w:lvlJc w:val="left"/>
      <w:lvlText w:val="•"/>
      <w:numFmt w:val="bullet"/>
      <w:start w:val="1"/>
    </w:lvl>
  </w:abstractNum>
  <w:abstractNum w:abstractNumId="61">
    <w:nsid w:val="7616D704"/>
    <w:multiLevelType w:val="hybridMultilevel"/>
    <w:lvl w:ilvl="0">
      <w:lvlJc w:val="left"/>
      <w:lvlText w:val="•"/>
      <w:numFmt w:val="bullet"/>
      <w:start w:val="1"/>
    </w:lvl>
  </w:abstractNum>
  <w:abstractNum w:abstractNumId="62">
    <w:nsid w:val="C56F860"/>
    <w:multiLevelType w:val="hybridMultilevel"/>
    <w:lvl w:ilvl="0">
      <w:lvlJc w:val="left"/>
      <w:lvlText w:val="•"/>
      <w:numFmt w:val="bullet"/>
      <w:start w:val="1"/>
    </w:lvl>
  </w:abstractNum>
  <w:abstractNum w:abstractNumId="63">
    <w:nsid w:val="64D17722"/>
    <w:multiLevelType w:val="hybridMultilevel"/>
    <w:lvl w:ilvl="0">
      <w:lvlJc w:val="left"/>
      <w:lvlText w:val="•"/>
      <w:numFmt w:val="bullet"/>
      <w:start w:val="1"/>
    </w:lvl>
  </w:abstractNum>
  <w:abstractNum w:abstractNumId="64">
    <w:nsid w:val="7924CA0A"/>
    <w:multiLevelType w:val="hybridMultilevel"/>
    <w:lvl w:ilvl="0">
      <w:lvlJc w:val="left"/>
      <w:lvlText w:val="•"/>
      <w:numFmt w:val="bullet"/>
      <w:start w:val="1"/>
    </w:lvl>
  </w:abstractNum>
  <w:abstractNum w:abstractNumId="65">
    <w:nsid w:val="CFD4EA7"/>
    <w:multiLevelType w:val="hybridMultilevel"/>
    <w:lvl w:ilvl="0">
      <w:lvlJc w:val="left"/>
      <w:lvlText w:val="•"/>
      <w:numFmt w:val="bullet"/>
      <w:start w:val="1"/>
    </w:lvl>
  </w:abstractNum>
  <w:abstractNum w:abstractNumId="66">
    <w:nsid w:val="232FCF4D"/>
    <w:multiLevelType w:val="hybridMultilevel"/>
    <w:lvl w:ilvl="0">
      <w:lvlJc w:val="left"/>
      <w:lvlText w:val="•"/>
      <w:numFmt w:val="bullet"/>
      <w:start w:val="1"/>
    </w:lvl>
  </w:abstractNum>
  <w:abstractNum w:abstractNumId="67">
    <w:nsid w:val="1EA21031"/>
    <w:multiLevelType w:val="hybridMultilevel"/>
    <w:lvl w:ilvl="0">
      <w:lvlJc w:val="left"/>
      <w:lvlText w:val="%1."/>
      <w:numFmt w:val="decimal"/>
      <w:start w:val="1"/>
    </w:lvl>
  </w:abstractNum>
  <w:abstractNum w:abstractNumId="68">
    <w:nsid w:val="67A5A6B5"/>
    <w:multiLevelType w:val="hybridMultilevel"/>
    <w:lvl w:ilvl="0">
      <w:lvlJc w:val="left"/>
      <w:lvlText w:val="•"/>
      <w:numFmt w:val="bullet"/>
      <w:start w:val="1"/>
    </w:lvl>
  </w:abstractNum>
  <w:abstractNum w:abstractNumId="69">
    <w:nsid w:val="C2A5C5B"/>
    <w:multiLevelType w:val="hybridMultilevel"/>
    <w:lvl w:ilvl="0">
      <w:lvlJc w:val="left"/>
      <w:lvlText w:val="•"/>
      <w:numFmt w:val="bullet"/>
      <w:start w:val="1"/>
    </w:lvl>
  </w:abstractNum>
  <w:abstractNum w:abstractNumId="70">
    <w:nsid w:val="5F94DC03"/>
    <w:multiLevelType w:val="hybridMultilevel"/>
    <w:lvl w:ilvl="0">
      <w:lvlJc w:val="left"/>
      <w:lvlText w:val="•"/>
      <w:numFmt w:val="bullet"/>
      <w:start w:val="1"/>
    </w:lvl>
  </w:abstractNum>
  <w:abstractNum w:abstractNumId="71">
    <w:nsid w:val="237BBCA0"/>
    <w:multiLevelType w:val="hybridMultilevel"/>
    <w:lvl w:ilvl="0">
      <w:lvlJc w:val="left"/>
      <w:lvlText w:val="•"/>
      <w:numFmt w:val="bullet"/>
      <w:start w:val="1"/>
    </w:lvl>
  </w:abstractNum>
  <w:abstractNum w:abstractNumId="72">
    <w:nsid w:val="162EB70D"/>
    <w:multiLevelType w:val="hybridMultilevel"/>
    <w:lvl w:ilvl="0">
      <w:lvlJc w:val="left"/>
      <w:lvlText w:val="•"/>
      <w:numFmt w:val="bullet"/>
      <w:start w:val="1"/>
    </w:lvl>
  </w:abstractNum>
  <w:abstractNum w:abstractNumId="73">
    <w:nsid w:val="78070222"/>
    <w:multiLevelType w:val="hybridMultilevel"/>
    <w:lvl w:ilvl="0">
      <w:lvlJc w:val="left"/>
      <w:lvlText w:val="•"/>
      <w:numFmt w:val="bullet"/>
      <w:start w:val="1"/>
    </w:lvl>
  </w:abstractNum>
  <w:abstractNum w:abstractNumId="74">
    <w:nsid w:val="6163ED0D"/>
    <w:multiLevelType w:val="hybridMultilevel"/>
    <w:lvl w:ilvl="0">
      <w:lvlJc w:val="left"/>
      <w:lvlText w:val="•"/>
      <w:numFmt w:val="bullet"/>
      <w:start w:val="1"/>
    </w:lvl>
  </w:abstractNum>
  <w:abstractNum w:abstractNumId="75">
    <w:nsid w:val="C600E47"/>
    <w:multiLevelType w:val="hybridMultilevel"/>
    <w:lvl w:ilvl="0">
      <w:lvlJc w:val="left"/>
      <w:lvlText w:val="%1."/>
      <w:numFmt w:val="decimal"/>
      <w:start w:val="12"/>
    </w:lvl>
  </w:abstractNum>
  <w:abstractNum w:abstractNumId="76">
    <w:nsid w:val="7D94F75D"/>
    <w:multiLevelType w:val="hybridMultilevel"/>
    <w:lvl w:ilvl="0">
      <w:lvlJc w:val="left"/>
      <w:lvlText w:val="*"/>
      <w:numFmt w:val="bullet"/>
      <w:start w:val="1"/>
    </w:lvl>
    <w:lvl w:ilvl="1">
      <w:lvlJc w:val="left"/>
      <w:lvlText w:val="†"/>
      <w:numFmt w:val="bullet"/>
      <w:start w:val="1"/>
    </w:lvl>
  </w:abstractNum>
  <w:abstractNum w:abstractNumId="77">
    <w:nsid w:val="6C31E7CD"/>
    <w:multiLevelType w:val="hybridMultilevel"/>
    <w:lvl w:ilvl="0">
      <w:lvlJc w:val="left"/>
      <w:lvlText w:val="(%1)"/>
      <w:numFmt w:val="lowerRoman"/>
      <w:start w:val="4"/>
    </w:lvl>
  </w:abstractNum>
  <w:abstractNum w:abstractNumId="78">
    <w:nsid w:val="2BB7929B"/>
    <w:multiLevelType w:val="hybridMultilevel"/>
    <w:lvl w:ilvl="0">
      <w:lvlJc w:val="left"/>
      <w:lvlText w:val="•"/>
      <w:numFmt w:val="bullet"/>
      <w:start w:val="1"/>
    </w:lvl>
  </w:abstractNum>
  <w:abstractNum w:abstractNumId="79">
    <w:nsid w:val="58A2A487"/>
    <w:multiLevelType w:val="hybridMultilevel"/>
    <w:lvl w:ilvl="0">
      <w:lvlJc w:val="left"/>
      <w:lvlText w:val="•"/>
      <w:numFmt w:val="bullet"/>
      <w:start w:val="1"/>
    </w:lvl>
  </w:abstractNum>
  <w:abstractNum w:abstractNumId="80">
    <w:nsid w:val="3A6F0E78"/>
    <w:multiLevelType w:val="hybridMultilevel"/>
    <w:lvl w:ilvl="0">
      <w:lvlJc w:val="left"/>
      <w:lvlText w:val="•"/>
      <w:numFmt w:val="bullet"/>
      <w:start w:val="1"/>
    </w:lvl>
  </w:abstractNum>
  <w:abstractNum w:abstractNumId="81">
    <w:nsid w:val="379A5B56"/>
    <w:multiLevelType w:val="hybridMultilevel"/>
    <w:lvl w:ilvl="0">
      <w:lvlJc w:val="left"/>
      <w:lvlText w:val="•"/>
      <w:numFmt w:val="bullet"/>
      <w:start w:val="1"/>
    </w:lvl>
  </w:abstractNum>
  <w:abstractNum w:abstractNumId="82">
    <w:nsid w:val="53B735D5"/>
    <w:multiLevelType w:val="hybridMultilevel"/>
    <w:lvl w:ilvl="0">
      <w:lvlJc w:val="left"/>
      <w:lvlText w:val="•"/>
      <w:numFmt w:val="bullet"/>
      <w:start w:val="1"/>
    </w:lvl>
  </w:abstractNum>
  <w:abstractNum w:abstractNumId="83">
    <w:nsid w:val="29784870"/>
    <w:multiLevelType w:val="hybridMultilevel"/>
    <w:lvl w:ilvl="0">
      <w:lvlJc w:val="left"/>
      <w:lvlText w:val="•"/>
      <w:numFmt w:val="bullet"/>
      <w:start w:val="1"/>
    </w:lvl>
  </w:abstractNum>
  <w:abstractNum w:abstractNumId="84">
    <w:nsid w:val="4CDCED4C"/>
    <w:multiLevelType w:val="hybridMultilevel"/>
    <w:lvl w:ilvl="0">
      <w:lvlJc w:val="left"/>
      <w:lvlText w:val="•"/>
      <w:numFmt w:val="bullet"/>
      <w:start w:val="1"/>
    </w:lvl>
  </w:abstractNum>
  <w:abstractNum w:abstractNumId="85">
    <w:nsid w:val="10A30D9C"/>
    <w:multiLevelType w:val="hybridMultilevel"/>
    <w:lvl w:ilvl="0">
      <w:lvlJc w:val="left"/>
      <w:lvlText w:val="•"/>
      <w:numFmt w:val="bullet"/>
      <w:start w:val="1"/>
    </w:lvl>
  </w:abstractNum>
  <w:abstractNum w:abstractNumId="86">
    <w:nsid w:val="A66E486"/>
    <w:multiLevelType w:val="hybridMultilevel"/>
    <w:lvl w:ilvl="0">
      <w:lvlJc w:val="left"/>
      <w:lvlText w:val="•"/>
      <w:numFmt w:val="bullet"/>
      <w:start w:val="1"/>
    </w:lvl>
  </w:abstractNum>
  <w:abstractNum w:abstractNumId="87">
    <w:nsid w:val="306235EA"/>
    <w:multiLevelType w:val="hybridMultilevel"/>
    <w:lvl w:ilvl="0">
      <w:lvlJc w:val="left"/>
      <w:lvlText w:val="•"/>
      <w:numFmt w:val="bullet"/>
      <w:start w:val="1"/>
    </w:lvl>
  </w:abstractNum>
  <w:abstractNum w:abstractNumId="88">
    <w:nsid w:val="1187C70F"/>
    <w:multiLevelType w:val="hybridMultilevel"/>
    <w:lvl w:ilvl="0">
      <w:lvlJc w:val="left"/>
      <w:lvlText w:val="•"/>
      <w:numFmt w:val="bullet"/>
      <w:start w:val="1"/>
    </w:lvl>
  </w:abstractNum>
  <w:abstractNum w:abstractNumId="89">
    <w:nsid w:val="5476DE98"/>
    <w:multiLevelType w:val="hybridMultilevel"/>
    <w:lvl w:ilvl="0">
      <w:lvlJc w:val="left"/>
      <w:lvlText w:val="•"/>
      <w:numFmt w:val="bullet"/>
      <w:start w:val="1"/>
    </w:lvl>
  </w:abstractNum>
  <w:abstractNum w:abstractNumId="90">
    <w:nsid w:val="EA697F2"/>
    <w:multiLevelType w:val="hybridMultilevel"/>
    <w:lvl w:ilvl="0">
      <w:lvlJc w:val="left"/>
      <w:lvlText w:val="•"/>
      <w:numFmt w:val="bullet"/>
      <w:start w:val="1"/>
    </w:lvl>
  </w:abstractNum>
  <w:abstractNum w:abstractNumId="91">
    <w:nsid w:val="70BA39EB"/>
    <w:multiLevelType w:val="hybridMultilevel"/>
    <w:lvl w:ilvl="0">
      <w:lvlJc w:val="left"/>
      <w:lvlText w:val="(%1)"/>
      <w:numFmt w:val="decimal"/>
      <w:start w:val="1"/>
    </w:lvl>
  </w:abstractNum>
  <w:abstractNum w:abstractNumId="92">
    <w:nsid w:val="4A8DB59C"/>
    <w:multiLevelType w:val="hybridMultilevel"/>
    <w:lvl w:ilvl="0">
      <w:lvlJc w:val="left"/>
      <w:lvlText w:val="&amp;"/>
      <w:numFmt w:val="bullet"/>
      <w:start w:val="1"/>
    </w:lvl>
  </w:abstractNum>
  <w:abstractNum w:abstractNumId="93">
    <w:nsid w:val="1AFD9053"/>
    <w:multiLevelType w:val="hybridMultilevel"/>
    <w:lvl w:ilvl="0">
      <w:lvlJc w:val="left"/>
      <w:lvlText w:val="•"/>
      <w:numFmt w:val="bullet"/>
      <w:start w:val="1"/>
    </w:lvl>
  </w:abstractNum>
  <w:abstractNum w:abstractNumId="94">
    <w:nsid w:val="558BB10D"/>
    <w:multiLevelType w:val="hybridMultilevel"/>
    <w:lvl w:ilvl="0">
      <w:lvlJc w:val="left"/>
      <w:lvlText w:val="•"/>
      <w:numFmt w:val="bullet"/>
      <w:start w:val="1"/>
    </w:lvl>
  </w:abstractNum>
  <w:abstractNum w:abstractNumId="95">
    <w:nsid w:val="43B27FA7"/>
    <w:multiLevelType w:val="hybridMultilevel"/>
    <w:lvl w:ilvl="0">
      <w:lvlJc w:val="left"/>
      <w:lvlText w:val="•"/>
      <w:numFmt w:val="bullet"/>
      <w:start w:val="1"/>
    </w:lvl>
  </w:abstractNum>
  <w:abstractNum w:abstractNumId="96">
    <w:nsid w:val="27FADEFA"/>
    <w:multiLevelType w:val="hybridMultilevel"/>
    <w:lvl w:ilvl="0">
      <w:lvlJc w:val="left"/>
      <w:lvlText w:val="•"/>
      <w:numFmt w:val="bullet"/>
      <w:start w:val="1"/>
    </w:lvl>
  </w:abstractNum>
  <w:abstractNum w:abstractNumId="97">
    <w:nsid w:val="78BB805A"/>
    <w:multiLevelType w:val="hybridMultilevel"/>
    <w:lvl w:ilvl="0">
      <w:lvlJc w:val="left"/>
      <w:lvlText w:val="•"/>
      <w:numFmt w:val="bullet"/>
      <w:start w:val="1"/>
    </w:lvl>
  </w:abstractNum>
  <w:abstractNum w:abstractNumId="98">
    <w:nsid w:val="62548FD8"/>
    <w:multiLevelType w:val="hybridMultilevel"/>
    <w:lvl w:ilvl="0">
      <w:lvlJc w:val="left"/>
      <w:lvlText w:val="•"/>
      <w:numFmt w:val="bullet"/>
      <w:start w:val="1"/>
    </w:lvl>
  </w:abstractNum>
  <w:abstractNum w:abstractNumId="99">
    <w:nsid w:val="FA085B0"/>
    <w:multiLevelType w:val="hybridMultilevel"/>
    <w:lvl w:ilvl="0">
      <w:lvlJc w:val="left"/>
      <w:lvlText w:val="•"/>
      <w:numFmt w:val="bullet"/>
      <w:start w:val="1"/>
    </w:lvl>
  </w:abstractNum>
  <w:abstractNum w:abstractNumId="100">
    <w:nsid w:val="4E5DCB5"/>
    <w:multiLevelType w:val="hybridMultilevel"/>
    <w:lvl w:ilvl="0">
      <w:lvlJc w:val="left"/>
      <w:lvlText w:val="•"/>
      <w:numFmt w:val="bullet"/>
      <w:start w:val="1"/>
    </w:lvl>
  </w:abstractNum>
  <w:abstractNum w:abstractNumId="101">
    <w:nsid w:val="41E96BDB"/>
    <w:multiLevelType w:val="hybridMultilevel"/>
    <w:lvl w:ilvl="0">
      <w:lvlJc w:val="left"/>
      <w:lvlText w:val="•"/>
      <w:numFmt w:val="bullet"/>
      <w:start w:val="1"/>
    </w:lvl>
  </w:abstractNum>
  <w:abstractNum w:abstractNumId="102">
    <w:nsid w:val="331C4250"/>
    <w:multiLevelType w:val="hybridMultilevel"/>
    <w:lvl w:ilvl="0">
      <w:lvlJc w:val="left"/>
      <w:lvlText w:val="•"/>
      <w:numFmt w:val="bullet"/>
      <w:start w:val="1"/>
    </w:lvl>
  </w:abstractNum>
  <w:abstractNum w:abstractNumId="103">
    <w:nsid w:val="1B1493C2"/>
    <w:multiLevelType w:val="hybridMultilevel"/>
    <w:lvl w:ilvl="0">
      <w:lvlJc w:val="left"/>
      <w:lvlText w:val="(%1)"/>
      <w:numFmt w:val="decimal"/>
      <w:start w:val="1"/>
    </w:lvl>
  </w:abstractNum>
  <w:abstractNum w:abstractNumId="104">
    <w:nsid w:val="39F06DFD"/>
    <w:multiLevelType w:val="hybridMultilevel"/>
    <w:lvl w:ilvl="0">
      <w:lvlJc w:val="left"/>
      <w:lvlText w:val="(%1)"/>
      <w:numFmt w:val="decimal"/>
      <w:start w:val="1"/>
    </w:lvl>
  </w:abstractNum>
  <w:abstractNum w:abstractNumId="105">
    <w:nsid w:val="14802F5D"/>
    <w:multiLevelType w:val="hybridMultilevel"/>
    <w:lvl w:ilvl="0">
      <w:lvlJc w:val="left"/>
      <w:lvlText w:val=","/>
      <w:numFmt w:val="bullet"/>
      <w:start w:val="1"/>
    </w:lvl>
  </w:abstractNum>
  <w:abstractNum w:abstractNumId="106">
    <w:nsid w:val="2774A209"/>
    <w:multiLevelType w:val="hybridMultilevel"/>
    <w:lvl w:ilvl="0">
      <w:lvlJc w:val="left"/>
      <w:lvlText w:val="(%1)"/>
      <w:numFmt w:val="lowerRoman"/>
      <w:start w:val="6"/>
    </w:lvl>
  </w:abstractNum>
  <w:abstractNum w:abstractNumId="107">
    <w:nsid w:val="3785655A"/>
    <w:multiLevelType w:val="hybridMultilevel"/>
    <w:lvl w:ilvl="0">
      <w:lvlJc w:val="left"/>
      <w:lvlText w:val=","/>
      <w:numFmt w:val="bullet"/>
      <w:start w:val="1"/>
    </w:lvl>
  </w:abstractNum>
  <w:abstractNum w:abstractNumId="108">
    <w:nsid w:val="B2172A"/>
    <w:multiLevelType w:val="hybridMultilevel"/>
    <w:lvl w:ilvl="0">
      <w:lvlJc w:val="left"/>
      <w:lvlText w:val=","/>
      <w:numFmt w:val="bullet"/>
      <w:start w:val="1"/>
    </w:lvl>
  </w:abstractNum>
  <w:abstractNum w:abstractNumId="109">
    <w:nsid w:val="532C34A5"/>
    <w:multiLevelType w:val="hybridMultilevel"/>
    <w:lvl w:ilvl="0">
      <w:lvlJc w:val="left"/>
      <w:lvlText w:val="(%1)"/>
      <w:numFmt w:val="decimal"/>
      <w:start w:val="1"/>
    </w:lvl>
  </w:abstractNum>
  <w:abstractNum w:abstractNumId="110">
    <w:nsid w:val="102809E2"/>
    <w:multiLevelType w:val="hybridMultilevel"/>
    <w:lvl w:ilvl="0">
      <w:lvlJc w:val="left"/>
      <w:lvlText w:val="•"/>
      <w:numFmt w:val="bullet"/>
      <w:start w:val="1"/>
    </w:lvl>
  </w:abstractNum>
  <w:abstractNum w:abstractNumId="111">
    <w:nsid w:val="3B2125A3"/>
    <w:multiLevelType w:val="hybridMultilevel"/>
    <w:lvl w:ilvl="0">
      <w:lvlJc w:val="left"/>
      <w:lvlText w:val="(%1)"/>
      <w:numFmt w:val="decimal"/>
      <w:start w:val="1"/>
    </w:lvl>
  </w:abstractNum>
  <w:abstractNum w:abstractNumId="112">
    <w:nsid w:val="AC68FFB"/>
    <w:multiLevelType w:val="hybridMultilevel"/>
    <w:lvl w:ilvl="0">
      <w:lvlJc w:val="left"/>
      <w:lvlText w:val="(%1)"/>
      <w:numFmt w:val="decimal"/>
      <w:start w:val="4"/>
    </w:lvl>
  </w:abstractNum>
  <w:abstractNum w:abstractNumId="113">
    <w:nsid w:val="63DF3FB7"/>
    <w:multiLevelType w:val="hybridMultilevel"/>
    <w:lvl w:ilvl="0">
      <w:lvlJc w:val="left"/>
      <w:lvlText w:val="(%1)"/>
      <w:numFmt w:val="decimal"/>
      <w:start w:val="1"/>
    </w:lvl>
  </w:abstractNum>
  <w:abstractNum w:abstractNumId="114">
    <w:nsid w:val="64996E13"/>
    <w:multiLevelType w:val="hybridMultilevel"/>
    <w:lvl w:ilvl="0">
      <w:lvlJc w:val="left"/>
      <w:lvlText w:val="(%1)"/>
      <w:numFmt w:val="decimal"/>
      <w:start w:val="6"/>
    </w:lvl>
  </w:abstractNum>
  <w:abstractNum w:abstractNumId="115">
    <w:nsid w:val="57A37D47"/>
    <w:multiLevelType w:val="hybridMultilevel"/>
    <w:lvl w:ilvl="0">
      <w:lvlJc w:val="left"/>
      <w:lvlText w:val="•"/>
      <w:numFmt w:val="bullet"/>
      <w:start w:val="1"/>
    </w:lvl>
  </w:abstractNum>
  <w:abstractNum w:abstractNumId="116">
    <w:nsid w:val="74824D54"/>
    <w:multiLevelType w:val="hybridMultilevel"/>
    <w:lvl w:ilvl="0">
      <w:lvlJc w:val="left"/>
      <w:lvlText w:val="*"/>
      <w:numFmt w:val="bullet"/>
      <w:start w:val="1"/>
    </w:lvl>
    <w:lvl w:ilvl="1">
      <w:lvlJc w:val="left"/>
      <w:lvlText w:val="(%2)"/>
      <w:numFmt w:val="decimal"/>
      <w:start w:val="1"/>
    </w:lvl>
  </w:abstractNum>
  <w:abstractNum w:abstractNumId="117">
    <w:nsid w:val="6F00529A"/>
    <w:multiLevelType w:val="hybridMultilevel"/>
    <w:lvl w:ilvl="0">
      <w:lvlJc w:val="left"/>
      <w:lvlText w:val="(%1)"/>
      <w:numFmt w:val="decimal"/>
      <w:start w:val="2"/>
    </w:lvl>
  </w:abstractNum>
  <w:abstractNum w:abstractNumId="118">
    <w:nsid w:val="805B331"/>
    <w:multiLevelType w:val="hybridMultilevel"/>
    <w:lvl w:ilvl="0">
      <w:lvlJc w:val="left"/>
      <w:lvlText w:val="%1"/>
      <w:numFmt w:val="lowerRoman"/>
      <w:start w:val="1"/>
    </w:lvl>
    <w:lvl w:ilvl="1">
      <w:lvlJc w:val="left"/>
      <w:lvlText w:val="(%2)"/>
      <w:numFmt w:val="decimal"/>
      <w:start w:val="7"/>
    </w:lvl>
  </w:abstractNum>
  <w:abstractNum w:abstractNumId="119">
    <w:nsid w:val="60A1463"/>
    <w:multiLevelType w:val="hybridMultilevel"/>
    <w:lvl w:ilvl="0">
      <w:lvlJc w:val="left"/>
      <w:lvlText w:val="(%1)"/>
      <w:numFmt w:val="lowerRoman"/>
      <w:start w:val="2"/>
    </w:lvl>
    <w:lvl w:ilvl="1">
      <w:lvlJc w:val="left"/>
      <w:lvlText w:val="(%2)"/>
      <w:numFmt w:val="decimal"/>
      <w:start w:val="9"/>
    </w:lvl>
  </w:abstractNum>
  <w:abstractNum w:abstractNumId="120">
    <w:nsid w:val="43773132"/>
    <w:multiLevelType w:val="hybridMultilevel"/>
    <w:lvl w:ilvl="0">
      <w:lvlJc w:val="left"/>
      <w:lvlText w:val="(%1)"/>
      <w:numFmt w:val="decimal"/>
      <w:start w:val="17"/>
    </w:lvl>
  </w:abstractNum>
  <w:abstractNum w:abstractNumId="121">
    <w:nsid w:val="16AC4B23"/>
    <w:multiLevelType w:val="hybridMultilevel"/>
    <w:lvl w:ilvl="0">
      <w:lvlJc w:val="left"/>
      <w:lvlText w:val="(%1)"/>
      <w:numFmt w:val="lowerRoman"/>
      <w:start w:val="1"/>
    </w:lvl>
  </w:abstractNum>
  <w:abstractNum w:abstractNumId="122">
    <w:nsid w:val="76C44E4E"/>
    <w:multiLevelType w:val="hybridMultilevel"/>
    <w:lvl w:ilvl="0">
      <w:lvlJc w:val="left"/>
      <w:lvlText w:val="•"/>
      <w:numFmt w:val="bullet"/>
      <w:start w:val="1"/>
    </w:lvl>
  </w:abstractNum>
  <w:abstractNum w:abstractNumId="123">
    <w:nsid w:val="E04E6CE"/>
    <w:multiLevelType w:val="hybridMultilevel"/>
    <w:lvl w:ilvl="0">
      <w:lvlJc w:val="left"/>
      <w:lvlText w:val="•"/>
      <w:numFmt w:val="bullet"/>
      <w:start w:val="1"/>
    </w:lvl>
  </w:abstractNum>
  <w:abstractNum w:abstractNumId="124">
    <w:nsid w:val="31A9DB76"/>
    <w:multiLevelType w:val="hybridMultilevel"/>
    <w:lvl w:ilvl="0">
      <w:lvlJc w:val="left"/>
      <w:lvlText w:val="•"/>
      <w:numFmt w:val="bullet"/>
      <w:start w:val="1"/>
    </w:lvl>
  </w:abstractNum>
  <w:abstractNum w:abstractNumId="125">
    <w:nsid w:val="4C4FFF5B"/>
    <w:multiLevelType w:val="hybridMultilevel"/>
    <w:lvl w:ilvl="0">
      <w:lvlJc w:val="left"/>
      <w:lvlText w:val="•"/>
      <w:numFmt w:val="bullet"/>
      <w:start w:val="1"/>
    </w:lvl>
  </w:abstractNum>
  <w:abstractNum w:abstractNumId="126">
    <w:nsid w:val="51B76675"/>
    <w:multiLevelType w:val="hybridMultilevel"/>
    <w:lvl w:ilvl="0">
      <w:lvlJc w:val="left"/>
      <w:lvlText w:val="•"/>
      <w:numFmt w:val="bullet"/>
      <w:start w:val="1"/>
    </w:lvl>
  </w:abstractNum>
  <w:abstractNum w:abstractNumId="127">
    <w:nsid w:val="59A4BA71"/>
    <w:multiLevelType w:val="hybridMultilevel"/>
    <w:lvl w:ilvl="0">
      <w:lvlJc w:val="left"/>
      <w:lvlText w:val="•"/>
      <w:numFmt w:val="bullet"/>
      <w:start w:val="1"/>
    </w:lvl>
  </w:abstractNum>
  <w:abstractNum w:abstractNumId="128">
    <w:nsid w:val="450B7FB6"/>
    <w:multiLevelType w:val="hybridMultilevel"/>
    <w:lvl w:ilvl="0">
      <w:lvlJc w:val="left"/>
      <w:lvlText w:val="•"/>
      <w:numFmt w:val="bullet"/>
      <w:start w:val="1"/>
    </w:lvl>
  </w:abstractNum>
  <w:abstractNum w:abstractNumId="129">
    <w:nsid w:val="340BF64D"/>
    <w:multiLevelType w:val="hybridMultilevel"/>
    <w:lvl w:ilvl="0">
      <w:lvlJc w:val="left"/>
      <w:lvlText w:val="•"/>
      <w:numFmt w:val="bullet"/>
      <w:start w:val="1"/>
    </w:lvl>
  </w:abstractNum>
  <w:abstractNum w:abstractNumId="130">
    <w:nsid w:val="69454021"/>
    <w:multiLevelType w:val="hybridMultilevel"/>
    <w:lvl w:ilvl="0">
      <w:lvlJc w:val="left"/>
      <w:lvlText w:val="•"/>
      <w:numFmt w:val="bullet"/>
      <w:start w:val="1"/>
    </w:lvl>
  </w:abstractNum>
  <w:abstractNum w:abstractNumId="131">
    <w:nsid w:val="49F15C6B"/>
    <w:multiLevelType w:val="hybridMultilevel"/>
    <w:lvl w:ilvl="0">
      <w:lvlJc w:val="left"/>
      <w:lvlText w:val="•"/>
      <w:numFmt w:val="bullet"/>
      <w:start w:val="1"/>
    </w:lvl>
  </w:abstractNum>
  <w:abstractNum w:abstractNumId="132">
    <w:nsid w:val="75F56228"/>
    <w:multiLevelType w:val="hybridMultilevel"/>
    <w:lvl w:ilvl="0">
      <w:lvlJc w:val="left"/>
      <w:lvlText w:val="•"/>
      <w:numFmt w:val="bullet"/>
      <w:start w:val="1"/>
    </w:lvl>
  </w:abstractNum>
  <w:abstractNum w:abstractNumId="133">
    <w:nsid w:val="1C618271"/>
    <w:multiLevelType w:val="hybridMultilevel"/>
    <w:lvl w:ilvl="0">
      <w:lvlJc w:val="left"/>
      <w:lvlText w:val="%1."/>
      <w:numFmt w:val="lowerLetter"/>
      <w:start w:val="1"/>
    </w:lvl>
  </w:abstractNum>
  <w:abstractNum w:abstractNumId="134">
    <w:nsid w:val="6505F02E"/>
    <w:multiLevelType w:val="hybridMultilevel"/>
    <w:lvl w:ilvl="0">
      <w:lvlJc w:val="left"/>
      <w:lvlText w:val="(%1)"/>
      <w:numFmt w:val="lowerLetter"/>
      <w:start w:val="1"/>
    </w:lvl>
  </w:abstractNum>
  <w:abstractNum w:abstractNumId="135">
    <w:nsid w:val="2FE5D025"/>
    <w:multiLevelType w:val="hybridMultilevel"/>
    <w:lvl w:ilvl="0">
      <w:lvlJc w:val="left"/>
      <w:lvlText w:val="%1."/>
      <w:numFmt w:val="lowerLetter"/>
      <w:start w:val="1"/>
    </w:lvl>
    <w:lvl w:ilvl="1">
      <w:lvlJc w:val="left"/>
      <w:lvlText w:val="(%2)"/>
      <w:numFmt w:val="decimal"/>
      <w:start w:val="1"/>
    </w:lvl>
  </w:abstractNum>
  <w:abstractNum w:abstractNumId="136">
    <w:nsid w:val="30E1B1CF"/>
    <w:multiLevelType w:val="hybridMultilevel"/>
    <w:lvl w:ilvl="0">
      <w:lvlJc w:val="left"/>
      <w:lvlText w:val="%1."/>
      <w:numFmt w:val="decimal"/>
      <w:start w:val="1"/>
    </w:lvl>
  </w:abstractNum>
  <w:abstractNum w:abstractNumId="137">
    <w:nsid w:val="C7A9237"/>
    <w:multiLevelType w:val="hybridMultilevel"/>
    <w:lvl w:ilvl="0">
      <w:lvlJc w:val="left"/>
      <w:lvlText w:val="%1."/>
      <w:numFmt w:val="decimal"/>
      <w:start w:val="2"/>
    </w:lvl>
  </w:abstractNum>
  <w:abstractNum w:abstractNumId="138">
    <w:nsid w:val="676B3580"/>
    <w:multiLevelType w:val="hybridMultilevel"/>
    <w:lvl w:ilvl="0">
      <w:lvlJc w:val="left"/>
      <w:lvlText w:val="•"/>
      <w:numFmt w:val="bullet"/>
      <w:start w:val="1"/>
    </w:lvl>
  </w:abstractNum>
  <w:abstractNum w:abstractNumId="139">
    <w:nsid w:val="3193C8F9"/>
    <w:multiLevelType w:val="hybridMultilevel"/>
    <w:lvl w:ilvl="0">
      <w:lvlJc w:val="left"/>
      <w:lvlText w:val="%1."/>
      <w:numFmt w:val="decimal"/>
      <w:start w:val="3"/>
    </w:lvl>
  </w:abstractNum>
  <w:abstractNum w:abstractNumId="140">
    <w:nsid w:val="5FA6C6DC"/>
    <w:multiLevelType w:val="hybridMultilevel"/>
    <w:lvl w:ilvl="0">
      <w:lvlJc w:val="left"/>
      <w:lvlText w:val="%1."/>
      <w:numFmt w:val="decimal"/>
      <w:start w:val="4"/>
    </w:lvl>
  </w:abstractNum>
  <w:abstractNum w:abstractNumId="141">
    <w:nsid w:val="77933F62"/>
    <w:multiLevelType w:val="hybridMultilevel"/>
    <w:lvl w:ilvl="0">
      <w:lvlJc w:val="left"/>
      <w:lvlText w:val="%1."/>
      <w:numFmt w:val="decimal"/>
      <w:start w:val="5"/>
    </w:lvl>
  </w:abstractNum>
  <w:abstractNum w:abstractNumId="142">
    <w:nsid w:val="6CB4EE9C"/>
    <w:multiLevelType w:val="hybridMultilevel"/>
    <w:lvl w:ilvl="0">
      <w:lvlJc w:val="left"/>
      <w:lvlText w:val="%1."/>
      <w:numFmt w:val="decimal"/>
      <w:start w:val="6"/>
    </w:lvl>
  </w:abstractNum>
  <w:abstractNum w:abstractNumId="143">
    <w:nsid w:val="6A6D56D7"/>
    <w:multiLevelType w:val="hybridMultilevel"/>
    <w:lvl w:ilvl="0">
      <w:lvlJc w:val="left"/>
      <w:lvlText w:val="%1."/>
      <w:numFmt w:val="decimal"/>
      <w:start w:val="7"/>
    </w:lvl>
  </w:abstractNum>
  <w:abstractNum w:abstractNumId="144">
    <w:nsid w:val="5B727F19"/>
    <w:multiLevelType w:val="hybridMultilevel"/>
    <w:lvl w:ilvl="0">
      <w:lvlJc w:val="left"/>
      <w:lvlText w:val="%1."/>
      <w:numFmt w:val="decimal"/>
      <w:start w:val="8"/>
    </w:lvl>
  </w:abstractNum>
  <w:abstractNum w:abstractNumId="145">
    <w:nsid w:val="514E5CB0"/>
    <w:multiLevelType w:val="hybridMultilevel"/>
    <w:lvl w:ilvl="0">
      <w:lvlJc w:val="left"/>
      <w:lvlText w:val="%1."/>
      <w:numFmt w:val="decimal"/>
      <w:start w:val="9"/>
    </w:lvl>
  </w:abstractNum>
  <w:abstractNum w:abstractNumId="146">
    <w:nsid w:val="4210D41E"/>
    <w:multiLevelType w:val="hybridMultilevel"/>
    <w:lvl w:ilvl="0">
      <w:lvlJc w:val="left"/>
      <w:lvlText w:val="%1."/>
      <w:numFmt w:val="decimal"/>
      <w:start w:val="10"/>
    </w:lvl>
  </w:abstractNum>
  <w:abstractNum w:abstractNumId="147">
    <w:nsid w:val="4FF4CC6D"/>
    <w:multiLevelType w:val="hybridMultilevel"/>
    <w:lvl w:ilvl="0">
      <w:lvlJc w:val="left"/>
      <w:lvlText w:val="%1."/>
      <w:numFmt w:val="decimal"/>
      <w:start w:val="11"/>
    </w:lvl>
  </w:abstractNum>
  <w:abstractNum w:abstractNumId="148">
    <w:nsid w:val="404EAF4A"/>
    <w:multiLevelType w:val="hybridMultilevel"/>
    <w:lvl w:ilvl="0">
      <w:lvlJc w:val="left"/>
      <w:lvlText w:val="%1."/>
      <w:numFmt w:val="decimal"/>
      <w:start w:val="12"/>
    </w:lvl>
  </w:abstractNum>
  <w:abstractNum w:abstractNumId="149">
    <w:nsid w:val="4A16874F"/>
    <w:multiLevelType w:val="hybridMultilevel"/>
    <w:lvl w:ilvl="0">
      <w:lvlJc w:val="left"/>
      <w:lvlText w:val="(%1)"/>
      <w:numFmt w:val="decimal"/>
      <w:start w:val="1"/>
    </w:lvl>
  </w:abstractNum>
  <w:abstractNum w:abstractNumId="150">
    <w:nsid w:val="55FEE0D1"/>
    <w:multiLevelType w:val="hybridMultilevel"/>
    <w:lvl w:ilvl="0">
      <w:lvlJc w:val="left"/>
      <w:lvlText w:val="%1."/>
      <w:numFmt w:val="decimal"/>
      <w:start w:val="13"/>
    </w:lvl>
  </w:abstractNum>
  <w:abstractNum w:abstractNumId="151">
    <w:nsid w:val="3C5E07C"/>
    <w:multiLevelType w:val="hybridMultilevel"/>
    <w:lvl w:ilvl="0">
      <w:lvlJc w:val="left"/>
      <w:lvlText w:val="%1."/>
      <w:numFmt w:val="decimal"/>
      <w:start w:val="14"/>
    </w:lvl>
  </w:abstractNum>
  <w:abstractNum w:abstractNumId="152">
    <w:nsid w:val="60C2D273"/>
    <w:multiLevelType w:val="hybridMultilevel"/>
    <w:lvl w:ilvl="0">
      <w:lvlJc w:val="left"/>
      <w:lvlText w:val="%1."/>
      <w:numFmt w:val="decimal"/>
      <w:start w:val="15"/>
    </w:lvl>
  </w:abstractNum>
  <w:abstractNum w:abstractNumId="153">
    <w:nsid w:val="4CC32F1F"/>
    <w:multiLevelType w:val="hybridMultilevel"/>
    <w:lvl w:ilvl="0">
      <w:lvlJc w:val="left"/>
      <w:lvlText w:val="%1."/>
      <w:numFmt w:val="decimal"/>
      <w:start w:val="16"/>
    </w:lvl>
  </w:abstractNum>
  <w:abstractNum w:abstractNumId="154">
    <w:nsid w:val="11CAC74A"/>
    <w:multiLevelType w:val="hybridMultilevel"/>
    <w:lvl w:ilvl="0">
      <w:lvlJc w:val="left"/>
      <w:lvlText w:val="$"/>
      <w:numFmt w:val="bullet"/>
      <w:start w:val="1"/>
    </w:lvl>
    <w:lvl w:ilvl="1">
      <w:lvlJc w:val="left"/>
      <w:lvlText w:val="*"/>
      <w:numFmt w:val="bullet"/>
      <w:start w:val="1"/>
    </w:lvl>
  </w:abstractNum>
  <w:abstractNum w:abstractNumId="155">
    <w:nsid w:val="126CADE9"/>
    <w:multiLevelType w:val="hybridMultilevel"/>
    <w:lvl w:ilvl="0">
      <w:lvlJc w:val="left"/>
      <w:lvlText w:val="$"/>
      <w:numFmt w:val="bullet"/>
      <w:start w:val="1"/>
    </w:lvl>
  </w:abstractNum>
  <w:abstractNum w:abstractNumId="156">
    <w:nsid w:val="19132E7B"/>
    <w:multiLevelType w:val="hybridMultilevel"/>
    <w:lvl w:ilvl="0">
      <w:lvlJc w:val="left"/>
      <w:lvlText w:val="•"/>
      <w:numFmt w:val="bullet"/>
      <w:start w:val="1"/>
    </w:lvl>
  </w:abstractNum>
  <w:abstractNum w:abstractNumId="157">
    <w:nsid w:val="63822DC0"/>
    <w:multiLevelType w:val="hybridMultilevel"/>
    <w:lvl w:ilvl="0">
      <w:lvlJc w:val="left"/>
      <w:lvlText w:val="•"/>
      <w:numFmt w:val="bullet"/>
      <w:start w:val="1"/>
    </w:lvl>
  </w:abstractNum>
  <w:abstractNum w:abstractNumId="158">
    <w:nsid w:val="6C11685A"/>
    <w:multiLevelType w:val="hybridMultilevel"/>
    <w:lvl w:ilvl="0">
      <w:lvlJc w:val="left"/>
      <w:lvlText w:val="•"/>
      <w:numFmt w:val="bullet"/>
      <w:start w:val="1"/>
    </w:lvl>
  </w:abstractNum>
  <w:abstractNum w:abstractNumId="159">
    <w:nsid w:val="5E1EAE31"/>
    <w:multiLevelType w:val="hybridMultilevel"/>
    <w:lvl w:ilvl="0">
      <w:lvlJc w:val="left"/>
      <w:lvlText w:val="*"/>
      <w:numFmt w:val="bullet"/>
      <w:start w:val="1"/>
    </w:lvl>
    <w:lvl w:ilvl="1">
      <w:lvlJc w:val="left"/>
      <w:lvlText w:val="%2"/>
      <w:numFmt w:val="decimal"/>
      <w:start w:val="107"/>
    </w:lvl>
  </w:abstractNum>
  <w:abstractNum w:abstractNumId="160">
    <w:nsid w:val="178E240D"/>
    <w:multiLevelType w:val="hybridMultilevel"/>
    <w:lvl w:ilvl="0">
      <w:lvlJc w:val="left"/>
      <w:lvlText w:val="†"/>
      <w:numFmt w:val="bullet"/>
      <w:start w:val="1"/>
    </w:lvl>
    <w:lvl w:ilvl="1">
      <w:lvlJc w:val="left"/>
      <w:lvlText w:val="(%2)"/>
      <w:numFmt w:val="lowerLetter"/>
      <w:start w:val="2"/>
    </w:lvl>
  </w:abstractNum>
  <w:abstractNum w:abstractNumId="161">
    <w:nsid w:val="5556A87B"/>
    <w:multiLevelType w:val="hybridMultilevel"/>
    <w:lvl w:ilvl="0">
      <w:lvlJc w:val="left"/>
      <w:lvlText w:val="(%1)"/>
      <w:numFmt w:val="lowerLetter"/>
      <w:start w:val="1"/>
    </w:lvl>
  </w:abstractNum>
  <w:abstractNum w:abstractNumId="162">
    <w:nsid w:val="28100A9C"/>
    <w:multiLevelType w:val="hybridMultilevel"/>
    <w:lvl w:ilvl="0">
      <w:lvlJc w:val="left"/>
      <w:lvlText w:val="%1."/>
      <w:numFmt w:val="decimal"/>
      <w:start w:val="1"/>
    </w:lvl>
  </w:abstractNum>
  <w:abstractNum w:abstractNumId="163">
    <w:nsid w:val="D838636"/>
    <w:multiLevelType w:val="hybridMultilevel"/>
    <w:lvl w:ilvl="0">
      <w:lvlJc w:val="left"/>
      <w:lvlText w:val="%1."/>
      <w:numFmt w:val="upperLetter"/>
      <w:start w:val="1"/>
    </w:lvl>
    <w:lvl w:ilvl="1">
      <w:lvlJc w:val="left"/>
      <w:lvlText w:val="%2."/>
      <w:numFmt w:val="decimal"/>
      <w:start w:val="1"/>
    </w:lvl>
  </w:abstractNum>
  <w:abstractNum w:abstractNumId="164">
    <w:nsid w:val="71B82AED"/>
    <w:multiLevelType w:val="hybridMultilevel"/>
    <w:lvl w:ilvl="0">
      <w:lvlJc w:val="left"/>
      <w:lvlText w:val="%1."/>
      <w:numFmt w:val="decimal"/>
      <w:start w:val="1"/>
    </w:lvl>
  </w:abstractNum>
  <w:abstractNum w:abstractNumId="165">
    <w:nsid w:val="D15FACA"/>
    <w:multiLevelType w:val="hybridMultilevel"/>
    <w:lvl w:ilvl="0">
      <w:lvlJc w:val="left"/>
      <w:lvlText w:val="%1."/>
      <w:numFmt w:val="decimal"/>
      <w:start w:val="2"/>
    </w:lvl>
  </w:abstractNum>
  <w:abstractNum w:abstractNumId="166">
    <w:nsid w:val="3D69565B"/>
    <w:multiLevelType w:val="hybridMultilevel"/>
    <w:lvl w:ilvl="0">
      <w:lvlJc w:val="left"/>
      <w:lvlText w:val="(%1)"/>
      <w:numFmt w:val="lowerLetter"/>
      <w:start w:val="1"/>
    </w:lvl>
  </w:abstractNum>
  <w:abstractNum w:abstractNumId="167">
    <w:nsid w:val="2299DCBC"/>
    <w:multiLevelType w:val="hybridMultilevel"/>
    <w:lvl w:ilvl="0">
      <w:lvlJc w:val="left"/>
      <w:lvlText w:val="%1"/>
      <w:numFmt w:val="lowerLetter"/>
      <w:start w:val="1"/>
    </w:lvl>
    <w:lvl w:ilvl="1">
      <w:lvlJc w:val="left"/>
      <w:lvlText w:val="(%2)"/>
      <w:numFmt w:val="lowerRoman"/>
      <w:start w:val="1"/>
    </w:lvl>
  </w:abstractNum>
  <w:abstractNum w:abstractNumId="168">
    <w:nsid w:val="19908D02"/>
    <w:multiLevelType w:val="hybridMultilevel"/>
    <w:lvl w:ilvl="0">
      <w:lvlJc w:val="left"/>
      <w:lvlText w:val="(%1)"/>
      <w:numFmt w:val="lowerLetter"/>
      <w:start w:val="2"/>
    </w:lvl>
    <w:lvl w:ilvl="1">
      <w:lvlJc w:val="left"/>
      <w:lvlText w:val="%2"/>
      <w:numFmt w:val="lowerRoman"/>
      <w:start w:val="1"/>
    </w:lvl>
  </w:abstractNum>
  <w:abstractNum w:abstractNumId="169">
    <w:nsid w:val="24D48BDB"/>
    <w:multiLevelType w:val="hybridMultilevel"/>
    <w:lvl w:ilvl="0">
      <w:lvlJc w:val="left"/>
      <w:lvlText w:val="(%1)"/>
      <w:numFmt w:val="lowerLetter"/>
      <w:start w:val="1"/>
    </w:lvl>
    <w:lvl w:ilvl="1">
      <w:lvlJc w:val="left"/>
      <w:lvlText w:val="(%2)"/>
      <w:numFmt w:val="lowerRoman"/>
      <w:start w:val="1"/>
    </w:lvl>
  </w:abstractNum>
  <w:abstractNum w:abstractNumId="170">
    <w:nsid w:val="542DA5B5"/>
    <w:multiLevelType w:val="hybridMultilevel"/>
    <w:lvl w:ilvl="0">
      <w:lvlJc w:val="left"/>
      <w:lvlText w:val="(%1)"/>
      <w:numFmt w:val="lowerRoman"/>
      <w:start w:val="2"/>
    </w:lvl>
  </w:abstractNum>
  <w:abstractNum w:abstractNumId="171">
    <w:nsid w:val="793753DE"/>
    <w:multiLevelType w:val="hybridMultilevel"/>
    <w:lvl w:ilvl="0">
      <w:lvlJc w:val="left"/>
      <w:lvlText w:val="%1."/>
      <w:numFmt w:val="decimal"/>
      <w:start w:val="3"/>
    </w:lvl>
  </w:abstractNum>
  <w:abstractNum w:abstractNumId="172">
    <w:nsid w:val="1C67CB3D"/>
    <w:multiLevelType w:val="hybridMultilevel"/>
    <w:lvl w:ilvl="0">
      <w:lvlJc w:val="left"/>
      <w:lvlText w:val="(%1)"/>
      <w:numFmt w:val="lowerLetter"/>
      <w:start w:val="1"/>
    </w:lvl>
  </w:abstractNum>
  <w:abstractNum w:abstractNumId="173">
    <w:nsid w:val="40E29452"/>
    <w:multiLevelType w:val="hybridMultilevel"/>
    <w:lvl w:ilvl="0">
      <w:lvlJc w:val="left"/>
      <w:lvlText w:val="(%1)"/>
      <w:numFmt w:val="lowerLetter"/>
      <w:start w:val="6"/>
    </w:lvl>
  </w:abstractNum>
  <w:abstractNum w:abstractNumId="174">
    <w:nsid w:val="63A4AAB6"/>
    <w:multiLevelType w:val="hybridMultilevel"/>
    <w:lvl w:ilvl="0">
      <w:lvlJc w:val="left"/>
      <w:lvlText w:val="(%1)"/>
      <w:numFmt w:val="lowerLetter"/>
      <w:start w:val="1"/>
    </w:lvl>
  </w:abstractNum>
  <w:abstractNum w:abstractNumId="175">
    <w:nsid w:val="77DA4A57"/>
    <w:multiLevelType w:val="hybridMultilevel"/>
    <w:lvl w:ilvl="0">
      <w:lvlJc w:val="left"/>
      <w:lvlText w:val="(%1)"/>
      <w:numFmt w:val="lowerLetter"/>
      <w:start w:val="2"/>
    </w:lvl>
  </w:abstractNum>
  <w:abstractNum w:abstractNumId="176">
    <w:nsid w:val="1230F102"/>
    <w:multiLevelType w:val="hybridMultilevel"/>
    <w:lvl w:ilvl="0">
      <w:lvlJc w:val="left"/>
      <w:lvlText w:val="(%1)"/>
      <w:numFmt w:val="lowerLetter"/>
      <w:start w:val="1"/>
    </w:lvl>
  </w:abstractNum>
  <w:abstractNum w:abstractNumId="177">
    <w:nsid w:val="25B57ED4"/>
    <w:multiLevelType w:val="hybridMultilevel"/>
    <w:lvl w:ilvl="0">
      <w:lvlJc w:val="left"/>
      <w:lvlText w:val="%1"/>
      <w:numFmt w:val="decimal"/>
      <w:start w:val="1"/>
    </w:lvl>
    <w:lvl w:ilvl="1">
      <w:lvlJc w:val="left"/>
      <w:lvlText w:val="(%2)"/>
      <w:numFmt w:val="lowerLetter"/>
      <w:start w:val="1"/>
    </w:lvl>
  </w:abstractNum>
  <w:abstractNum w:abstractNumId="178">
    <w:nsid w:val="47CF16C4"/>
    <w:multiLevelType w:val="hybridMultilevel"/>
    <w:lvl w:ilvl="0">
      <w:lvlJc w:val="left"/>
      <w:lvlText w:val="%1."/>
      <w:numFmt w:val="decimal"/>
      <w:start w:val="4"/>
    </w:lvl>
    <w:lvl w:ilvl="1">
      <w:lvlJc w:val="left"/>
      <w:lvlText w:val="%2"/>
      <w:numFmt w:val="lowerLetter"/>
      <w:start w:val="1"/>
    </w:lvl>
  </w:abstractNum>
  <w:abstractNum w:abstractNumId="179">
    <w:nsid w:val="527FA04C"/>
    <w:multiLevelType w:val="hybridMultilevel"/>
    <w:lvl w:ilvl="0">
      <w:lvlJc w:val="left"/>
      <w:lvlText w:val="(%1)"/>
      <w:numFmt w:val="lowerLetter"/>
      <w:start w:val="1"/>
    </w:lvl>
  </w:abstractNum>
  <w:abstractNum w:abstractNumId="180">
    <w:nsid w:val="6FCC0624"/>
    <w:multiLevelType w:val="hybridMultilevel"/>
    <w:lvl w:ilvl="0">
      <w:lvlJc w:val="left"/>
      <w:lvlText w:val="(%1)"/>
      <w:numFmt w:val="lowerLetter"/>
      <w:start w:val="2"/>
    </w:lvl>
    <w:lvl w:ilvl="1">
      <w:lvlJc w:val="left"/>
      <w:lvlText w:val="(%2)"/>
      <w:numFmt w:val="lowerRoman"/>
      <w:start w:val="1"/>
    </w:lvl>
  </w:abstractNum>
  <w:abstractNum w:abstractNumId="181">
    <w:nsid w:val="1DCDF795"/>
    <w:multiLevelType w:val="hybridMultilevel"/>
    <w:lvl w:ilvl="0">
      <w:lvlJc w:val="left"/>
      <w:lvlText w:val="(%1)"/>
      <w:numFmt w:val="lowerLetter"/>
      <w:start w:val="1"/>
    </w:lvl>
  </w:abstractNum>
  <w:abstractNum w:abstractNumId="182">
    <w:nsid w:val="564580C8"/>
    <w:multiLevelType w:val="hybridMultilevel"/>
    <w:lvl w:ilvl="0">
      <w:lvlJc w:val="left"/>
      <w:lvlText w:val="%1"/>
      <w:numFmt w:val="lowerLetter"/>
      <w:start w:val="1"/>
    </w:lvl>
    <w:lvl w:ilvl="1">
      <w:lvlJc w:val="left"/>
      <w:lvlText w:val="(%2)"/>
      <w:numFmt w:val="lowerLetter"/>
      <w:start w:val="4"/>
    </w:lvl>
  </w:abstractNum>
  <w:abstractNum w:abstractNumId="183">
    <w:nsid w:val="508ED897"/>
    <w:multiLevelType w:val="hybridMultilevel"/>
    <w:lvl w:ilvl="0">
      <w:lvlJc w:val="left"/>
      <w:lvlText w:val="(%1)"/>
      <w:numFmt w:val="lowerLetter"/>
      <w:start w:val="2"/>
    </w:lvl>
    <w:lvl w:ilvl="1">
      <w:lvlJc w:val="left"/>
      <w:lvlText w:val="%2"/>
      <w:numFmt w:val="lowerLetter"/>
      <w:start w:val="1"/>
    </w:lvl>
  </w:abstractNum>
  <w:abstractNum w:abstractNumId="184">
    <w:nsid w:val="6A9126B5"/>
    <w:multiLevelType w:val="hybridMultilevel"/>
    <w:lvl w:ilvl="0">
      <w:lvlJc w:val="left"/>
      <w:lvlText w:val="(%1)"/>
      <w:numFmt w:val="lowerLetter"/>
      <w:start w:val="1"/>
    </w:lvl>
  </w:abstractNum>
  <w:abstractNum w:abstractNumId="185">
    <w:nsid w:val="68104812"/>
    <w:multiLevelType w:val="hybridMultilevel"/>
    <w:lvl w:ilvl="0">
      <w:lvlJc w:val="left"/>
      <w:lvlText w:val="(%1)"/>
      <w:numFmt w:val="lowerLetter"/>
      <w:start w:val="5"/>
    </w:lvl>
  </w:abstractNum>
  <w:abstractNum w:abstractNumId="186">
    <w:nsid w:val="62FB8680"/>
    <w:multiLevelType w:val="hybridMultilevel"/>
    <w:lvl w:ilvl="0">
      <w:lvlJc w:val="left"/>
      <w:lvlText w:val="(%1)"/>
      <w:numFmt w:val="lowerLetter"/>
      <w:start w:val="1"/>
    </w:lvl>
    <w:lvl w:ilvl="1">
      <w:lvlJc w:val="left"/>
      <w:lvlText w:val="(%2)"/>
      <w:numFmt w:val="lowerRoman"/>
      <w:start w:val="1"/>
    </w:lvl>
  </w:abstractNum>
  <w:abstractNum w:abstractNumId="187">
    <w:nsid w:val="3A45530"/>
    <w:multiLevelType w:val="hybridMultilevel"/>
    <w:lvl w:ilvl="0">
      <w:lvlJc w:val="left"/>
      <w:lvlText w:val="(%1)"/>
      <w:numFmt w:val="decimal"/>
      <w:start w:val="1"/>
    </w:lvl>
  </w:abstractNum>
  <w:abstractNum w:abstractNumId="188">
    <w:nsid w:val="4B9275D2"/>
    <w:multiLevelType w:val="hybridMultilevel"/>
    <w:lvl w:ilvl="0">
      <w:lvlJc w:val="left"/>
      <w:lvlText w:val="(%1)"/>
      <w:numFmt w:val="lowerLetter"/>
      <w:start w:val="1"/>
    </w:lvl>
  </w:abstractNum>
  <w:abstractNum w:abstractNumId="189">
    <w:nsid w:val="4F0CEEDB"/>
    <w:multiLevelType w:val="hybridMultilevel"/>
    <w:lvl w:ilvl="0">
      <w:lvlJc w:val="left"/>
      <w:lvlText w:val="%1."/>
      <w:numFmt w:val="decimal"/>
      <w:start w:val="5"/>
    </w:lvl>
  </w:abstractNum>
  <w:abstractNum w:abstractNumId="190">
    <w:nsid w:val="61C30361"/>
    <w:multiLevelType w:val="hybridMultilevel"/>
    <w:lvl w:ilvl="0">
      <w:lvlJc w:val="left"/>
      <w:lvlText w:val="(%1)"/>
      <w:numFmt w:val="lowerLetter"/>
      <w:start w:val="3"/>
    </w:lvl>
  </w:abstractNum>
  <w:abstractNum w:abstractNumId="191">
    <w:nsid w:val="632099E0"/>
    <w:multiLevelType w:val="hybridMultilevel"/>
    <w:lvl w:ilvl="0">
      <w:lvlJc w:val="left"/>
      <w:lvlText w:val="%1."/>
      <w:numFmt w:val="decimal"/>
      <w:start w:val="6"/>
    </w:lvl>
  </w:abstractNum>
  <w:abstractNum w:abstractNumId="192">
    <w:nsid w:val="24639756"/>
    <w:multiLevelType w:val="hybridMultilevel"/>
    <w:lvl w:ilvl="0">
      <w:lvlJc w:val="left"/>
      <w:lvlText w:val="%1."/>
      <w:numFmt w:val="decimal"/>
      <w:start w:val="1"/>
    </w:lvl>
  </w:abstractNum>
  <w:abstractNum w:abstractNumId="193">
    <w:nsid w:val="9D30DFD"/>
    <w:multiLevelType w:val="hybridMultilevel"/>
    <w:lvl w:ilvl="0">
      <w:lvlJc w:val="left"/>
      <w:lvlText w:val="%1."/>
      <w:numFmt w:val="decimal"/>
      <w:start w:val="5"/>
    </w:lvl>
  </w:abstractNum>
  <w:abstractNum w:abstractNumId="194">
    <w:nsid w:val="70A42016"/>
    <w:multiLevelType w:val="hybridMultilevel"/>
    <w:lvl w:ilvl="0">
      <w:lvlJc w:val="left"/>
      <w:lvlText w:val="%1."/>
      <w:numFmt w:val="decimal"/>
      <w:start w:val="3"/>
    </w:lvl>
  </w:abstractNum>
  <w:abstractNum w:abstractNumId="195">
    <w:nsid w:val="161BC243"/>
    <w:multiLevelType w:val="hybridMultilevel"/>
    <w:lvl w:ilvl="0">
      <w:lvlJc w:val="left"/>
      <w:lvlText w:val="%1."/>
      <w:numFmt w:val="decimal"/>
      <w:start w:val="1"/>
    </w:lvl>
  </w:abstractNum>
  <w:abstractNum w:abstractNumId="196">
    <w:nsid w:val="16E908C8"/>
    <w:multiLevelType w:val="hybridMultilevel"/>
    <w:lvl w:ilvl="0">
      <w:lvlJc w:val="left"/>
      <w:lvlText w:val="%1."/>
      <w:numFmt w:val="decimal"/>
      <w:start w:val="4"/>
    </w:lvl>
  </w:abstractNum>
  <w:abstractNum w:abstractNumId="197">
    <w:nsid w:val="2E0D7671"/>
    <w:multiLevelType w:val="hybridMultilevel"/>
    <w:lvl w:ilvl="0">
      <w:lvlJc w:val="left"/>
      <w:lvlText w:val="(%1)"/>
      <w:numFmt w:val="lowerLetter"/>
      <w:start w:val="1"/>
    </w:lvl>
  </w:abstractNum>
  <w:abstractNum w:abstractNumId="198">
    <w:nsid w:val="38B59EFF"/>
    <w:multiLevelType w:val="hybridMultilevel"/>
    <w:lvl w:ilvl="0">
      <w:lvlJc w:val="left"/>
      <w:lvlText w:val="%1"/>
      <w:numFmt w:val="lowerLetter"/>
      <w:start w:val="1"/>
    </w:lvl>
    <w:lvl w:ilvl="1">
      <w:lvlJc w:val="left"/>
      <w:lvlText w:val="(%2)"/>
      <w:numFmt w:val="lowerLetter"/>
      <w:start w:val="2"/>
    </w:lvl>
  </w:abstractNum>
  <w:abstractNum w:abstractNumId="199">
    <w:nsid w:val="307995CA"/>
    <w:multiLevelType w:val="hybridMultilevel"/>
    <w:lvl w:ilvl="0">
      <w:lvlJc w:val="left"/>
      <w:lvlText w:val="(%1)"/>
      <w:numFmt w:val="lowerLetter"/>
      <w:start w:val="1"/>
    </w:lvl>
    <w:lvl w:ilvl="1">
      <w:lvlJc w:val="left"/>
      <w:lvlText w:val="(%2)"/>
      <w:numFmt w:val="lowerLetter"/>
      <w:start w:val="4"/>
    </w:lvl>
  </w:abstractNum>
  <w:abstractNum w:abstractNumId="200">
    <w:nsid w:val="52E2024D"/>
    <w:multiLevelType w:val="hybridMultilevel"/>
    <w:lvl w:ilvl="0">
      <w:lvlJc w:val="left"/>
      <w:lvlText w:val="(%1)"/>
      <w:numFmt w:val="lowerLetter"/>
      <w:start w:val="7"/>
    </w:lvl>
  </w:abstractNum>
  <w:abstractNum w:abstractNumId="201">
    <w:nsid w:val="CE344B5"/>
    <w:multiLevelType w:val="hybridMultilevel"/>
    <w:lvl w:ilvl="0">
      <w:lvlJc w:val="left"/>
      <w:lvlText w:val="(%1)"/>
      <w:numFmt w:val="lowerLetter"/>
      <w:start w:val="1"/>
    </w:lvl>
  </w:abstractNum>
  <w:abstractNum w:abstractNumId="202">
    <w:nsid w:val="29B0E9A8"/>
    <w:multiLevelType w:val="hybridMultilevel"/>
    <w:lvl w:ilvl="0">
      <w:lvlJc w:val="left"/>
      <w:lvlText w:val="(%1)"/>
      <w:numFmt w:val="decimal"/>
      <w:start w:val="1"/>
    </w:lvl>
  </w:abstractNum>
  <w:abstractNum w:abstractNumId="203">
    <w:nsid w:val="6F49CD8A"/>
    <w:multiLevelType w:val="hybridMultilevel"/>
    <w:lvl w:ilvl="0">
      <w:lvlJc w:val="left"/>
      <w:lvlText w:val="1"/>
      <w:numFmt w:val="bullet"/>
      <w:start w:val="1"/>
    </w:lvl>
  </w:abstractNum>
  <w:abstractNum w:abstractNumId="204">
    <w:nsid w:val="4DC5D907"/>
    <w:multiLevelType w:val="hybridMultilevel"/>
    <w:lvl w:ilvl="0">
      <w:lvlJc w:val="left"/>
      <w:lvlText w:val="(%1)"/>
      <w:numFmt w:val="lowerLetter"/>
      <w:start w:val="2"/>
    </w:lvl>
  </w:abstractNum>
  <w:abstractNum w:abstractNumId="205">
    <w:nsid w:val="D55945E"/>
    <w:multiLevelType w:val="hybridMultilevel"/>
    <w:lvl w:ilvl="0">
      <w:lvlJc w:val="left"/>
      <w:lvlText w:val="%1."/>
      <w:numFmt w:val="decimal"/>
      <w:start w:val="2"/>
    </w:lvl>
  </w:abstractNum>
  <w:abstractNum w:abstractNumId="206">
    <w:nsid w:val="672417E1"/>
    <w:multiLevelType w:val="hybridMultilevel"/>
    <w:lvl w:ilvl="0">
      <w:lvlJc w:val="left"/>
      <w:lvlText w:val="%1"/>
      <w:numFmt w:val="lowerLetter"/>
      <w:start w:val="1"/>
    </w:lvl>
    <w:lvl w:ilvl="1">
      <w:lvlJc w:val="left"/>
      <w:lvlText w:val="(%2)"/>
      <w:numFmt w:val="lowerLetter"/>
      <w:start w:val="1"/>
    </w:lvl>
  </w:abstractNum>
  <w:abstractNum w:abstractNumId="207">
    <w:nsid w:val="5FF6CA09"/>
    <w:multiLevelType w:val="hybridMultilevel"/>
    <w:lvl w:ilvl="0">
      <w:lvlJc w:val="left"/>
      <w:lvlText w:val="(%1)"/>
      <w:numFmt w:val="lowerLetter"/>
      <w:start w:val="35"/>
    </w:lvl>
    <w:lvl w:ilvl="1">
      <w:lvlJc w:val="left"/>
      <w:lvlText w:val="(%2)"/>
      <w:numFmt w:val="lowerLetter"/>
      <w:start w:val="2"/>
    </w:lvl>
  </w:abstractNum>
  <w:abstractNum w:abstractNumId="208">
    <w:nsid w:val="330B1333"/>
    <w:multiLevelType w:val="hybridMultilevel"/>
    <w:lvl w:ilvl="0">
      <w:lvlJc w:val="left"/>
      <w:lvlText w:val="%1"/>
      <w:numFmt w:val="decimal"/>
      <w:start w:val="1"/>
    </w:lvl>
    <w:lvl w:ilvl="1">
      <w:lvlJc w:val="left"/>
      <w:lvlText w:val="(%2)"/>
      <w:numFmt w:val="lowerLetter"/>
      <w:start w:val="4"/>
    </w:lvl>
  </w:abstractNum>
  <w:abstractNum w:abstractNumId="209">
    <w:nsid w:val="2EF32EA6"/>
    <w:multiLevelType w:val="hybridMultilevel"/>
    <w:lvl w:ilvl="0">
      <w:lvlJc w:val="left"/>
      <w:lvlText w:val="(%1)"/>
      <w:numFmt w:val="decimal"/>
      <w:start w:val="30"/>
    </w:lvl>
    <w:lvl w:ilvl="1">
      <w:lvlJc w:val="left"/>
      <w:lvlText w:val="%2"/>
      <w:numFmt w:val="lowerLetter"/>
      <w:start w:val="1"/>
    </w:lvl>
  </w:abstractNum>
  <w:abstractNum w:abstractNumId="210">
    <w:nsid w:val="32766A55"/>
    <w:multiLevelType w:val="hybridMultilevel"/>
    <w:lvl w:ilvl="0">
      <w:lvlJc w:val="left"/>
      <w:lvlText w:val="(%1)"/>
      <w:numFmt w:val="lowerLetter"/>
      <w:start w:val="1"/>
    </w:lvl>
  </w:abstractNum>
  <w:abstractNum w:abstractNumId="211">
    <w:nsid w:val="22D71957"/>
    <w:multiLevelType w:val="hybridMultilevel"/>
    <w:lvl w:ilvl="0">
      <w:lvlJc w:val="left"/>
      <w:lvlText w:val="%1"/>
      <w:numFmt w:val="lowerLetter"/>
      <w:start w:val="1"/>
    </w:lvl>
    <w:lvl w:ilvl="1">
      <w:lvlJc w:val="left"/>
      <w:lvlText w:val="(%2)"/>
      <w:numFmt w:val="lowerLetter"/>
      <w:start w:val="2"/>
    </w:lvl>
  </w:abstractNum>
  <w:abstractNum w:abstractNumId="212">
    <w:nsid w:val="4CC1263B"/>
    <w:multiLevelType w:val="hybridMultilevel"/>
    <w:lvl w:ilvl="0">
      <w:lvlJc w:val="left"/>
      <w:lvlText w:val="(%1)"/>
      <w:numFmt w:val="lowerLetter"/>
      <w:start w:val="35"/>
    </w:lvl>
    <w:lvl w:ilvl="1">
      <w:lvlJc w:val="left"/>
      <w:lvlText w:val="%2"/>
      <w:numFmt w:val="lowerLetter"/>
      <w:start w:val="1"/>
    </w:lvl>
  </w:abstractNum>
  <w:abstractNum w:abstractNumId="213">
    <w:nsid w:val="8BBEB1D"/>
    <w:multiLevelType w:val="hybridMultilevel"/>
    <w:lvl w:ilvl="0">
      <w:lvlJc w:val="left"/>
      <w:lvlText w:val="(%1)"/>
      <w:numFmt w:val="lowerLetter"/>
      <w:start w:val="3"/>
    </w:lvl>
  </w:abstractNum>
  <w:abstractNum w:abstractNumId="214">
    <w:nsid w:val="7365F1EE"/>
    <w:multiLevelType w:val="hybridMultilevel"/>
    <w:lvl w:ilvl="0">
      <w:lvlJc w:val="left"/>
      <w:lvlText w:val="%1"/>
      <w:numFmt w:val="decimal"/>
      <w:start w:val="1"/>
    </w:lvl>
    <w:lvl w:ilvl="1">
      <w:lvlJc w:val="left"/>
      <w:lvlText w:val="(%2)"/>
      <w:numFmt w:val="lowerLetter"/>
      <w:start w:val="1"/>
    </w:lvl>
  </w:abstractNum>
  <w:abstractNum w:abstractNumId="215">
    <w:nsid w:val="37524CF0"/>
    <w:multiLevelType w:val="hybridMultilevel"/>
    <w:lvl w:ilvl="0">
      <w:lvlJc w:val="left"/>
      <w:lvlText w:val="(%1)"/>
      <w:numFmt w:val="decimal"/>
      <w:start w:val="120"/>
    </w:lvl>
    <w:lvl w:ilvl="1">
      <w:lvlJc w:val="left"/>
      <w:lvlText w:val="(%2)"/>
      <w:numFmt w:val="lowerLetter"/>
      <w:start w:val="2"/>
    </w:lvl>
  </w:abstractNum>
  <w:abstractNum w:abstractNumId="216">
    <w:nsid w:val="70CC332F"/>
    <w:multiLevelType w:val="hybridMultilevel"/>
    <w:lvl w:ilvl="0">
      <w:lvlJc w:val="left"/>
      <w:lvlText w:val="(%1)"/>
      <w:numFmt w:val="lowerLetter"/>
      <w:start w:val="5"/>
    </w:lvl>
  </w:abstractNum>
  <w:abstractNum w:abstractNumId="217">
    <w:nsid w:val="5661786E"/>
    <w:multiLevelType w:val="hybridMultilevel"/>
    <w:lvl w:ilvl="0">
      <w:lvlJc w:val="left"/>
      <w:lvlText w:val="(%1)"/>
      <w:numFmt w:val="lowerLetter"/>
      <w:start w:val="1"/>
    </w:lvl>
  </w:abstractNum>
  <w:abstractNum w:abstractNumId="218">
    <w:nsid w:val="3AF6A220"/>
    <w:multiLevelType w:val="hybridMultilevel"/>
    <w:lvl w:ilvl="0">
      <w:lvlJc w:val="left"/>
      <w:lvlText w:val="(%1)"/>
      <w:numFmt w:val="lowerLetter"/>
      <w:start w:val="2"/>
    </w:lvl>
  </w:abstractNum>
  <w:abstractNum w:abstractNumId="219">
    <w:nsid w:val="3C5EA902"/>
    <w:multiLevelType w:val="hybridMultilevel"/>
    <w:lvl w:ilvl="0">
      <w:lvlJc w:val="left"/>
      <w:lvlText w:val="(%1)"/>
      <w:numFmt w:val="lowerLetter"/>
      <w:start w:val="4"/>
    </w:lvl>
  </w:abstractNum>
  <w:abstractNum w:abstractNumId="220">
    <w:nsid w:val="256E6749"/>
    <w:multiLevelType w:val="hybridMultilevel"/>
    <w:lvl w:ilvl="0">
      <w:lvlJc w:val="left"/>
      <w:lvlText w:val="%1"/>
      <w:numFmt w:val="decimal"/>
      <w:start w:val="1"/>
    </w:lvl>
    <w:lvl w:ilvl="1">
      <w:lvlJc w:val="left"/>
      <w:lvlText w:val="(%2)"/>
      <w:numFmt w:val="lowerLetter"/>
      <w:start w:val="1"/>
    </w:lvl>
  </w:abstractNum>
  <w:abstractNum w:abstractNumId="221">
    <w:nsid w:val="1CB9A581"/>
    <w:multiLevelType w:val="hybridMultilevel"/>
    <w:lvl w:ilvl="0">
      <w:lvlJc w:val="left"/>
      <w:lvlText w:val="(%1)"/>
      <w:numFmt w:val="decimal"/>
      <w:start w:val="90"/>
    </w:lvl>
    <w:lvl w:ilvl="1">
      <w:lvlJc w:val="left"/>
      <w:lvlText w:val="%2"/>
      <w:numFmt w:val="lowerLetter"/>
      <w:start w:val="1"/>
    </w:lvl>
  </w:abstractNum>
  <w:abstractNum w:abstractNumId="222">
    <w:nsid w:val="1F7F42E2"/>
    <w:multiLevelType w:val="hybridMultilevel"/>
    <w:lvl w:ilvl="0">
      <w:lvlJc w:val="left"/>
      <w:lvlText w:val="(%1)"/>
      <w:numFmt w:val="lowerLetter"/>
      <w:start w:val="1"/>
    </w:lvl>
  </w:abstractNum>
  <w:abstractNum w:abstractNumId="223">
    <w:nsid w:val="49D1FEA0"/>
    <w:multiLevelType w:val="hybridMultilevel"/>
    <w:lvl w:ilvl="0">
      <w:lvlJc w:val="left"/>
      <w:lvlText w:val="(%1)"/>
      <w:numFmt w:val="lowerLetter"/>
      <w:start w:val="2"/>
    </w:lvl>
  </w:abstractNum>
  <w:abstractNum w:abstractNumId="224">
    <w:nsid w:val="268CB37F"/>
    <w:multiLevelType w:val="hybridMultilevel"/>
    <w:lvl w:ilvl="0">
      <w:lvlJc w:val="left"/>
      <w:lvlText w:val="%1"/>
      <w:numFmt w:val="lowerLetter"/>
      <w:start w:val="1"/>
    </w:lvl>
    <w:lvl w:ilvl="1">
      <w:lvlJc w:val="left"/>
      <w:lvlText w:val="(%2)"/>
      <w:numFmt w:val="lowerLetter"/>
      <w:start w:val="3"/>
    </w:lvl>
  </w:abstractNum>
  <w:abstractNum w:abstractNumId="225">
    <w:nsid w:val="102362F8"/>
    <w:multiLevelType w:val="hybridMultilevel"/>
    <w:lvl w:ilvl="0">
      <w:lvlJc w:val="left"/>
      <w:lvlText w:val="(%1)"/>
      <w:numFmt w:val="lowerLetter"/>
      <w:start w:val="35"/>
    </w:lvl>
    <w:lvl w:ilvl="1">
      <w:lvlJc w:val="left"/>
      <w:lvlText w:val="%2"/>
      <w:numFmt w:val="lowerLetter"/>
      <w:start w:val="1"/>
    </w:lvl>
  </w:abstractNum>
  <w:abstractNum w:abstractNumId="226">
    <w:nsid w:val="5FEDC0E3"/>
    <w:multiLevelType w:val="hybridMultilevel"/>
    <w:lvl w:ilvl="0">
      <w:lvlJc w:val="left"/>
      <w:lvlText w:val="(%1)"/>
      <w:numFmt w:val="lowerLetter"/>
      <w:start w:val="4"/>
    </w:lvl>
  </w:abstractNum>
  <w:abstractNum w:abstractNumId="227">
    <w:nsid w:val="3D75BC47"/>
    <w:multiLevelType w:val="hybridMultilevel"/>
    <w:lvl w:ilvl="0">
      <w:lvlJc w:val="left"/>
      <w:lvlText w:val="%1."/>
      <w:numFmt w:val="decimal"/>
      <w:start w:val="3"/>
    </w:lvl>
  </w:abstractNum>
  <w:abstractNum w:abstractNumId="228">
    <w:nsid w:val="3E30D969"/>
    <w:multiLevelType w:val="hybridMultilevel"/>
    <w:lvl w:ilvl="0">
      <w:lvlJc w:val="left"/>
      <w:lvlText w:val="(%1)"/>
      <w:numFmt w:val="lowerLetter"/>
      <w:start w:val="1"/>
    </w:lvl>
  </w:abstractNum>
  <w:abstractNum w:abstractNumId="229">
    <w:nsid w:val="18A35FE3"/>
    <w:multiLevelType w:val="hybridMultilevel"/>
    <w:lvl w:ilvl="0">
      <w:lvlJc w:val="left"/>
      <w:lvlText w:val="(%1)"/>
      <w:numFmt w:val="lowerLetter"/>
      <w:start w:val="2"/>
    </w:lvl>
  </w:abstractNum>
  <w:abstractNum w:abstractNumId="230">
    <w:nsid w:val="6DEF5211"/>
    <w:multiLevelType w:val="hybridMultilevel"/>
    <w:lvl w:ilvl="0">
      <w:lvlJc w:val="left"/>
      <w:lvlText w:val="(%1)"/>
      <w:numFmt w:val="lowerRoman"/>
      <w:start w:val="2"/>
    </w:lvl>
  </w:abstractNum>
  <w:abstractNum w:abstractNumId="231">
    <w:nsid w:val="1112DBB6"/>
    <w:multiLevelType w:val="hybridMultilevel"/>
    <w:lvl w:ilvl="0">
      <w:lvlJc w:val="left"/>
      <w:lvlText w:val="4"/>
      <w:numFmt w:val="bullet"/>
      <w:start w:val="1"/>
    </w:lvl>
  </w:abstractNum>
  <w:abstractNum w:abstractNumId="232">
    <w:nsid w:val="2586A498"/>
    <w:multiLevelType w:val="hybridMultilevel"/>
    <w:lvl w:ilvl="0">
      <w:lvlJc w:val="left"/>
      <w:lvlText w:val="%1."/>
      <w:numFmt w:val="decimal"/>
      <w:start w:val="5"/>
    </w:lvl>
  </w:abstractNum>
  <w:abstractNum w:abstractNumId="233">
    <w:nsid w:val="17A03BB9"/>
    <w:multiLevelType w:val="hybridMultilevel"/>
    <w:lvl w:ilvl="0">
      <w:lvlJc w:val="left"/>
      <w:lvlText w:val="(%1)"/>
      <w:numFmt w:val="lowerLetter"/>
      <w:start w:val="1"/>
    </w:lvl>
  </w:abstractNum>
  <w:abstractNum w:abstractNumId="234">
    <w:nsid w:val="5CA941"/>
    <w:multiLevelType w:val="hybridMultilevel"/>
    <w:lvl w:ilvl="0">
      <w:lvlJc w:val="left"/>
      <w:lvlText w:val="(%1)"/>
      <w:numFmt w:val="lowerLetter"/>
      <w:start w:val="3"/>
    </w:lvl>
  </w:abstractNum>
  <w:abstractNum w:abstractNumId="235">
    <w:nsid w:val="734C7D9F"/>
    <w:multiLevelType w:val="hybridMultilevel"/>
    <w:lvl w:ilvl="0">
      <w:lvlJc w:val="left"/>
      <w:lvlText w:val="(%1)"/>
      <w:numFmt w:val="lowerRoman"/>
      <w:start w:val="1"/>
    </w:lvl>
  </w:abstractNum>
  <w:abstractNum w:abstractNumId="236">
    <w:nsid w:val="24F5D018"/>
    <w:multiLevelType w:val="hybridMultilevel"/>
    <w:lvl w:ilvl="0">
      <w:lvlJc w:val="left"/>
      <w:lvlText w:val="6"/>
      <w:numFmt w:val="bullet"/>
      <w:start w:val="1"/>
    </w:lvl>
  </w:abstractNum>
  <w:abstractNum w:abstractNumId="237">
    <w:nsid w:val="6780C122"/>
    <w:multiLevelType w:val="hybridMultilevel"/>
    <w:lvl w:ilvl="0">
      <w:lvlJc w:val="left"/>
      <w:lvlText w:val="%1."/>
      <w:numFmt w:val="decimal"/>
      <w:start w:val="1"/>
    </w:lvl>
    <w:lvl w:ilvl="1">
      <w:lvlJc w:val="left"/>
      <w:lvlText w:val="(%2)"/>
      <w:numFmt w:val="lowerLetter"/>
      <w:start w:val="1"/>
    </w:lvl>
  </w:abstractNum>
  <w:abstractNum w:abstractNumId="238">
    <w:nsid w:val="534347A8"/>
    <w:multiLevelType w:val="hybridMultilevel"/>
    <w:lvl w:ilvl="0">
      <w:lvlJc w:val="left"/>
      <w:lvlText w:val="(%1)"/>
      <w:numFmt w:val="lowerLetter"/>
      <w:start w:val="2"/>
    </w:lvl>
    <w:lvl w:ilvl="1">
      <w:lvlJc w:val="left"/>
      <w:lvlText w:val="(%2)"/>
      <w:numFmt w:val="lowerLetter"/>
      <w:start w:val="9"/>
    </w:lvl>
  </w:abstractNum>
  <w:abstractNum w:abstractNumId="239">
    <w:nsid w:val="5800E34B"/>
    <w:multiLevelType w:val="hybridMultilevel"/>
    <w:lvl w:ilvl="0">
      <w:lvlJc w:val="left"/>
      <w:lvlText w:val="(%1)"/>
      <w:numFmt w:val="upperLetter"/>
      <w:start w:val="1"/>
    </w:lvl>
  </w:abstractNum>
  <w:abstractNum w:abstractNumId="240">
    <w:nsid w:val="1673EFC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Roman"/>
      <w:start w:val="1"/>
    </w:lvl>
  </w:abstractNum>
  <w:abstractNum w:abstractNumId="241">
    <w:nsid w:val="5B9B1FD"/>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4"/>
      <w:numFmt w:val="lowerRoman"/>
      <w:start w:val="1"/>
    </w:lvl>
  </w:abstractNum>
  <w:abstractNum w:abstractNumId="242">
    <w:nsid w:val="7AD7FCA2"/>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243">
    <w:nsid w:val="63351604"/>
    <w:multiLevelType w:val="hybridMultilevel"/>
    <w:lvl w:ilvl="0">
      <w:lvlJc w:val="left"/>
      <w:lvlText w:val="%1."/>
      <w:numFmt w:val="decimal"/>
      <w:start w:val="4"/>
    </w:lvl>
    <w:lvl w:ilvl="1">
      <w:lvlJc w:val="left"/>
      <w:lvlText w:val="(%2)"/>
      <w:numFmt w:val="lowerLetter"/>
      <w:start w:val="1"/>
    </w:lvl>
  </w:abstractNum>
  <w:abstractNum w:abstractNumId="244">
    <w:nsid w:val="E759D1A"/>
    <w:multiLevelType w:val="hybridMultilevel"/>
    <w:lvl w:ilvl="0">
      <w:lvlJc w:val="left"/>
      <w:lvlText w:val="(%1)"/>
      <w:numFmt w:val="lowerLetter"/>
      <w:start w:val="3"/>
    </w:lvl>
  </w:abstractNum>
  <w:abstractNum w:abstractNumId="245">
    <w:nsid w:val="6E3DEE90"/>
    <w:multiLevelType w:val="hybridMultilevel"/>
    <w:lvl w:ilvl="0">
      <w:lvlJc w:val="left"/>
      <w:lvlText w:val="%1."/>
      <w:numFmt w:val="decimal"/>
      <w:start w:val="6"/>
    </w:lvl>
    <w:lvl w:ilvl="1">
      <w:lvlJc w:val="left"/>
      <w:lvlText w:val="(%2)"/>
      <w:numFmt w:val="lowerLetter"/>
      <w:start w:val="1"/>
    </w:lvl>
  </w:abstractNum>
  <w:abstractNum w:abstractNumId="246">
    <w:nsid w:val="1A8762F4"/>
    <w:multiLevelType w:val="hybridMultilevel"/>
    <w:lvl w:ilvl="0">
      <w:lvlJc w:val="left"/>
      <w:lvlText w:val="%1."/>
      <w:numFmt w:val="decimal"/>
      <w:start w:val="8"/>
    </w:lvl>
    <w:lvl w:ilvl="1">
      <w:lvlJc w:val="left"/>
      <w:lvlText w:val="(%2)"/>
      <w:numFmt w:val="lowerLetter"/>
      <w:start w:val="1"/>
    </w:lvl>
  </w:abstractNum>
  <w:abstractNum w:abstractNumId="247">
    <w:nsid w:val="7F41D049"/>
    <w:multiLevelType w:val="hybridMultilevel"/>
    <w:lvl w:ilvl="0">
      <w:lvlJc w:val="left"/>
      <w:lvlText w:val="(%1)"/>
      <w:numFmt w:val="lowerLetter"/>
      <w:start w:val="1"/>
    </w:lvl>
  </w:abstractNum>
  <w:abstractNum w:abstractNumId="248">
    <w:nsid w:val="449F66FE"/>
    <w:multiLevelType w:val="hybridMultilevel"/>
    <w:lvl w:ilvl="0">
      <w:lvlJc w:val="left"/>
      <w:lvlText w:val="(%1)"/>
      <w:numFmt w:val="lowerLetter"/>
      <w:start w:val="8"/>
    </w:lvl>
  </w:abstractNum>
  <w:abstractNum w:abstractNumId="249">
    <w:nsid w:val="557E0515"/>
    <w:multiLevelType w:val="hybridMultilevel"/>
    <w:lvl w:ilvl="0">
      <w:lvlJc w:val="left"/>
      <w:lvlText w:val="(%1)"/>
      <w:numFmt w:val="lowerLetter"/>
      <w:start w:val="1"/>
    </w:lvl>
  </w:abstractNum>
  <w:abstractNum w:abstractNumId="250">
    <w:nsid w:val="3BA0794B"/>
    <w:multiLevelType w:val="hybridMultilevel"/>
    <w:lvl w:ilvl="0">
      <w:lvlJc w:val="left"/>
      <w:lvlText w:val="%1."/>
      <w:numFmt w:val="decimal"/>
      <w:start w:val="1"/>
    </w:lvl>
  </w:abstractNum>
  <w:abstractNum w:abstractNumId="251">
    <w:nsid w:val="6A0DCE48"/>
    <w:multiLevelType w:val="hybridMultilevel"/>
    <w:lvl w:ilvl="0">
      <w:lvlJc w:val="left"/>
      <w:lvlText w:val="%1."/>
      <w:numFmt w:val="decimal"/>
      <w:start w:val="2"/>
    </w:lvl>
  </w:abstractNum>
  <w:abstractNum w:abstractNumId="252">
    <w:nsid w:val="7237AA96"/>
    <w:multiLevelType w:val="hybridMultilevel"/>
    <w:lvl w:ilvl="0">
      <w:lvlJc w:val="left"/>
      <w:lvlText w:val="%1."/>
      <w:numFmt w:val="decimal"/>
      <w:start w:val="3"/>
    </w:lvl>
  </w:abstractNum>
  <w:abstractNum w:abstractNumId="253">
    <w:nsid w:val="5B1FBC2D"/>
    <w:multiLevelType w:val="hybridMultilevel"/>
    <w:lvl w:ilvl="0">
      <w:lvlJc w:val="left"/>
      <w:lvlText w:val="%1."/>
      <w:numFmt w:val="decimal"/>
      <w:start w:val="1"/>
    </w:lvl>
  </w:abstractNum>
  <w:abstractNum w:abstractNumId="254">
    <w:nsid w:val="33DFCCE8"/>
    <w:multiLevelType w:val="hybridMultilevel"/>
    <w:lvl w:ilvl="0">
      <w:lvlJc w:val="left"/>
      <w:lvlText w:val="%1."/>
      <w:numFmt w:val="decimal"/>
      <w:start w:val="2"/>
    </w:lvl>
  </w:abstractNum>
  <w:abstractNum w:abstractNumId="255">
    <w:nsid w:val="18C45E15"/>
    <w:multiLevelType w:val="hybridMultilevel"/>
    <w:lvl w:ilvl="0">
      <w:lvlJc w:val="left"/>
      <w:lvlText w:val="%1."/>
      <w:numFmt w:val="decimal"/>
      <w:start w:val="3"/>
    </w:lvl>
    <w:lvl w:ilvl="1">
      <w:lvlJc w:val="left"/>
      <w:lvlText w:val="(%2)"/>
      <w:numFmt w:val="lowerLetter"/>
      <w:start w:val="1"/>
    </w:lvl>
  </w:abstractNum>
  <w:abstractNum w:abstractNumId="256">
    <w:nsid w:val="6B431F25"/>
    <w:multiLevelType w:val="hybridMultilevel"/>
    <w:lvl w:ilvl="0">
      <w:lvlJc w:val="left"/>
      <w:lvlText w:val="%1"/>
      <w:numFmt w:val="decimal"/>
      <w:start w:val="1"/>
    </w:lvl>
    <w:lvl w:ilvl="1">
      <w:lvlJc w:val="left"/>
      <w:lvlText w:val="(%2)"/>
      <w:numFmt w:val="lowerLetter"/>
      <w:start w:val="2"/>
    </w:lvl>
  </w:abstractNum>
  <w:abstractNum w:abstractNumId="257">
    <w:nsid w:val="13CD8DCB"/>
    <w:multiLevelType w:val="hybridMultilevel"/>
    <w:lvl w:ilvl="0">
      <w:lvlJc w:val="left"/>
      <w:lvlText w:val="%1."/>
      <w:numFmt w:val="decimal"/>
      <w:start w:val="5"/>
    </w:lvl>
    <w:lvl w:ilvl="1">
      <w:lvlJc w:val="left"/>
      <w:lvlText w:val="(%2)"/>
      <w:numFmt w:val="lowerLetter"/>
      <w:start w:val="1"/>
    </w:lvl>
  </w:abstractNum>
  <w:abstractNum w:abstractNumId="258">
    <w:nsid w:val="563A1A5C"/>
    <w:multiLevelType w:val="hybridMultilevel"/>
    <w:lvl w:ilvl="0">
      <w:lvlJc w:val="left"/>
      <w:lvlText w:val="(%1)"/>
      <w:numFmt w:val="lowerLetter"/>
      <w:start w:val="4"/>
    </w:lvl>
    <w:lvl w:ilvl="1">
      <w:lvlJc w:val="left"/>
      <w:lvlText w:val="(%2)"/>
      <w:numFmt w:val="lowerRoman"/>
      <w:start w:val="1"/>
    </w:lvl>
  </w:abstractNum>
  <w:abstractNum w:abstractNumId="259">
    <w:nsid w:val="2973F88F"/>
    <w:multiLevelType w:val="hybridMultilevel"/>
    <w:lvl w:ilvl="0">
      <w:lvlJc w:val="left"/>
      <w:lvlText w:val="%1"/>
      <w:numFmt w:val="decimal"/>
      <w:start w:val="1"/>
    </w:lvl>
    <w:lvl w:ilvl="1">
      <w:lvlJc w:val="left"/>
      <w:lvlText w:val="(%2)"/>
      <w:numFmt w:val="lowerLetter"/>
      <w:start w:val="7"/>
    </w:lvl>
    <w:lvl w:ilvl="2">
      <w:lvlJc w:val="left"/>
      <w:lvlText w:val="%3"/>
      <w:numFmt w:val="lowerRoman"/>
      <w:start w:val="1"/>
    </w:lvl>
  </w:abstractNum>
  <w:abstractNum w:abstractNumId="260">
    <w:nsid w:val="2C70EDA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61">
    <w:nsid w:val="44296C6D"/>
    <w:multiLevelType w:val="hybridMultilevel"/>
    <w:lvl w:ilvl="0">
      <w:lvlJc w:val="left"/>
      <w:lvlText w:val="%1"/>
      <w:numFmt w:val="decimal"/>
      <w:start w:val="1"/>
    </w:lvl>
    <w:lvl w:ilvl="1">
      <w:lvlJc w:val="left"/>
      <w:lvlText w:val="(%2)"/>
      <w:numFmt w:val="lowerRoman"/>
      <w:start w:val="2"/>
    </w:lvl>
  </w:abstractNum>
  <w:abstractNum w:abstractNumId="262">
    <w:nsid w:val="3A86D445"/>
    <w:multiLevelType w:val="hybridMultilevel"/>
    <w:lvl w:ilvl="0">
      <w:lvlJc w:val="left"/>
      <w:lvlText w:val="%1."/>
      <w:numFmt w:val="decimal"/>
      <w:start w:val="7"/>
    </w:lvl>
    <w:lvl w:ilvl="1">
      <w:lvlJc w:val="left"/>
      <w:lvlText w:val="%2"/>
      <w:numFmt w:val="lowerRoman"/>
      <w:start w:val="1"/>
    </w:lvl>
  </w:abstractNum>
  <w:abstractNum w:abstractNumId="263">
    <w:nsid w:val="51F79246"/>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264">
    <w:nsid w:val="5BC9A827"/>
    <w:multiLevelType w:val="hybridMultilevel"/>
    <w:lvl w:ilvl="0">
      <w:lvlJc w:val="left"/>
      <w:lvlText w:val="%1"/>
      <w:numFmt w:val="lowerLetter"/>
      <w:start w:val="1"/>
    </w:lvl>
    <w:lvl w:ilvl="1">
      <w:lvlJc w:val="left"/>
      <w:lvlText w:val="(%2)"/>
      <w:numFmt w:val="lowerRoman"/>
      <w:start w:val="1"/>
    </w:lvl>
  </w:abstractNum>
  <w:abstractNum w:abstractNumId="265">
    <w:nsid w:val="3AE37D86"/>
    <w:multiLevelType w:val="hybridMultilevel"/>
    <w:lvl w:ilvl="0">
      <w:lvlJc w:val="left"/>
      <w:lvlText w:val="(%1)"/>
      <w:numFmt w:val="lowerLetter"/>
      <w:start w:val="3"/>
    </w:lvl>
    <w:lvl w:ilvl="1">
      <w:lvlJc w:val="left"/>
      <w:lvlText w:val="%2"/>
      <w:numFmt w:val="lowerRoman"/>
      <w:start w:val="1"/>
    </w:lvl>
  </w:abstractNum>
  <w:abstractNum w:abstractNumId="266">
    <w:nsid w:val="45440FE5"/>
    <w:multiLevelType w:val="hybridMultilevel"/>
    <w:lvl w:ilvl="0">
      <w:lvlJc w:val="left"/>
      <w:lvlText w:val="%1"/>
      <w:numFmt w:val="decimal"/>
      <w:start w:val="1"/>
    </w:lvl>
    <w:lvl w:ilvl="1">
      <w:lvlJc w:val="left"/>
      <w:lvlText w:val="(%2)"/>
      <w:numFmt w:val="lowerLetter"/>
      <w:start w:val="4"/>
    </w:lvl>
  </w:abstractNum>
  <w:abstractNum w:abstractNumId="267">
    <w:nsid w:val="BF783F"/>
    <w:multiLevelType w:val="hybridMultilevel"/>
    <w:lvl w:ilvl="0">
      <w:lvlJc w:val="left"/>
      <w:lvlText w:val="%1."/>
      <w:numFmt w:val="decimal"/>
      <w:start w:val="9"/>
    </w:lvl>
    <w:lvl w:ilvl="1">
      <w:lvlJc w:val="left"/>
      <w:lvlText w:val="(%2)"/>
      <w:numFmt w:val="lowerLetter"/>
      <w:start w:val="1"/>
    </w:lvl>
  </w:abstractNum>
  <w:abstractNum w:abstractNumId="268">
    <w:nsid w:val="22643EA9"/>
    <w:multiLevelType w:val="hybridMultilevel"/>
    <w:lvl w:ilvl="0">
      <w:lvlJc w:val="left"/>
      <w:lvlText w:val="(%1)"/>
      <w:numFmt w:val="lowerLetter"/>
      <w:start w:val="2"/>
    </w:lvl>
  </w:abstractNum>
  <w:abstractNum w:abstractNumId="269">
    <w:nsid w:val="1887578D"/>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9"/>
    </w:lvl>
  </w:abstractNum>
  <w:abstractNum w:abstractNumId="270">
    <w:nsid w:val="58C05B8A"/>
    <w:multiLevelType w:val="hybridMultilevel"/>
    <w:lvl w:ilvl="0">
      <w:lvlJc w:val="left"/>
      <w:lvlText w:val="%1"/>
      <w:numFmt w:val="lowerLetter"/>
      <w:start w:val="1"/>
    </w:lvl>
    <w:lvl w:ilvl="1">
      <w:lvlJc w:val="left"/>
      <w:lvlText w:val="(%2)"/>
      <w:numFmt w:val="lowerRoman"/>
      <w:start w:val="2"/>
    </w:lvl>
  </w:abstractNum>
  <w:abstractNum w:abstractNumId="271">
    <w:nsid w:val="38D82E71"/>
    <w:multiLevelType w:val="hybridMultilevel"/>
    <w:lvl w:ilvl="0">
      <w:lvlJc w:val="left"/>
      <w:lvlText w:val="(%1)"/>
      <w:numFmt w:val="lowerLetter"/>
      <w:start w:val="7"/>
    </w:lvl>
    <w:lvl w:ilvl="1">
      <w:lvlJc w:val="left"/>
      <w:lvlText w:val="%2"/>
      <w:numFmt w:val="lowerRoman"/>
      <w:start w:val="1"/>
    </w:lvl>
  </w:abstractNum>
  <w:abstractNum w:abstractNumId="272">
    <w:nsid w:val="1E41098A"/>
    <w:multiLevelType w:val="hybridMultilevel"/>
    <w:lvl w:ilvl="0">
      <w:lvlJc w:val="left"/>
      <w:lvlText w:val="(%1)"/>
      <w:numFmt w:val="lowerRoman"/>
      <w:start w:val="1"/>
    </w:lvl>
    <w:lvl w:ilvl="1">
      <w:lvlJc w:val="left"/>
      <w:lvlText w:val="(%2)"/>
      <w:numFmt w:val="lowerRoman"/>
      <w:start w:val="1"/>
    </w:lvl>
  </w:abstractNum>
  <w:abstractNum w:abstractNumId="273">
    <w:nsid w:val="5398582C"/>
    <w:multiLevelType w:val="hybridMultilevel"/>
    <w:lvl w:ilvl="0">
      <w:lvlJc w:val="left"/>
      <w:lvlText w:val="%1"/>
      <w:numFmt w:val="lowerLetter"/>
      <w:start w:val="1"/>
    </w:lvl>
    <w:lvl w:ilvl="1">
      <w:lvlJc w:val="left"/>
      <w:lvlText w:val="(%2)"/>
      <w:numFmt w:val="lowerRoman"/>
      <w:start w:val="6"/>
    </w:lvl>
  </w:abstractNum>
  <w:abstractNum w:abstractNumId="274">
    <w:nsid w:val="1C0D4475"/>
    <w:multiLevelType w:val="hybridMultilevel"/>
    <w:lvl w:ilvl="0">
      <w:lvlJc w:val="left"/>
      <w:lvlText w:val="(%1)"/>
      <w:numFmt w:val="lowerLetter"/>
      <w:start w:val="10"/>
    </w:lvl>
    <w:lvl w:ilvl="1">
      <w:lvlJc w:val="left"/>
      <w:lvlText w:val="%2"/>
      <w:numFmt w:val="lowerRoman"/>
      <w:start w:val="1"/>
    </w:lvl>
  </w:abstractNum>
  <w:abstractNum w:abstractNumId="275">
    <w:nsid w:val="2CB6A6A4"/>
    <w:multiLevelType w:val="hybridMultilevel"/>
    <w:lvl w:ilvl="0">
      <w:lvlJc w:val="left"/>
      <w:lvlText w:val="(%1)"/>
      <w:numFmt w:val="lowerLetter"/>
      <w:start w:val="11"/>
    </w:lvl>
  </w:abstractNum>
  <w:abstractNum w:abstractNumId="276">
    <w:nsid w:val="41D646BC"/>
    <w:multiLevelType w:val="hybridMultilevel"/>
    <w:lvl w:ilvl="0">
      <w:lvlJc w:val="left"/>
      <w:lvlText w:val="(%1)"/>
      <w:numFmt w:val="lowerLetter"/>
      <w:start w:val="1"/>
    </w:lvl>
  </w:abstractNum>
  <w:abstractNum w:abstractNumId="277">
    <w:nsid w:val="3694A76A"/>
    <w:multiLevelType w:val="hybridMultilevel"/>
    <w:lvl w:ilvl="0">
      <w:lvlJc w:val="left"/>
      <w:lvlText w:val="(%1)"/>
      <w:numFmt w:val="lowerLetter"/>
      <w:start w:val="8"/>
    </w:lvl>
  </w:abstractNum>
  <w:abstractNum w:abstractNumId="278">
    <w:nsid w:val="2BF876EE"/>
    <w:multiLevelType w:val="hybridMultilevel"/>
    <w:lvl w:ilvl="0">
      <w:lvlJc w:val="left"/>
      <w:lvlText w:val="(%1)"/>
      <w:numFmt w:val="lowerLetter"/>
      <w:start w:val="14"/>
    </w:lvl>
  </w:abstractNum>
  <w:abstractNum w:abstractNumId="279">
    <w:nsid w:val="675ADBA"/>
    <w:multiLevelType w:val="hybridMultilevel"/>
    <w:lvl w:ilvl="0">
      <w:lvlJc w:val="left"/>
      <w:lvlText w:val="%1"/>
      <w:numFmt w:val="lowerLetter"/>
      <w:start w:val="1"/>
    </w:lvl>
    <w:lvl w:ilvl="1">
      <w:lvlJc w:val="left"/>
      <w:lvlText w:val="(%2)"/>
      <w:numFmt w:val="lowerLetter"/>
      <w:start w:val="19"/>
    </w:lvl>
  </w:abstractNum>
  <w:abstractNum w:abstractNumId="280">
    <w:nsid w:val="C12AC7F"/>
    <w:multiLevelType w:val="hybridMultilevel"/>
    <w:lvl w:ilvl="0">
      <w:lvlJc w:val="left"/>
      <w:lvlText w:val="(%1)"/>
      <w:numFmt w:val="lowerLetter"/>
      <w:start w:val="35"/>
    </w:lvl>
    <w:lvl w:ilvl="1">
      <w:lvlJc w:val="left"/>
      <w:lvlText w:val="%2"/>
      <w:numFmt w:val="lowerLetter"/>
      <w:start w:val="1"/>
    </w:lvl>
  </w:abstractNum>
  <w:abstractNum w:abstractNumId="281">
    <w:nsid w:val="6798F039"/>
    <w:multiLevelType w:val="hybridMultilevel"/>
    <w:lvl w:ilvl="0">
      <w:lvlJc w:val="left"/>
      <w:lvlText w:val="(%1)"/>
      <w:numFmt w:val="lowerLetter"/>
      <w:start w:val="21"/>
    </w:lvl>
  </w:abstractNum>
  <w:abstractNum w:abstractNumId="282">
    <w:nsid w:val="70837C02"/>
    <w:multiLevelType w:val="hybridMultilevel"/>
    <w:lvl w:ilvl="0">
      <w:lvlJc w:val="left"/>
      <w:lvlText w:val="(%1)"/>
      <w:numFmt w:val="lowerLetter"/>
      <w:start w:val="27"/>
    </w:lvl>
  </w:abstractNum>
  <w:abstractNum w:abstractNumId="283">
    <w:nsid w:val="7E4A5715"/>
    <w:multiLevelType w:val="hybridMultilevel"/>
    <w:lvl w:ilvl="0">
      <w:lvlJc w:val="left"/>
      <w:lvlText w:val="(%1)"/>
      <w:numFmt w:val="lowerLetter"/>
      <w:start w:val="31"/>
    </w:lvl>
  </w:abstractNum>
  <w:abstractNum w:abstractNumId="284">
    <w:nsid w:val="42B8AC67"/>
    <w:multiLevelType w:val="hybridMultilevel"/>
    <w:lvl w:ilvl="0">
      <w:lvlJc w:val="left"/>
      <w:lvlText w:val="%1."/>
      <w:numFmt w:val="decimal"/>
      <w:start w:val="1"/>
    </w:lvl>
    <w:lvl w:ilvl="1">
      <w:lvlJc w:val="left"/>
      <w:lvlText w:val="(%2)"/>
      <w:numFmt w:val="lowerLetter"/>
      <w:start w:val="1"/>
    </w:lvl>
  </w:abstractNum>
  <w:abstractNum w:abstractNumId="285">
    <w:nsid w:val="246348EA"/>
    <w:multiLevelType w:val="hybridMultilevel"/>
    <w:lvl w:ilvl="0">
      <w:lvlJc w:val="left"/>
      <w:lvlText w:val="%1."/>
      <w:numFmt w:val="decimal"/>
      <w:start w:val="5"/>
    </w:lvl>
  </w:abstractNum>
  <w:abstractNum w:abstractNumId="286">
    <w:nsid w:val="170EB52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87">
    <w:nsid w:val="2DFBCB8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288">
    <w:nsid w:val="3830D6B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89">
    <w:nsid w:val="6D48CF87"/>
    <w:multiLevelType w:val="hybridMultilevel"/>
    <w:lvl w:ilvl="0">
      <w:lvlJc w:val="left"/>
      <w:lvlText w:val="%1."/>
      <w:numFmt w:val="decimal"/>
      <w:start w:val="4"/>
    </w:lvl>
    <w:lvl w:ilvl="1">
      <w:lvlJc w:val="left"/>
      <w:lvlText w:val="(%2)"/>
      <w:numFmt w:val="lowerLetter"/>
      <w:start w:val="1"/>
    </w:lvl>
  </w:abstractNum>
  <w:abstractNum w:abstractNumId="290">
    <w:nsid w:val="576FC41B"/>
    <w:multiLevelType w:val="hybridMultilevel"/>
    <w:lvl w:ilvl="0">
      <w:lvlJc w:val="left"/>
      <w:lvlText w:val="%1."/>
      <w:numFmt w:val="decimal"/>
      <w:start w:val="5"/>
    </w:lvl>
    <w:lvl w:ilvl="1">
      <w:lvlJc w:val="left"/>
      <w:lvlText w:val="(%2)"/>
      <w:numFmt w:val="lowerLetter"/>
      <w:start w:val="1"/>
    </w:lvl>
  </w:abstractNum>
  <w:abstractNum w:abstractNumId="291">
    <w:nsid w:val="64A1C464"/>
    <w:multiLevelType w:val="hybridMultilevel"/>
    <w:lvl w:ilvl="0">
      <w:lvlJc w:val="left"/>
      <w:lvlText w:val="%1."/>
      <w:numFmt w:val="decimal"/>
      <w:start w:val="6"/>
    </w:lvl>
    <w:lvl w:ilvl="1">
      <w:lvlJc w:val="left"/>
      <w:lvlText w:val="(%2)"/>
      <w:numFmt w:val="lowerLetter"/>
      <w:start w:val="1"/>
    </w:lvl>
  </w:abstractNum>
  <w:abstractNum w:abstractNumId="292">
    <w:nsid w:val="31723BF5"/>
    <w:multiLevelType w:val="hybridMultilevel"/>
    <w:lvl w:ilvl="0">
      <w:lvlJc w:val="left"/>
      <w:lvlText w:val="%1."/>
      <w:numFmt w:val="decimal"/>
      <w:start w:val="9"/>
    </w:lvl>
    <w:lvl w:ilvl="1">
      <w:lvlJc w:val="left"/>
      <w:lvlText w:val="(%2)"/>
      <w:numFmt w:val="lowerLetter"/>
      <w:start w:val="1"/>
    </w:lvl>
  </w:abstractNum>
  <w:abstractNum w:abstractNumId="293">
    <w:nsid w:val="11F69861"/>
    <w:multiLevelType w:val="hybridMultilevel"/>
    <w:lvl w:ilvl="0">
      <w:lvlJc w:val="left"/>
      <w:lvlText w:val="(%1)"/>
      <w:numFmt w:val="lowerLetter"/>
      <w:start w:val="2"/>
    </w:lvl>
  </w:abstractNum>
  <w:abstractNum w:abstractNumId="294">
    <w:nsid w:val="369956AB"/>
    <w:multiLevelType w:val="hybridMultilevel"/>
    <w:lvl w:ilvl="0">
      <w:lvlJc w:val="left"/>
      <w:lvlText w:val="(%1)"/>
      <w:numFmt w:val="lowerLetter"/>
      <w:start w:val="1"/>
    </w:lvl>
  </w:abstractNum>
  <w:abstractNum w:abstractNumId="295">
    <w:nsid w:val="D3BE41C"/>
    <w:multiLevelType w:val="hybridMultilevel"/>
    <w:lvl w:ilvl="0">
      <w:lvlJc w:val="left"/>
      <w:lvlText w:val="(%1)"/>
      <w:numFmt w:val="lowerLetter"/>
      <w:start w:val="2"/>
    </w:lvl>
  </w:abstractNum>
  <w:abstractNum w:abstractNumId="296">
    <w:nsid w:val="4CDA15E7"/>
    <w:multiLevelType w:val="hybridMultilevel"/>
    <w:lvl w:ilvl="0">
      <w:lvlJc w:val="left"/>
      <w:lvlText w:val="(%1)"/>
      <w:numFmt w:val="lowerLetter"/>
      <w:start w:val="1"/>
    </w:lvl>
  </w:abstractNum>
  <w:abstractNum w:abstractNumId="297">
    <w:nsid w:val="7BDD6690"/>
    <w:multiLevelType w:val="hybridMultilevel"/>
    <w:lvl w:ilvl="0">
      <w:lvlJc w:val="left"/>
      <w:lvlText w:val="(%1)"/>
      <w:numFmt w:val="lowerLetter"/>
      <w:start w:val="3"/>
    </w:lvl>
  </w:abstractNum>
  <w:abstractNum w:abstractNumId="298">
    <w:nsid w:val="DFB5C5B"/>
    <w:multiLevelType w:val="hybridMultilevel"/>
    <w:lvl w:ilvl="0">
      <w:lvlJc w:val="left"/>
      <w:lvlText w:val="$"/>
      <w:numFmt w:val="bullet"/>
      <w:start w:val="1"/>
    </w:lvl>
    <w:lvl w:ilvl="1">
      <w:lvlJc w:val="left"/>
      <w:lvlText w:val="☐"/>
      <w:numFmt w:val="bullet"/>
      <w:start w:val="1"/>
    </w:lvl>
  </w:abstractNum>
  <w:abstractNum w:abstractNumId="299">
    <w:nsid w:val="6F3E5490"/>
    <w:multiLevelType w:val="hybridMultilevel"/>
    <w:lvl w:ilvl="0">
      <w:lvlJc w:val="left"/>
      <w:lvlText w:val="%1."/>
      <w:numFmt w:val="decimal"/>
      <w:start w:val="1"/>
    </w:lvl>
    <w:lvl w:ilvl="1">
      <w:lvlJc w:val="left"/>
      <w:lvlText w:val="(%2)"/>
      <w:numFmt w:val="lowerLetter"/>
      <w:start w:val="1"/>
    </w:lvl>
  </w:abstractNum>
  <w:abstractNum w:abstractNumId="300">
    <w:nsid w:val="1464BE1E"/>
    <w:multiLevelType w:val="hybridMultilevel"/>
    <w:lvl w:ilvl="0">
      <w:lvlJc w:val="left"/>
      <w:lvlText w:val="%1"/>
      <w:numFmt w:val="decimal"/>
      <w:start w:val="1"/>
    </w:lvl>
    <w:lvl w:ilvl="1">
      <w:lvlJc w:val="left"/>
      <w:lvlText w:val="(%2)"/>
      <w:numFmt w:val="lowerLetter"/>
      <w:start w:val="2"/>
    </w:lvl>
  </w:abstractNum>
  <w:abstractNum w:abstractNumId="301">
    <w:nsid w:val="66BBB7E5"/>
    <w:multiLevelType w:val="hybridMultilevel"/>
    <w:lvl w:ilvl="0">
      <w:lvlJc w:val="left"/>
      <w:lvlText w:val="%1."/>
      <w:numFmt w:val="decimal"/>
      <w:start w:val="4"/>
    </w:lvl>
    <w:lvl w:ilvl="1">
      <w:lvlJc w:val="left"/>
      <w:lvlText w:val="%2"/>
      <w:numFmt w:val="lowerLetter"/>
      <w:start w:val="1"/>
    </w:lvl>
  </w:abstractNum>
  <w:abstractNum w:abstractNumId="302">
    <w:nsid w:val="28168302"/>
    <w:multiLevelType w:val="hybridMultilevel"/>
    <w:lvl w:ilvl="0">
      <w:lvlJc w:val="left"/>
      <w:lvlText w:val=","/>
      <w:numFmt w:val="bullet"/>
      <w:start w:val="1"/>
    </w:lvl>
  </w:abstractNum>
  <w:abstractNum w:abstractNumId="303">
    <w:nsid w:val="32A5C7A8"/>
    <w:multiLevelType w:val="hybridMultilevel"/>
    <w:lvl w:ilvl="0">
      <w:lvlJc w:val="left"/>
      <w:lvlText w:val="("/>
      <w:numFmt w:val="bullet"/>
      <w:start w:val="1"/>
    </w:lvl>
  </w:abstractNum>
  <w:abstractNum w:abstractNumId="304">
    <w:nsid w:val="3A541011"/>
    <w:multiLevelType w:val="hybridMultilevel"/>
    <w:lvl w:ilvl="0">
      <w:lvlJc w:val="left"/>
      <w:lvlText w:val="%1."/>
      <w:numFmt w:val="decimal"/>
      <w:start w:val="1"/>
    </w:lvl>
  </w:abstractNum>
  <w:abstractNum w:abstractNumId="305">
    <w:nsid w:val="4423C777"/>
    <w:multiLevelType w:val="hybridMultilevel"/>
    <w:lvl w:ilvl="0">
      <w:lvlJc w:val="left"/>
      <w:lvlText w:val="%1."/>
      <w:numFmt w:val="decimal"/>
      <w:start w:val="2"/>
    </w:lvl>
  </w:abstractNum>
  <w:abstractNum w:abstractNumId="306">
    <w:nsid w:val="5F5C6E4D"/>
    <w:multiLevelType w:val="hybridMultilevel"/>
    <w:lvl w:ilvl="0">
      <w:lvlJc w:val="left"/>
      <w:lvlText w:val="%1."/>
      <w:numFmt w:val="decimal"/>
      <w:start w:val="1"/>
    </w:lvl>
  </w:abstractNum>
  <w:abstractNum w:abstractNumId="307">
    <w:nsid w:val="7C2A56CD"/>
    <w:multiLevelType w:val="hybridMultilevel"/>
    <w:lvl w:ilvl="0">
      <w:lvlJc w:val="left"/>
      <w:lvlText w:val="%1."/>
      <w:numFmt w:val="decimal"/>
      <w:start w:val="2"/>
    </w:lvl>
  </w:abstractNum>
  <w:abstractNum w:abstractNumId="308">
    <w:nsid w:val="7AB86EE1"/>
    <w:multiLevelType w:val="hybridMultilevel"/>
    <w:lvl w:ilvl="0">
      <w:lvlJc w:val="left"/>
      <w:lvlText w:val="%1."/>
      <w:numFmt w:val="decimal"/>
      <w:start w:val="1"/>
    </w:lvl>
  </w:abstractNum>
  <w:abstractNum w:abstractNumId="309">
    <w:nsid w:val="B54E53B"/>
    <w:multiLevelType w:val="hybridMultilevel"/>
    <w:lvl w:ilvl="0">
      <w:lvlJc w:val="left"/>
      <w:lvlText w:val="%1."/>
      <w:numFmt w:val="decimal"/>
      <w:start w:val="2"/>
    </w:lvl>
  </w:abstractNum>
  <w:abstractNum w:abstractNumId="310">
    <w:nsid w:val="2A00487"/>
    <w:multiLevelType w:val="hybridMultilevel"/>
    <w:lvl w:ilvl="0">
      <w:lvlJc w:val="left"/>
      <w:lvlText w:val="%1."/>
      <w:numFmt w:val="decimal"/>
      <w:start w:val="1"/>
    </w:lvl>
  </w:abstractNum>
  <w:abstractNum w:abstractNumId="311">
    <w:nsid w:val="6CB1B60"/>
    <w:multiLevelType w:val="hybridMultilevel"/>
    <w:lvl w:ilvl="0">
      <w:lvlJc w:val="left"/>
      <w:lvlText w:val="%1."/>
      <w:numFmt w:val="decimal"/>
      <w:start w:val="3"/>
    </w:lvl>
  </w:abstractNum>
  <w:abstractNum w:abstractNumId="312">
    <w:nsid w:val="72EDD574"/>
    <w:multiLevelType w:val="hybridMultilevel"/>
    <w:lvl w:ilvl="0">
      <w:lvlJc w:val="left"/>
      <w:lvlText w:val="%1."/>
      <w:numFmt w:val="decimal"/>
      <w:start w:val="4"/>
    </w:lvl>
  </w:abstractNum>
  <w:abstractNum w:abstractNumId="313">
    <w:nsid w:val="7323808A"/>
    <w:multiLevelType w:val="hybridMultilevel"/>
    <w:lvl w:ilvl="0">
      <w:lvlJc w:val="left"/>
      <w:lvlText w:val="(%1)"/>
      <w:numFmt w:val="lowerRoman"/>
      <w:start w:val="2"/>
    </w:lvl>
  </w:abstractNum>
  <w:abstractNum w:abstractNumId="314">
    <w:nsid w:val="5157276"/>
    <w:multiLevelType w:val="hybridMultilevel"/>
    <w:lvl w:ilvl="0">
      <w:lvlJc w:val="left"/>
      <w:lvlText w:val="%1."/>
      <w:numFmt w:val="decimal"/>
      <w:start w:val="5"/>
    </w:lvl>
  </w:abstractNum>
  <w:abstractNum w:abstractNumId="315">
    <w:nsid w:val="35A681DB"/>
    <w:multiLevelType w:val="hybridMultilevel"/>
    <w:lvl w:ilvl="0">
      <w:lvlJc w:val="left"/>
      <w:lvlText w:val="%1."/>
      <w:numFmt w:val="decimal"/>
      <w:start w:val="6"/>
    </w:lvl>
  </w:abstractNum>
  <w:abstractNum w:abstractNumId="316">
    <w:nsid w:val="1786C974"/>
    <w:multiLevelType w:val="hybridMultilevel"/>
    <w:lvl w:ilvl="0">
      <w:lvlJc w:val="left"/>
      <w:lvlText w:val="%1."/>
      <w:numFmt w:val="decimal"/>
      <w:start w:val="7"/>
    </w:lvl>
  </w:abstractNum>
  <w:abstractNum w:abstractNumId="317">
    <w:nsid w:val="1C2427A1"/>
    <w:multiLevelType w:val="hybridMultilevel"/>
    <w:lvl w:ilvl="0">
      <w:lvlJc w:val="left"/>
      <w:lvlText w:val="%1."/>
      <w:numFmt w:val="decimal"/>
      <w:start w:val="8"/>
    </w:lvl>
  </w:abstractNum>
  <w:abstractNum w:abstractNumId="318">
    <w:nsid w:val="63A24D68"/>
    <w:multiLevelType w:val="hybridMultilevel"/>
    <w:lvl w:ilvl="0">
      <w:lvlJc w:val="left"/>
      <w:lvlText w:val="(%1)"/>
      <w:numFmt w:val="lowerLetter"/>
      <w:start w:val="1"/>
    </w:lvl>
  </w:abstractNum>
  <w:abstractNum w:abstractNumId="319">
    <w:nsid w:val="4FB7A02A"/>
    <w:multiLevelType w:val="hybridMultilevel"/>
    <w:lvl w:ilvl="0">
      <w:lvlJc w:val="left"/>
      <w:lvlText w:val="(%1)"/>
      <w:numFmt w:val="lowerLetter"/>
      <w:start w:val="7"/>
    </w:lvl>
  </w:abstractNum>
  <w:abstractNum w:abstractNumId="320">
    <w:nsid w:val="96CF728"/>
    <w:multiLevelType w:val="hybridMultilevel"/>
    <w:lvl w:ilvl="0">
      <w:lvlJc w:val="left"/>
      <w:lvlText w:val="%1."/>
      <w:numFmt w:val="decimal"/>
      <w:start w:val="9"/>
    </w:lvl>
  </w:abstractNum>
  <w:abstractNum w:abstractNumId="321">
    <w:nsid w:val="3B121183"/>
    <w:multiLevelType w:val="hybridMultilevel"/>
    <w:lvl w:ilvl="0">
      <w:lvlJc w:val="left"/>
      <w:lvlText w:val="(%1)"/>
      <w:numFmt w:val="lowerLetter"/>
      <w:start w:val="1"/>
    </w:lvl>
  </w:abstractNum>
  <w:abstractNum w:abstractNumId="322">
    <w:nsid w:val="3459648F"/>
    <w:multiLevelType w:val="hybridMultilevel"/>
    <w:lvl w:ilvl="0">
      <w:lvlJc w:val="left"/>
      <w:lvlText w:val="%1."/>
      <w:numFmt w:val="decimal"/>
      <w:start w:val="10"/>
    </w:lvl>
  </w:abstractNum>
  <w:abstractNum w:abstractNumId="323">
    <w:nsid w:val="3ADF331D"/>
    <w:multiLevelType w:val="hybridMultilevel"/>
    <w:lvl w:ilvl="0">
      <w:lvlJc w:val="left"/>
      <w:lvlText w:val="%1."/>
      <w:numFmt w:val="decimal"/>
      <w:start w:val="11"/>
    </w:lvl>
  </w:abstractNum>
  <w:abstractNum w:abstractNumId="324">
    <w:nsid w:val="4D08A9E4"/>
    <w:multiLevelType w:val="hybridMultilevel"/>
    <w:lvl w:ilvl="0">
      <w:lvlJc w:val="left"/>
      <w:lvlText w:val="(%1)"/>
      <w:numFmt w:val="lowerLetter"/>
      <w:start w:val="1"/>
    </w:lvl>
  </w:abstractNum>
  <w:abstractNum w:abstractNumId="325">
    <w:nsid w:val="6AF2BB3A"/>
    <w:multiLevelType w:val="hybridMultilevel"/>
    <w:lvl w:ilvl="0">
      <w:lvlJc w:val="left"/>
      <w:lvlText w:val="(%1)"/>
      <w:numFmt w:val="lowerLetter"/>
      <w:start w:val="6"/>
    </w:lvl>
  </w:abstractNum>
  <w:abstractNum w:abstractNumId="326">
    <w:nsid w:val="481B1739"/>
    <w:multiLevelType w:val="hybridMultilevel"/>
    <w:lvl w:ilvl="0">
      <w:lvlJc w:val="left"/>
      <w:lvlText w:val="%1."/>
      <w:numFmt w:val="decimal"/>
      <w:start w:val="12"/>
    </w:lvl>
  </w:abstractNum>
  <w:abstractNum w:abstractNumId="327">
    <w:nsid w:val="19E2BFCC"/>
    <w:multiLevelType w:val="hybridMultilevel"/>
    <w:lvl w:ilvl="0">
      <w:lvlJc w:val="left"/>
      <w:lvlText w:val="(%1)"/>
      <w:numFmt w:val="lowerLetter"/>
      <w:start w:val="1"/>
    </w:lvl>
  </w:abstractNum>
  <w:abstractNum w:abstractNumId="328">
    <w:nsid w:val="66D021CA"/>
    <w:multiLevelType w:val="hybridMultilevel"/>
    <w:lvl w:ilvl="0">
      <w:lvlJc w:val="left"/>
      <w:lvlText w:val="(%1)"/>
      <w:numFmt w:val="lowerLetter"/>
      <w:start w:val="7"/>
    </w:lvl>
  </w:abstractNum>
  <w:abstractNum w:abstractNumId="329">
    <w:nsid w:val="56167394"/>
    <w:multiLevelType w:val="hybridMultilevel"/>
    <w:lvl w:ilvl="0">
      <w:lvlJc w:val="left"/>
      <w:lvlText w:val="%1."/>
      <w:numFmt w:val="decimal"/>
      <w:start w:val="13"/>
    </w:lvl>
  </w:abstractNum>
  <w:abstractNum w:abstractNumId="330">
    <w:nsid w:val="921145C"/>
    <w:multiLevelType w:val="hybridMultilevel"/>
    <w:lvl w:ilvl="0">
      <w:lvlJc w:val="left"/>
      <w:lvlText w:val="%1."/>
      <w:numFmt w:val="decimal"/>
      <w:start w:val="14"/>
    </w:lvl>
  </w:abstractNum>
  <w:abstractNum w:abstractNumId="331">
    <w:nsid w:val="7B34DFE8"/>
    <w:multiLevelType w:val="hybridMultilevel"/>
    <w:lvl w:ilvl="0">
      <w:lvlJc w:val="left"/>
      <w:lvlText w:val="(%1)"/>
      <w:numFmt w:val="lowerLetter"/>
      <w:start w:val="1"/>
    </w:lvl>
  </w:abstractNum>
  <w:abstractNum w:abstractNumId="332">
    <w:nsid w:val="3CD22B79"/>
    <w:multiLevelType w:val="hybridMultilevel"/>
    <w:lvl w:ilvl="0">
      <w:lvlJc w:val="left"/>
      <w:lvlText w:val="(%1)"/>
      <w:numFmt w:val="lowerLetter"/>
      <w:start w:val="2"/>
    </w:lvl>
  </w:abstractNum>
  <w:abstractNum w:abstractNumId="333">
    <w:nsid w:val="3137975E"/>
    <w:multiLevelType w:val="hybridMultilevel"/>
    <w:lvl w:ilvl="0">
      <w:lvlJc w:val="left"/>
      <w:lvlText w:val="(%1)"/>
      <w:numFmt w:val="lowerLetter"/>
      <w:start w:val="1"/>
    </w:lvl>
  </w:abstractNum>
  <w:abstractNum w:abstractNumId="334">
    <w:nsid w:val="2DDAA791"/>
    <w:multiLevelType w:val="hybridMultilevel"/>
    <w:lvl w:ilvl="0">
      <w:lvlJc w:val="left"/>
      <w:lvlText w:val="☐"/>
      <w:numFmt w:val="bullet"/>
      <w:start w:val="1"/>
    </w:lvl>
  </w:abstractNum>
  <w:abstractNum w:abstractNumId="335">
    <w:nsid w:val="77263B8A"/>
    <w:multiLevelType w:val="hybridMultilevel"/>
    <w:lvl w:ilvl="0">
      <w:lvlJc w:val="left"/>
      <w:lvlText w:val="(%1)"/>
      <w:numFmt w:val="lowerLetter"/>
      <w:start w:val="2"/>
    </w:lvl>
  </w:abstractNum>
  <w:abstractNum w:abstractNumId="336">
    <w:nsid w:val="755B5ED6"/>
    <w:multiLevelType w:val="hybridMultilevel"/>
    <w:lvl w:ilvl="0">
      <w:lvlJc w:val="left"/>
      <w:lvlText w:val="%1."/>
      <w:numFmt w:val="decimal"/>
      <w:start w:val="1"/>
    </w:lvl>
  </w:abstractNum>
  <w:abstractNum w:abstractNumId="337">
    <w:nsid w:val="D3715DE"/>
    <w:multiLevelType w:val="hybridMultilevel"/>
    <w:lvl w:ilvl="0">
      <w:lvlJc w:val="left"/>
      <w:lvlText w:val="%1."/>
      <w:numFmt w:val="decimal"/>
      <w:start w:val="3"/>
    </w:lvl>
  </w:abstractNum>
  <w:abstractNum w:abstractNumId="338">
    <w:nsid w:val="73509257"/>
    <w:multiLevelType w:val="hybridMultilevel"/>
    <w:lvl w:ilvl="0">
      <w:lvlJc w:val="left"/>
      <w:lvlText w:val="%1."/>
      <w:numFmt w:val="decimal"/>
      <w:start w:val="4"/>
    </w:lvl>
  </w:abstractNum>
  <w:abstractNum w:abstractNumId="339">
    <w:nsid w:val="7013CDB7"/>
    <w:multiLevelType w:val="hybridMultilevel"/>
    <w:lvl w:ilvl="0">
      <w:lvlJc w:val="left"/>
      <w:lvlText w:val="(%1)"/>
      <w:numFmt w:val="lowerLetter"/>
      <w:start w:val="1"/>
    </w:lvl>
  </w:abstractNum>
  <w:abstractNum w:abstractNumId="340">
    <w:nsid w:val="188BFB19"/>
    <w:multiLevelType w:val="hybridMultilevel"/>
    <w:lvl w:ilvl="0">
      <w:lvlJc w:val="left"/>
      <w:lvlText w:val="(%1)"/>
      <w:numFmt w:val="lowerLetter"/>
      <w:start w:val="2"/>
    </w:lvl>
  </w:abstractNum>
  <w:abstractNum w:abstractNumId="341">
    <w:nsid w:val="75F096DF"/>
    <w:multiLevelType w:val="hybridMultilevel"/>
    <w:lvl w:ilvl="0">
      <w:lvlJc w:val="left"/>
      <w:lvlText w:val="%1."/>
      <w:numFmt w:val="decimal"/>
      <w:start w:val="5"/>
    </w:lvl>
  </w:abstractNum>
  <w:abstractNum w:abstractNumId="342">
    <w:nsid w:val="76DEE918"/>
    <w:multiLevelType w:val="hybridMultilevel"/>
    <w:lvl w:ilvl="0">
      <w:lvlJc w:val="left"/>
      <w:lvlText w:val="%1."/>
      <w:numFmt w:val="decimal"/>
      <w:start w:val="6"/>
    </w:lvl>
  </w:abstractNum>
  <w:abstractNum w:abstractNumId="343">
    <w:nsid w:val="B79D08D"/>
    <w:multiLevelType w:val="hybridMultilevel"/>
    <w:lvl w:ilvl="0">
      <w:lvlJc w:val="left"/>
      <w:lvlText w:val="(%1)"/>
      <w:numFmt w:val="lowerLetter"/>
      <w:start w:val="1"/>
    </w:lvl>
  </w:abstractNum>
  <w:abstractNum w:abstractNumId="344">
    <w:nsid w:val="69141769"/>
    <w:multiLevelType w:val="hybridMultilevel"/>
    <w:lvl w:ilvl="0">
      <w:lvlJc w:val="left"/>
      <w:lvlText w:val="%1."/>
      <w:numFmt w:val="decimal"/>
      <w:start w:val="8"/>
    </w:lvl>
  </w:abstractNum>
  <w:abstractNum w:abstractNumId="345">
    <w:nsid w:val="7BF45B8E"/>
    <w:multiLevelType w:val="hybridMultilevel"/>
    <w:lvl w:ilvl="0">
      <w:lvlJc w:val="left"/>
      <w:lvlText w:val="%1."/>
      <w:numFmt w:val="decimal"/>
      <w:start w:val="9"/>
    </w:lvl>
  </w:abstractNum>
  <w:abstractNum w:abstractNumId="346">
    <w:nsid w:val="41205269"/>
    <w:multiLevelType w:val="hybridMultilevel"/>
    <w:lvl w:ilvl="0">
      <w:lvlJc w:val="left"/>
      <w:lvlText w:val="%1."/>
      <w:numFmt w:val="decimal"/>
      <w:start w:val="10"/>
    </w:lvl>
  </w:abstractNum>
  <w:abstractNum w:abstractNumId="347">
    <w:nsid w:val="9AE0DD"/>
    <w:multiLevelType w:val="hybridMultilevel"/>
    <w:lvl w:ilvl="0">
      <w:lvlJc w:val="left"/>
      <w:lvlText w:val="(%1)"/>
      <w:numFmt w:val="lowerLetter"/>
      <w:start w:val="1"/>
    </w:lvl>
  </w:abstractNum>
  <w:abstractNum w:abstractNumId="348">
    <w:nsid w:val="1818832F"/>
    <w:multiLevelType w:val="hybridMultilevel"/>
    <w:lvl w:ilvl="0">
      <w:lvlJc w:val="left"/>
      <w:lvlText w:val="%1."/>
      <w:numFmt w:val="decimal"/>
      <w:start w:val="14"/>
    </w:lvl>
  </w:abstractNum>
  <w:abstractNum w:abstractNumId="349">
    <w:nsid w:val="24C29FD1"/>
    <w:multiLevelType w:val="hybridMultilevel"/>
    <w:lvl w:ilvl="0">
      <w:lvlJc w:val="left"/>
      <w:lvlText w:val="%1."/>
      <w:numFmt w:val="decimal"/>
      <w:start w:val="16"/>
    </w:lvl>
  </w:abstractNum>
  <w:abstractNum w:abstractNumId="350">
    <w:nsid w:val="50528108"/>
    <w:multiLevelType w:val="hybridMultilevel"/>
    <w:lvl w:ilvl="0">
      <w:lvlJc w:val="left"/>
      <w:lvlText w:val="%1."/>
      <w:numFmt w:val="decimal"/>
      <w:start w:val="22"/>
    </w:lvl>
  </w:abstractNum>
  <w:abstractNum w:abstractNumId="351">
    <w:nsid w:val="21857A57"/>
    <w:multiLevelType w:val="hybridMultilevel"/>
    <w:lvl w:ilvl="0">
      <w:lvlJc w:val="left"/>
      <w:lvlText w:val="☐"/>
      <w:numFmt w:val="bullet"/>
      <w:start w:val="1"/>
    </w:lvl>
  </w:abstractNum>
  <w:abstractNum w:abstractNumId="352">
    <w:nsid w:val="5FD4B154"/>
    <w:multiLevelType w:val="hybridMultilevel"/>
    <w:lvl w:ilvl="0">
      <w:lvlJc w:val="left"/>
      <w:lvlText w:val="(%1)"/>
      <w:numFmt w:val="decimal"/>
      <w:start w:val="1"/>
    </w:lvl>
  </w:abstractNum>
  <w:abstractNum w:abstractNumId="353">
    <w:nsid w:val="4ABE597"/>
    <w:multiLevelType w:val="hybridMultilevel"/>
    <w:lvl w:ilvl="0">
      <w:lvlJc w:val="left"/>
      <w:lvlText w:val="%1."/>
      <w:numFmt w:val="decimal"/>
      <w:start w:val="1"/>
    </w:lvl>
  </w:abstractNum>
  <w:abstractNum w:abstractNumId="354">
    <w:nsid w:val="5C64AD75"/>
    <w:multiLevelType w:val="hybridMultilevel"/>
    <w:lvl w:ilvl="0">
      <w:lvlJc w:val="left"/>
      <w:lvlText w:val="☐"/>
      <w:numFmt w:val="bullet"/>
      <w:start w:val="1"/>
    </w:lvl>
  </w:abstractNum>
  <w:abstractNum w:abstractNumId="355">
    <w:nsid w:val="2CDD5B39"/>
    <w:multiLevelType w:val="hybridMultilevel"/>
    <w:lvl w:ilvl="0">
      <w:lvlJc w:val="left"/>
      <w:lvlText w:val="☐"/>
      <w:numFmt w:val="bullet"/>
      <w:start w:val="1"/>
    </w:lvl>
  </w:abstractNum>
  <w:abstractNum w:abstractNumId="356">
    <w:nsid w:val="6F9EA0D1"/>
    <w:multiLevelType w:val="hybridMultilevel"/>
    <w:lvl w:ilvl="0">
      <w:lvlJc w:val="left"/>
      <w:lvlText w:val="(%1)"/>
      <w:numFmt w:val="lowerLetter"/>
      <w:start w:val="1"/>
    </w:lvl>
  </w:abstractNum>
  <w:abstractNum w:abstractNumId="357">
    <w:nsid w:val="247FC4AE"/>
    <w:multiLevelType w:val="hybridMultilevel"/>
    <w:lvl w:ilvl="0">
      <w:lvlJc w:val="left"/>
      <w:lvlText w:val="%1."/>
      <w:numFmt w:val="decimal"/>
      <w:start w:val="1"/>
    </w:lvl>
  </w:abstractNum>
  <w:abstractNum w:abstractNumId="358">
    <w:nsid w:val="46C01B05"/>
    <w:multiLevelType w:val="hybridMultilevel"/>
    <w:lvl w:ilvl="0">
      <w:lvlJc w:val="left"/>
      <w:lvlText w:val="%1."/>
      <w:numFmt w:val="decimal"/>
      <w:start w:val="3"/>
    </w:lvl>
  </w:abstractNum>
  <w:abstractNum w:abstractNumId="359">
    <w:nsid w:val="566EC29B"/>
    <w:multiLevelType w:val="hybridMultilevel"/>
    <w:lvl w:ilvl="0">
      <w:lvlJc w:val="left"/>
      <w:lvlText w:val="%1."/>
      <w:numFmt w:val="decimal"/>
      <w:start w:val="4"/>
    </w:lvl>
  </w:abstractNum>
  <w:abstractNum w:abstractNumId="360">
    <w:nsid w:val="7A963843"/>
    <w:multiLevelType w:val="hybridMultilevel"/>
    <w:lvl w:ilvl="0">
      <w:lvlJc w:val="left"/>
      <w:lvlText w:val="(%1)"/>
      <w:numFmt w:val="lowerLetter"/>
      <w:start w:val="1"/>
    </w:lvl>
  </w:abstractNum>
  <w:abstractNum w:abstractNumId="361">
    <w:nsid w:val="4FE12F61"/>
    <w:multiLevelType w:val="hybridMultilevel"/>
    <w:lvl w:ilvl="0">
      <w:lvlJc w:val="left"/>
      <w:lvlText w:val="%1."/>
      <w:numFmt w:val="decimal"/>
      <w:start w:val="5"/>
    </w:lvl>
  </w:abstractNum>
  <w:abstractNum w:abstractNumId="362">
    <w:nsid w:val="51A3A284"/>
    <w:multiLevelType w:val="hybridMultilevel"/>
    <w:lvl w:ilvl="0">
      <w:lvlJc w:val="left"/>
      <w:lvlText w:val="%1"/>
      <w:numFmt w:val="decimal"/>
      <w:start w:val="1"/>
    </w:lvl>
    <w:lvl w:ilvl="1">
      <w:lvlJc w:val="left"/>
      <w:lvlText w:val="(%2)"/>
      <w:numFmt w:val="lowerLetter"/>
      <w:start w:val="1"/>
    </w:lvl>
  </w:abstractNum>
  <w:abstractNum w:abstractNumId="363">
    <w:nsid w:val="376863BC"/>
    <w:multiLevelType w:val="hybridMultilevel"/>
    <w:lvl w:ilvl="0">
      <w:lvlJc w:val="left"/>
      <w:lvlText w:val="%1."/>
      <w:numFmt w:val="decimal"/>
      <w:start w:val="6"/>
    </w:lvl>
    <w:lvl w:ilvl="1">
      <w:lvlJc w:val="left"/>
      <w:lvlText w:val="%2"/>
      <w:numFmt w:val="lowerLetter"/>
      <w:start w:val="1"/>
    </w:lvl>
  </w:abstractNum>
  <w:abstractNum w:abstractNumId="364">
    <w:nsid w:val="118C6C0"/>
    <w:multiLevelType w:val="hybridMultilevel"/>
    <w:lvl w:ilvl="0">
      <w:lvlJc w:val="left"/>
      <w:lvlText w:val="%1."/>
      <w:numFmt w:val="decimal"/>
      <w:start w:val="7"/>
    </w:lvl>
  </w:abstractNum>
  <w:abstractNum w:abstractNumId="365">
    <w:nsid w:val="7F7E4A15"/>
    <w:multiLevelType w:val="hybridMultilevel"/>
    <w:lvl w:ilvl="0">
      <w:lvlJc w:val="left"/>
      <w:lvlText w:val="(%1)"/>
      <w:numFmt w:val="lowerLetter"/>
      <w:start w:val="1"/>
    </w:lvl>
  </w:abstractNum>
  <w:abstractNum w:abstractNumId="366">
    <w:nsid w:val="2E8E9F47"/>
    <w:multiLevelType w:val="hybridMultilevel"/>
    <w:lvl w:ilvl="0">
      <w:lvlJc w:val="left"/>
      <w:lvlText w:val="%1."/>
      <w:numFmt w:val="decimal"/>
      <w:start w:val="8"/>
    </w:lvl>
  </w:abstractNum>
  <w:abstractNum w:abstractNumId="367">
    <w:nsid w:val="76742596"/>
    <w:multiLevelType w:val="hybridMultilevel"/>
    <w:lvl w:ilvl="0">
      <w:lvlJc w:val="left"/>
      <w:lvlText w:val="%1."/>
      <w:numFmt w:val="decimal"/>
      <w:start w:val="9"/>
    </w:lvl>
  </w:abstractNum>
  <w:abstractNum w:abstractNumId="368">
    <w:nsid w:val="CB55FF3"/>
    <w:multiLevelType w:val="hybridMultilevel"/>
    <w:lvl w:ilvl="0">
      <w:lvlJc w:val="left"/>
      <w:lvlText w:val="%1."/>
      <w:numFmt w:val="decimal"/>
      <w:start w:val="10"/>
    </w:lvl>
  </w:abstractNum>
  <w:abstractNum w:abstractNumId="369">
    <w:nsid w:val="21DF319E"/>
    <w:multiLevelType w:val="hybridMultilevel"/>
    <w:lvl w:ilvl="0">
      <w:lvlJc w:val="left"/>
      <w:lvlText w:val="%1."/>
      <w:numFmt w:val="decimal"/>
      <w:start w:val="12"/>
    </w:lvl>
  </w:abstractNum>
  <w:abstractNum w:abstractNumId="370">
    <w:nsid w:val="6687F34D"/>
    <w:multiLevelType w:val="hybridMultilevel"/>
    <w:lvl w:ilvl="0">
      <w:lvlJc w:val="left"/>
      <w:lvlText w:val="(%1)"/>
      <w:numFmt w:val="upperLetter"/>
      <w:start w:val="1"/>
    </w:lvl>
  </w:abstractNum>
  <w:abstractNum w:abstractNumId="371">
    <w:nsid w:val="25415B0C"/>
    <w:multiLevelType w:val="hybridMultilevel"/>
    <w:lvl w:ilvl="0">
      <w:lvlJc w:val="left"/>
      <w:lvlText w:val="(%1)"/>
      <w:numFmt w:val="lowerLetter"/>
      <w:start w:val="1"/>
    </w:lvl>
  </w:abstractNum>
  <w:abstractNum w:abstractNumId="372">
    <w:nsid w:val="17CFC87D"/>
    <w:multiLevelType w:val="hybridMultilevel"/>
    <w:lvl w:ilvl="0">
      <w:lvlJc w:val="left"/>
      <w:lvlText w:val="%1."/>
      <w:numFmt w:val="decimal"/>
      <w:start w:val="14"/>
    </w:lvl>
  </w:abstractNum>
  <w:abstractNum w:abstractNumId="373">
    <w:nsid w:val="5D66DC65"/>
    <w:multiLevelType w:val="hybridMultilevel"/>
    <w:lvl w:ilvl="0">
      <w:lvlJc w:val="left"/>
      <w:lvlText w:val="%1."/>
      <w:numFmt w:val="decimal"/>
      <w:start w:val="15"/>
    </w:lvl>
  </w:abstractNum>
  <w:abstractNum w:abstractNumId="374">
    <w:nsid w:val="30BB2B99"/>
    <w:multiLevelType w:val="hybridMultilevel"/>
    <w:lvl w:ilvl="0">
      <w:lvlJc w:val="left"/>
      <w:lvlText w:val="%1."/>
      <w:numFmt w:val="decimal"/>
      <w:start w:val="16"/>
    </w:lvl>
  </w:abstractNum>
  <w:abstractNum w:abstractNumId="375">
    <w:nsid w:val="E3DFE6"/>
    <w:multiLevelType w:val="hybridMultilevel"/>
    <w:lvl w:ilvl="0">
      <w:lvlJc w:val="left"/>
      <w:lvlText w:val="%1."/>
      <w:numFmt w:val="decimal"/>
      <w:start w:val="17"/>
    </w:lvl>
    <w:lvl w:ilvl="1">
      <w:lvlJc w:val="left"/>
      <w:lvlText w:val="*"/>
      <w:numFmt w:val="bullet"/>
      <w:start w:val="1"/>
    </w:lvl>
  </w:abstractNum>
  <w:abstractNum w:abstractNumId="376">
    <w:nsid w:val="595B37F3"/>
    <w:multiLevelType w:val="hybridMultilevel"/>
    <w:lvl w:ilvl="0">
      <w:lvlJc w:val="left"/>
      <w:lvlText w:val="%1."/>
      <w:numFmt w:val="decimal"/>
      <w:start w:val="1"/>
    </w:lvl>
  </w:abstractNum>
  <w:abstractNum w:abstractNumId="377">
    <w:nsid w:val="71DB7E02"/>
    <w:multiLevelType w:val="hybridMultilevel"/>
    <w:lvl w:ilvl="0">
      <w:lvlJc w:val="left"/>
      <w:lvlText w:val="(%1)"/>
      <w:numFmt w:val="lowerLetter"/>
      <w:start w:val="1"/>
    </w:lvl>
  </w:abstractNum>
  <w:abstractNum w:abstractNumId="378">
    <w:nsid w:val="17EC0C4"/>
    <w:multiLevelType w:val="hybridMultilevel"/>
    <w:lvl w:ilvl="0">
      <w:lvlJc w:val="left"/>
      <w:lvlText w:val="%1"/>
      <w:numFmt w:val="lowerLetter"/>
      <w:start w:val="1"/>
    </w:lvl>
    <w:lvl w:ilvl="1">
      <w:lvlJc w:val="left"/>
      <w:lvlText w:val="(%2)"/>
      <w:numFmt w:val="lowerRoman"/>
      <w:start w:val="1"/>
    </w:lvl>
  </w:abstractNum>
  <w:abstractNum w:abstractNumId="379">
    <w:nsid w:val="7173BB22"/>
    <w:multiLevelType w:val="hybridMultilevel"/>
    <w:lvl w:ilvl="0">
      <w:lvlJc w:val="left"/>
      <w:lvlText w:val="(%1)"/>
      <w:numFmt w:val="lowerLetter"/>
      <w:start w:val="3"/>
    </w:lvl>
    <w:lvl w:ilvl="1">
      <w:lvlJc w:val="left"/>
      <w:lvlText w:val="%2"/>
      <w:numFmt w:val="lowerRoman"/>
      <w:start w:val="1"/>
    </w:lvl>
  </w:abstractNum>
  <w:abstractNum w:abstractNumId="380">
    <w:nsid w:val="169E1DD3"/>
    <w:multiLevelType w:val="hybridMultilevel"/>
    <w:lvl w:ilvl="0">
      <w:lvlJc w:val="left"/>
      <w:lvlText w:val="%1"/>
      <w:numFmt w:val="decimal"/>
      <w:start w:val="1"/>
    </w:lvl>
    <w:lvl w:ilvl="1">
      <w:lvlJc w:val="left"/>
      <w:lvlText w:val="(%2)"/>
      <w:numFmt w:val="lowerLetter"/>
      <w:start w:val="6"/>
    </w:lvl>
  </w:abstractNum>
  <w:abstractNum w:abstractNumId="381">
    <w:nsid w:val="51D141CC"/>
    <w:multiLevelType w:val="hybridMultilevel"/>
    <w:lvl w:ilvl="0">
      <w:lvlJc w:val="left"/>
      <w:lvlText w:val="%1."/>
      <w:numFmt w:val="decimal"/>
      <w:start w:val="2"/>
    </w:lvl>
    <w:lvl w:ilvl="1">
      <w:lvlJc w:val="left"/>
      <w:lvlText w:val="%2"/>
      <w:numFmt w:val="lowerLetter"/>
      <w:start w:val="1"/>
    </w:lvl>
  </w:abstractNum>
  <w:abstractNum w:abstractNumId="382">
    <w:nsid w:val="12F9357A"/>
    <w:multiLevelType w:val="hybridMultilevel"/>
    <w:lvl w:ilvl="0">
      <w:lvlJc w:val="left"/>
      <w:lvlText w:val="%1."/>
      <w:numFmt w:val="decimal"/>
      <w:start w:val="6"/>
    </w:lvl>
  </w:abstractNum>
  <w:abstractNum w:abstractNumId="383">
    <w:nsid w:val="7672CF28"/>
    <w:multiLevelType w:val="hybridMultilevel"/>
    <w:lvl w:ilvl="0">
      <w:lvlJc w:val="left"/>
      <w:lvlText w:val="•"/>
      <w:numFmt w:val="bullet"/>
      <w:start w:val="1"/>
    </w:lvl>
  </w:abstractNum>
  <w:abstractNum w:abstractNumId="384">
    <w:nsid w:val="567D2763"/>
    <w:multiLevelType w:val="hybridMultilevel"/>
    <w:lvl w:ilvl="0">
      <w:lvlJc w:val="left"/>
      <w:lvlText w:val="•"/>
      <w:numFmt w:val="bullet"/>
      <w:start w:val="1"/>
    </w:lvl>
  </w:abstractNum>
  <w:abstractNum w:abstractNumId="385">
    <w:nsid w:val="6F5DE2EF"/>
    <w:multiLevelType w:val="hybridMultilevel"/>
    <w:lvl w:ilvl="0">
      <w:lvlJc w:val="left"/>
      <w:lvlText w:val="(%1)"/>
      <w:numFmt w:val="lowerLetter"/>
      <w:start w:val="1"/>
    </w:lvl>
  </w:abstractNum>
  <w:abstractNum w:abstractNumId="386">
    <w:nsid w:val="23502A61"/>
    <w:multiLevelType w:val="hybridMultilevel"/>
    <w:lvl w:ilvl="0">
      <w:lvlJc w:val="left"/>
      <w:lvlText w:val="%1."/>
      <w:numFmt w:val="decimal"/>
      <w:start w:val="1"/>
    </w:lvl>
  </w:abstractNum>
  <w:abstractNum w:abstractNumId="387">
    <w:nsid w:val="461BC834"/>
    <w:multiLevelType w:val="hybridMultilevel"/>
    <w:lvl w:ilvl="0">
      <w:lvlJc w:val="left"/>
      <w:lvlText w:val="%1."/>
      <w:numFmt w:val="decimal"/>
      <w:start w:val="3"/>
    </w:lvl>
  </w:abstractNum>
  <w:abstractNum w:abstractNumId="388">
    <w:nsid w:val="13DDA79D"/>
    <w:multiLevelType w:val="hybridMultilevel"/>
    <w:lvl w:ilvl="0">
      <w:lvlJc w:val="left"/>
      <w:lvlText w:val="%1."/>
      <w:numFmt w:val="decimal"/>
      <w:start w:val="4"/>
    </w:lvl>
  </w:abstractNum>
  <w:abstractNum w:abstractNumId="389">
    <w:nsid w:val="6A104566"/>
    <w:multiLevelType w:val="hybridMultilevel"/>
    <w:lvl w:ilvl="0">
      <w:lvlJc w:val="left"/>
      <w:lvlText w:val="(%1)"/>
      <w:numFmt w:val="lowerLetter"/>
      <w:start w:val="1"/>
    </w:lvl>
  </w:abstractNum>
  <w:abstractNum w:abstractNumId="390">
    <w:nsid w:val="1C8A8ACF"/>
    <w:multiLevelType w:val="hybridMultilevel"/>
    <w:lvl w:ilvl="0">
      <w:lvlJc w:val="left"/>
      <w:lvlText w:val="%1."/>
      <w:numFmt w:val="decimal"/>
      <w:start w:val="5"/>
    </w:lvl>
  </w:abstractNum>
  <w:abstractNum w:abstractNumId="391">
    <w:nsid w:val="E73DFE0"/>
    <w:multiLevelType w:val="hybridMultilevel"/>
    <w:lvl w:ilvl="0">
      <w:lvlJc w:val="left"/>
      <w:lvlText w:val="(%1)"/>
      <w:numFmt w:val="lowerLetter"/>
      <w:start w:val="1"/>
    </w:lvl>
  </w:abstractNum>
  <w:abstractNum w:abstractNumId="392">
    <w:nsid w:val="39F174C7"/>
    <w:multiLevelType w:val="hybridMultilevel"/>
    <w:lvl w:ilvl="0">
      <w:lvlJc w:val="left"/>
      <w:lvlText w:val="%1."/>
      <w:numFmt w:val="decimal"/>
      <w:start w:val="8"/>
    </w:lvl>
  </w:abstractNum>
  <w:abstractNum w:abstractNumId="393">
    <w:nsid w:val="6E2E2D53"/>
    <w:multiLevelType w:val="hybridMultilevel"/>
    <w:lvl w:ilvl="0">
      <w:lvlJc w:val="left"/>
      <w:lvlText w:val="%1."/>
      <w:numFmt w:val="decimal"/>
      <w:start w:val="10"/>
    </w:lvl>
  </w:abstractNum>
  <w:abstractNum w:abstractNumId="394">
    <w:nsid w:val="45DC439D"/>
    <w:multiLevelType w:val="hybridMultilevel"/>
    <w:lvl w:ilvl="0">
      <w:lvlJc w:val="left"/>
      <w:lvlText w:val="%1."/>
      <w:numFmt w:val="decimal"/>
      <w:start w:val="13"/>
    </w:lvl>
  </w:abstractNum>
  <w:abstractNum w:abstractNumId="395">
    <w:nsid w:val="3B0A3B87"/>
    <w:multiLevelType w:val="hybridMultilevel"/>
    <w:lvl w:ilvl="0">
      <w:lvlJc w:val="left"/>
      <w:lvlText w:val="(%1)"/>
      <w:numFmt w:val="lowerLetter"/>
      <w:start w:val="1"/>
    </w:lvl>
  </w:abstractNum>
  <w:abstractNum w:abstractNumId="396">
    <w:nsid w:val="6DAC7768"/>
    <w:multiLevelType w:val="hybridMultilevel"/>
    <w:lvl w:ilvl="0">
      <w:lvlJc w:val="left"/>
      <w:lvlText w:val="(%1)"/>
      <w:numFmt w:val="upperLetter"/>
      <w:start w:val="1"/>
    </w:lvl>
  </w:abstractNum>
  <w:abstractNum w:abstractNumId="397">
    <w:nsid w:val="746AE2E4"/>
    <w:multiLevelType w:val="hybridMultilevel"/>
    <w:lvl w:ilvl="0">
      <w:lvlJc w:val="left"/>
      <w:lvlText w:val="%1."/>
      <w:numFmt w:val="decimal"/>
      <w:start w:val="14"/>
    </w:lvl>
  </w:abstractNum>
  <w:abstractNum w:abstractNumId="398">
    <w:nsid w:val="317E611D"/>
    <w:multiLevelType w:val="hybridMultilevel"/>
    <w:lvl w:ilvl="0">
      <w:lvlJc w:val="left"/>
      <w:lvlText w:val="%1"/>
      <w:numFmt w:val="decimal"/>
      <w:start w:val="1"/>
    </w:lvl>
    <w:lvl w:ilvl="1">
      <w:lvlJc w:val="left"/>
      <w:lvlText w:val="(%2)"/>
      <w:numFmt w:val="lowerLetter"/>
      <w:start w:val="1"/>
    </w:lvl>
  </w:abstractNum>
  <w:abstractNum w:abstractNumId="399">
    <w:nsid w:val="7A61D75B"/>
    <w:multiLevelType w:val="hybridMultilevel"/>
    <w:lvl w:ilvl="0">
      <w:lvlJc w:val="left"/>
      <w:lvlText w:val="(%1)"/>
      <w:numFmt w:val="decimal"/>
      <w:start w:val="12"/>
    </w:lvl>
    <w:lvl w:ilvl="1">
      <w:lvlJc w:val="left"/>
      <w:lvlText w:val="%2"/>
      <w:numFmt w:val="lowerLetter"/>
      <w:start w:val="1"/>
    </w:lvl>
  </w:abstractNum>
  <w:abstractNum w:abstractNumId="400">
    <w:nsid w:val="164A1482"/>
    <w:multiLevelType w:val="hybridMultilevel"/>
    <w:lvl w:ilvl="0">
      <w:lvlJc w:val="left"/>
      <w:lvlText w:val="%1."/>
      <w:numFmt w:val="decimal"/>
      <w:start w:val="15"/>
    </w:lvl>
  </w:abstractNum>
  <w:abstractNum w:abstractNumId="401">
    <w:nsid w:val="1806546B"/>
    <w:multiLevelType w:val="hybridMultilevel"/>
    <w:lvl w:ilvl="0">
      <w:lvlJc w:val="left"/>
      <w:lvlText w:val="%1."/>
      <w:numFmt w:val="decimal"/>
      <w:start w:val="16"/>
    </w:lvl>
  </w:abstractNum>
  <w:abstractNum w:abstractNumId="402">
    <w:nsid w:val="1FA33267"/>
    <w:multiLevelType w:val="hybridMultilevel"/>
    <w:lvl w:ilvl="0">
      <w:lvlJc w:val="left"/>
      <w:lvlText w:val="%1."/>
      <w:numFmt w:val="decimal"/>
      <w:start w:val="21"/>
    </w:lvl>
    <w:lvl w:ilvl="1">
      <w:lvlJc w:val="left"/>
      <w:lvlText w:val="*"/>
      <w:numFmt w:val="bullet"/>
      <w:start w:val="1"/>
    </w:lvl>
  </w:abstractNum>
  <w:abstractNum w:abstractNumId="403">
    <w:nsid w:val="2E19DD00"/>
    <w:multiLevelType w:val="hybridMultilevel"/>
    <w:lvl w:ilvl="0">
      <w:lvlJc w:val="left"/>
      <w:lvlText w:val="•"/>
      <w:numFmt w:val="bullet"/>
      <w:start w:val="1"/>
    </w:lvl>
  </w:abstractNum>
  <w:abstractNum w:abstractNumId="404">
    <w:nsid w:val="756D30D0"/>
    <w:multiLevelType w:val="hybridMultilevel"/>
    <w:lvl w:ilvl="0">
      <w:lvlJc w:val="left"/>
      <w:lvlText w:val="•"/>
      <w:numFmt w:val="bullet"/>
      <w:start w:val="1"/>
    </w:lvl>
  </w:abstractNum>
  <w:abstractNum w:abstractNumId="405">
    <w:nsid w:val="505E5E01"/>
    <w:multiLevelType w:val="hybridMultilevel"/>
    <w:lvl w:ilvl="0">
      <w:lvlJc w:val="left"/>
      <w:lvlText w:val=","/>
      <w:numFmt w:val="bullet"/>
      <w:start w:val="1"/>
    </w:lvl>
  </w:abstractNum>
  <w:abstractNum w:abstractNumId="406">
    <w:nsid w:val="2EFDBCE6"/>
    <w:multiLevelType w:val="hybridMultilevel"/>
    <w:lvl w:ilvl="0">
      <w:lvlJc w:val="left"/>
      <w:lvlText w:val="%1."/>
      <w:numFmt w:val="decimal"/>
      <w:start w:val="1"/>
    </w:lvl>
  </w:abstractNum>
  <w:abstractNum w:abstractNumId="407">
    <w:nsid w:val="4EC868C4"/>
    <w:multiLevelType w:val="hybridMultilevel"/>
    <w:lvl w:ilvl="0">
      <w:lvlJc w:val="left"/>
      <w:lvlText w:val="%1."/>
      <w:numFmt w:val="decimal"/>
      <w:start w:val="7"/>
    </w:lvl>
  </w:abstractNum>
  <w:abstractNum w:abstractNumId="408">
    <w:nsid w:val="4239DC03"/>
    <w:multiLevelType w:val="hybridMultilevel"/>
    <w:lvl w:ilvl="0">
      <w:lvlJc w:val="left"/>
      <w:lvlText w:val="(%1)"/>
      <w:numFmt w:val="lowerLetter"/>
      <w:start w:val="1"/>
    </w:lvl>
  </w:abstractNum>
  <w:abstractNum w:abstractNumId="409">
    <w:nsid w:val="307C7DAA"/>
    <w:multiLevelType w:val="hybridMultilevel"/>
    <w:lvl w:ilvl="0">
      <w:lvlJc w:val="left"/>
      <w:lvlText w:val="(%1)"/>
      <w:numFmt w:val="lowerRoman"/>
      <w:start w:val="1"/>
    </w:lvl>
  </w:abstractNum>
  <w:abstractNum w:abstractNumId="410">
    <w:nsid w:val="403C23E6"/>
    <w:multiLevelType w:val="hybridMultilevel"/>
    <w:lvl w:ilvl="0">
      <w:lvlJc w:val="left"/>
      <w:lvlText w:val="(%1)"/>
      <w:numFmt w:val="lowerRoman"/>
      <w:start w:val="4"/>
    </w:lvl>
  </w:abstractNum>
  <w:abstractNum w:abstractNumId="411">
    <w:nsid w:val="58D7F9D7"/>
    <w:multiLevelType w:val="hybridMultilevel"/>
    <w:lvl w:ilvl="0">
      <w:lvlJc w:val="left"/>
      <w:lvlText w:val="(%1)"/>
      <w:numFmt w:val="lowerLetter"/>
      <w:start w:val="3"/>
    </w:lvl>
  </w:abstractNum>
  <w:abstractNum w:abstractNumId="412">
    <w:nsid w:val="24DBF76"/>
    <w:multiLevelType w:val="hybridMultilevel"/>
    <w:lvl w:ilvl="0">
      <w:lvlJc w:val="left"/>
      <w:lvlText w:val="(%1)"/>
      <w:numFmt w:val="lowerRoman"/>
      <w:start w:val="1"/>
    </w:lvl>
  </w:abstractNum>
  <w:abstractNum w:abstractNumId="413">
    <w:nsid w:val="53355960"/>
    <w:multiLevelType w:val="hybridMultilevel"/>
    <w:lvl w:ilvl="0">
      <w:lvlJc w:val="left"/>
      <w:lvlText w:val="(%1)"/>
      <w:numFmt w:val="lowerRoman"/>
      <w:start w:val="4"/>
    </w:lvl>
  </w:abstractNum>
  <w:abstractNum w:abstractNumId="414">
    <w:nsid w:val="4F4AC8FF"/>
    <w:multiLevelType w:val="hybridMultilevel"/>
    <w:lvl w:ilvl="0">
      <w:lvlJc w:val="left"/>
      <w:lvlText w:val="(%1)"/>
      <w:numFmt w:val="lowerLetter"/>
      <w:start w:val="4"/>
    </w:lvl>
  </w:abstractNum>
  <w:abstractNum w:abstractNumId="415">
    <w:nsid w:val="58CAE6D9"/>
    <w:multiLevelType w:val="hybridMultilevel"/>
    <w:lvl w:ilvl="0">
      <w:lvlJc w:val="left"/>
      <w:lvlText w:val="(%1)"/>
      <w:numFmt w:val="lowerLetter"/>
      <w:start w:val="9"/>
    </w:lvl>
  </w:abstractNum>
  <w:abstractNum w:abstractNumId="416">
    <w:nsid w:val="42933C4F"/>
    <w:multiLevelType w:val="hybridMultilevel"/>
    <w:lvl w:ilvl="0">
      <w:lvlJc w:val="left"/>
      <w:lvlText w:val="(%1)"/>
      <w:numFmt w:val="lowerLetter"/>
      <w:start w:val="1"/>
    </w:lvl>
  </w:abstractNum>
  <w:abstractNum w:abstractNumId="417">
    <w:nsid w:val="729AF360"/>
    <w:multiLevelType w:val="hybridMultilevel"/>
    <w:lvl w:ilvl="0">
      <w:lvlJc w:val="left"/>
      <w:lvlText w:val="(%1)"/>
      <w:numFmt w:val="lowerLetter"/>
      <w:start w:val="4"/>
    </w:lvl>
  </w:abstractNum>
  <w:abstractNum w:abstractNumId="418">
    <w:nsid w:val="1EE6AF0D"/>
    <w:multiLevelType w:val="hybridMultilevel"/>
    <w:lvl w:ilvl="0">
      <w:lvlJc w:val="left"/>
      <w:lvlText w:val="(%1)"/>
      <w:numFmt w:val="lowerLetter"/>
      <w:start w:val="1"/>
    </w:lvl>
  </w:abstractNum>
  <w:abstractNum w:abstractNumId="419">
    <w:nsid w:val="5670E3ED"/>
    <w:multiLevelType w:val="hybridMultilevel"/>
    <w:lvl w:ilvl="0">
      <w:lvlJc w:val="left"/>
      <w:lvlText w:val="(%1)"/>
      <w:numFmt w:val="lowerLetter"/>
      <w:start w:val="3"/>
    </w:lvl>
  </w:abstractNum>
  <w:abstractNum w:abstractNumId="420">
    <w:nsid w:val="5CAB38C6"/>
    <w:multiLevelType w:val="hybridMultilevel"/>
    <w:lvl w:ilvl="0">
      <w:lvlJc w:val="left"/>
      <w:lvlText w:val="%1"/>
      <w:numFmt w:val="lowerLetter"/>
      <w:start w:val="1"/>
    </w:lvl>
    <w:lvl w:ilvl="1">
      <w:lvlJc w:val="left"/>
      <w:lvlText w:val="(%2)"/>
      <w:numFmt w:val="lowerLetter"/>
      <w:start w:val="1"/>
    </w:lvl>
  </w:abstractNum>
  <w:abstractNum w:abstractNumId="421">
    <w:nsid w:val="3B7139DD"/>
    <w:multiLevelType w:val="hybridMultilevel"/>
    <w:lvl w:ilvl="0">
      <w:lvlJc w:val="left"/>
      <w:lvlText w:val="(%1)"/>
      <w:numFmt w:val="lowerLetter"/>
      <w:start w:val="9"/>
    </w:lvl>
    <w:lvl w:ilvl="1">
      <w:lvlJc w:val="left"/>
      <w:lvlText w:val="%2"/>
      <w:numFmt w:val="lowerLetter"/>
      <w:start w:val="1"/>
    </w:lvl>
  </w:abstractNum>
  <w:abstractNum w:abstractNumId="422">
    <w:nsid w:val="64E4C3CD"/>
    <w:multiLevelType w:val="hybridMultilevel"/>
    <w:lvl w:ilvl="0">
      <w:lvlJc w:val="left"/>
      <w:lvlText w:val="%1"/>
      <w:numFmt w:val="lowerLetter"/>
      <w:start w:val="1"/>
    </w:lvl>
    <w:lvl w:ilvl="1">
      <w:lvlJc w:val="left"/>
      <w:lvlText w:val="(%2)"/>
      <w:numFmt w:val="lowerLetter"/>
      <w:start w:val="2"/>
    </w:lvl>
  </w:abstractNum>
  <w:abstractNum w:abstractNumId="423">
    <w:nsid w:val="169CAD8D"/>
    <w:multiLevelType w:val="hybridMultilevel"/>
    <w:lvl w:ilvl="0">
      <w:lvlJc w:val="left"/>
      <w:lvlText w:val="(%1)"/>
      <w:numFmt w:val="lowerLetter"/>
      <w:start w:val="35"/>
    </w:lvl>
    <w:lvl w:ilvl="1">
      <w:lvlJc w:val="left"/>
      <w:lvlText w:val="(%2)"/>
      <w:numFmt w:val="lowerLetter"/>
      <w:start w:val="3"/>
    </w:lvl>
  </w:abstractNum>
  <w:abstractNum w:abstractNumId="424">
    <w:nsid w:val="299F6730"/>
    <w:multiLevelType w:val="hybridMultilevel"/>
    <w:lvl w:ilvl="0">
      <w:lvlJc w:val="left"/>
      <w:lvlText w:val="(%1)"/>
      <w:numFmt w:val="lowerLetter"/>
      <w:start w:val="1"/>
    </w:lvl>
  </w:abstractNum>
  <w:abstractNum w:abstractNumId="425">
    <w:nsid w:val="2AC1076A"/>
    <w:multiLevelType w:val="hybridMultilevel"/>
    <w:lvl w:ilvl="0">
      <w:lvlJc w:val="left"/>
      <w:lvlText w:val="(%1)"/>
      <w:numFmt w:val="lowerLetter"/>
      <w:start w:val="1"/>
    </w:lvl>
  </w:abstractNum>
  <w:abstractNum w:abstractNumId="426">
    <w:nsid w:val="51A6E915"/>
    <w:multiLevelType w:val="hybridMultilevel"/>
    <w:lvl w:ilvl="0">
      <w:lvlJc w:val="left"/>
      <w:lvlText w:val="(%1)"/>
      <w:numFmt w:val="decimal"/>
      <w:start w:val="30"/>
    </w:lvl>
    <w:lvl w:ilvl="1">
      <w:lvlJc w:val="left"/>
      <w:lvlText w:val="(%2)"/>
      <w:numFmt w:val="lowerLetter"/>
      <w:start w:val="2"/>
    </w:lvl>
  </w:abstractNum>
  <w:abstractNum w:abstractNumId="427">
    <w:nsid w:val="174BDE99"/>
    <w:multiLevelType w:val="hybridMultilevel"/>
    <w:lvl w:ilvl="0">
      <w:lvlJc w:val="left"/>
      <w:lvlText w:val="(%1)"/>
      <w:numFmt w:val="lowerLetter"/>
      <w:start w:val="6"/>
    </w:lvl>
  </w:abstractNum>
  <w:abstractNum w:abstractNumId="428">
    <w:nsid w:val="1F2BEA4E"/>
    <w:multiLevelType w:val="hybridMultilevel"/>
    <w:lvl w:ilvl="0">
      <w:lvlJc w:val="left"/>
      <w:lvlText w:val="(%1)"/>
      <w:numFmt w:val="lowerLetter"/>
      <w:start w:val="1"/>
    </w:lvl>
  </w:abstractNum>
  <w:abstractNum w:abstractNumId="429">
    <w:nsid w:val="3254A32"/>
    <w:multiLevelType w:val="hybridMultilevel"/>
    <w:lvl w:ilvl="0">
      <w:lvlJc w:val="left"/>
      <w:lvlText w:val="(%1)"/>
      <w:numFmt w:val="lowerLetter"/>
      <w:start w:val="4"/>
    </w:lvl>
  </w:abstractNum>
  <w:abstractNum w:abstractNumId="430">
    <w:nsid w:val="11ADB5F4"/>
    <w:multiLevelType w:val="hybridMultilevel"/>
    <w:lvl w:ilvl="0">
      <w:lvlJc w:val="left"/>
      <w:lvlText w:val="(%1)"/>
      <w:numFmt w:val="lowerLetter"/>
      <w:start w:val="2"/>
    </w:lvl>
  </w:abstractNum>
  <w:abstractNum w:abstractNumId="431">
    <w:nsid w:val="3575FED1"/>
    <w:multiLevelType w:val="hybridMultilevel"/>
    <w:lvl w:ilvl="0">
      <w:lvlJc w:val="left"/>
      <w:lvlText w:val="(%1)"/>
      <w:numFmt w:val="lowerLetter"/>
      <w:start w:val="1"/>
    </w:lvl>
  </w:abstractNum>
  <w:abstractNum w:abstractNumId="432">
    <w:nsid w:val="1B2B9E9D"/>
    <w:multiLevelType w:val="hybridMultilevel"/>
    <w:lvl w:ilvl="0">
      <w:lvlJc w:val="left"/>
      <w:lvlText w:val="(%1)"/>
      <w:numFmt w:val="lowerLetter"/>
      <w:start w:val="1"/>
    </w:lvl>
  </w:abstractNum>
  <w:abstractNum w:abstractNumId="433">
    <w:nsid w:val="3150E85C"/>
    <w:multiLevelType w:val="hybridMultilevel"/>
    <w:lvl w:ilvl="0">
      <w:lvlJc w:val="left"/>
      <w:lvlText w:val="(%1)"/>
      <w:numFmt w:val="lowerLetter"/>
      <w:start w:val="2"/>
    </w:lvl>
  </w:abstractNum>
  <w:abstractNum w:abstractNumId="434">
    <w:nsid w:val="638FDBD1"/>
    <w:multiLevelType w:val="hybridMultilevel"/>
    <w:lvl w:ilvl="0">
      <w:lvlJc w:val="left"/>
      <w:lvlText w:val="(%1)"/>
      <w:numFmt w:val="lowerLetter"/>
      <w:start w:val="1"/>
    </w:lvl>
  </w:abstractNum>
  <w:abstractNum w:abstractNumId="435">
    <w:nsid w:val="1098CF6E"/>
    <w:multiLevelType w:val="hybridMultilevel"/>
    <w:lvl w:ilvl="0">
      <w:lvlJc w:val="left"/>
      <w:lvlText w:val="(%1)"/>
      <w:numFmt w:val="lowerRoman"/>
      <w:start w:val="1"/>
    </w:lvl>
  </w:abstractNum>
  <w:abstractNum w:abstractNumId="436">
    <w:nsid w:val="1AF465D"/>
    <w:multiLevelType w:val="hybridMultilevel"/>
    <w:lvl w:ilvl="0">
      <w:lvlJc w:val="left"/>
      <w:lvlText w:val="(%1)"/>
      <w:numFmt w:val="lowerLetter"/>
      <w:start w:val="3"/>
    </w:lvl>
  </w:abstractNum>
  <w:abstractNum w:abstractNumId="437">
    <w:nsid w:val="128D98B7"/>
    <w:multiLevelType w:val="hybridMultilevel"/>
    <w:lvl w:ilvl="0">
      <w:lvlJc w:val="left"/>
      <w:lvlText w:val="(%1)"/>
      <w:numFmt w:val="lowerRoman"/>
      <w:start w:val="1"/>
    </w:lvl>
  </w:abstractNum>
  <w:abstractNum w:abstractNumId="438">
    <w:nsid w:val="5F613832"/>
    <w:multiLevelType w:val="hybridMultilevel"/>
    <w:lvl w:ilvl="0">
      <w:lvlJc w:val="left"/>
      <w:lvlText w:val="(%1)"/>
      <w:numFmt w:val="lowerRoman"/>
      <w:start w:val="5"/>
    </w:lvl>
  </w:abstractNum>
  <w:abstractNum w:abstractNumId="439">
    <w:nsid w:val="43E92260"/>
    <w:multiLevelType w:val="hybridMultilevel"/>
    <w:lvl w:ilvl="0">
      <w:lvlJc w:val="left"/>
      <w:lvlText w:val="(%1)"/>
      <w:numFmt w:val="lowerLetter"/>
      <w:start w:val="4"/>
    </w:lvl>
  </w:abstractNum>
  <w:abstractNum w:abstractNumId="440">
    <w:nsid w:val="430A1662"/>
    <w:multiLevelType w:val="hybridMultilevel"/>
    <w:lvl w:ilvl="0">
      <w:lvlJc w:val="left"/>
      <w:lvlText w:val="(%1)"/>
      <w:numFmt w:val="lowerLetter"/>
      <w:start w:val="10"/>
    </w:lvl>
  </w:abstractNum>
  <w:abstractNum w:abstractNumId="441">
    <w:nsid w:val="1F9D5C18"/>
    <w:multiLevelType w:val="hybridMultilevel"/>
    <w:lvl w:ilvl="0">
      <w:lvlJc w:val="left"/>
      <w:lvlText w:val="(%1)"/>
      <w:numFmt w:val="lowerLetter"/>
      <w:start w:val="1"/>
    </w:lvl>
  </w:abstractNum>
  <w:abstractNum w:abstractNumId="442">
    <w:nsid w:val="1CC11C37"/>
    <w:multiLevelType w:val="hybridMultilevel"/>
    <w:lvl w:ilvl="0">
      <w:lvlJc w:val="left"/>
      <w:lvlText w:val="(%1)"/>
      <w:numFmt w:val="lowerLetter"/>
      <w:start w:val="5"/>
    </w:lvl>
  </w:abstractNum>
  <w:abstractNum w:abstractNumId="443">
    <w:nsid w:val="4557D5D8"/>
    <w:multiLevelType w:val="hybridMultilevel"/>
    <w:lvl w:ilvl="0">
      <w:lvlJc w:val="left"/>
      <w:lvlText w:val="(%1)"/>
      <w:numFmt w:val="lowerLetter"/>
      <w:start w:val="1"/>
    </w:lvl>
  </w:abstractNum>
  <w:abstractNum w:abstractNumId="444">
    <w:nsid w:val="72D2B579"/>
    <w:multiLevelType w:val="hybridMultilevel"/>
    <w:lvl w:ilvl="0">
      <w:lvlJc w:val="left"/>
      <w:lvlText w:val="(%1)"/>
      <w:numFmt w:val="lowerLetter"/>
      <w:start w:val="3"/>
    </w:lvl>
  </w:abstractNum>
  <w:abstractNum w:abstractNumId="445">
    <w:nsid w:val="6C0BE536"/>
    <w:multiLevelType w:val="hybridMultilevel"/>
    <w:lvl w:ilvl="0">
      <w:lvlJc w:val="left"/>
      <w:lvlText w:val="(%1)"/>
      <w:numFmt w:val="lowerLetter"/>
      <w:start w:val="1"/>
    </w:lvl>
  </w:abstractNum>
  <w:abstractNum w:abstractNumId="446">
    <w:nsid w:val="1E22BCB2"/>
    <w:multiLevelType w:val="hybridMultilevel"/>
    <w:lvl w:ilvl="0">
      <w:lvlJc w:val="left"/>
      <w:lvlText w:val="(%1)"/>
      <w:numFmt w:val="lowerLetter"/>
      <w:start w:val="2"/>
    </w:lvl>
  </w:abstractNum>
  <w:abstractNum w:abstractNumId="447">
    <w:nsid w:val="3565F1C8"/>
    <w:multiLevelType w:val="hybridMultilevel"/>
    <w:lvl w:ilvl="0">
      <w:lvlJc w:val="left"/>
      <w:lvlText w:val="(%1)"/>
      <w:numFmt w:val="lowerLetter"/>
      <w:start w:val="1"/>
    </w:lvl>
  </w:abstractNum>
  <w:abstractNum w:abstractNumId="448">
    <w:nsid w:val="5EA6D896"/>
    <w:multiLevelType w:val="hybridMultilevel"/>
    <w:lvl w:ilvl="0">
      <w:lvlJc w:val="left"/>
      <w:lvlText w:val="(%1)"/>
      <w:numFmt w:val="lowerLetter"/>
      <w:start w:val="1"/>
    </w:lvl>
  </w:abstractNum>
  <w:abstractNum w:abstractNumId="449">
    <w:nsid w:val="3D096BBF"/>
    <w:multiLevelType w:val="hybridMultilevel"/>
    <w:lvl w:ilvl="0">
      <w:lvlJc w:val="left"/>
      <w:lvlText w:val="(%1)"/>
      <w:numFmt w:val="decimal"/>
      <w:start w:val="30"/>
    </w:lvl>
    <w:lvl w:ilvl="1">
      <w:lvlJc w:val="left"/>
      <w:lvlText w:val="(%2)"/>
      <w:numFmt w:val="lowerLetter"/>
      <w:start w:val="2"/>
    </w:lvl>
  </w:abstractNum>
  <w:abstractNum w:abstractNumId="450">
    <w:nsid w:val="BD6D5B5"/>
    <w:multiLevelType w:val="hybridMultilevel"/>
    <w:lvl w:ilvl="0">
      <w:lvlJc w:val="left"/>
      <w:lvlText w:val="(%1)"/>
      <w:numFmt w:val="lowerLetter"/>
      <w:start w:val="6"/>
    </w:lvl>
  </w:abstractNum>
  <w:abstractNum w:abstractNumId="451">
    <w:nsid w:val="3B52115C"/>
    <w:multiLevelType w:val="hybridMultilevel"/>
    <w:lvl w:ilvl="0">
      <w:lvlJc w:val="left"/>
      <w:lvlText w:val="(%1)"/>
      <w:numFmt w:val="lowerLetter"/>
      <w:start w:val="1"/>
    </w:lvl>
  </w:abstractNum>
  <w:abstractNum w:abstractNumId="452">
    <w:nsid w:val="787AA59C"/>
    <w:multiLevelType w:val="hybridMultilevel"/>
    <w:lvl w:ilvl="0">
      <w:lvlJc w:val="left"/>
      <w:lvlText w:val="(%1)"/>
      <w:numFmt w:val="lowerLetter"/>
      <w:start w:val="4"/>
    </w:lvl>
  </w:abstractNum>
  <w:abstractNum w:abstractNumId="453">
    <w:nsid w:val="70BB9983"/>
    <w:multiLevelType w:val="hybridMultilevel"/>
    <w:lvl w:ilvl="0">
      <w:lvlJc w:val="left"/>
      <w:lvlText w:val="(%1)"/>
      <w:numFmt w:val="lowerLetter"/>
      <w:start w:val="2"/>
    </w:lvl>
  </w:abstractNum>
  <w:abstractNum w:abstractNumId="454">
    <w:nsid w:val="51EEBEEA"/>
    <w:multiLevelType w:val="hybridMultilevel"/>
    <w:lvl w:ilvl="0">
      <w:lvlJc w:val="left"/>
      <w:lvlText w:val="(%1)"/>
      <w:numFmt w:val="lowerLetter"/>
      <w:start w:val="1"/>
    </w:lvl>
  </w:abstractNum>
  <w:abstractNum w:abstractNumId="455">
    <w:nsid w:val="221A0CCD"/>
    <w:multiLevelType w:val="hybridMultilevel"/>
    <w:lvl w:ilvl="0">
      <w:lvlJc w:val="left"/>
      <w:lvlText w:val="(%1)"/>
      <w:numFmt w:val="lowerLetter"/>
      <w:start w:val="1"/>
    </w:lvl>
  </w:abstractNum>
  <w:abstractNum w:abstractNumId="456">
    <w:nsid w:val="1B7CA0ED"/>
    <w:multiLevelType w:val="hybridMultilevel"/>
    <w:lvl w:ilvl="0">
      <w:lvlJc w:val="left"/>
      <w:lvlText w:val="(%1)"/>
      <w:numFmt w:val="lowerLetter"/>
      <w:start w:val="2"/>
    </w:lvl>
  </w:abstractNum>
  <w:abstractNum w:abstractNumId="457">
    <w:nsid w:val="2395A7FF"/>
    <w:multiLevelType w:val="hybridMultilevel"/>
    <w:lvl w:ilvl="0">
      <w:lvlJc w:val="left"/>
      <w:lvlText w:val="%1."/>
      <w:numFmt w:val="decimal"/>
      <w:start w:val="1"/>
    </w:lvl>
  </w:abstractNum>
  <w:abstractNum w:abstractNumId="458">
    <w:nsid w:val="3965EB66"/>
    <w:multiLevelType w:val="hybridMultilevel"/>
    <w:lvl w:ilvl="0">
      <w:lvlJc w:val="left"/>
      <w:lvlText w:val="%1."/>
      <w:numFmt w:val="decimal"/>
      <w:start w:val="2"/>
    </w:lvl>
  </w:abstractNum>
  <w:abstractNum w:abstractNumId="459">
    <w:nsid w:val="3AA88B3C"/>
    <w:multiLevelType w:val="hybridMultilevel"/>
    <w:lvl w:ilvl="0">
      <w:lvlJc w:val="left"/>
      <w:lvlText w:val="%1."/>
      <w:numFmt w:val="decimal"/>
      <w:start w:val="3"/>
    </w:lvl>
  </w:abstractNum>
  <w:abstractNum w:abstractNumId="460">
    <w:nsid w:val="26BAF231"/>
    <w:multiLevelType w:val="hybridMultilevel"/>
    <w:lvl w:ilvl="0">
      <w:lvlJc w:val="left"/>
      <w:lvlText w:val="%1."/>
      <w:numFmt w:val="decimal"/>
      <w:start w:val="4"/>
    </w:lvl>
    <w:lvl w:ilvl="1">
      <w:lvlJc w:val="left"/>
      <w:lvlText w:val="(%2)"/>
      <w:numFmt w:val="lowerLetter"/>
      <w:start w:val="1"/>
    </w:lvl>
  </w:abstractNum>
  <w:abstractNum w:abstractNumId="461">
    <w:nsid w:val="4B13A15A"/>
    <w:multiLevelType w:val="hybridMultilevel"/>
    <w:lvl w:ilvl="0">
      <w:lvlJc w:val="left"/>
      <w:lvlText w:val="(%1)"/>
      <w:numFmt w:val="upperLetter"/>
      <w:start w:val="5"/>
    </w:lvl>
    <w:lvl w:ilvl="1">
      <w:lvlJc w:val="left"/>
      <w:lvlText w:val="(%2)"/>
      <w:numFmt w:val="lowerLetter"/>
      <w:start w:val="2"/>
    </w:lvl>
  </w:abstractNum>
  <w:abstractNum w:abstractNumId="462">
    <w:nsid w:val="701E8A0D"/>
    <w:multiLevelType w:val="hybridMultilevel"/>
    <w:lvl w:ilvl="0">
      <w:lvlJc w:val="left"/>
      <w:lvlText w:val="(%1)"/>
      <w:numFmt w:val="lowerLetter"/>
      <w:start w:val="5"/>
    </w:lvl>
  </w:abstractNum>
  <w:abstractNum w:abstractNumId="463">
    <w:nsid w:val="41E690CF"/>
    <w:multiLevelType w:val="hybridMultilevel"/>
    <w:lvl w:ilvl="0">
      <w:lvlJc w:val="left"/>
      <w:lvlText w:val="%1."/>
      <w:numFmt w:val="decimal"/>
      <w:start w:val="5"/>
    </w:lvl>
    <w:lvl w:ilvl="1">
      <w:lvlJc w:val="left"/>
      <w:lvlText w:val="(%2)"/>
      <w:numFmt w:val="lowerLetter"/>
      <w:start w:val="1"/>
    </w:lvl>
  </w:abstractNum>
  <w:abstractNum w:abstractNumId="464">
    <w:nsid w:val="7C6489B6"/>
    <w:multiLevelType w:val="hybridMultilevel"/>
    <w:lvl w:ilvl="0">
      <w:lvlJc w:val="left"/>
      <w:lvlText w:val="%1."/>
      <w:numFmt w:val="decimal"/>
      <w:start w:val="7"/>
    </w:lvl>
  </w:abstractNum>
  <w:abstractNum w:abstractNumId="465">
    <w:nsid w:val="53AE65DE"/>
    <w:multiLevelType w:val="hybridMultilevel"/>
    <w:lvl w:ilvl="0">
      <w:lvlJc w:val="left"/>
      <w:lvlText w:val="%1."/>
      <w:numFmt w:val="decimal"/>
      <w:start w:val="1"/>
    </w:lvl>
  </w:abstractNum>
  <w:abstractNum w:abstractNumId="466">
    <w:nsid w:val="527F603D"/>
    <w:multiLevelType w:val="hybridMultilevel"/>
    <w:lvl w:ilvl="0">
      <w:lvlJc w:val="left"/>
      <w:lvlText w:val="%1."/>
      <w:numFmt w:val="decimal"/>
      <w:start w:val="2"/>
    </w:lvl>
  </w:abstractNum>
  <w:abstractNum w:abstractNumId="467">
    <w:nsid w:val="7E13D013"/>
    <w:multiLevelType w:val="hybridMultilevel"/>
    <w:lvl w:ilvl="0">
      <w:lvlJc w:val="left"/>
      <w:lvlText w:val="%1."/>
      <w:numFmt w:val="decimal"/>
      <w:start w:val="3"/>
    </w:lvl>
    <w:lvl w:ilvl="1">
      <w:lvlJc w:val="left"/>
      <w:lvlText w:val="%2."/>
      <w:numFmt w:val="lowerLetter"/>
      <w:start w:val="1"/>
    </w:lvl>
  </w:abstractNum>
  <w:abstractNum w:abstractNumId="468">
    <w:nsid w:val="663BFE95"/>
    <w:multiLevelType w:val="hybridMultilevel"/>
    <w:lvl w:ilvl="0">
      <w:lvlJc w:val="left"/>
      <w:lvlText w:val="%1."/>
      <w:numFmt w:val="lowerLetter"/>
      <w:start w:val="6"/>
    </w:lvl>
  </w:abstractNum>
  <w:abstractNum w:abstractNumId="469">
    <w:nsid w:val="31E0986F"/>
    <w:multiLevelType w:val="hybridMultilevel"/>
    <w:lvl w:ilvl="0">
      <w:lvlJc w:val="left"/>
      <w:lvlText w:val="%1."/>
      <w:numFmt w:val="lowerLetter"/>
      <w:start w:val="10"/>
    </w:lvl>
  </w:abstractNum>
  <w:abstractNum w:abstractNumId="470">
    <w:nsid w:val="41FCF274"/>
    <w:multiLevelType w:val="hybridMultilevel"/>
    <w:lvl w:ilvl="0">
      <w:lvlJc w:val="left"/>
      <w:lvlText w:val="%1."/>
      <w:numFmt w:val="decimal"/>
      <w:start w:val="4"/>
    </w:lvl>
  </w:abstractNum>
  <w:abstractNum w:abstractNumId="471">
    <w:nsid w:val="294614F7"/>
    <w:multiLevelType w:val="hybridMultilevel"/>
    <w:lvl w:ilvl="0">
      <w:lvlJc w:val="left"/>
      <w:lvlText w:val="%1."/>
      <w:numFmt w:val="decimal"/>
      <w:start w:val="5"/>
    </w:lvl>
  </w:abstractNum>
  <w:abstractNum w:abstractNumId="472">
    <w:nsid w:val="517DF487"/>
    <w:multiLevelType w:val="hybridMultilevel"/>
    <w:lvl w:ilvl="0">
      <w:lvlJc w:val="left"/>
      <w:lvlText w:val="%1."/>
      <w:numFmt w:val="decimal"/>
      <w:start w:val="6"/>
    </w:lvl>
  </w:abstractNum>
  <w:abstractNum w:abstractNumId="473">
    <w:nsid w:val="5EBE0EAB"/>
    <w:multiLevelType w:val="hybridMultilevel"/>
    <w:lvl w:ilvl="0">
      <w:lvlJc w:val="left"/>
      <w:lvlText w:val="%1."/>
      <w:numFmt w:val="lowerLetter"/>
      <w:start w:val="1"/>
    </w:lvl>
  </w:abstractNum>
  <w:abstractNum w:abstractNumId="474">
    <w:nsid w:val="6E9DEAD0"/>
    <w:multiLevelType w:val="hybridMultilevel"/>
    <w:lvl w:ilvl="0">
      <w:lvlJc w:val="left"/>
      <w:lvlText w:val="%1."/>
      <w:numFmt w:val="decimal"/>
      <w:start w:val="7"/>
    </w:lvl>
  </w:abstractNum>
  <w:abstractNum w:abstractNumId="475">
    <w:nsid w:val="4450AA00"/>
    <w:multiLevelType w:val="hybridMultilevel"/>
    <w:lvl w:ilvl="0">
      <w:lvlJc w:val="left"/>
      <w:lvlText w:val="%1."/>
      <w:numFmt w:val="decimal"/>
      <w:start w:val="8"/>
    </w:lvl>
  </w:abstractNum>
  <w:abstractNum w:abstractNumId="476">
    <w:nsid w:val="4AC9F3E2"/>
    <w:multiLevelType w:val="hybridMultilevel"/>
    <w:lvl w:ilvl="0">
      <w:lvlJc w:val="left"/>
      <w:lvlText w:val="%1."/>
      <w:numFmt w:val="decimal"/>
      <w:start w:val="9"/>
    </w:lvl>
  </w:abstractNum>
  <w:abstractNum w:abstractNumId="477">
    <w:nsid w:val="CC0A782"/>
    <w:multiLevelType w:val="hybridMultilevel"/>
    <w:lvl w:ilvl="0">
      <w:lvlJc w:val="left"/>
      <w:lvlText w:val="%1."/>
      <w:numFmt w:val="decimal"/>
      <w:start w:val="10"/>
    </w:lvl>
  </w:abstractNum>
  <w:abstractNum w:abstractNumId="478">
    <w:nsid w:val="79B69BC9"/>
    <w:multiLevelType w:val="hybridMultilevel"/>
    <w:lvl w:ilvl="0">
      <w:lvlJc w:val="left"/>
      <w:lvlText w:val="%1."/>
      <w:numFmt w:val="decimal"/>
      <w:start w:val="11"/>
    </w:lvl>
  </w:abstractNum>
  <w:abstractNum w:abstractNumId="479">
    <w:nsid w:val="2970CC78"/>
    <w:multiLevelType w:val="hybridMultilevel"/>
    <w:lvl w:ilvl="0">
      <w:lvlJc w:val="left"/>
      <w:lvlText w:val="%1."/>
      <w:numFmt w:val="decimal"/>
      <w:start w:val="12"/>
    </w:lvl>
  </w:abstractNum>
  <w:abstractNum w:abstractNumId="480">
    <w:nsid w:val="49CA1341"/>
    <w:multiLevelType w:val="hybridMultilevel"/>
    <w:lvl w:ilvl="0">
      <w:lvlJc w:val="left"/>
      <w:lvlText w:val="%1."/>
      <w:numFmt w:val="decimal"/>
      <w:start w:val="13"/>
    </w:lvl>
  </w:abstractNum>
  <w:abstractNum w:abstractNumId="481">
    <w:nsid w:val="58D717E"/>
    <w:multiLevelType w:val="hybridMultilevel"/>
    <w:lvl w:ilvl="0">
      <w:lvlJc w:val="left"/>
      <w:lvlText w:val="%1."/>
      <w:numFmt w:val="decimal"/>
      <w:start w:val="1"/>
    </w:lvl>
  </w:abstractNum>
  <w:abstractNum w:abstractNumId="482">
    <w:nsid w:val="64C2DDD5"/>
    <w:multiLevelType w:val="hybridMultilevel"/>
    <w:lvl w:ilvl="0">
      <w:lvlJc w:val="left"/>
      <w:lvlText w:val="(%1)"/>
      <w:numFmt w:val="lowerRoman"/>
      <w:start w:val="3"/>
    </w:lvl>
  </w:abstractNum>
  <w:abstractNum w:abstractNumId="483">
    <w:nsid w:val="4244B8DE"/>
    <w:multiLevelType w:val="hybridMultilevel"/>
    <w:lvl w:ilvl="0">
      <w:lvlJc w:val="left"/>
      <w:lvlText w:val="(%1)"/>
      <w:numFmt w:val="lowerLetter"/>
      <w:start w:val="1"/>
    </w:lvl>
  </w:abstractNum>
  <w:abstractNum w:abstractNumId="484">
    <w:nsid w:val="76490B01"/>
    <w:multiLevelType w:val="hybridMultilevel"/>
    <w:lvl w:ilvl="0">
      <w:lvlJc w:val="left"/>
      <w:lvlText w:val="%1."/>
      <w:numFmt w:val="decimal"/>
      <w:start w:val="2"/>
    </w:lvl>
  </w:abstractNum>
  <w:abstractNum w:abstractNumId="485">
    <w:nsid w:val="36B19CBF"/>
    <w:multiLevelType w:val="hybridMultilevel"/>
    <w:lvl w:ilvl="0">
      <w:lvlJc w:val="left"/>
      <w:lvlText w:val="%1."/>
      <w:numFmt w:val="decimal"/>
      <w:start w:val="3"/>
    </w:lvl>
  </w:abstractNum>
  <w:abstractNum w:abstractNumId="486">
    <w:nsid w:val="645EC5AB"/>
    <w:multiLevelType w:val="hybridMultilevel"/>
    <w:lvl w:ilvl="0">
      <w:lvlJc w:val="left"/>
      <w:lvlText w:val="(%1)"/>
      <w:numFmt w:val="lowerLetter"/>
      <w:start w:val="1"/>
    </w:lvl>
  </w:abstractNum>
  <w:abstractNum w:abstractNumId="487">
    <w:nsid w:val="11C5ABEF"/>
    <w:multiLevelType w:val="hybridMultilevel"/>
    <w:lvl w:ilvl="0">
      <w:lvlJc w:val="left"/>
      <w:lvlText w:val="(%1)"/>
      <w:numFmt w:val="lowerLetter"/>
      <w:start w:val="2"/>
    </w:lvl>
  </w:abstractNum>
  <w:abstractNum w:abstractNumId="488">
    <w:nsid w:val="5A4744BE"/>
    <w:multiLevelType w:val="hybridMultilevel"/>
    <w:lvl w:ilvl="0">
      <w:lvlJc w:val="left"/>
      <w:lvlText w:val="(%1)"/>
      <w:numFmt w:val="lowerLetter"/>
      <w:start w:val="4"/>
    </w:lvl>
  </w:abstractNum>
  <w:abstractNum w:abstractNumId="489">
    <w:nsid w:val="1DC4B111"/>
    <w:multiLevelType w:val="hybridMultilevel"/>
    <w:lvl w:ilvl="0">
      <w:lvlJc w:val="left"/>
      <w:lvlText w:val="(%1)"/>
      <w:numFmt w:val="lowerLetter"/>
      <w:start w:val="1"/>
    </w:lvl>
  </w:abstractNum>
  <w:abstractNum w:abstractNumId="490">
    <w:nsid w:val="4C6E372B"/>
    <w:multiLevelType w:val="hybridMultilevel"/>
    <w:lvl w:ilvl="0">
      <w:lvlJc w:val="left"/>
      <w:lvlText w:val="(%1)"/>
      <w:numFmt w:val="lowerRoman"/>
      <w:start w:val="1"/>
    </w:lvl>
  </w:abstractNum>
  <w:abstractNum w:abstractNumId="491">
    <w:nsid w:val="10236EF"/>
    <w:multiLevelType w:val="hybridMultilevel"/>
    <w:lvl w:ilvl="0">
      <w:lvlJc w:val="left"/>
      <w:lvlText w:val="(%1)"/>
      <w:numFmt w:val="lowerRoman"/>
      <w:start w:val="2"/>
    </w:lvl>
  </w:abstractNum>
  <w:abstractNum w:abstractNumId="492">
    <w:nsid w:val="68D8526B"/>
    <w:multiLevelType w:val="hybridMultilevel"/>
    <w:lvl w:ilvl="0">
      <w:lvlJc w:val="left"/>
      <w:lvlText w:val="(%1)"/>
      <w:numFmt w:val="lowerRoman"/>
      <w:start w:val="4"/>
    </w:lvl>
  </w:abstractNum>
  <w:abstractNum w:abstractNumId="493">
    <w:nsid w:val="3C8CC138"/>
    <w:multiLevelType w:val="hybridMultilevel"/>
    <w:lvl w:ilvl="0">
      <w:lvlJc w:val="left"/>
      <w:lvlText w:val="(%1)"/>
      <w:numFmt w:val="lowerLetter"/>
      <w:start w:val="2"/>
    </w:lvl>
  </w:abstractNum>
  <w:abstractNum w:abstractNumId="494">
    <w:nsid w:val="42E8C7BE"/>
    <w:multiLevelType w:val="hybridMultilevel"/>
    <w:lvl w:ilvl="0">
      <w:lvlJc w:val="left"/>
      <w:lvlText w:val="[***]"/>
      <w:numFmt w:val="bullet"/>
      <w:start w:val="1"/>
    </w:lvl>
  </w:abstractNum>
  <w:abstractNum w:abstractNumId="495">
    <w:nsid w:val="653CDC22"/>
    <w:multiLevelType w:val="hybridMultilevel"/>
    <w:lvl w:ilvl="0">
      <w:lvlJc w:val="left"/>
      <w:lvlText w:val="(%1)"/>
      <w:numFmt w:val="lowerLetter"/>
      <w:start w:val="1"/>
    </w:lvl>
  </w:abstractNum>
  <w:abstractNum w:abstractNumId="496">
    <w:nsid w:val="103B2716"/>
    <w:multiLevelType w:val="hybridMultilevel"/>
    <w:lvl w:ilvl="0">
      <w:lvlJc w:val="left"/>
      <w:lvlText w:val="(%1)"/>
      <w:numFmt w:val="lowerLetter"/>
      <w:start w:val="2"/>
    </w:lvl>
  </w:abstractNum>
  <w:abstractNum w:abstractNumId="497">
    <w:nsid w:val="156827FB"/>
    <w:multiLevelType w:val="hybridMultilevel"/>
    <w:lvl w:ilvl="0">
      <w:lvlJc w:val="left"/>
      <w:lvlText w:val="(%1)"/>
      <w:numFmt w:val="lowerRoman"/>
      <w:start w:val="1"/>
    </w:lvl>
  </w:abstractNum>
  <w:abstractNum w:abstractNumId="498">
    <w:nsid w:val="6350AC35"/>
    <w:multiLevelType w:val="hybridMultilevel"/>
    <w:lvl w:ilvl="0">
      <w:lvlJc w:val="left"/>
      <w:lvlText w:val="%1."/>
      <w:numFmt w:val="decimal"/>
      <w:start w:val="4"/>
    </w:lvl>
  </w:abstractNum>
  <w:abstractNum w:abstractNumId="499">
    <w:nsid w:val="767725AB"/>
    <w:multiLevelType w:val="hybridMultilevel"/>
    <w:lvl w:ilvl="0">
      <w:lvlJc w:val="left"/>
      <w:lvlText w:val="•"/>
      <w:numFmt w:val="bullet"/>
      <w:start w:val="1"/>
    </w:lvl>
  </w:abstractNum>
  <w:abstractNum w:abstractNumId="500">
    <w:nsid w:val="4748C06A"/>
    <w:multiLevelType w:val="hybridMultilevel"/>
    <w:lvl w:ilvl="0">
      <w:lvlJc w:val="left"/>
      <w:lvlText w:val="(%1)"/>
      <w:numFmt w:val="lowerLetter"/>
      <w:start w:val="1"/>
    </w:lvl>
  </w:abstractNum>
  <w:abstractNum w:abstractNumId="501">
    <w:nsid w:val="254D9EA9"/>
    <w:multiLevelType w:val="hybridMultilevel"/>
    <w:lvl w:ilvl="0">
      <w:lvlJc w:val="left"/>
      <w:lvlText w:val="(%1)"/>
      <w:numFmt w:val="lowerLetter"/>
      <w:start w:val="1"/>
    </w:lvl>
  </w:abstractNum>
  <w:abstractNum w:abstractNumId="502">
    <w:nsid w:val="1FBD3AA3"/>
    <w:multiLevelType w:val="hybridMultilevel"/>
    <w:lvl w:ilvl="0">
      <w:lvlJc w:val="left"/>
      <w:lvlText w:val="%1."/>
      <w:numFmt w:val="decimal"/>
      <w:start w:val="6"/>
    </w:lvl>
  </w:abstractNum>
  <w:abstractNum w:abstractNumId="503">
    <w:nsid w:val="18C6B4F2"/>
    <w:multiLevelType w:val="hybridMultilevel"/>
    <w:lvl w:ilvl="0">
      <w:lvlJc w:val="left"/>
      <w:lvlText w:val="%1."/>
      <w:numFmt w:val="decimal"/>
      <w:start w:val="7"/>
    </w:lvl>
  </w:abstractNum>
  <w:abstractNum w:abstractNumId="504">
    <w:nsid w:val="40BAD55"/>
    <w:multiLevelType w:val="hybridMultilevel"/>
    <w:lvl w:ilvl="0">
      <w:lvlJc w:val="left"/>
      <w:lvlText w:val="%1."/>
      <w:numFmt w:val="decimal"/>
      <w:start w:val="8"/>
    </w:lvl>
  </w:abstractNum>
  <w:abstractNum w:abstractNumId="505">
    <w:nsid w:val="E5B2573"/>
    <w:multiLevelType w:val="hybridMultilevel"/>
    <w:lvl w:ilvl="0">
      <w:lvlJc w:val="left"/>
      <w:lvlText w:val="(%1)"/>
      <w:numFmt w:val="lowerLetter"/>
      <w:start w:val="5"/>
    </w:lvl>
  </w:abstractNum>
  <w:abstractNum w:abstractNumId="506">
    <w:nsid w:val="5D175EF2"/>
    <w:multiLevelType w:val="hybridMultilevel"/>
    <w:lvl w:ilvl="0">
      <w:lvlJc w:val="left"/>
      <w:lvlText w:val="%1."/>
      <w:numFmt w:val="decimal"/>
      <w:start w:val="9"/>
    </w:lvl>
  </w:abstractNum>
  <w:abstractNum w:abstractNumId="507">
    <w:nsid w:val="4ED5A137"/>
    <w:multiLevelType w:val="hybridMultilevel"/>
    <w:lvl w:ilvl="0">
      <w:lvlJc w:val="left"/>
      <w:lvlText w:val="(%1)"/>
      <w:numFmt w:val="lowerLetter"/>
      <w:start w:val="1"/>
    </w:lvl>
  </w:abstractNum>
  <w:abstractNum w:abstractNumId="508">
    <w:nsid w:val="1B1BCCF5"/>
    <w:multiLevelType w:val="hybridMultilevel"/>
    <w:lvl w:ilvl="0">
      <w:lvlJc w:val="left"/>
      <w:lvlText w:val="[***]"/>
      <w:numFmt w:val="bullet"/>
      <w:start w:val="1"/>
    </w:lvl>
  </w:abstractNum>
  <w:abstractNum w:abstractNumId="509">
    <w:nsid w:val="56CDFABB"/>
    <w:multiLevelType w:val="hybridMultilevel"/>
    <w:lvl w:ilvl="0">
      <w:lvlJc w:val="left"/>
      <w:lvlText w:val="(%1)"/>
      <w:numFmt w:val="lowerLetter"/>
      <w:start w:val="1"/>
    </w:lvl>
  </w:abstractNum>
  <w:abstractNum w:abstractNumId="510">
    <w:nsid w:val="78466DAF"/>
    <w:multiLevelType w:val="hybridMultilevel"/>
    <w:lvl w:ilvl="0">
      <w:lvlJc w:val="left"/>
      <w:lvlText w:val="%1."/>
      <w:numFmt w:val="decimal"/>
      <w:start w:val="10"/>
    </w:lvl>
  </w:abstractNum>
  <w:abstractNum w:abstractNumId="511">
    <w:nsid w:val="64E5E036"/>
    <w:multiLevelType w:val="hybridMultilevel"/>
    <w:lvl w:ilvl="0">
      <w:lvlJc w:val="left"/>
      <w:lvlText w:val="(%1)"/>
      <w:numFmt w:val="lowerLetter"/>
      <w:start w:val="1"/>
    </w:lvl>
  </w:abstractNum>
  <w:abstractNum w:abstractNumId="512">
    <w:nsid w:val="5C5B6C3A"/>
    <w:multiLevelType w:val="hybridMultilevel"/>
    <w:lvl w:ilvl="0">
      <w:lvlJc w:val="left"/>
      <w:lvlText w:val="(%1)"/>
      <w:numFmt w:val="upperLetter"/>
      <w:start w:val="1"/>
    </w:lvl>
  </w:abstractNum>
  <w:abstractNum w:abstractNumId="513">
    <w:nsid w:val="5D094B84"/>
    <w:multiLevelType w:val="hybridMultilevel"/>
    <w:lvl w:ilvl="0">
      <w:lvlJc w:val="left"/>
      <w:lvlText w:val="%1."/>
      <w:numFmt w:val="decimal"/>
      <w:start w:val="11"/>
    </w:lvl>
  </w:abstractNum>
  <w:abstractNum w:abstractNumId="514">
    <w:nsid w:val="272A9914"/>
    <w:multiLevelType w:val="hybridMultilevel"/>
    <w:lvl w:ilvl="0">
      <w:lvlJc w:val="left"/>
      <w:lvlText w:val="[***]"/>
      <w:numFmt w:val="bullet"/>
      <w:start w:val="1"/>
    </w:lvl>
  </w:abstractNum>
  <w:abstractNum w:abstractNumId="515">
    <w:nsid w:val="52A4773B"/>
    <w:multiLevelType w:val="hybridMultilevel"/>
    <w:lvl w:ilvl="0">
      <w:lvlJc w:val="left"/>
      <w:lvlText w:val="%1."/>
      <w:numFmt w:val="decimal"/>
      <w:start w:val="12"/>
    </w:lvl>
  </w:abstractNum>
  <w:abstractNum w:abstractNumId="516">
    <w:nsid w:val="13BAE843"/>
    <w:multiLevelType w:val="hybridMultilevel"/>
    <w:lvl w:ilvl="0">
      <w:lvlJc w:val="left"/>
      <w:lvlText w:val="%1."/>
      <w:numFmt w:val="decimal"/>
      <w:start w:val="14"/>
    </w:lvl>
  </w:abstractNum>
  <w:abstractNum w:abstractNumId="517">
    <w:nsid w:val="B895EBF"/>
    <w:multiLevelType w:val="hybridMultilevel"/>
    <w:lvl w:ilvl="0">
      <w:lvlJc w:val="left"/>
      <w:lvlText w:val="%1."/>
      <w:numFmt w:val="upperLetter"/>
      <w:start w:val="1"/>
    </w:lvl>
  </w:abstractNum>
  <w:abstractNum w:abstractNumId="518">
    <w:nsid w:val="646A232A"/>
    <w:multiLevelType w:val="hybridMultilevel"/>
    <w:lvl w:ilvl="0">
      <w:lvlJc w:val="left"/>
      <w:lvlText w:val="%1."/>
      <w:numFmt w:val="decimal"/>
      <w:start w:val="1"/>
    </w:lvl>
  </w:abstractNum>
  <w:abstractNum w:abstractNumId="519">
    <w:nsid w:val="6E022D01"/>
    <w:multiLevelType w:val="hybridMultilevel"/>
    <w:lvl w:ilvl="0">
      <w:lvlJc w:val="left"/>
      <w:lvlText w:val="%1."/>
      <w:numFmt w:val="decimal"/>
      <w:start w:val="4"/>
    </w:lvl>
  </w:abstractNum>
  <w:abstractNum w:abstractNumId="520">
    <w:nsid w:val="294E0FD0"/>
    <w:multiLevelType w:val="hybridMultilevel"/>
    <w:lvl w:ilvl="0">
      <w:lvlJc w:val="left"/>
      <w:lvlText w:val="%1."/>
      <w:numFmt w:val="decimal"/>
      <w:start w:val="5"/>
    </w:lvl>
  </w:abstractNum>
  <w:abstractNum w:abstractNumId="521">
    <w:nsid w:val="30D85A55"/>
    <w:multiLevelType w:val="hybridMultilevel"/>
    <w:lvl w:ilvl="0">
      <w:lvlJc w:val="left"/>
      <w:lvlText w:val="%1."/>
      <w:numFmt w:val="upperLetter"/>
      <w:start w:val="1"/>
    </w:lvl>
  </w:abstractNum>
  <w:abstractNum w:abstractNumId="522">
    <w:nsid w:val="6F0463F1"/>
    <w:multiLevelType w:val="hybridMultilevel"/>
    <w:lvl w:ilvl="0">
      <w:lvlJc w:val="left"/>
      <w:lvlText w:val="%1."/>
      <w:numFmt w:val="decimal"/>
      <w:start w:val="1"/>
    </w:lvl>
  </w:abstractNum>
  <w:abstractNum w:abstractNumId="523">
    <w:nsid w:val="1226623C"/>
    <w:multiLevelType w:val="hybridMultilevel"/>
    <w:lvl w:ilvl="0">
      <w:lvlJc w:val="left"/>
      <w:lvlText w:val="1"/>
      <w:numFmt w:val="bullet"/>
      <w:start w:val="1"/>
    </w:lvl>
  </w:abstractNum>
  <w:abstractNum w:abstractNumId="524">
    <w:nsid w:val="6D651B8D"/>
    <w:multiLevelType w:val="hybridMultilevel"/>
    <w:lvl w:ilvl="0">
      <w:lvlJc w:val="left"/>
      <w:lvlText w:val="(%1)"/>
      <w:numFmt w:val="lowerLetter"/>
      <w:start w:val="1"/>
    </w:lvl>
    <w:lvl w:ilvl="1">
      <w:lvlJc w:val="left"/>
      <w:lvlText w:val="(%2)"/>
      <w:numFmt w:val="lowerLetter"/>
      <w:start w:val="2"/>
    </w:lvl>
  </w:abstractNum>
  <w:abstractNum w:abstractNumId="525">
    <w:nsid w:val="31ED2BAF"/>
    <w:multiLevelType w:val="hybridMultilevel"/>
    <w:lvl w:ilvl="0">
      <w:lvlJc w:val="left"/>
      <w:lvlText w:val="%1"/>
      <w:numFmt w:val="lowerLetter"/>
      <w:start w:val="1"/>
    </w:lvl>
    <w:lvl w:ilvl="1">
      <w:lvlJc w:val="left"/>
      <w:lvlText w:val="(%2)"/>
      <w:numFmt w:val="lowerLetter"/>
      <w:start w:val="24"/>
    </w:lvl>
  </w:abstractNum>
  <w:abstractNum w:abstractNumId="526">
    <w:nsid w:val="77633E5E"/>
    <w:multiLevelType w:val="hybridMultilevel"/>
    <w:lvl w:ilvl="0">
      <w:lvlJc w:val="left"/>
      <w:lvlText w:val="(%1)"/>
      <w:numFmt w:val="lowerLetter"/>
      <w:start w:val="3"/>
    </w:lvl>
  </w:abstractNum>
  <w:abstractNum w:abstractNumId="527">
    <w:nsid w:val="7DA042A3"/>
    <w:multiLevelType w:val="hybridMultilevel"/>
    <w:lvl w:ilvl="0">
      <w:lvlJc w:val="left"/>
      <w:lvlText w:val="2"/>
      <w:numFmt w:val="bullet"/>
      <w:start w:val="1"/>
    </w:lvl>
  </w:abstractNum>
  <w:abstractNum w:abstractNumId="528">
    <w:nsid w:val="475553AB"/>
    <w:multiLevelType w:val="hybridMultilevel"/>
    <w:lvl w:ilvl="0">
      <w:lvlJc w:val="left"/>
      <w:lvlText w:val="(%1)"/>
      <w:numFmt w:val="lowerLetter"/>
      <w:start w:val="1"/>
    </w:lvl>
  </w:abstractNum>
  <w:abstractNum w:abstractNumId="529">
    <w:nsid w:val="5AB3EA93"/>
    <w:multiLevelType w:val="hybridMultilevel"/>
    <w:lvl w:ilvl="0">
      <w:lvlJc w:val="left"/>
      <w:lvlText w:val="(%1)"/>
      <w:numFmt w:val="lowerLetter"/>
      <w:start w:val="3"/>
    </w:lvl>
  </w:abstractNum>
  <w:abstractNum w:abstractNumId="530">
    <w:nsid w:val="7417684F"/>
    <w:multiLevelType w:val="hybridMultilevel"/>
    <w:lvl w:ilvl="0">
      <w:lvlJc w:val="left"/>
      <w:lvlText w:val="%1"/>
      <w:numFmt w:val="upperLetter"/>
      <w:start w:val="35"/>
    </w:lvl>
  </w:abstractNum>
  <w:abstractNum w:abstractNumId="531">
    <w:nsid w:val="E9E1415"/>
    <w:multiLevelType w:val="hybridMultilevel"/>
    <w:lvl w:ilvl="0">
      <w:lvlJc w:val="left"/>
      <w:lvlText w:val="%1"/>
      <w:numFmt w:val="upperLetter"/>
      <w:start w:val="61"/>
    </w:lvl>
  </w:abstractNum>
  <w:abstractNum w:abstractNumId="532">
    <w:nsid w:val="1893D"/>
    <w:multiLevelType w:val="hybridMultilevel"/>
    <w:lvl w:ilvl="0">
      <w:lvlJc w:val="left"/>
      <w:lvlText w:val="3"/>
      <w:numFmt w:val="bullet"/>
      <w:start w:val="1"/>
    </w:lvl>
  </w:abstractNum>
  <w:abstractNum w:abstractNumId="533">
    <w:nsid w:val="13D4A2F2"/>
    <w:multiLevelType w:val="hybridMultilevel"/>
    <w:lvl w:ilvl="0">
      <w:lvlJc w:val="left"/>
      <w:lvlText w:val="(%1)"/>
      <w:numFmt w:val="lowerLetter"/>
      <w:start w:val="1"/>
    </w:lvl>
  </w:abstractNum>
  <w:abstractNum w:abstractNumId="534">
    <w:nsid w:val="2764C907"/>
    <w:multiLevelType w:val="hybridMultilevel"/>
    <w:lvl w:ilvl="0">
      <w:lvlJc w:val="left"/>
      <w:lvlText w:val="4"/>
      <w:numFmt w:val="bullet"/>
      <w:start w:val="1"/>
    </w:lvl>
  </w:abstractNum>
  <w:abstractNum w:abstractNumId="535">
    <w:nsid w:val="40D3692"/>
    <w:multiLevelType w:val="hybridMultilevel"/>
    <w:lvl w:ilvl="0">
      <w:lvlJc w:val="left"/>
      <w:lvlText w:val="5"/>
      <w:numFmt w:val="bullet"/>
      <w:start w:val="1"/>
    </w:lvl>
  </w:abstractNum>
  <w:abstractNum w:abstractNumId="536">
    <w:nsid w:val="222FC865"/>
    <w:multiLevelType w:val="hybridMultilevel"/>
    <w:lvl w:ilvl="0">
      <w:lvlJc w:val="left"/>
      <w:lvlText w:val="6"/>
      <w:numFmt w:val="bullet"/>
      <w:start w:val="1"/>
    </w:lvl>
  </w:abstractNum>
  <w:abstractNum w:abstractNumId="537">
    <w:nsid w:val="47C27FA"/>
    <w:multiLevelType w:val="hybridMultilevel"/>
    <w:lvl w:ilvl="0">
      <w:lvlJc w:val="left"/>
      <w:lvlText w:val="%1."/>
      <w:numFmt w:val="upperLetter"/>
      <w:start w:val="1"/>
    </w:lvl>
  </w:abstractNum>
  <w:abstractNum w:abstractNumId="538">
    <w:nsid w:val="52E2D7C9"/>
    <w:multiLevelType w:val="hybridMultilevel"/>
    <w:lvl w:ilvl="0">
      <w:lvlJc w:val="left"/>
      <w:lvlText w:val="%1."/>
      <w:numFmt w:val="decimal"/>
      <w:start w:val="1"/>
    </w:lvl>
  </w:abstractNum>
  <w:abstractNum w:abstractNumId="539">
    <w:nsid w:val="3D4B955A"/>
    <w:multiLevelType w:val="hybridMultilevel"/>
    <w:lvl w:ilvl="0">
      <w:lvlJc w:val="left"/>
      <w:lvlText w:val="%1."/>
      <w:numFmt w:val="decimal"/>
      <w:start w:val="3"/>
    </w:lvl>
  </w:abstractNum>
  <w:abstractNum w:abstractNumId="540">
    <w:nsid w:val="5B4A22B5"/>
    <w:multiLevelType w:val="hybridMultilevel"/>
    <w:lvl w:ilvl="0">
      <w:lvlJc w:val="left"/>
      <w:lvlText w:val="%1."/>
      <w:numFmt w:val="decimal"/>
      <w:start w:val="5"/>
    </w:lvl>
  </w:abstractNum>
  <w:abstractNum w:abstractNumId="541">
    <w:nsid w:val="4B294578"/>
    <w:multiLevelType w:val="hybridMultilevel"/>
    <w:lvl w:ilvl="0">
      <w:lvlJc w:val="left"/>
      <w:lvlText w:val="%1."/>
      <w:numFmt w:val="decimal"/>
      <w:start w:val="1"/>
    </w:lvl>
  </w:abstractNum>
  <w:abstractNum w:abstractNumId="542">
    <w:nsid w:val="22317590"/>
    <w:multiLevelType w:val="hybridMultilevel"/>
    <w:lvl w:ilvl="0">
      <w:lvlJc w:val="left"/>
      <w:lvlText w:val="%1."/>
      <w:numFmt w:val="decimal"/>
      <w:start w:val="3"/>
    </w:lvl>
  </w:abstractNum>
  <w:abstractNum w:abstractNumId="543">
    <w:nsid w:val="37A58EEF"/>
    <w:multiLevelType w:val="hybridMultilevel"/>
    <w:lvl w:ilvl="0">
      <w:lvlJc w:val="left"/>
      <w:lvlText w:val="%1."/>
      <w:numFmt w:val="decimal"/>
      <w:start w:val="4"/>
    </w:lvl>
  </w:abstractNum>
  <w:abstractNum w:abstractNumId="544">
    <w:nsid w:val="283290FD"/>
    <w:multiLevelType w:val="hybridMultilevel"/>
    <w:lvl w:ilvl="0">
      <w:lvlJc w:val="left"/>
      <w:lvlText w:val="%1."/>
      <w:numFmt w:val="decimal"/>
      <w:start w:val="5"/>
    </w:lvl>
  </w:abstractNum>
  <w:abstractNum w:abstractNumId="545">
    <w:nsid w:val="495C0EA5"/>
    <w:multiLevelType w:val="hybridMultilevel"/>
    <w:lvl w:ilvl="0">
      <w:lvlJc w:val="left"/>
      <w:lvlText w:val="(%1)"/>
      <w:numFmt w:val="lowerLetter"/>
      <w:start w:val="1"/>
    </w:lvl>
    <w:lvl w:ilvl="1">
      <w:lvlJc w:val="left"/>
      <w:lvlText w:val="(%2)"/>
      <w:numFmt w:val="lowerRoman"/>
      <w:start w:val="8"/>
    </w:lvl>
  </w:abstractNum>
  <w:abstractNum w:abstractNumId="546">
    <w:nsid w:val="A4A062B"/>
    <w:multiLevelType w:val="hybridMultilevel"/>
    <w:lvl w:ilvl="0">
      <w:lvlJc w:val="left"/>
      <w:lvlText w:val="%1."/>
      <w:numFmt w:val="decimal"/>
      <w:start w:val="6"/>
    </w:lvl>
  </w:abstractNum>
  <w:abstractNum w:abstractNumId="547">
    <w:nsid w:val="3BED7940"/>
    <w:multiLevelType w:val="hybridMultilevel"/>
    <w:lvl w:ilvl="0">
      <w:lvlJc w:val="left"/>
      <w:lvlText w:val="(%1)"/>
      <w:numFmt w:val="lowerLetter"/>
      <w:start w:val="1"/>
    </w:lvl>
    <w:lvl w:ilvl="1">
      <w:lvlJc w:val="left"/>
      <w:lvlText w:val="[***]"/>
      <w:numFmt w:val="bullet"/>
      <w:start w:val="1"/>
    </w:lvl>
  </w:abstractNum>
  <w:abstractNum w:abstractNumId="548">
    <w:nsid w:val="54E56D64"/>
    <w:multiLevelType w:val="hybridMultilevel"/>
    <w:lvl w:ilvl="0">
      <w:lvlJc w:val="left"/>
      <w:lvlText w:val="%1."/>
      <w:numFmt w:val="decimal"/>
      <w:start w:val="7"/>
    </w:lvl>
  </w:abstractNum>
  <w:abstractNum w:abstractNumId="549">
    <w:nsid w:val="6EB42955"/>
    <w:multiLevelType w:val="hybridMultilevel"/>
    <w:lvl w:ilvl="0">
      <w:lvlJc w:val="left"/>
      <w:lvlText w:val="(%1)"/>
      <w:numFmt w:val="lowerLetter"/>
      <w:start w:val="1"/>
    </w:lvl>
  </w:abstractNum>
  <w:abstractNum w:abstractNumId="550">
    <w:nsid w:val="29EFA642"/>
    <w:multiLevelType w:val="hybridMultilevel"/>
    <w:lvl w:ilvl="0">
      <w:lvlJc w:val="left"/>
      <w:lvlText w:val="%1."/>
      <w:numFmt w:val="decimal"/>
      <w:start w:val="8"/>
    </w:lvl>
  </w:abstractNum>
  <w:abstractNum w:abstractNumId="551">
    <w:nsid w:val="7E337D35"/>
    <w:multiLevelType w:val="hybridMultilevel"/>
    <w:lvl w:ilvl="0">
      <w:lvlJc w:val="left"/>
      <w:lvlText w:val="(%1)"/>
      <w:numFmt w:val="lowerLetter"/>
      <w:start w:val="1"/>
    </w:lvl>
  </w:abstractNum>
  <w:abstractNum w:abstractNumId="552">
    <w:nsid w:val="1F8C83AB"/>
    <w:multiLevelType w:val="hybridMultilevel"/>
    <w:lvl w:ilvl="0">
      <w:lvlJc w:val="left"/>
      <w:lvlText w:val="%1."/>
      <w:numFmt w:val="decimal"/>
      <w:start w:val="9"/>
    </w:lvl>
  </w:abstractNum>
  <w:abstractNum w:abstractNumId="553">
    <w:nsid w:val="18F40A33"/>
    <w:multiLevelType w:val="hybridMultilevel"/>
    <w:lvl w:ilvl="0">
      <w:lvlJc w:val="left"/>
      <w:lvlText w:val="%1."/>
      <w:numFmt w:val="decimal"/>
      <w:start w:val="10"/>
    </w:lvl>
  </w:abstractNum>
  <w:abstractNum w:abstractNumId="554">
    <w:nsid w:val="1059DF71"/>
    <w:multiLevelType w:val="hybridMultilevel"/>
    <w:lvl w:ilvl="0">
      <w:lvlJc w:val="left"/>
      <w:lvlText w:val="%1."/>
      <w:numFmt w:val="decimal"/>
      <w:start w:val="11"/>
    </w:lvl>
  </w:abstractNum>
  <w:abstractNum w:abstractNumId="555">
    <w:nsid w:val="CF19F38"/>
    <w:multiLevelType w:val="hybridMultilevel"/>
    <w:lvl w:ilvl="0">
      <w:lvlJc w:val="left"/>
      <w:lvlText w:val="%1."/>
      <w:numFmt w:val="decimal"/>
      <w:start w:val="13"/>
    </w:lvl>
  </w:abstractNum>
  <w:abstractNum w:abstractNumId="556">
    <w:nsid w:val="4AE135E2"/>
    <w:multiLevelType w:val="hybridMultilevel"/>
    <w:lvl w:ilvl="0">
      <w:lvlJc w:val="left"/>
      <w:lvlText w:val="%1."/>
      <w:numFmt w:val="decimal"/>
      <w:start w:val="15"/>
    </w:lvl>
  </w:abstractNum>
  <w:abstractNum w:abstractNumId="557">
    <w:nsid w:val="7BD1DCF"/>
    <w:multiLevelType w:val="hybridMultilevel"/>
    <w:lvl w:ilvl="0">
      <w:lvlJc w:val="left"/>
      <w:lvlText w:val="%1."/>
      <w:numFmt w:val="decimal"/>
      <w:start w:val="16"/>
    </w:lvl>
  </w:abstractNum>
  <w:abstractNum w:abstractNumId="558">
    <w:nsid w:val="A91E1DC"/>
    <w:multiLevelType w:val="hybridMultilevel"/>
    <w:lvl w:ilvl="0">
      <w:lvlJc w:val="left"/>
      <w:lvlText w:val="%1."/>
      <w:numFmt w:val="decimal"/>
      <w:start w:val="17"/>
    </w:lvl>
  </w:abstractNum>
  <w:abstractNum w:abstractNumId="559">
    <w:nsid w:val="1236898D"/>
    <w:multiLevelType w:val="hybridMultilevel"/>
    <w:lvl w:ilvl="0">
      <w:lvlJc w:val="left"/>
      <w:lvlText w:val=" "/>
      <w:numFmt w:val="bullet"/>
      <w:start w:val="1"/>
    </w:lvl>
  </w:abstractNum>
  <w:abstractNum w:abstractNumId="560">
    <w:nsid w:val="62710862"/>
    <w:multiLevelType w:val="hybridMultilevel"/>
    <w:lvl w:ilvl="0">
      <w:lvlJc w:val="left"/>
      <w:lvlText w:val=" "/>
      <w:numFmt w:val="bullet"/>
      <w:start w:val="1"/>
    </w:lvl>
  </w:abstractNum>
  <w:abstractNum w:abstractNumId="561">
    <w:nsid w:val="7EA94A2B"/>
    <w:multiLevelType w:val="hybridMultilevel"/>
    <w:lvl w:ilvl="0">
      <w:lvlJc w:val="left"/>
      <w:lvlText w:val="%1."/>
      <w:numFmt w:val="decimal"/>
      <w:start w:val="1"/>
    </w:lvl>
  </w:abstractNum>
  <w:abstractNum w:abstractNumId="562">
    <w:nsid w:val="20D49DA3"/>
    <w:multiLevelType w:val="hybridMultilevel"/>
    <w:lvl w:ilvl="0">
      <w:lvlJc w:val="left"/>
      <w:lvlText w:val="%1."/>
      <w:numFmt w:val="decimal"/>
      <w:start w:val="3"/>
    </w:lvl>
  </w:abstractNum>
  <w:abstractNum w:abstractNumId="563">
    <w:nsid w:val="6272919F"/>
    <w:multiLevelType w:val="hybridMultilevel"/>
    <w:lvl w:ilvl="0">
      <w:lvlJc w:val="left"/>
      <w:lvlText w:val="%1."/>
      <w:numFmt w:val="decimal"/>
      <w:start w:val="1"/>
    </w:lvl>
  </w:abstractNum>
  <w:abstractNum w:abstractNumId="564">
    <w:nsid w:val="127DED1D"/>
    <w:multiLevelType w:val="hybridMultilevel"/>
    <w:lvl w:ilvl="0">
      <w:lvlJc w:val="left"/>
      <w:lvlText w:val="%1."/>
      <w:numFmt w:val="decimal"/>
      <w:start w:val="2"/>
    </w:lvl>
  </w:abstractNum>
  <w:abstractNum w:abstractNumId="565">
    <w:nsid w:val="483966AA"/>
    <w:multiLevelType w:val="hybridMultilevel"/>
    <w:lvl w:ilvl="0">
      <w:lvlJc w:val="left"/>
      <w:lvlText w:val="%1."/>
      <w:numFmt w:val="decimal"/>
      <w:start w:val="3"/>
    </w:lvl>
  </w:abstractNum>
  <w:abstractNum w:abstractNumId="566">
    <w:nsid w:val="667FC831"/>
    <w:multiLevelType w:val="hybridMultilevel"/>
    <w:lvl w:ilvl="0">
      <w:lvlJc w:val="left"/>
      <w:lvlText w:val="%1."/>
      <w:numFmt w:val="decimal"/>
      <w:start w:val="4"/>
    </w:lvl>
  </w:abstractNum>
  <w:abstractNum w:abstractNumId="567">
    <w:nsid w:val="34ADB582"/>
    <w:multiLevelType w:val="hybridMultilevel"/>
    <w:lvl w:ilvl="0">
      <w:lvlJc w:val="left"/>
      <w:lvlText w:val="%1."/>
      <w:numFmt w:val="upperLetter"/>
      <w:start w:val="1"/>
    </w:lvl>
  </w:abstractNum>
  <w:abstractNum w:abstractNumId="568">
    <w:nsid w:val="4CB58EA4"/>
    <w:multiLevelType w:val="hybridMultilevel"/>
    <w:lvl w:ilvl="0">
      <w:lvlJc w:val="left"/>
      <w:lvlText w:val="%1."/>
      <w:numFmt w:val="decimal"/>
      <w:start w:val="1"/>
    </w:lvl>
    <w:lvl w:ilvl="1">
      <w:lvlJc w:val="left"/>
      <w:lvlText w:val="%2."/>
      <w:numFmt w:val="lowerLetter"/>
      <w:start w:val="1"/>
    </w:lvl>
  </w:abstractNum>
  <w:abstractNum w:abstractNumId="569">
    <w:nsid w:val="39629FFA"/>
    <w:multiLevelType w:val="hybridMultilevel"/>
    <w:lvl w:ilvl="0">
      <w:lvlJc w:val="left"/>
      <w:lvlText w:val="%1"/>
      <w:numFmt w:val="decimal"/>
      <w:start w:val="1"/>
    </w:lvl>
    <w:lvl w:ilvl="1">
      <w:lvlJc w:val="left"/>
      <w:lvlText w:val="%2."/>
      <w:numFmt w:val="lowerLetter"/>
      <w:start w:val="3"/>
    </w:lvl>
  </w:abstractNum>
  <w:abstractNum w:abstractNumId="570">
    <w:nsid w:val="71F94ADC"/>
    <w:multiLevelType w:val="hybridMultilevel"/>
    <w:lvl w:ilvl="0">
      <w:lvlJc w:val="left"/>
      <w:lvlText w:val="%1."/>
      <w:numFmt w:val="decimal"/>
      <w:start w:val="2"/>
    </w:lvl>
    <w:lvl w:ilvl="1">
      <w:lvlJc w:val="left"/>
      <w:lvlText w:val="%2"/>
      <w:numFmt w:val="lowerLetter"/>
      <w:start w:val="1"/>
    </w:lvl>
  </w:abstractNum>
  <w:abstractNum w:abstractNumId="571">
    <w:nsid w:val="27FFB15A"/>
    <w:multiLevelType w:val="hybridMultilevel"/>
    <w:lvl w:ilvl="0">
      <w:lvlJc w:val="left"/>
      <w:lvlText w:val="%1."/>
      <w:numFmt w:val="decimal"/>
      <w:start w:val="4"/>
    </w:lvl>
  </w:abstractNum>
  <w:abstractNum w:abstractNumId="572">
    <w:nsid w:val="48BE573"/>
    <w:multiLevelType w:val="hybridMultilevel"/>
    <w:lvl w:ilvl="0">
      <w:lvlJc w:val="left"/>
      <w:lvlText w:val="%1."/>
      <w:numFmt w:val="decimal"/>
      <w:start w:val="5"/>
    </w:lvl>
  </w:abstractNum>
  <w:abstractNum w:abstractNumId="573">
    <w:nsid w:val="142AC06C"/>
    <w:multiLevelType w:val="hybridMultilevel"/>
    <w:lvl w:ilvl="0">
      <w:lvlJc w:val="left"/>
      <w:lvlText w:val="%1."/>
      <w:numFmt w:val="decimal"/>
      <w:start w:val="6"/>
    </w:lvl>
    <w:lvl w:ilvl="1">
      <w:lvlJc w:val="left"/>
      <w:lvlText w:val="%2."/>
      <w:numFmt w:val="lowerLetter"/>
      <w:start w:val="1"/>
    </w:lvl>
  </w:abstractNum>
  <w:abstractNum w:abstractNumId="574">
    <w:nsid w:val="5FA54049"/>
    <w:multiLevelType w:val="hybridMultilevel"/>
    <w:lvl w:ilvl="0">
      <w:lvlJc w:val="left"/>
      <w:lvlText w:val="%1."/>
      <w:numFmt w:val="lowerLetter"/>
      <w:start w:val="3"/>
    </w:lvl>
  </w:abstractNum>
  <w:abstractNum w:abstractNumId="575">
    <w:nsid w:val="2CBE7670"/>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5"/>
    </w:lvl>
  </w:abstractNum>
  <w:abstractNum w:abstractNumId="576">
    <w:nsid w:val="5D86CF11"/>
    <w:multiLevelType w:val="hybridMultilevel"/>
    <w:lvl w:ilvl="0">
      <w:lvlJc w:val="left"/>
      <w:lvlText w:val="%1"/>
      <w:numFmt w:val="lowerRoman"/>
      <w:start w:val="1"/>
    </w:lvl>
    <w:lvl w:ilvl="1">
      <w:lvlJc w:val="left"/>
      <w:lvlText w:val="%2."/>
      <w:numFmt w:val="decimal"/>
      <w:start w:val="8"/>
    </w:lvl>
    <w:lvl w:ilvl="2">
      <w:lvlJc w:val="left"/>
      <w:lvlText w:val="%3"/>
      <w:numFmt w:val="lowerLetter"/>
      <w:start w:val="1"/>
    </w:lvl>
  </w:abstractNum>
  <w:abstractNum w:abstractNumId="577">
    <w:nsid w:val="69EF4674"/>
    <w:multiLevelType w:val="hybridMultilevel"/>
    <w:lvl w:ilvl="0">
      <w:lvlJc w:val="left"/>
      <w:lvlText w:val="(%1)"/>
      <w:numFmt w:val="lowerRoman"/>
      <w:start w:val="1"/>
    </w:lvl>
    <w:lvl w:ilvl="1">
      <w:lvlJc w:val="left"/>
      <w:lvlText w:val="%2."/>
      <w:numFmt w:val="decimal"/>
      <w:start w:val="9"/>
    </w:lvl>
    <w:lvl w:ilvl="2">
      <w:lvlJc w:val="left"/>
      <w:lvlText w:val="%3."/>
      <w:numFmt w:val="lowerLetter"/>
      <w:start w:val="1"/>
    </w:lvl>
  </w:abstractNum>
  <w:abstractNum w:abstractNumId="578">
    <w:nsid w:val="68ABEFB0"/>
    <w:multiLevelType w:val="hybridMultilevel"/>
    <w:lvl w:ilvl="0">
      <w:lvlJc w:val="left"/>
      <w:lvlText w:val="%1"/>
      <w:numFmt w:val="decimal"/>
      <w:start w:val="1"/>
    </w:lvl>
    <w:lvl w:ilvl="1">
      <w:lvlJc w:val="left"/>
      <w:lvlText w:val="%2."/>
      <w:numFmt w:val="lowerLetter"/>
      <w:start w:val="2"/>
    </w:lvl>
  </w:abstractNum>
  <w:abstractNum w:abstractNumId="579">
    <w:nsid w:val="326C3C76"/>
    <w:multiLevelType w:val="hybridMultilevel"/>
    <w:lvl w:ilvl="0">
      <w:lvlJc w:val="left"/>
      <w:lvlText w:val="%1."/>
      <w:numFmt w:val="decimal"/>
      <w:start w:val="11"/>
    </w:lvl>
    <w:lvl w:ilvl="1">
      <w:lvlJc w:val="left"/>
      <w:lvlText w:val="%2"/>
      <w:numFmt w:val="lowerLetter"/>
      <w:start w:val="1"/>
    </w:lvl>
  </w:abstractNum>
  <w:abstractNum w:abstractNumId="580">
    <w:nsid w:val="58A36FCA"/>
    <w:multiLevelType w:val="hybridMultilevel"/>
    <w:lvl w:ilvl="0">
      <w:lvlJc w:val="left"/>
      <w:lvlText w:val="%1."/>
      <w:numFmt w:val="decimal"/>
      <w:start w:val="12"/>
    </w:lvl>
  </w:abstractNum>
  <w:abstractNum w:abstractNumId="581">
    <w:nsid w:val="129B95F2"/>
    <w:multiLevelType w:val="hybridMultilevel"/>
    <w:lvl w:ilvl="0">
      <w:lvlJc w:val="left"/>
      <w:lvlText w:val="%1."/>
      <w:numFmt w:val="decimal"/>
      <w:start w:val="13"/>
    </w:lvl>
  </w:abstractNum>
  <w:abstractNum w:abstractNumId="582">
    <w:nsid w:val="309FB9AB"/>
    <w:multiLevelType w:val="hybridMultilevel"/>
    <w:lvl w:ilvl="0">
      <w:lvlJc w:val="left"/>
      <w:lvlText w:val="%1."/>
      <w:numFmt w:val="decimal"/>
      <w:start w:val="15"/>
    </w:lvl>
  </w:abstractNum>
  <w:abstractNum w:abstractNumId="583">
    <w:nsid w:val="782FF375"/>
    <w:multiLevelType w:val="hybridMultilevel"/>
    <w:lvl w:ilvl="0">
      <w:lvlJc w:val="left"/>
      <w:lvlText w:val="%1."/>
      <w:numFmt w:val="decimal"/>
      <w:start w:val="17"/>
    </w:lvl>
    <w:lvl w:ilvl="1">
      <w:lvlJc w:val="left"/>
      <w:lvlText w:val="%2"/>
      <w:numFmt w:val="lowerLetter"/>
      <w:start w:val="1"/>
    </w:lvl>
  </w:abstractNum>
  <w:abstractNum w:abstractNumId="584">
    <w:nsid w:val="2B8FA025"/>
    <w:multiLevelType w:val="hybridMultilevel"/>
    <w:lvl w:ilvl="0">
      <w:lvlJc w:val="left"/>
      <w:lvlText w:val="%1"/>
      <w:numFmt w:val="decimal"/>
      <w:start w:val="1"/>
    </w:lvl>
    <w:lvl w:ilvl="1">
      <w:lvlJc w:val="left"/>
      <w:lvlText w:val="%2."/>
      <w:numFmt w:val="lowerLetter"/>
      <w:start w:val="2"/>
    </w:lvl>
  </w:abstractNum>
  <w:abstractNum w:abstractNumId="585">
    <w:nsid w:val="40F9991C"/>
    <w:multiLevelType w:val="hybridMultilevel"/>
    <w:lvl w:ilvl="0">
      <w:lvlJc w:val="left"/>
      <w:lvlText w:val="%1."/>
      <w:numFmt w:val="decimal"/>
      <w:start w:val="21"/>
    </w:lvl>
    <w:lvl w:ilvl="1">
      <w:lvlJc w:val="left"/>
      <w:lvlText w:val="%2."/>
      <w:numFmt w:val="lowerLetter"/>
      <w:start w:val="1"/>
    </w:lvl>
  </w:abstractNum>
  <w:abstractNum w:abstractNumId="586">
    <w:nsid w:val="52192AD"/>
    <w:multiLevelType w:val="hybridMultilevel"/>
    <w:lvl w:ilvl="0">
      <w:lvlJc w:val="left"/>
      <w:lvlText w:val="%1."/>
      <w:numFmt w:val="decimal"/>
      <w:start w:val="22"/>
    </w:lvl>
  </w:abstractNum>
  <w:abstractNum w:abstractNumId="587">
    <w:nsid w:val="7670D608"/>
    <w:multiLevelType w:val="hybridMultilevel"/>
    <w:lvl w:ilvl="0">
      <w:lvlJc w:val="left"/>
      <w:lvlText w:val="%1."/>
      <w:numFmt w:val="decimal"/>
      <w:start w:val="24"/>
    </w:lvl>
    <w:lvl w:ilvl="1">
      <w:lvlJc w:val="left"/>
      <w:lvlText w:val="%2."/>
      <w:numFmt w:val="lowerLetter"/>
      <w:start w:val="1"/>
    </w:lvl>
  </w:abstractNum>
  <w:abstractNum w:abstractNumId="588">
    <w:nsid w:val="48B6B6EB"/>
    <w:multiLevelType w:val="hybridMultilevel"/>
    <w:lvl w:ilvl="0">
      <w:lvlJc w:val="left"/>
      <w:lvlText w:val="%1"/>
      <w:numFmt w:val="decimal"/>
      <w:start w:val="1"/>
    </w:lvl>
    <w:lvl w:ilvl="1">
      <w:lvlJc w:val="left"/>
      <w:lvlText w:val="%2."/>
      <w:numFmt w:val="lowerLetter"/>
      <w:start w:val="3"/>
    </w:lvl>
  </w:abstractNum>
  <w:abstractNum w:abstractNumId="589">
    <w:nsid w:val="FB37489"/>
    <w:multiLevelType w:val="hybridMultilevel"/>
    <w:lvl w:ilvl="0">
      <w:lvlJc w:val="left"/>
      <w:lvlText w:val="(%1)"/>
      <w:numFmt w:val="decimal"/>
      <w:start w:val="6"/>
    </w:lvl>
    <w:lvl w:ilvl="1">
      <w:lvlJc w:val="left"/>
      <w:lvlText w:val="%2"/>
      <w:numFmt w:val="lowerLetter"/>
      <w:start w:val="1"/>
    </w:lvl>
  </w:abstractNum>
  <w:abstractNum w:abstractNumId="590">
    <w:nsid w:val="8A75F95"/>
    <w:multiLevelType w:val="hybridMultilevel"/>
    <w:lvl w:ilvl="0">
      <w:lvlJc w:val="left"/>
      <w:lvlText w:val="(%1)"/>
      <w:numFmt w:val="lowerRoman"/>
      <w:start w:val="1"/>
    </w:lvl>
  </w:abstractNum>
  <w:abstractNum w:abstractNumId="591">
    <w:nsid w:val="2B27BF4D"/>
    <w:multiLevelType w:val="hybridMultilevel"/>
    <w:lvl w:ilvl="0">
      <w:lvlJc w:val="left"/>
      <w:lvlText w:val="(%1)"/>
      <w:numFmt w:val="lowerLetter"/>
      <w:start w:val="2"/>
    </w:lvl>
  </w:abstractNum>
  <w:abstractNum w:abstractNumId="592">
    <w:nsid w:val="E5CBEB4"/>
    <w:multiLevelType w:val="hybridMultilevel"/>
    <w:lvl w:ilvl="0">
      <w:lvlJc w:val="left"/>
      <w:lvlText w:val="(%1)"/>
      <w:numFmt w:val="upperLetter"/>
      <w:start w:val="3"/>
    </w:lvl>
  </w:abstractNum>
  <w:abstractNum w:abstractNumId="593">
    <w:nsid w:val="297BFD38"/>
    <w:multiLevelType w:val="hybridMultilevel"/>
    <w:lvl w:ilvl="0">
      <w:lvlJc w:val="left"/>
      <w:lvlText w:val="(%1)"/>
      <w:numFmt w:val="decimal"/>
      <w:start w:val="30"/>
    </w:lvl>
  </w:abstractNum>
  <w:abstractNum w:abstractNumId="594">
    <w:nsid w:val="D9A50ED"/>
    <w:multiLevelType w:val="hybridMultilevel"/>
    <w:lvl w:ilvl="0">
      <w:lvlJc w:val="left"/>
      <w:lvlText w:val="(%1)"/>
      <w:numFmt w:val="lowerLetter"/>
      <w:start w:val="1"/>
    </w:lvl>
  </w:abstractNum>
  <w:abstractNum w:abstractNumId="595">
    <w:nsid w:val="20DAABD1"/>
    <w:multiLevelType w:val="hybridMultilevel"/>
    <w:lvl w:ilvl="0">
      <w:lvlJc w:val="left"/>
      <w:lvlText w:val="(%1)"/>
      <w:numFmt w:val="lowerRoman"/>
      <w:start w:val="1"/>
    </w:lvl>
  </w:abstractNum>
  <w:abstractNum w:abstractNumId="596">
    <w:nsid w:val="71B563E3"/>
    <w:multiLevelType w:val="hybridMultilevel"/>
    <w:lvl w:ilvl="0">
      <w:lvlJc w:val="left"/>
      <w:lvlText w:val="(%1)"/>
      <w:numFmt w:val="lowerLetter"/>
      <w:start w:val="10"/>
    </w:lvl>
  </w:abstractNum>
  <w:abstractNum w:abstractNumId="597">
    <w:nsid w:val="741A191E"/>
    <w:multiLevelType w:val="hybridMultilevel"/>
    <w:lvl w:ilvl="0">
      <w:lvlJc w:val="left"/>
      <w:lvlText w:val="(%1)"/>
      <w:numFmt w:val="lowerLetter"/>
      <w:start w:val="13"/>
    </w:lvl>
  </w:abstractNum>
  <w:abstractNum w:abstractNumId="598">
    <w:nsid w:val="55886153"/>
    <w:multiLevelType w:val="hybridMultilevel"/>
    <w:lvl w:ilvl="0">
      <w:lvlJc w:val="left"/>
      <w:lvlText w:val="(%1)"/>
      <w:numFmt w:val="lowerLetter"/>
      <w:start w:val="18"/>
    </w:lvl>
  </w:abstractNum>
  <w:abstractNum w:abstractNumId="599">
    <w:nsid w:val="3E6AF287"/>
    <w:multiLevelType w:val="hybridMultilevel"/>
    <w:lvl w:ilvl="0">
      <w:lvlJc w:val="left"/>
      <w:lvlText w:val="(%1)"/>
      <w:numFmt w:val="lowerLetter"/>
      <w:start w:val="23"/>
    </w:lvl>
  </w:abstractNum>
  <w:abstractNum w:abstractNumId="600">
    <w:nsid w:val="2D7CB919"/>
    <w:multiLevelType w:val="hybridMultilevel"/>
    <w:lvl w:ilvl="0">
      <w:lvlJc w:val="left"/>
      <w:lvlText w:val="%1"/>
      <w:numFmt w:val="lowerLetter"/>
      <w:start w:val="1"/>
    </w:lvl>
    <w:lvl w:ilvl="1">
      <w:lvlJc w:val="left"/>
      <w:lvlText w:val="(%2)"/>
      <w:numFmt w:val="lowerLetter"/>
      <w:start w:val="1"/>
    </w:lvl>
  </w:abstractNum>
  <w:abstractNum w:abstractNumId="601">
    <w:nsid w:val="4781AC2F"/>
    <w:multiLevelType w:val="hybridMultilevel"/>
    <w:lvl w:ilvl="0">
      <w:lvlJc w:val="left"/>
      <w:lvlText w:val="(%1)"/>
      <w:numFmt w:val="lowerLetter"/>
      <w:start w:val="9"/>
    </w:lvl>
    <w:lvl w:ilvl="1">
      <w:lvlJc w:val="left"/>
      <w:lvlText w:val="%2"/>
      <w:numFmt w:val="lowerLetter"/>
      <w:start w:val="1"/>
    </w:lvl>
  </w:abstractNum>
  <w:abstractNum w:abstractNumId="602">
    <w:nsid w:val="666AA3E1"/>
    <w:multiLevelType w:val="hybridMultilevel"/>
    <w:lvl w:ilvl="0">
      <w:lvlJc w:val="left"/>
      <w:lvlText w:val="(%1)"/>
      <w:numFmt w:val="lowerLetter"/>
      <w:start w:val="3"/>
    </w:lvl>
  </w:abstractNum>
  <w:abstractNum w:abstractNumId="603">
    <w:nsid w:val="32089E8C"/>
    <w:multiLevelType w:val="hybridMultilevel"/>
    <w:lvl w:ilvl="0">
      <w:lvlJc w:val="left"/>
      <w:lvlText w:val="(%1)"/>
      <w:numFmt w:val="lowerLetter"/>
      <w:start w:val="6"/>
    </w:lvl>
  </w:abstractNum>
  <w:abstractNum w:abstractNumId="604">
    <w:nsid w:val="5BAC6C9C"/>
    <w:multiLevelType w:val="hybridMultilevel"/>
    <w:lvl w:ilvl="0">
      <w:lvlJc w:val="left"/>
      <w:lvlText w:val="(%1)"/>
      <w:numFmt w:val="lowerLetter"/>
      <w:start w:val="7"/>
    </w:lvl>
  </w:abstractNum>
  <w:abstractNum w:abstractNumId="605">
    <w:nsid w:val="460FE42B"/>
    <w:multiLevelType w:val="hybridMultilevel"/>
    <w:lvl w:ilvl="0">
      <w:lvlJc w:val="left"/>
      <w:lvlText w:val="(%1)"/>
      <w:numFmt w:val="lowerRoman"/>
      <w:start w:val="1"/>
    </w:lvl>
  </w:abstractNum>
  <w:abstractNum w:abstractNumId="606">
    <w:nsid w:val="5EC714FC"/>
    <w:multiLevelType w:val="hybridMultilevel"/>
    <w:lvl w:ilvl="0">
      <w:lvlJc w:val="left"/>
      <w:lvlText w:val="(%1)"/>
      <w:numFmt w:val="decimal"/>
      <w:start w:val="30"/>
    </w:lvl>
    <w:lvl w:ilvl="1">
      <w:lvlJc w:val="left"/>
      <w:lvlText w:val="(%2)"/>
      <w:numFmt w:val="lowerLetter"/>
      <w:start w:val="10"/>
    </w:lvl>
  </w:abstractNum>
  <w:abstractNum w:abstractNumId="607">
    <w:nsid w:val="39333BAD"/>
    <w:multiLevelType w:val="hybridMultilevel"/>
    <w:lvl w:ilvl="0">
      <w:lvlJc w:val="left"/>
      <w:lvlText w:val="%1"/>
      <w:numFmt w:val="decimal"/>
      <w:start w:val="1"/>
    </w:lvl>
    <w:lvl w:ilvl="1">
      <w:lvlJc w:val="left"/>
      <w:lvlText w:val="(%2)"/>
      <w:numFmt w:val="lowerLetter"/>
      <w:start w:val="1"/>
    </w:lvl>
  </w:abstractNum>
  <w:abstractNum w:abstractNumId="608">
    <w:nsid w:val="2FFF2A9F"/>
    <w:multiLevelType w:val="hybridMultilevel"/>
    <w:lvl w:ilvl="0">
      <w:lvlJc w:val="left"/>
      <w:lvlText w:val="(%1)"/>
      <w:numFmt w:val="decimal"/>
      <w:start w:val="30"/>
    </w:lvl>
    <w:lvl w:ilvl="1">
      <w:lvlJc w:val="left"/>
      <w:lvlText w:val="%2"/>
      <w:numFmt w:val="lowerLetter"/>
      <w:start w:val="1"/>
    </w:lvl>
  </w:abstractNum>
  <w:abstractNum w:abstractNumId="609">
    <w:nsid w:val="477304AC"/>
    <w:multiLevelType w:val="hybridMultilevel"/>
    <w:lvl w:ilvl="0">
      <w:lvlJc w:val="left"/>
      <w:lvlText w:val="(%1)"/>
      <w:numFmt w:val="decimal"/>
      <w:start w:val="30"/>
    </w:lvl>
    <w:lvl w:ilvl="1">
      <w:lvlJc w:val="left"/>
      <w:lvlText w:val="%2"/>
      <w:numFmt w:val="lowerLetter"/>
      <w:start w:val="1"/>
    </w:lvl>
  </w:abstractNum>
  <w:abstractNum w:abstractNumId="610">
    <w:nsid w:val="6B9F7823"/>
    <w:multiLevelType w:val="hybridMultilevel"/>
    <w:lvl w:ilvl="0">
      <w:lvlJc w:val="left"/>
      <w:lvlText w:val="(%1)"/>
      <w:numFmt w:val="lowerLetter"/>
      <w:start w:val="3"/>
    </w:lvl>
  </w:abstractNum>
  <w:abstractNum w:abstractNumId="611">
    <w:nsid w:val="8A29A69"/>
    <w:multiLevelType w:val="hybridMultilevel"/>
    <w:lvl w:ilvl="0">
      <w:lvlJc w:val="left"/>
      <w:lvlText w:val="(%1)"/>
      <w:numFmt w:val="lowerLetter"/>
      <w:start w:val="7"/>
    </w:lvl>
  </w:abstractNum>
  <w:abstractNum w:abstractNumId="612">
    <w:nsid w:val="5A0E9A9F"/>
    <w:multiLevelType w:val="hybridMultilevel"/>
    <w:lvl w:ilvl="0">
      <w:lvlJc w:val="left"/>
      <w:lvlText w:val="(%1)"/>
      <w:numFmt w:val="lowerRoman"/>
      <w:start w:val="6"/>
    </w:lvl>
    <w:lvl w:ilvl="1">
      <w:lvlJc w:val="left"/>
      <w:lvlText w:val="(%2)"/>
      <w:numFmt w:val="lowerLetter"/>
      <w:start w:val="2"/>
    </w:lvl>
  </w:abstractNum>
  <w:abstractNum w:abstractNumId="613">
    <w:nsid w:val="1C3F31CE"/>
    <w:multiLevelType w:val="hybridMultilevel"/>
    <w:lvl w:ilvl="0">
      <w:lvlJc w:val="left"/>
      <w:lvlText w:val="(%1)"/>
      <w:numFmt w:val="lowerLetter"/>
      <w:start w:val="1"/>
    </w:lvl>
  </w:abstractNum>
  <w:abstractNum w:abstractNumId="614">
    <w:nsid w:val="D28DDE"/>
    <w:multiLevelType w:val="hybridMultilevel"/>
    <w:lvl w:ilvl="0">
      <w:lvlJc w:val="left"/>
      <w:lvlText w:val="%1"/>
      <w:numFmt w:val="decimal"/>
      <w:start w:val="1"/>
    </w:lvl>
    <w:lvl w:ilvl="1">
      <w:lvlJc w:val="left"/>
      <w:lvlText w:val="(%2)"/>
      <w:numFmt w:val="lowerLetter"/>
      <w:start w:val="5"/>
    </w:lvl>
  </w:abstractNum>
  <w:abstractNum w:abstractNumId="615">
    <w:nsid w:val="59E3AC4"/>
    <w:multiLevelType w:val="hybridMultilevel"/>
    <w:lvl w:ilvl="0">
      <w:lvlJc w:val="left"/>
      <w:lvlText w:val="(%1)"/>
      <w:numFmt w:val="decimal"/>
      <w:start w:val="2"/>
    </w:lvl>
    <w:lvl w:ilvl="1">
      <w:lvlJc w:val="left"/>
      <w:lvlText w:val="%2"/>
      <w:numFmt w:val="lowerLetter"/>
      <w:start w:val="1"/>
    </w:lvl>
  </w:abstractNum>
  <w:abstractNum w:abstractNumId="616">
    <w:nsid w:val="5D38CAEA"/>
    <w:multiLevelType w:val="hybridMultilevel"/>
    <w:lvl w:ilvl="0">
      <w:lvlJc w:val="left"/>
      <w:lvlText w:val="(%1)"/>
      <w:numFmt w:val="lowerLetter"/>
      <w:start w:val="2"/>
    </w:lvl>
  </w:abstractNum>
  <w:abstractNum w:abstractNumId="617">
    <w:nsid w:val="5F4208C"/>
    <w:multiLevelType w:val="hybridMultilevel"/>
    <w:lvl w:ilvl="0">
      <w:lvlJc w:val="left"/>
      <w:lvlText w:val="(%1)"/>
      <w:numFmt w:val="lowerLetter"/>
      <w:start w:val="4"/>
    </w:lvl>
  </w:abstractNum>
  <w:abstractNum w:abstractNumId="618">
    <w:nsid w:val="7C0F10CC"/>
    <w:multiLevelType w:val="hybridMultilevel"/>
    <w:lvl w:ilvl="0">
      <w:lvlJc w:val="left"/>
      <w:lvlText w:val="(%1)"/>
      <w:numFmt w:val="lowerLetter"/>
      <w:start w:val="2"/>
    </w:lvl>
  </w:abstractNum>
  <w:abstractNum w:abstractNumId="619">
    <w:nsid w:val="25EF81D5"/>
    <w:multiLevelType w:val="hybridMultilevel"/>
    <w:lvl w:ilvl="0">
      <w:lvlJc w:val="left"/>
      <w:lvlText w:val="(%1)"/>
      <w:numFmt w:val="lowerLetter"/>
      <w:start w:val="4"/>
    </w:lvl>
  </w:abstractNum>
  <w:abstractNum w:abstractNumId="620">
    <w:nsid w:val="15A79515"/>
    <w:multiLevelType w:val="hybridMultilevel"/>
    <w:lvl w:ilvl="0">
      <w:lvlJc w:val="left"/>
      <w:lvlText w:val="(%1)"/>
      <w:numFmt w:val="lowerLetter"/>
      <w:start w:val="25"/>
    </w:lvl>
    <w:lvl w:ilvl="1">
      <w:lvlJc w:val="left"/>
      <w:lvlText w:val="(%2)"/>
      <w:numFmt w:val="lowerLetter"/>
      <w:start w:val="2"/>
    </w:lvl>
  </w:abstractNum>
  <w:abstractNum w:abstractNumId="621">
    <w:nsid w:val="4B67062"/>
    <w:multiLevelType w:val="hybridMultilevel"/>
    <w:lvl w:ilvl="0">
      <w:lvlJc w:val="left"/>
      <w:lvlText w:val="(%1)"/>
      <w:numFmt w:val="lowerLetter"/>
      <w:start w:val="2"/>
    </w:lvl>
  </w:abstractNum>
  <w:abstractNum w:abstractNumId="622">
    <w:nsid w:val="51174123"/>
    <w:multiLevelType w:val="hybridMultilevel"/>
    <w:lvl w:ilvl="0">
      <w:lvlJc w:val="left"/>
      <w:lvlText w:val="%1"/>
      <w:numFmt w:val="lowerLetter"/>
      <w:start w:val="1"/>
    </w:lvl>
    <w:lvl w:ilvl="1">
      <w:lvlJc w:val="left"/>
      <w:lvlText w:val="(%2)"/>
      <w:numFmt w:val="lowerLetter"/>
      <w:start w:val="2"/>
    </w:lvl>
  </w:abstractNum>
  <w:abstractNum w:abstractNumId="623">
    <w:nsid w:val="240453CA"/>
    <w:multiLevelType w:val="hybridMultilevel"/>
    <w:lvl w:ilvl="0">
      <w:lvlJc w:val="left"/>
      <w:lvlText w:val="(%1)"/>
      <w:numFmt w:val="lowerLetter"/>
      <w:start w:val="9"/>
    </w:lvl>
    <w:lvl w:ilvl="1">
      <w:lvlJc w:val="left"/>
      <w:lvlText w:val="%2"/>
      <w:numFmt w:val="lowerLetter"/>
      <w:start w:val="1"/>
    </w:lvl>
  </w:abstractNum>
  <w:abstractNum w:abstractNumId="624">
    <w:nsid w:val="2E326D9A"/>
    <w:multiLevelType w:val="hybridMultilevel"/>
    <w:lvl w:ilvl="0">
      <w:lvlJc w:val="left"/>
      <w:lvlText w:val="(%1)"/>
      <w:numFmt w:val="lowerRoman"/>
      <w:start w:val="2"/>
    </w:lvl>
  </w:abstractNum>
  <w:abstractNum w:abstractNumId="625">
    <w:nsid w:val="5EB19210"/>
    <w:multiLevelType w:val="hybridMultilevel"/>
    <w:lvl w:ilvl="0">
      <w:lvlJc w:val="left"/>
      <w:lvlText w:val="(%1)"/>
      <w:numFmt w:val="lowerRoman"/>
      <w:start w:val="6"/>
    </w:lvl>
    <w:lvl w:ilvl="1">
      <w:lvlJc w:val="left"/>
      <w:lvlText w:val="(%2)"/>
      <w:numFmt w:val="lowerLetter"/>
      <w:start w:val="3"/>
    </w:lvl>
  </w:abstractNum>
  <w:abstractNum w:abstractNumId="626">
    <w:nsid w:val="44DEFF9B"/>
    <w:multiLevelType w:val="hybridMultilevel"/>
    <w:lvl w:ilvl="0">
      <w:lvlJc w:val="left"/>
      <w:lvlText w:val="(%1)"/>
      <w:numFmt w:val="lowerLetter"/>
      <w:start w:val="1"/>
    </w:lvl>
  </w:abstractNum>
  <w:abstractNum w:abstractNumId="627">
    <w:nsid w:val="1FE7D17D"/>
    <w:multiLevelType w:val="hybridMultilevel"/>
    <w:lvl w:ilvl="0">
      <w:lvlJc w:val="left"/>
      <w:lvlText w:val="(%1)"/>
      <w:numFmt w:val="lowerLetter"/>
      <w:start w:val="2"/>
    </w:lvl>
  </w:abstractNum>
  <w:abstractNum w:abstractNumId="628">
    <w:nsid w:val="52CBAB2E"/>
    <w:multiLevelType w:val="hybridMultilevel"/>
    <w:lvl w:ilvl="0">
      <w:lvlJc w:val="left"/>
      <w:lvlText w:val="%1"/>
      <w:numFmt w:val="lowerLetter"/>
      <w:start w:val="1"/>
    </w:lvl>
    <w:lvl w:ilvl="1">
      <w:lvlJc w:val="left"/>
      <w:lvlText w:val="(%2)"/>
      <w:numFmt w:val="lowerRoman"/>
      <w:start w:val="1"/>
    </w:lvl>
  </w:abstractNum>
  <w:abstractNum w:abstractNumId="629">
    <w:nsid w:val="1A6760EF"/>
    <w:multiLevelType w:val="hybridMultilevel"/>
    <w:lvl w:ilvl="0">
      <w:lvlJc w:val="left"/>
      <w:lvlText w:val="(%1)"/>
      <w:numFmt w:val="lowerLetter"/>
      <w:start w:val="2"/>
    </w:lvl>
    <w:lvl w:ilvl="1">
      <w:lvlJc w:val="left"/>
      <w:lvlText w:val="%2"/>
      <w:numFmt w:val="lowerRoman"/>
      <w:start w:val="1"/>
    </w:lvl>
  </w:abstractNum>
  <w:abstractNum w:abstractNumId="630">
    <w:nsid w:val="5E52C405"/>
    <w:multiLevelType w:val="hybridMultilevel"/>
    <w:lvl w:ilvl="0">
      <w:lvlJc w:val="left"/>
      <w:lvlText w:val="(%1)"/>
      <w:numFmt w:val="lowerLetter"/>
      <w:start w:val="3"/>
    </w:lvl>
  </w:abstractNum>
  <w:abstractNum w:abstractNumId="631">
    <w:nsid w:val="486447"/>
    <w:multiLevelType w:val="hybridMultilevel"/>
    <w:lvl w:ilvl="0">
      <w:lvlJc w:val="left"/>
      <w:lvlText w:val="(%1)"/>
      <w:numFmt w:val="lowerRoman"/>
      <w:start w:val="2"/>
    </w:lvl>
  </w:abstractNum>
  <w:abstractNum w:abstractNumId="632">
    <w:nsid w:val="61E90D1E"/>
    <w:multiLevelType w:val="hybridMultilevel"/>
    <w:lvl w:ilvl="0">
      <w:lvlJc w:val="left"/>
      <w:lvlText w:val="(%1)"/>
      <w:numFmt w:val="decimal"/>
      <w:start w:val="30"/>
    </w:lvl>
  </w:abstractNum>
  <w:abstractNum w:abstractNumId="633">
    <w:nsid w:val="44BD67E6"/>
    <w:multiLevelType w:val="hybridMultilevel"/>
    <w:lvl w:ilvl="0">
      <w:lvlJc w:val="left"/>
      <w:lvlText w:val="(%1)"/>
      <w:numFmt w:val="lowerLetter"/>
      <w:start w:val="1"/>
    </w:lvl>
  </w:abstractNum>
  <w:abstractNum w:abstractNumId="634">
    <w:nsid w:val="325102D3"/>
    <w:multiLevelType w:val="hybridMultilevel"/>
    <w:lvl w:ilvl="0">
      <w:lvlJc w:val="left"/>
      <w:lvlText w:val="(%1)"/>
      <w:numFmt w:val="lowerLetter"/>
      <w:start w:val="4"/>
    </w:lvl>
  </w:abstractNum>
  <w:abstractNum w:abstractNumId="635">
    <w:nsid w:val="3D9579BA"/>
    <w:multiLevelType w:val="hybridMultilevel"/>
    <w:lvl w:ilvl="0">
      <w:lvlJc w:val="left"/>
      <w:lvlText w:val="(%1)"/>
      <w:numFmt w:val="lowerLetter"/>
      <w:start w:val="1"/>
    </w:lvl>
  </w:abstractNum>
  <w:abstractNum w:abstractNumId="636">
    <w:nsid w:val="ACD4C11"/>
    <w:multiLevelType w:val="hybridMultilevel"/>
    <w:lvl w:ilvl="0">
      <w:lvlJc w:val="left"/>
      <w:lvlText w:val="(%1)"/>
      <w:numFmt w:val="lowerLetter"/>
      <w:start w:val="2"/>
    </w:lvl>
  </w:abstractNum>
  <w:abstractNum w:abstractNumId="637">
    <w:nsid w:val="111817CF"/>
    <w:multiLevelType w:val="hybridMultilevel"/>
    <w:lvl w:ilvl="0">
      <w:lvlJc w:val="left"/>
      <w:lvlText w:val="(%1)"/>
      <w:numFmt w:val="upperLetter"/>
      <w:start w:val="1"/>
    </w:lvl>
  </w:abstractNum>
  <w:abstractNum w:abstractNumId="638">
    <w:nsid w:val="76C8B568"/>
    <w:multiLevelType w:val="hybridMultilevel"/>
    <w:lvl w:ilvl="0">
      <w:lvlJc w:val="left"/>
      <w:lvlText w:val="(%1)"/>
      <w:numFmt w:val="lowerLetter"/>
      <w:start w:val="2"/>
    </w:lvl>
    <w:lvl w:ilvl="1">
      <w:lvlJc w:val="left"/>
      <w:lvlText w:val="(%2)"/>
      <w:numFmt w:val="lowerRoman"/>
      <w:start w:val="1"/>
    </w:lvl>
  </w:abstractNum>
  <w:abstractNum w:abstractNumId="639">
    <w:nsid w:val="3ACC76B1"/>
    <w:multiLevelType w:val="hybridMultilevel"/>
    <w:lvl w:ilvl="0">
      <w:lvlJc w:val="left"/>
      <w:lvlText w:val="(%1)"/>
      <w:numFmt w:val="lowerRoman"/>
      <w:start w:val="4"/>
    </w:lvl>
  </w:abstractNum>
  <w:abstractNum w:abstractNumId="640">
    <w:nsid w:val="588B1C7C"/>
    <w:multiLevelType w:val="hybridMultilevel"/>
    <w:lvl w:ilvl="0">
      <w:lvlJc w:val="left"/>
      <w:lvlText w:val="(%1)"/>
      <w:numFmt w:val="lowerLetter"/>
      <w:start w:val="1"/>
    </w:lvl>
  </w:abstractNum>
  <w:abstractNum w:abstractNumId="641">
    <w:nsid w:val="62682D8B"/>
    <w:multiLevelType w:val="hybridMultilevel"/>
    <w:lvl w:ilvl="0">
      <w:lvlJc w:val="left"/>
      <w:lvlText w:val="(%1)"/>
      <w:numFmt w:val="lowerLetter"/>
      <w:start w:val="25"/>
    </w:lvl>
    <w:lvl w:ilvl="1">
      <w:lvlJc w:val="left"/>
      <w:lvlText w:val="(%2)"/>
      <w:numFmt w:val="lowerLetter"/>
      <w:start w:val="2"/>
    </w:lvl>
  </w:abstractNum>
  <w:abstractNum w:abstractNumId="642">
    <w:nsid w:val="436F111A"/>
    <w:multiLevelType w:val="hybridMultilevel"/>
    <w:lvl w:ilvl="0">
      <w:lvlJc w:val="left"/>
      <w:lvlText w:val="(%1)"/>
      <w:numFmt w:val="lowerLetter"/>
      <w:start w:val="2"/>
    </w:lvl>
    <w:lvl w:ilvl="1">
      <w:lvlJc w:val="left"/>
      <w:lvlText w:val="%2"/>
      <w:numFmt w:val="lowerLetter"/>
      <w:start w:val="1"/>
    </w:lvl>
  </w:abstractNum>
  <w:abstractNum w:abstractNumId="643">
    <w:nsid w:val="3299B71B"/>
    <w:multiLevelType w:val="hybridMultilevel"/>
    <w:lvl w:ilvl="0">
      <w:lvlJc w:val="left"/>
      <w:lvlText w:val="(%1)"/>
      <w:numFmt w:val="lowerLetter"/>
      <w:start w:val="3"/>
    </w:lvl>
  </w:abstractNum>
  <w:abstractNum w:abstractNumId="644">
    <w:nsid w:val="7EA75F5A"/>
    <w:multiLevelType w:val="hybridMultilevel"/>
    <w:lvl w:ilvl="0">
      <w:lvlJc w:val="left"/>
      <w:lvlText w:val="(%1)"/>
      <w:numFmt w:val="lowerLetter"/>
      <w:start w:val="1"/>
    </w:lvl>
  </w:abstractNum>
  <w:abstractNum w:abstractNumId="645">
    <w:nsid w:val="44419EF9"/>
    <w:multiLevelType w:val="hybridMultilevel"/>
    <w:lvl w:ilvl="0">
      <w:lvlJc w:val="left"/>
      <w:lvlText w:val="(%1)"/>
      <w:numFmt w:val="lowerLetter"/>
      <w:start w:val="3"/>
    </w:lvl>
  </w:abstractNum>
  <w:abstractNum w:abstractNumId="646">
    <w:nsid w:val="3837F1DF"/>
    <w:multiLevelType w:val="hybridMultilevel"/>
    <w:lvl w:ilvl="0">
      <w:lvlJc w:val="left"/>
      <w:lvlText w:val="(%1)"/>
      <w:numFmt w:val="lowerLetter"/>
      <w:start w:val="1"/>
    </w:lvl>
  </w:abstractNum>
  <w:abstractNum w:abstractNumId="647">
    <w:nsid w:val="5BE02A44"/>
    <w:multiLevelType w:val="hybridMultilevel"/>
    <w:lvl w:ilvl="0">
      <w:lvlJc w:val="left"/>
      <w:lvlText w:val="(%1)"/>
      <w:numFmt w:val="lowerLetter"/>
      <w:start w:val="2"/>
    </w:lvl>
  </w:abstractNum>
  <w:abstractNum w:abstractNumId="648">
    <w:nsid w:val="4A35BF85"/>
    <w:multiLevelType w:val="hybridMultilevel"/>
    <w:lvl w:ilvl="0">
      <w:lvlJc w:val="left"/>
      <w:lvlText w:val="(%1)"/>
      <w:numFmt w:val="lowerLetter"/>
      <w:start w:val="1"/>
    </w:lvl>
    <w:lvl w:ilvl="1">
      <w:lvlJc w:val="left"/>
      <w:lvlText w:val="(%2)"/>
      <w:numFmt w:val="lowerLetter"/>
      <w:start w:val="9"/>
    </w:lvl>
  </w:abstractNum>
  <w:abstractNum w:abstractNumId="649">
    <w:nsid w:val="344702AC"/>
    <w:multiLevelType w:val="hybridMultilevel"/>
    <w:lvl w:ilvl="0">
      <w:lvlJc w:val="left"/>
      <w:lvlText w:val="(%1)"/>
      <w:numFmt w:val="lowerRoman"/>
      <w:start w:val="3"/>
    </w:lvl>
  </w:abstractNum>
  <w:abstractNum w:abstractNumId="650">
    <w:nsid w:val="1CFAC1A"/>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651">
    <w:nsid w:val="5FDD549A"/>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652">
    <w:nsid w:val="38FD730E"/>
    <w:multiLevelType w:val="hybridMultilevel"/>
    <w:lvl w:ilvl="0">
      <w:lvlJc w:val="left"/>
      <w:lvlText w:val="(%1)"/>
      <w:numFmt w:val="upperLetter"/>
      <w:start w:val="2"/>
    </w:lvl>
    <w:lvl w:ilvl="1">
      <w:lvlJc w:val="left"/>
      <w:lvlText w:val="(%2)"/>
      <w:numFmt w:val="lowerLetter"/>
      <w:start w:val="3"/>
    </w:lvl>
    <w:lvl w:ilvl="2">
      <w:lvlJc w:val="left"/>
      <w:lvlText w:val="%3"/>
      <w:numFmt w:val="lowerRoman"/>
      <w:start w:val="1"/>
    </w:lvl>
  </w:abstractNum>
  <w:abstractNum w:abstractNumId="653">
    <w:nsid w:val="52E6ED3D"/>
    <w:multiLevelType w:val="hybridMultilevel"/>
    <w:lvl w:ilvl="0">
      <w:lvlJc w:val="left"/>
      <w:lvlText w:val="(%1)"/>
      <w:numFmt w:val="lowerLetter"/>
      <w:start w:val="1"/>
    </w:lvl>
    <w:lvl w:ilvl="1">
      <w:lvlJc w:val="left"/>
      <w:lvlText w:val="(%2)"/>
      <w:numFmt w:val="lowerRoman"/>
      <w:start w:val="1"/>
    </w:lvl>
  </w:abstractNum>
  <w:abstractNum w:abstractNumId="654">
    <w:nsid w:val="3E1A864"/>
    <w:multiLevelType w:val="hybridMultilevel"/>
    <w:lvl w:ilvl="0">
      <w:lvlJc w:val="left"/>
      <w:lvlText w:val="%1"/>
      <w:numFmt w:val="lowerLetter"/>
      <w:start w:val="1"/>
    </w:lvl>
    <w:lvl w:ilvl="1">
      <w:lvlJc w:val="left"/>
      <w:lvlText w:val="(%2)"/>
      <w:numFmt w:val="lowerRoman"/>
      <w:start w:val="3"/>
    </w:lvl>
  </w:abstractNum>
  <w:abstractNum w:abstractNumId="655">
    <w:nsid w:val="672FE0A8"/>
    <w:multiLevelType w:val="hybridMultilevel"/>
    <w:lvl w:ilvl="0">
      <w:lvlJc w:val="left"/>
      <w:lvlText w:val="(%1)"/>
      <w:numFmt w:val="lowerLetter"/>
      <w:start w:val="2"/>
    </w:lvl>
    <w:lvl w:ilvl="1">
      <w:lvlJc w:val="left"/>
      <w:lvlText w:val="%2"/>
      <w:numFmt w:val="lowerRoman"/>
      <w:start w:val="1"/>
    </w:lvl>
  </w:abstractNum>
  <w:abstractNum w:abstractNumId="656">
    <w:nsid w:val="31987F4D"/>
    <w:multiLevelType w:val="hybridMultilevel"/>
    <w:lvl w:ilvl="0">
      <w:lvlJc w:val="left"/>
      <w:lvlText w:val="(%1)"/>
      <w:numFmt w:val="decimal"/>
      <w:start w:val="5"/>
    </w:lvl>
  </w:abstractNum>
  <w:abstractNum w:abstractNumId="657">
    <w:nsid w:val="48C0A800"/>
    <w:multiLevelType w:val="hybridMultilevel"/>
    <w:lvl w:ilvl="0">
      <w:lvlJc w:val="left"/>
      <w:lvlText w:val="(%1)"/>
      <w:numFmt w:val="lowerLetter"/>
      <w:start w:val="1"/>
    </w:lvl>
  </w:abstractNum>
  <w:abstractNum w:abstractNumId="658">
    <w:nsid w:val="717B226"/>
    <w:multiLevelType w:val="hybridMultilevel"/>
    <w:lvl w:ilvl="0">
      <w:lvlJc w:val="left"/>
      <w:lvlText w:val="(%1)"/>
      <w:numFmt w:val="lowerLetter"/>
      <w:start w:val="2"/>
    </w:lvl>
  </w:abstractNum>
  <w:abstractNum w:abstractNumId="659">
    <w:nsid w:val="4642A7B"/>
    <w:multiLevelType w:val="hybridMultilevel"/>
    <w:lvl w:ilvl="0">
      <w:lvlJc w:val="left"/>
      <w:lvlText w:val="(%1)"/>
      <w:numFmt w:val="decimal"/>
      <w:start w:val="30"/>
    </w:lvl>
  </w:abstractNum>
  <w:abstractNum w:abstractNumId="660">
    <w:nsid w:val="632808EF"/>
    <w:multiLevelType w:val="hybridMultilevel"/>
    <w:lvl w:ilvl="0">
      <w:lvlJc w:val="left"/>
      <w:lvlText w:val="(%1)"/>
      <w:numFmt w:val="decimal"/>
      <w:start w:val="2"/>
    </w:lvl>
  </w:abstractNum>
  <w:abstractNum w:abstractNumId="661">
    <w:nsid w:val="656A762B"/>
    <w:multiLevelType w:val="hybridMultilevel"/>
    <w:lvl w:ilvl="0">
      <w:lvlJc w:val="left"/>
      <w:lvlText w:val="(%1)"/>
      <w:numFmt w:val="lowerLetter"/>
      <w:start w:val="2"/>
    </w:lvl>
  </w:abstractNum>
  <w:abstractNum w:abstractNumId="662">
    <w:nsid w:val="4AC8EC3"/>
    <w:multiLevelType w:val="hybridMultilevel"/>
    <w:lvl w:ilvl="0">
      <w:lvlJc w:val="left"/>
      <w:lvlText w:val="(%1)"/>
      <w:numFmt w:val="lowerLetter"/>
      <w:start w:val="3"/>
    </w:lvl>
  </w:abstractNum>
  <w:abstractNum w:abstractNumId="663">
    <w:nsid w:val="4511160D"/>
    <w:multiLevelType w:val="hybridMultilevel"/>
    <w:lvl w:ilvl="0">
      <w:lvlJc w:val="left"/>
      <w:lvlText w:val="(%1)"/>
      <w:numFmt w:val="lowerRoman"/>
      <w:start w:val="2"/>
    </w:lvl>
  </w:abstractNum>
  <w:abstractNum w:abstractNumId="664">
    <w:nsid w:val="2A27DE11"/>
    <w:multiLevelType w:val="hybridMultilevel"/>
    <w:lvl w:ilvl="0">
      <w:lvlJc w:val="left"/>
      <w:lvlText w:val="(%1)"/>
      <w:numFmt w:val="lowerLetter"/>
      <w:start w:val="1"/>
    </w:lvl>
  </w:abstractNum>
  <w:abstractNum w:abstractNumId="665">
    <w:nsid w:val="36FD9196"/>
    <w:multiLevelType w:val="hybridMultilevel"/>
    <w:lvl w:ilvl="0">
      <w:lvlJc w:val="left"/>
      <w:lvlText w:val="(%1)"/>
      <w:numFmt w:val="lowerLetter"/>
      <w:start w:val="2"/>
    </w:lvl>
  </w:abstractNum>
  <w:abstractNum w:abstractNumId="666">
    <w:nsid w:val="2A68FC8"/>
    <w:multiLevelType w:val="hybridMultilevel"/>
    <w:lvl w:ilvl="0">
      <w:lvlJc w:val="left"/>
      <w:lvlText w:val="(%1)"/>
      <w:numFmt w:val="lowerLetter"/>
      <w:start w:val="25"/>
    </w:lvl>
  </w:abstractNum>
  <w:abstractNum w:abstractNumId="667">
    <w:nsid w:val="34F52A23"/>
    <w:multiLevelType w:val="hybridMultilevel"/>
    <w:lvl w:ilvl="0">
      <w:lvlJc w:val="left"/>
      <w:lvlText w:val="(%1)"/>
      <w:numFmt w:val="lowerLetter"/>
      <w:start w:val="2"/>
    </w:lvl>
  </w:abstractNum>
  <w:abstractNum w:abstractNumId="668">
    <w:nsid w:val="4815A966"/>
    <w:multiLevelType w:val="hybridMultilevel"/>
    <w:lvl w:ilvl="0">
      <w:lvlJc w:val="left"/>
      <w:lvlText w:val="(%1)"/>
      <w:numFmt w:val="lowerLetter"/>
      <w:start w:val="3"/>
    </w:lvl>
    <w:lvl w:ilvl="1">
      <w:lvlJc w:val="left"/>
      <w:lvlText w:val="(%2)"/>
      <w:numFmt w:val="lowerRoman"/>
      <w:start w:val="1"/>
    </w:lvl>
  </w:abstractNum>
  <w:abstractNum w:abstractNumId="669">
    <w:nsid w:val="796F4530"/>
    <w:multiLevelType w:val="hybridMultilevel"/>
    <w:lvl w:ilvl="0">
      <w:lvlJc w:val="left"/>
      <w:lvlText w:val="(%1)"/>
      <w:numFmt w:val="lowerLetter"/>
      <w:start w:val="1"/>
    </w:lvl>
    <w:lvl w:ilvl="1">
      <w:lvlJc w:val="left"/>
      <w:lvlText w:val="(%2)"/>
      <w:numFmt w:val="lowerLetter"/>
      <w:start w:val="2"/>
    </w:lvl>
  </w:abstractNum>
  <w:abstractNum w:abstractNumId="670">
    <w:nsid w:val="6FC1A0D4"/>
    <w:multiLevelType w:val="hybridMultilevel"/>
    <w:lvl w:ilvl="0">
      <w:lvlJc w:val="left"/>
      <w:lvlText w:val="(%1)"/>
      <w:numFmt w:val="lowerLetter"/>
      <w:start w:val="9"/>
    </w:lvl>
    <w:lvl w:ilvl="1">
      <w:lvlJc w:val="left"/>
      <w:lvlText w:val="%2"/>
      <w:numFmt w:val="lowerLetter"/>
      <w:start w:val="1"/>
    </w:lvl>
  </w:abstractNum>
  <w:abstractNum w:abstractNumId="671">
    <w:nsid w:val="20A0C5E2"/>
    <w:multiLevelType w:val="hybridMultilevel"/>
    <w:lvl w:ilvl="0">
      <w:lvlJc w:val="left"/>
      <w:lvlText w:val="(%1)"/>
      <w:numFmt w:val="lowerLetter"/>
      <w:start w:val="3"/>
    </w:lvl>
  </w:abstractNum>
  <w:abstractNum w:abstractNumId="672">
    <w:nsid w:val="5BD772BB"/>
    <w:multiLevelType w:val="hybridMultilevel"/>
    <w:lvl w:ilvl="0">
      <w:lvlJc w:val="left"/>
      <w:lvlText w:val="(%1)"/>
      <w:numFmt w:val="decimal"/>
      <w:start w:val="1"/>
    </w:lvl>
  </w:abstractNum>
  <w:abstractNum w:abstractNumId="673">
    <w:nsid w:val="3330B1EE"/>
    <w:multiLevelType w:val="hybridMultilevel"/>
    <w:lvl w:ilvl="0">
      <w:lvlJc w:val="left"/>
      <w:lvlText w:val="(%1)"/>
      <w:numFmt w:val="decimal"/>
      <w:start w:val="3"/>
    </w:lvl>
  </w:abstractNum>
  <w:abstractNum w:abstractNumId="674">
    <w:nsid w:val="533A7CFD"/>
    <w:multiLevelType w:val="hybridMultilevel"/>
    <w:lvl w:ilvl="0">
      <w:lvlJc w:val="left"/>
      <w:lvlText w:val="(%1)"/>
      <w:numFmt w:val="lowerRoman"/>
      <w:start w:val="1"/>
    </w:lvl>
  </w:abstractNum>
  <w:abstractNum w:abstractNumId="675">
    <w:nsid w:val="5A7ED215"/>
    <w:multiLevelType w:val="hybridMultilevel"/>
    <w:lvl w:ilvl="0">
      <w:lvlJc w:val="left"/>
      <w:lvlText w:val="(%1)"/>
      <w:numFmt w:val="decimal"/>
      <w:start w:val="5"/>
    </w:lvl>
  </w:abstractNum>
  <w:abstractNum w:abstractNumId="676">
    <w:nsid w:val="777250E7"/>
    <w:multiLevelType w:val="hybridMultilevel"/>
    <w:lvl w:ilvl="0">
      <w:lvlJc w:val="left"/>
      <w:lvlText w:val="(%1)"/>
      <w:numFmt w:val="decimal"/>
      <w:start w:val="3"/>
    </w:lvl>
  </w:abstractNum>
  <w:abstractNum w:abstractNumId="677">
    <w:nsid w:val="B726EDC"/>
    <w:multiLevelType w:val="hybridMultilevel"/>
    <w:lvl w:ilvl="0">
      <w:lvlJc w:val="left"/>
      <w:lvlText w:val="(%1)"/>
      <w:numFmt w:val="lowerLetter"/>
      <w:start w:val="3"/>
    </w:lvl>
  </w:abstractNum>
  <w:abstractNum w:abstractNumId="678">
    <w:nsid w:val="365EFC5A"/>
    <w:multiLevelType w:val="hybridMultilevel"/>
    <w:lvl w:ilvl="0">
      <w:lvlJc w:val="left"/>
      <w:lvlText w:val="(%1)"/>
      <w:numFmt w:val="lowerLetter"/>
      <w:start w:val="23"/>
    </w:lvl>
  </w:abstractNum>
  <w:abstractNum w:abstractNumId="679">
    <w:nsid w:val="41A8106C"/>
    <w:multiLevelType w:val="hybridMultilevel"/>
    <w:lvl w:ilvl="0">
      <w:lvlJc w:val="left"/>
      <w:lvlText w:val="(%1)"/>
      <w:numFmt w:val="lowerRoman"/>
      <w:start w:val="8"/>
    </w:lvl>
  </w:abstractNum>
  <w:abstractNum w:abstractNumId="680">
    <w:nsid w:val="3FB97188"/>
    <w:multiLevelType w:val="hybridMultilevel"/>
    <w:lvl w:ilvl="0">
      <w:lvlJc w:val="left"/>
      <w:lvlText w:val="%1."/>
      <w:numFmt w:val="decimal"/>
      <w:start w:val="1"/>
    </w:lvl>
  </w:abstractNum>
  <w:abstractNum w:abstractNumId="681">
    <w:nsid w:val="382EA874"/>
    <w:multiLevelType w:val="hybridMultilevel"/>
    <w:lvl w:ilvl="0">
      <w:lvlJc w:val="left"/>
      <w:lvlText w:val="%1."/>
      <w:numFmt w:val="decimal"/>
      <w:start w:val="2"/>
    </w:lvl>
  </w:abstractNum>
  <w:abstractNum w:abstractNumId="682">
    <w:nsid w:val="21856507"/>
    <w:multiLevelType w:val="hybridMultilevel"/>
    <w:lvl w:ilvl="0">
      <w:lvlJc w:val="left"/>
      <w:lvlText w:val="(%1)"/>
      <w:numFmt w:val="lowerRoman"/>
      <w:start w:val="1"/>
    </w:lvl>
  </w:abstractNum>
  <w:abstractNum w:abstractNumId="683">
    <w:nsid w:val="78B6E496"/>
    <w:multiLevelType w:val="hybridMultilevel"/>
    <w:lvl w:ilvl="0">
      <w:lvlJc w:val="left"/>
      <w:lvlText w:val="%1."/>
      <w:numFmt w:val="decimal"/>
      <w:start w:val="5"/>
    </w:lvl>
    <w:lvl w:ilvl="1">
      <w:lvlJc w:val="left"/>
      <w:lvlText w:val="%2."/>
      <w:numFmt w:val="lowerLetter"/>
      <w:start w:val="1"/>
    </w:lvl>
  </w:abstractNum>
  <w:abstractNum w:abstractNumId="684">
    <w:nsid w:val="B1595B1"/>
    <w:multiLevelType w:val="hybridMultilevel"/>
    <w:lvl w:ilvl="0">
      <w:lvlJc w:val="left"/>
      <w:lvlText w:val="%1."/>
      <w:numFmt w:val="decimal"/>
      <w:start w:val="6"/>
    </w:lvl>
  </w:abstractNum>
  <w:abstractNum w:abstractNumId="685">
    <w:nsid w:val="25670D6B"/>
    <w:multiLevelType w:val="hybridMultilevel"/>
    <w:lvl w:ilvl="0">
      <w:lvlJc w:val="left"/>
      <w:lvlText w:val="%1."/>
      <w:numFmt w:val="decimal"/>
      <w:start w:val="8"/>
    </w:lvl>
  </w:abstractNum>
  <w:abstractNum w:abstractNumId="686">
    <w:nsid w:val="5FE6C53F"/>
    <w:multiLevelType w:val="hybridMultilevel"/>
    <w:lvl w:ilvl="0">
      <w:lvlJc w:val="left"/>
      <w:lvlText w:val="%1."/>
      <w:numFmt w:val="decimal"/>
      <w:start w:val="9"/>
    </w:lvl>
  </w:abstractNum>
  <w:abstractNum w:abstractNumId="687">
    <w:nsid w:val="3CAE14FE"/>
    <w:multiLevelType w:val="hybridMultilevel"/>
    <w:lvl w:ilvl="0">
      <w:lvlJc w:val="left"/>
      <w:lvlText w:val="%1."/>
      <w:numFmt w:val="decimal"/>
      <w:start w:val="11"/>
    </w:lvl>
  </w:abstractNum>
  <w:abstractNum w:abstractNumId="688">
    <w:nsid w:val="6E27B56B"/>
    <w:multiLevelType w:val="hybridMultilevel"/>
    <w:lvl w:ilvl="0">
      <w:lvlJc w:val="left"/>
      <w:lvlText w:val="%1."/>
      <w:numFmt w:val="decimal"/>
      <w:start w:val="13"/>
    </w:lvl>
  </w:abstractNum>
  <w:abstractNum w:abstractNumId="689">
    <w:nsid w:val="66FE7765"/>
    <w:multiLevelType w:val="hybridMultilevel"/>
    <w:lvl w:ilvl="0">
      <w:lvlJc w:val="left"/>
      <w:lvlText w:val="%1."/>
      <w:numFmt w:val="decimal"/>
      <w:start w:val="16"/>
    </w:lvl>
  </w:abstractNum>
  <w:abstractNum w:abstractNumId="690">
    <w:nsid w:val="41123F79"/>
    <w:multiLevelType w:val="hybridMultilevel"/>
    <w:lvl w:ilvl="0">
      <w:lvlJc w:val="left"/>
      <w:lvlText w:val="%1."/>
      <w:numFmt w:val="decimal"/>
      <w:start w:val="21"/>
    </w:lvl>
  </w:abstractNum>
  <w:abstractNum w:abstractNumId="691">
    <w:nsid w:val="514FBE5A"/>
    <w:multiLevelType w:val="hybridMultilevel"/>
    <w:lvl w:ilvl="0">
      <w:lvlJc w:val="left"/>
      <w:lvlText w:val="%1."/>
      <w:numFmt w:val="decimal"/>
      <w:start w:val="1"/>
    </w:lvl>
  </w:abstractNum>
  <w:abstractNum w:abstractNumId="692">
    <w:nsid w:val="4C68ED90"/>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693">
    <w:nsid w:val="45BECE3C"/>
    <w:multiLevelType w:val="hybridMultilevel"/>
    <w:lvl w:ilvl="0">
      <w:lvlJc w:val="left"/>
      <w:lvlText w:val="(%1)"/>
      <w:numFmt w:val="lowerRoman"/>
      <w:start w:val="2"/>
    </w:lvl>
  </w:abstractNum>
  <w:abstractNum w:abstractNumId="694">
    <w:nsid w:val="1660D468"/>
    <w:multiLevelType w:val="hybridMultilevel"/>
    <w:lvl w:ilvl="0">
      <w:lvlJc w:val="left"/>
      <w:lvlText w:val="(%1)"/>
      <w:numFmt w:val="lowerLetter"/>
      <w:start w:val="1"/>
    </w:lvl>
    <w:lvl w:ilvl="1">
      <w:lvlJc w:val="left"/>
      <w:lvlText w:val="(%2)"/>
      <w:numFmt w:val="lowerLetter"/>
      <w:start w:val="9"/>
    </w:lvl>
  </w:abstractNum>
  <w:abstractNum w:abstractNumId="695">
    <w:nsid w:val="7690CBA1"/>
    <w:multiLevelType w:val="hybridMultilevel"/>
    <w:lvl w:ilvl="0">
      <w:lvlJc w:val="left"/>
      <w:lvlText w:val="(%1)"/>
      <w:numFmt w:val="lowerLetter"/>
      <w:start w:val="4"/>
    </w:lvl>
  </w:abstractNum>
  <w:abstractNum w:abstractNumId="696">
    <w:nsid w:val="7CBC5FD3"/>
    <w:multiLevelType w:val="hybridMultilevel"/>
    <w:lvl w:ilvl="0">
      <w:lvlJc w:val="left"/>
      <w:lvlText w:val="%1."/>
      <w:numFmt w:val="decimal"/>
      <w:start w:val="3"/>
    </w:lvl>
  </w:abstractNum>
  <w:abstractNum w:abstractNumId="697">
    <w:nsid w:val="19076430"/>
    <w:multiLevelType w:val="hybridMultilevel"/>
    <w:lvl w:ilvl="0">
      <w:lvlJc w:val="left"/>
      <w:lvlText w:val="(%1)"/>
      <w:numFmt w:val="lowerLetter"/>
      <w:start w:val="1"/>
    </w:lvl>
  </w:abstractNum>
  <w:abstractNum w:abstractNumId="698">
    <w:nsid w:val="2B85F5C4"/>
    <w:multiLevelType w:val="hybridMultilevel"/>
    <w:lvl w:ilvl="0">
      <w:lvlJc w:val="left"/>
      <w:lvlText w:val="(%1)"/>
      <w:numFmt w:val="lowerLetter"/>
      <w:start w:val="2"/>
    </w:lvl>
  </w:abstractNum>
  <w:abstractNum w:abstractNumId="699">
    <w:nsid w:val="44D20939"/>
    <w:multiLevelType w:val="hybridMultilevel"/>
    <w:lvl w:ilvl="0">
      <w:lvlJc w:val="left"/>
      <w:lvlText w:val="(%1)"/>
      <w:numFmt w:val="lowerLetter"/>
      <w:start w:val="1"/>
    </w:lvl>
  </w:abstractNum>
  <w:abstractNum w:abstractNumId="700">
    <w:nsid w:val="1276A960"/>
    <w:multiLevelType w:val="hybridMultilevel"/>
    <w:lvl w:ilvl="0">
      <w:lvlJc w:val="left"/>
      <w:lvlText w:val="%1"/>
      <w:numFmt w:val="decimal"/>
      <w:start w:val="1"/>
    </w:lvl>
    <w:lvl w:ilvl="1">
      <w:lvlJc w:val="left"/>
      <w:lvlText w:val="(%2)"/>
      <w:numFmt w:val="lowerLetter"/>
      <w:start w:val="5"/>
    </w:lvl>
  </w:abstractNum>
  <w:abstractNum w:abstractNumId="701">
    <w:nsid w:val="1B479698"/>
    <w:multiLevelType w:val="hybridMultilevel"/>
    <w:lvl w:ilvl="0">
      <w:lvlJc w:val="left"/>
      <w:lvlText w:val="%1."/>
      <w:numFmt w:val="decimal"/>
      <w:start w:val="4"/>
    </w:lvl>
    <w:lvl w:ilvl="1">
      <w:lvlJc w:val="left"/>
      <w:lvlText w:val="%2"/>
      <w:numFmt w:val="lowerLetter"/>
      <w:start w:val="1"/>
    </w:lvl>
  </w:abstractNum>
  <w:abstractNum w:abstractNumId="702">
    <w:nsid w:val="6572CF1B"/>
    <w:multiLevelType w:val="hybridMultilevel"/>
    <w:lvl w:ilvl="0">
      <w:lvlJc w:val="left"/>
      <w:lvlText w:val="%1."/>
      <w:numFmt w:val="decimal"/>
      <w:start w:val="5"/>
    </w:lvl>
  </w:abstractNum>
  <w:abstractNum w:abstractNumId="703">
    <w:nsid w:val="6E4E1C1B"/>
    <w:multiLevelType w:val="hybridMultilevel"/>
    <w:lvl w:ilvl="0">
      <w:lvlJc w:val="left"/>
      <w:lvlText w:val="%1"/>
      <w:numFmt w:val="decimal"/>
      <w:start w:val="1"/>
    </w:lvl>
    <w:lvl w:ilvl="1">
      <w:lvlJc w:val="left"/>
      <w:lvlText w:val="(%2)"/>
      <w:numFmt w:val="lowerLetter"/>
      <w:start w:val="1"/>
    </w:lvl>
  </w:abstractNum>
  <w:abstractNum w:abstractNumId="704">
    <w:nsid w:val="4E784887"/>
    <w:multiLevelType w:val="hybridMultilevel"/>
    <w:lvl w:ilvl="0">
      <w:lvlJc w:val="left"/>
      <w:lvlText w:val="%1."/>
      <w:numFmt w:val="decimal"/>
      <w:start w:val="6"/>
    </w:lvl>
    <w:lvl w:ilvl="1">
      <w:lvlJc w:val="left"/>
      <w:lvlText w:val="%2"/>
      <w:numFmt w:val="lowerLetter"/>
      <w:start w:val="1"/>
    </w:lvl>
  </w:abstractNum>
  <w:abstractNum w:abstractNumId="705">
    <w:nsid w:val="38AD4C18"/>
    <w:multiLevelType w:val="hybridMultilevel"/>
    <w:lvl w:ilvl="0">
      <w:lvlJc w:val="left"/>
      <w:lvlText w:val="(%1)"/>
      <w:numFmt w:val="lowerLetter"/>
      <w:start w:val="1"/>
    </w:lvl>
  </w:abstractNum>
  <w:abstractNum w:abstractNumId="706">
    <w:nsid w:val="48CCEE31"/>
    <w:multiLevelType w:val="hybridMultilevel"/>
    <w:lvl w:ilvl="0">
      <w:lvlJc w:val="left"/>
      <w:lvlText w:val="(%1)"/>
      <w:numFmt w:val="lowerLetter"/>
      <w:start w:val="2"/>
    </w:lvl>
  </w:abstractNum>
  <w:abstractNum w:abstractNumId="707">
    <w:nsid w:val="45EA996E"/>
    <w:multiLevelType w:val="hybridMultilevel"/>
    <w:lvl w:ilvl="0">
      <w:lvlJc w:val="left"/>
      <w:lvlText w:val="(%1)"/>
      <w:numFmt w:val="lowerLetter"/>
      <w:start w:val="1"/>
    </w:lvl>
  </w:abstractNum>
  <w:abstractNum w:abstractNumId="708">
    <w:nsid w:val="441FBAF4"/>
    <w:multiLevelType w:val="hybridMultilevel"/>
    <w:lvl w:ilvl="0">
      <w:lvlJc w:val="left"/>
      <w:lvlText w:val="(%1)"/>
      <w:numFmt w:val="lowerRoman"/>
      <w:start w:val="1"/>
    </w:lvl>
  </w:abstractNum>
  <w:abstractNum w:abstractNumId="709">
    <w:nsid w:val="7F2BEA8B"/>
    <w:multiLevelType w:val="hybridMultilevel"/>
    <w:lvl w:ilvl="0">
      <w:lvlJc w:val="left"/>
      <w:lvlText w:val="(%1)"/>
      <w:numFmt w:val="lowerRoman"/>
      <w:start w:val="2"/>
    </w:lvl>
    <w:lvl w:ilvl="1">
      <w:lvlJc w:val="left"/>
      <w:lvlText w:val="%2."/>
      <w:numFmt w:val="decimal"/>
      <w:start w:val="7"/>
    </w:lvl>
  </w:abstractNum>
  <w:abstractNum w:abstractNumId="710">
    <w:nsid w:val="792A9DB"/>
    <w:multiLevelType w:val="hybridMultilevel"/>
    <w:lvl w:ilvl="0">
      <w:lvlJc w:val="left"/>
      <w:lvlText w:val="%1."/>
      <w:numFmt w:val="decimal"/>
      <w:start w:val="8"/>
    </w:lvl>
  </w:abstractNum>
  <w:abstractNum w:abstractNumId="711">
    <w:nsid w:val="3D92C7D"/>
    <w:multiLevelType w:val="hybridMultilevel"/>
    <w:lvl w:ilvl="0">
      <w:lvlJc w:val="left"/>
      <w:lvlText w:val="(%1)"/>
      <w:numFmt w:val="lowerLetter"/>
      <w:start w:val="1"/>
    </w:lvl>
  </w:abstractNum>
  <w:abstractNum w:abstractNumId="712">
    <w:nsid w:val="375A92FF"/>
    <w:multiLevelType w:val="hybridMultilevel"/>
    <w:lvl w:ilvl="0">
      <w:lvlJc w:val="left"/>
      <w:lvlText w:val="%1."/>
      <w:numFmt w:val="decimal"/>
      <w:start w:val="9"/>
    </w:lvl>
  </w:abstractNum>
  <w:abstractNum w:abstractNumId="713">
    <w:nsid w:val="29180EE2"/>
    <w:multiLevelType w:val="hybridMultilevel"/>
    <w:lvl w:ilvl="0">
      <w:lvlJc w:val="left"/>
      <w:lvlText w:val="(%1)"/>
      <w:numFmt w:val="lowerLetter"/>
      <w:start w:val="1"/>
    </w:lvl>
  </w:abstractNum>
  <w:abstractNum w:abstractNumId="714">
    <w:nsid w:val="7C901113"/>
    <w:multiLevelType w:val="hybridMultilevel"/>
    <w:lvl w:ilvl="0">
      <w:lvlJc w:val="left"/>
      <w:lvlText w:val="(%1)"/>
      <w:numFmt w:val="lowerLetter"/>
      <w:start w:val="2"/>
    </w:lvl>
  </w:abstractNum>
  <w:abstractNum w:abstractNumId="715">
    <w:nsid w:val="427028B0"/>
    <w:multiLevelType w:val="hybridMultilevel"/>
    <w:lvl w:ilvl="0">
      <w:lvlJc w:val="left"/>
      <w:lvlText w:val="(%1)"/>
      <w:numFmt w:val="lowerLetter"/>
      <w:start w:val="3"/>
    </w:lvl>
  </w:abstractNum>
  <w:abstractNum w:abstractNumId="716">
    <w:nsid w:val="4E7F1C4D"/>
    <w:multiLevelType w:val="hybridMultilevel"/>
    <w:lvl w:ilvl="0">
      <w:lvlJc w:val="left"/>
      <w:lvlText w:val="(%1)"/>
      <w:numFmt w:val="lowerLetter"/>
      <w:start w:val="10"/>
    </w:lvl>
  </w:abstractNum>
  <w:abstractNum w:abstractNumId="717">
    <w:nsid w:val="5C76D652"/>
    <w:multiLevelType w:val="hybridMultilevel"/>
    <w:lvl w:ilvl="0">
      <w:lvlJc w:val="left"/>
      <w:lvlText w:val="(%1)"/>
      <w:numFmt w:val="lowerLetter"/>
      <w:start w:val="6"/>
    </w:lvl>
  </w:abstractNum>
  <w:abstractNum w:abstractNumId="718">
    <w:nsid w:val="7F1E3DAE"/>
    <w:multiLevelType w:val="hybridMultilevel"/>
    <w:lvl w:ilvl="0">
      <w:lvlJc w:val="left"/>
      <w:lvlText w:val="(%1)"/>
      <w:numFmt w:val="lowerLetter"/>
      <w:start w:val="1"/>
    </w:lvl>
  </w:abstractNum>
  <w:abstractNum w:abstractNumId="719">
    <w:nsid w:val="3CA6D1B9"/>
    <w:multiLevelType w:val="hybridMultilevel"/>
    <w:lvl w:ilvl="0">
      <w:lvlJc w:val="left"/>
      <w:lvlText w:val="(%1)"/>
      <w:numFmt w:val="lowerLetter"/>
      <w:start w:val="1"/>
    </w:lvl>
  </w:abstractNum>
  <w:abstractNum w:abstractNumId="720">
    <w:nsid w:val="43754DB7"/>
    <w:multiLevelType w:val="hybridMultilevel"/>
    <w:lvl w:ilvl="0">
      <w:lvlJc w:val="left"/>
      <w:lvlText w:val="%1"/>
      <w:numFmt w:val="lowerRoman"/>
      <w:start w:val="1"/>
    </w:lvl>
    <w:lvl w:ilvl="1">
      <w:lvlJc w:val="left"/>
      <w:lvlText w:val="(%2)"/>
      <w:numFmt w:val="lowerLetter"/>
      <w:start w:val="2"/>
    </w:lvl>
  </w:abstractNum>
  <w:abstractNum w:abstractNumId="721">
    <w:nsid w:val="40307D27"/>
    <w:multiLevelType w:val="hybridMultilevel"/>
    <w:lvl w:ilvl="0">
      <w:lvlJc w:val="left"/>
      <w:lvlText w:val="(%1)"/>
      <w:numFmt w:val="lowerRoman"/>
      <w:start w:val="5"/>
    </w:lvl>
    <w:lvl w:ilvl="1">
      <w:lvlJc w:val="left"/>
      <w:lvlText w:val="%2"/>
      <w:numFmt w:val="lowerLetter"/>
      <w:start w:val="1"/>
    </w:lvl>
  </w:abstractNum>
  <w:abstractNum w:abstractNumId="722">
    <w:nsid w:val="DF69013"/>
    <w:multiLevelType w:val="hybridMultilevel"/>
    <w:lvl w:ilvl="0">
      <w:lvlJc w:val="left"/>
      <w:lvlText w:val="(%1)"/>
      <w:numFmt w:val="lowerRoman"/>
      <w:start w:val="7"/>
    </w:lvl>
    <w:lvl w:ilvl="1">
      <w:lvlJc w:val="left"/>
      <w:lvlText w:val="%2"/>
      <w:numFmt w:val="lowerLetter"/>
      <w:start w:val="1"/>
    </w:lvl>
  </w:abstractNum>
  <w:abstractNum w:abstractNumId="723">
    <w:nsid w:val="FDE3B47"/>
    <w:multiLevelType w:val="hybridMultilevel"/>
    <w:lvl w:ilvl="0">
      <w:lvlJc w:val="left"/>
      <w:lvlText w:val="(%1)"/>
      <w:numFmt w:val="lowerRoman"/>
      <w:start w:val="3"/>
    </w:lvl>
  </w:abstractNum>
  <w:abstractNum w:abstractNumId="724">
    <w:nsid w:val="5EF4B64"/>
    <w:multiLevelType w:val="hybridMultilevel"/>
    <w:lvl w:ilvl="0">
      <w:lvlJc w:val="left"/>
      <w:lvlText w:val="(%1)"/>
      <w:numFmt w:val="lowerLetter"/>
      <w:start w:val="1"/>
    </w:lvl>
  </w:abstractNum>
  <w:abstractNum w:abstractNumId="725">
    <w:nsid w:val="2457647B"/>
    <w:multiLevelType w:val="hybridMultilevel"/>
    <w:lvl w:ilvl="0">
      <w:lvlJc w:val="left"/>
      <w:lvlText w:val="(%1)"/>
      <w:numFmt w:val="lowerLetter"/>
      <w:start w:val="1"/>
    </w:lvl>
  </w:abstractNum>
  <w:abstractNum w:abstractNumId="726">
    <w:nsid w:val="66F06E9"/>
    <w:multiLevelType w:val="hybridMultilevel"/>
    <w:lvl w:ilvl="0">
      <w:lvlJc w:val="left"/>
      <w:lvlText w:val="(%1)"/>
      <w:numFmt w:val="lowerLetter"/>
      <w:start w:val="3"/>
    </w:lvl>
  </w:abstractNum>
  <w:abstractNum w:abstractNumId="727">
    <w:nsid w:val="2ABAB37"/>
    <w:multiLevelType w:val="hybridMultilevel"/>
    <w:lvl w:ilvl="0">
      <w:lvlJc w:val="left"/>
      <w:lvlText w:val="(%1)"/>
      <w:numFmt w:val="lowerLetter"/>
      <w:start w:val="9"/>
    </w:lvl>
  </w:abstractNum>
  <w:abstractNum w:abstractNumId="728">
    <w:nsid w:val="3D5EC8AB"/>
    <w:multiLevelType w:val="hybridMultilevel"/>
    <w:lvl w:ilvl="0">
      <w:lvlJc w:val="left"/>
      <w:lvlText w:val="(%1)"/>
      <w:numFmt w:val="lowerLetter"/>
      <w:start w:val="6"/>
    </w:lvl>
  </w:abstractNum>
  <w:abstractNum w:abstractNumId="729">
    <w:nsid w:val="31F4FCAD"/>
    <w:multiLevelType w:val="hybridMultilevel"/>
    <w:lvl w:ilvl="0">
      <w:lvlJc w:val="left"/>
      <w:lvlText w:val="(%1)"/>
      <w:numFmt w:val="lowerLetter"/>
      <w:start w:val="13"/>
    </w:lvl>
  </w:abstractNum>
  <w:abstractNum w:abstractNumId="730">
    <w:nsid w:val="477DB470"/>
    <w:multiLevelType w:val="hybridMultilevel"/>
    <w:lvl w:ilvl="0">
      <w:lvlJc w:val="left"/>
      <w:lvlText w:val="(%1)"/>
      <w:numFmt w:val="lowerLetter"/>
      <w:start w:val="1"/>
    </w:lvl>
  </w:abstractNum>
  <w:abstractNum w:abstractNumId="731">
    <w:nsid w:val="4FD5720B"/>
    <w:multiLevelType w:val="hybridMultilevel"/>
    <w:lvl w:ilvl="0">
      <w:lvlJc w:val="left"/>
      <w:lvlText w:val="(%1)"/>
      <w:numFmt w:val="lowerLetter"/>
      <w:start w:val="35"/>
    </w:lvl>
  </w:abstractNum>
  <w:abstractNum w:abstractNumId="732">
    <w:nsid w:val="4D3C9346"/>
    <w:multiLevelType w:val="hybridMultilevel"/>
    <w:lvl w:ilvl="0">
      <w:lvlJc w:val="left"/>
      <w:lvlText w:val="(%1)"/>
      <w:numFmt w:val="lowerLetter"/>
      <w:start w:val="8"/>
    </w:lvl>
  </w:abstractNum>
  <w:abstractNum w:abstractNumId="733">
    <w:nsid w:val="2CF0838B"/>
    <w:multiLevelType w:val="hybridMultilevel"/>
    <w:lvl w:ilvl="0">
      <w:lvlJc w:val="left"/>
      <w:lvlText w:val="(%1)"/>
      <w:numFmt w:val="lowerLetter"/>
      <w:start w:val="9"/>
    </w:lvl>
  </w:abstractNum>
  <w:abstractNum w:abstractNumId="734">
    <w:nsid w:val="3E238E27"/>
    <w:multiLevelType w:val="hybridMultilevel"/>
    <w:lvl w:ilvl="0">
      <w:lvlJc w:val="left"/>
      <w:lvlText w:val="(%1)"/>
      <w:numFmt w:val="lowerLetter"/>
      <w:start w:val="1"/>
    </w:lvl>
  </w:abstractNum>
  <w:abstractNum w:abstractNumId="735">
    <w:nsid w:val="1BB4DBCD"/>
    <w:multiLevelType w:val="hybridMultilevel"/>
    <w:lvl w:ilvl="0">
      <w:lvlJc w:val="left"/>
      <w:lvlText w:val="(%1)"/>
      <w:numFmt w:val="lowerLetter"/>
      <w:start w:val="8"/>
    </w:lvl>
  </w:abstractNum>
  <w:abstractNum w:abstractNumId="736">
    <w:nsid w:val="659DCFA3"/>
    <w:multiLevelType w:val="hybridMultilevel"/>
    <w:lvl w:ilvl="0">
      <w:lvlJc w:val="left"/>
      <w:lvlText w:val="(%1)"/>
      <w:numFmt w:val="lowerLetter"/>
      <w:start w:val="1"/>
    </w:lvl>
  </w:abstractNum>
  <w:abstractNum w:abstractNumId="737">
    <w:nsid w:val="6F07C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jpe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pn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pn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pn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pn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pn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pn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2026-04-08T15:12:14Z</dcterms:created>
  <dcterms:modified xsi:type="dcterms:W3CDTF">2026-04-08T15:12:14Z</dcterms:modified>
</cp:coreProperties>
</file>